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F4150" w:rsidP="009F4150">
      <w:pPr>
        <w:spacing w:line="360" w:lineRule="auto"/>
        <w:jc w:val="center"/>
        <w:rPr>
          <w:rFonts w:ascii="Times New Roman" w:hAnsi="Times New Roman" w:cs="Times New Roman" w:hint="eastAsia"/>
          <w:b/>
          <w:sz w:val="22"/>
        </w:rPr>
      </w:pPr>
      <w:r w:rsidRPr="009F4150">
        <w:rPr>
          <w:rFonts w:ascii="Times New Roman" w:hAnsi="Times New Roman" w:cs="Times New Roman"/>
          <w:b/>
          <w:sz w:val="22"/>
        </w:rPr>
        <w:t>Genetic Testing Department, Sichuan Provincial People's Hospital Genetic Disease</w:t>
      </w:r>
      <w:r w:rsidRPr="009F4150">
        <w:rPr>
          <w:rFonts w:ascii="Times New Roman" w:hAnsi="Times New Roman" w:cs="Times New Roman" w:hint="eastAsia"/>
          <w:b/>
          <w:sz w:val="22"/>
        </w:rPr>
        <w:t xml:space="preserve"> </w:t>
      </w:r>
      <w:r w:rsidRPr="009F4150">
        <w:rPr>
          <w:rFonts w:ascii="Times New Roman" w:hAnsi="Times New Roman" w:cs="Times New Roman"/>
          <w:b/>
          <w:sz w:val="22"/>
        </w:rPr>
        <w:t>Genetic Testing Report</w:t>
      </w:r>
    </w:p>
    <w:tbl>
      <w:tblPr>
        <w:tblW w:w="11095" w:type="dxa"/>
        <w:jc w:val="center"/>
        <w:tblInd w:w="-1162" w:type="dxa"/>
        <w:tblBorders>
          <w:top w:val="single" w:sz="12" w:space="0" w:color="auto"/>
          <w:bottom w:val="single" w:sz="12" w:space="0" w:color="auto"/>
        </w:tblBorders>
        <w:tblLook w:val="04A0"/>
      </w:tblPr>
      <w:tblGrid>
        <w:gridCol w:w="805"/>
        <w:gridCol w:w="1080"/>
        <w:gridCol w:w="850"/>
        <w:gridCol w:w="4915"/>
        <w:gridCol w:w="1602"/>
        <w:gridCol w:w="1843"/>
      </w:tblGrid>
      <w:tr w:rsidR="009F4150" w:rsidRPr="009F4150" w:rsidTr="00DB0F44">
        <w:trPr>
          <w:trHeight w:val="520"/>
          <w:jc w:val="center"/>
        </w:trPr>
        <w:tc>
          <w:tcPr>
            <w:tcW w:w="805"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bookmarkStart w:id="0" w:name="OLE_LINK71"/>
            <w:bookmarkStart w:id="1" w:name="OLE_LINK72"/>
            <w:r w:rsidRPr="009F4150">
              <w:rPr>
                <w:rFonts w:ascii="Times New Roman" w:eastAsia="宋体" w:hAnsi="Times New Roman" w:cs="Times New Roman"/>
                <w:color w:val="000000"/>
                <w:kern w:val="0"/>
                <w:sz w:val="20"/>
                <w:szCs w:val="20"/>
              </w:rPr>
              <w:t>Name</w:t>
            </w:r>
          </w:p>
        </w:tc>
        <w:tc>
          <w:tcPr>
            <w:tcW w:w="1080"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p>
        </w:tc>
        <w:tc>
          <w:tcPr>
            <w:tcW w:w="850"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Sec</w:t>
            </w:r>
          </w:p>
        </w:tc>
        <w:tc>
          <w:tcPr>
            <w:tcW w:w="4915"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Nephrology Outpatient Clinic</w:t>
            </w:r>
          </w:p>
        </w:tc>
        <w:tc>
          <w:tcPr>
            <w:tcW w:w="1602"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Specimen</w:t>
            </w:r>
          </w:p>
        </w:tc>
        <w:tc>
          <w:tcPr>
            <w:tcW w:w="1843"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Blood</w:t>
            </w:r>
          </w:p>
        </w:tc>
      </w:tr>
      <w:tr w:rsidR="009F4150" w:rsidRPr="009F4150" w:rsidTr="00DB0F44">
        <w:trPr>
          <w:trHeight w:val="300"/>
          <w:jc w:val="center"/>
        </w:trPr>
        <w:tc>
          <w:tcPr>
            <w:tcW w:w="805"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Sex</w:t>
            </w:r>
          </w:p>
        </w:tc>
        <w:tc>
          <w:tcPr>
            <w:tcW w:w="1080"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Male</w:t>
            </w:r>
          </w:p>
        </w:tc>
        <w:tc>
          <w:tcPr>
            <w:tcW w:w="850"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r w:rsidRPr="009F4150">
              <w:rPr>
                <w:rFonts w:ascii="Times New Roman" w:eastAsia="宋体" w:hAnsi="Times New Roman" w:cs="Times New Roman"/>
                <w:color w:val="000000"/>
                <w:kern w:val="0"/>
                <w:sz w:val="20"/>
                <w:szCs w:val="20"/>
              </w:rPr>
              <w:t>CaseNo</w:t>
            </w:r>
          </w:p>
        </w:tc>
        <w:tc>
          <w:tcPr>
            <w:tcW w:w="4915"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p>
        </w:tc>
        <w:tc>
          <w:tcPr>
            <w:tcW w:w="1602"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SpeNo</w:t>
            </w:r>
          </w:p>
        </w:tc>
        <w:tc>
          <w:tcPr>
            <w:tcW w:w="1843"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202405M0620</w:t>
            </w:r>
          </w:p>
        </w:tc>
      </w:tr>
      <w:tr w:rsidR="009F4150" w:rsidRPr="009F4150" w:rsidTr="00DB0F44">
        <w:trPr>
          <w:trHeight w:val="300"/>
          <w:jc w:val="center"/>
        </w:trPr>
        <w:tc>
          <w:tcPr>
            <w:tcW w:w="805"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Age</w:t>
            </w:r>
          </w:p>
        </w:tc>
        <w:tc>
          <w:tcPr>
            <w:tcW w:w="1080" w:type="dxa"/>
            <w:shd w:val="clear" w:color="auto" w:fill="FFFFFF"/>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33 years</w:t>
            </w:r>
          </w:p>
        </w:tc>
        <w:tc>
          <w:tcPr>
            <w:tcW w:w="850"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Dept</w:t>
            </w:r>
          </w:p>
        </w:tc>
        <w:tc>
          <w:tcPr>
            <w:tcW w:w="4915"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r w:rsidRPr="009F4150">
              <w:rPr>
                <w:rFonts w:ascii="Times New Roman" w:eastAsia="宋体" w:hAnsi="Times New Roman" w:cs="Times New Roman"/>
                <w:color w:val="000000"/>
                <w:kern w:val="0"/>
                <w:sz w:val="20"/>
                <w:szCs w:val="20"/>
              </w:rPr>
              <w:t>Medical Genetics Center / Prenatal Diagnosis Center</w:t>
            </w:r>
          </w:p>
        </w:tc>
        <w:tc>
          <w:tcPr>
            <w:tcW w:w="1602"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SpeNo</w:t>
            </w:r>
          </w:p>
        </w:tc>
        <w:tc>
          <w:tcPr>
            <w:tcW w:w="1843" w:type="dxa"/>
            <w:shd w:val="clear" w:color="auto" w:fill="auto"/>
            <w:noWrap/>
            <w:vAlign w:val="center"/>
            <w:hideMark/>
          </w:tcPr>
          <w:p w:rsidR="009F4150" w:rsidRPr="009F4150" w:rsidRDefault="009F4150" w:rsidP="009F4150">
            <w:pPr>
              <w:widowControl/>
              <w:jc w:val="left"/>
              <w:rPr>
                <w:rFonts w:ascii="Times New Roman" w:eastAsia="宋体" w:hAnsi="Times New Roman" w:cs="Times New Roman"/>
                <w:color w:val="000000"/>
                <w:kern w:val="0"/>
                <w:sz w:val="20"/>
                <w:szCs w:val="20"/>
              </w:rPr>
            </w:pPr>
          </w:p>
        </w:tc>
      </w:tr>
      <w:bookmarkEnd w:id="0"/>
      <w:bookmarkEnd w:id="1"/>
    </w:tbl>
    <w:p w:rsidR="009F4150" w:rsidRDefault="009F4150" w:rsidP="009F4150">
      <w:pPr>
        <w:spacing w:line="276" w:lineRule="auto"/>
        <w:rPr>
          <w:rFonts w:ascii="Times New Roman" w:hAnsi="Times New Roman" w:cs="Times New Roman" w:hint="eastAsia"/>
          <w:b/>
          <w:sz w:val="22"/>
        </w:rPr>
      </w:pPr>
    </w:p>
    <w:tbl>
      <w:tblPr>
        <w:tblW w:w="11107" w:type="dxa"/>
        <w:jc w:val="center"/>
        <w:tblInd w:w="90" w:type="dxa"/>
        <w:tblLook w:val="04A0"/>
      </w:tblPr>
      <w:tblGrid>
        <w:gridCol w:w="16"/>
        <w:gridCol w:w="689"/>
        <w:gridCol w:w="1069"/>
        <w:gridCol w:w="417"/>
        <w:gridCol w:w="782"/>
        <w:gridCol w:w="1035"/>
        <w:gridCol w:w="803"/>
        <w:gridCol w:w="963"/>
        <w:gridCol w:w="1150"/>
        <w:gridCol w:w="1141"/>
        <w:gridCol w:w="1011"/>
        <w:gridCol w:w="1145"/>
        <w:gridCol w:w="886"/>
      </w:tblGrid>
      <w:tr w:rsidR="00DB0F44" w:rsidRPr="002A6F56" w:rsidTr="00DB0F44">
        <w:trPr>
          <w:gridBefore w:val="1"/>
          <w:wBefore w:w="16" w:type="dxa"/>
          <w:trHeight w:val="359"/>
          <w:jc w:val="center"/>
        </w:trPr>
        <w:tc>
          <w:tcPr>
            <w:tcW w:w="2175" w:type="dxa"/>
            <w:gridSpan w:val="3"/>
            <w:vMerge w:val="restart"/>
            <w:tcBorders>
              <w:top w:val="single" w:sz="12" w:space="0" w:color="000000"/>
              <w:left w:val="nil"/>
              <w:bottom w:val="single" w:sz="8" w:space="0" w:color="auto"/>
              <w:right w:val="nil"/>
            </w:tcBorders>
            <w:shd w:val="clear" w:color="auto" w:fill="auto"/>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r w:rsidRPr="002A6F56">
              <w:rPr>
                <w:rFonts w:ascii="Times New Roman" w:eastAsia="宋体" w:hAnsi="Times New Roman" w:cs="Times New Roman"/>
                <w:b/>
                <w:bCs/>
                <w:color w:val="0F1115"/>
                <w:kern w:val="0"/>
                <w:sz w:val="20"/>
                <w:szCs w:val="20"/>
              </w:rPr>
              <w:t>Brief Clinical History</w:t>
            </w:r>
          </w:p>
        </w:tc>
        <w:tc>
          <w:tcPr>
            <w:tcW w:w="8916" w:type="dxa"/>
            <w:gridSpan w:val="9"/>
            <w:vMerge w:val="restart"/>
            <w:tcBorders>
              <w:top w:val="single" w:sz="12" w:space="0" w:color="000000"/>
              <w:left w:val="nil"/>
              <w:bottom w:val="single" w:sz="8" w:space="0" w:color="auto"/>
              <w:right w:val="nil"/>
            </w:tcBorders>
            <w:shd w:val="clear" w:color="auto" w:fill="auto"/>
            <w:noWrap/>
            <w:vAlign w:val="center"/>
            <w:hideMark/>
          </w:tcPr>
          <w:p w:rsidR="002A6F56" w:rsidRPr="002A6F56" w:rsidRDefault="002A6F56" w:rsidP="00DB0F44">
            <w:pPr>
              <w:widowControl/>
              <w:spacing w:line="276" w:lineRule="auto"/>
              <w:rPr>
                <w:rFonts w:ascii="Times New Roman" w:eastAsia="宋体" w:hAnsi="Times New Roman" w:cs="Times New Roman"/>
                <w:color w:val="0F1115"/>
                <w:kern w:val="0"/>
                <w:sz w:val="20"/>
                <w:szCs w:val="20"/>
              </w:rPr>
            </w:pPr>
            <w:r w:rsidRPr="002A6F56">
              <w:rPr>
                <w:rFonts w:ascii="Times New Roman" w:eastAsia="宋体" w:hAnsi="Times New Roman" w:cs="Times New Roman"/>
                <w:color w:val="0F1115"/>
                <w:kern w:val="0"/>
                <w:sz w:val="20"/>
                <w:szCs w:val="20"/>
              </w:rPr>
              <w:t>Brief Clinical History: Elevated serum creatinine detected: 118 umol/L. Renal biopsy suggested FSGS-like lesions with global glomerulosclerosis in the majority of glomeruli. Clinical diagnosis: Chronic Kidney Disease Stage 2, Focal Segmental Proliferative Glomerulonephritis.</w:t>
            </w:r>
          </w:p>
        </w:tc>
      </w:tr>
      <w:tr w:rsidR="00DB0F44" w:rsidRPr="002A6F56" w:rsidTr="00DB0F44">
        <w:trPr>
          <w:gridBefore w:val="1"/>
          <w:wBefore w:w="16" w:type="dxa"/>
          <w:trHeight w:val="359"/>
          <w:jc w:val="center"/>
        </w:trPr>
        <w:tc>
          <w:tcPr>
            <w:tcW w:w="2175" w:type="dxa"/>
            <w:gridSpan w:val="3"/>
            <w:vMerge/>
            <w:tcBorders>
              <w:left w:val="nil"/>
              <w:bottom w:val="single" w:sz="8" w:space="0" w:color="auto"/>
              <w:right w:val="nil"/>
            </w:tcBorders>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p>
        </w:tc>
        <w:tc>
          <w:tcPr>
            <w:tcW w:w="8916" w:type="dxa"/>
            <w:gridSpan w:val="9"/>
            <w:vMerge/>
            <w:tcBorders>
              <w:left w:val="nil"/>
              <w:bottom w:val="single" w:sz="8" w:space="0" w:color="auto"/>
              <w:right w:val="nil"/>
            </w:tcBorders>
            <w:vAlign w:val="center"/>
            <w:hideMark/>
          </w:tcPr>
          <w:p w:rsidR="002A6F56" w:rsidRPr="002A6F56" w:rsidRDefault="002A6F56" w:rsidP="00DB0F44">
            <w:pPr>
              <w:widowControl/>
              <w:spacing w:line="276" w:lineRule="auto"/>
              <w:jc w:val="left"/>
              <w:rPr>
                <w:rFonts w:ascii="Times New Roman" w:eastAsia="宋体" w:hAnsi="Times New Roman" w:cs="Times New Roman"/>
                <w:color w:val="0F1115"/>
                <w:kern w:val="0"/>
                <w:sz w:val="20"/>
                <w:szCs w:val="20"/>
              </w:rPr>
            </w:pPr>
          </w:p>
        </w:tc>
      </w:tr>
      <w:tr w:rsidR="00DB0F44" w:rsidRPr="002A6F56" w:rsidTr="00DB0F44">
        <w:trPr>
          <w:gridBefore w:val="1"/>
          <w:wBefore w:w="16" w:type="dxa"/>
          <w:trHeight w:val="359"/>
          <w:jc w:val="center"/>
        </w:trPr>
        <w:tc>
          <w:tcPr>
            <w:tcW w:w="2175" w:type="dxa"/>
            <w:gridSpan w:val="3"/>
            <w:vMerge/>
            <w:tcBorders>
              <w:left w:val="nil"/>
              <w:bottom w:val="single" w:sz="8" w:space="0" w:color="auto"/>
              <w:right w:val="nil"/>
            </w:tcBorders>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p>
        </w:tc>
        <w:tc>
          <w:tcPr>
            <w:tcW w:w="8916" w:type="dxa"/>
            <w:gridSpan w:val="9"/>
            <w:vMerge/>
            <w:tcBorders>
              <w:left w:val="nil"/>
              <w:bottom w:val="single" w:sz="8" w:space="0" w:color="auto"/>
              <w:right w:val="nil"/>
            </w:tcBorders>
            <w:vAlign w:val="center"/>
            <w:hideMark/>
          </w:tcPr>
          <w:p w:rsidR="002A6F56" w:rsidRPr="002A6F56" w:rsidRDefault="002A6F56" w:rsidP="00DB0F44">
            <w:pPr>
              <w:widowControl/>
              <w:spacing w:line="276" w:lineRule="auto"/>
              <w:jc w:val="left"/>
              <w:rPr>
                <w:rFonts w:ascii="Times New Roman" w:eastAsia="宋体" w:hAnsi="Times New Roman" w:cs="Times New Roman"/>
                <w:color w:val="0F1115"/>
                <w:kern w:val="0"/>
                <w:sz w:val="20"/>
                <w:szCs w:val="20"/>
              </w:rPr>
            </w:pPr>
          </w:p>
        </w:tc>
      </w:tr>
      <w:tr w:rsidR="00DB0F44" w:rsidRPr="002A6F56" w:rsidTr="00DB0F44">
        <w:trPr>
          <w:gridBefore w:val="1"/>
          <w:wBefore w:w="16" w:type="dxa"/>
          <w:trHeight w:val="760"/>
          <w:jc w:val="center"/>
        </w:trPr>
        <w:tc>
          <w:tcPr>
            <w:tcW w:w="2175" w:type="dxa"/>
            <w:gridSpan w:val="3"/>
            <w:tcBorders>
              <w:top w:val="single" w:sz="8" w:space="0" w:color="auto"/>
              <w:left w:val="nil"/>
              <w:bottom w:val="single" w:sz="8" w:space="0" w:color="auto"/>
              <w:right w:val="nil"/>
            </w:tcBorders>
            <w:shd w:val="clear" w:color="auto" w:fill="auto"/>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r w:rsidRPr="002A6F56">
              <w:rPr>
                <w:rFonts w:ascii="Times New Roman" w:eastAsia="宋体" w:hAnsi="Times New Roman" w:cs="Times New Roman"/>
                <w:b/>
                <w:bCs/>
                <w:color w:val="0F1115"/>
                <w:kern w:val="0"/>
                <w:sz w:val="20"/>
                <w:szCs w:val="20"/>
              </w:rPr>
              <w:t>HPO Terms</w:t>
            </w:r>
          </w:p>
        </w:tc>
        <w:tc>
          <w:tcPr>
            <w:tcW w:w="8916" w:type="dxa"/>
            <w:gridSpan w:val="9"/>
            <w:tcBorders>
              <w:top w:val="single" w:sz="8" w:space="0" w:color="auto"/>
              <w:left w:val="nil"/>
              <w:bottom w:val="single" w:sz="8" w:space="0" w:color="auto"/>
              <w:right w:val="nil"/>
            </w:tcBorders>
            <w:shd w:val="clear" w:color="auto" w:fill="auto"/>
            <w:noWrap/>
            <w:vAlign w:val="center"/>
            <w:hideMark/>
          </w:tcPr>
          <w:p w:rsidR="002A6F56" w:rsidRPr="002A6F56" w:rsidRDefault="002A6F56" w:rsidP="00DB0F44">
            <w:pPr>
              <w:widowControl/>
              <w:spacing w:line="276" w:lineRule="auto"/>
              <w:rPr>
                <w:rFonts w:ascii="Times New Roman" w:eastAsia="宋体" w:hAnsi="Times New Roman" w:cs="Times New Roman"/>
                <w:color w:val="0F1115"/>
                <w:kern w:val="0"/>
                <w:sz w:val="20"/>
                <w:szCs w:val="20"/>
              </w:rPr>
            </w:pPr>
            <w:r w:rsidRPr="002A6F56">
              <w:rPr>
                <w:rFonts w:ascii="Times New Roman" w:eastAsia="宋体" w:hAnsi="Times New Roman" w:cs="Times New Roman"/>
                <w:color w:val="0F1115"/>
                <w:kern w:val="0"/>
                <w:sz w:val="20"/>
                <w:szCs w:val="20"/>
              </w:rPr>
              <w:t>HP:0000077: Abnormality of the kidney; HP:0003259: Elevated serum creatinine; HP:0012622: Chronic kidney disease; HP:0000097: Focal segmental glomerulosclerosis; HP:0000099: Glomerulonephritis</w:t>
            </w:r>
          </w:p>
        </w:tc>
      </w:tr>
      <w:tr w:rsidR="00DB0F44" w:rsidRPr="002A6F56" w:rsidTr="00DB0F44">
        <w:trPr>
          <w:gridBefore w:val="1"/>
          <w:wBefore w:w="16" w:type="dxa"/>
          <w:trHeight w:val="720"/>
          <w:jc w:val="center"/>
        </w:trPr>
        <w:tc>
          <w:tcPr>
            <w:tcW w:w="2175" w:type="dxa"/>
            <w:gridSpan w:val="3"/>
            <w:tcBorders>
              <w:top w:val="single" w:sz="8" w:space="0" w:color="auto"/>
              <w:left w:val="nil"/>
              <w:bottom w:val="single" w:sz="8" w:space="0" w:color="auto"/>
              <w:right w:val="nil"/>
            </w:tcBorders>
            <w:shd w:val="clear" w:color="auto" w:fill="auto"/>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r w:rsidRPr="002A6F56">
              <w:rPr>
                <w:rFonts w:ascii="Times New Roman" w:eastAsia="宋体" w:hAnsi="Times New Roman" w:cs="Times New Roman"/>
                <w:b/>
                <w:bCs/>
                <w:color w:val="0F1115"/>
                <w:kern w:val="0"/>
                <w:sz w:val="20"/>
                <w:szCs w:val="20"/>
              </w:rPr>
              <w:t>Clinically Suspected Disease/Genes of Focus</w:t>
            </w:r>
          </w:p>
        </w:tc>
        <w:tc>
          <w:tcPr>
            <w:tcW w:w="8916" w:type="dxa"/>
            <w:gridSpan w:val="9"/>
            <w:tcBorders>
              <w:top w:val="single" w:sz="8" w:space="0" w:color="auto"/>
              <w:left w:val="nil"/>
              <w:bottom w:val="single" w:sz="8" w:space="0" w:color="auto"/>
              <w:right w:val="nil"/>
            </w:tcBorders>
            <w:shd w:val="clear" w:color="auto" w:fill="auto"/>
            <w:noWrap/>
            <w:vAlign w:val="center"/>
            <w:hideMark/>
          </w:tcPr>
          <w:p w:rsidR="002A6F56" w:rsidRPr="002A6F56" w:rsidRDefault="002A6F56" w:rsidP="00DB0F44">
            <w:pPr>
              <w:widowControl/>
              <w:spacing w:line="276" w:lineRule="auto"/>
              <w:rPr>
                <w:rFonts w:ascii="Times New Roman" w:eastAsia="宋体" w:hAnsi="Times New Roman" w:cs="Times New Roman"/>
                <w:color w:val="0F1115"/>
                <w:kern w:val="0"/>
                <w:sz w:val="20"/>
                <w:szCs w:val="20"/>
              </w:rPr>
            </w:pPr>
            <w:r w:rsidRPr="002A6F56">
              <w:rPr>
                <w:rFonts w:ascii="Times New Roman" w:eastAsia="宋体" w:hAnsi="Times New Roman" w:cs="Times New Roman"/>
                <w:color w:val="0F1115"/>
                <w:kern w:val="0"/>
                <w:sz w:val="20"/>
                <w:szCs w:val="20"/>
              </w:rPr>
              <w:t>Hereditary renal system disease / Genes of focus are listed in Appendix 1.</w:t>
            </w:r>
          </w:p>
        </w:tc>
      </w:tr>
      <w:tr w:rsidR="00DB0F44" w:rsidRPr="002A6F56" w:rsidTr="00DB0F44">
        <w:trPr>
          <w:gridBefore w:val="1"/>
          <w:wBefore w:w="16" w:type="dxa"/>
          <w:trHeight w:val="440"/>
          <w:jc w:val="center"/>
        </w:trPr>
        <w:tc>
          <w:tcPr>
            <w:tcW w:w="2175" w:type="dxa"/>
            <w:gridSpan w:val="3"/>
            <w:tcBorders>
              <w:top w:val="single" w:sz="8" w:space="0" w:color="auto"/>
              <w:left w:val="nil"/>
              <w:bottom w:val="single" w:sz="8" w:space="0" w:color="auto"/>
              <w:right w:val="nil"/>
            </w:tcBorders>
            <w:shd w:val="clear" w:color="auto" w:fill="auto"/>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r w:rsidRPr="002A6F56">
              <w:rPr>
                <w:rFonts w:ascii="Times New Roman" w:eastAsia="宋体" w:hAnsi="Times New Roman" w:cs="Times New Roman"/>
                <w:b/>
                <w:bCs/>
                <w:color w:val="0F1115"/>
                <w:kern w:val="0"/>
                <w:sz w:val="20"/>
                <w:szCs w:val="20"/>
              </w:rPr>
              <w:t>Testing Item</w:t>
            </w:r>
          </w:p>
        </w:tc>
        <w:tc>
          <w:tcPr>
            <w:tcW w:w="8916" w:type="dxa"/>
            <w:gridSpan w:val="9"/>
            <w:tcBorders>
              <w:top w:val="single" w:sz="8" w:space="0" w:color="auto"/>
              <w:left w:val="nil"/>
              <w:bottom w:val="single" w:sz="8" w:space="0" w:color="auto"/>
              <w:right w:val="nil"/>
            </w:tcBorders>
            <w:shd w:val="clear" w:color="auto" w:fill="auto"/>
            <w:noWrap/>
            <w:vAlign w:val="center"/>
            <w:hideMark/>
          </w:tcPr>
          <w:p w:rsidR="002A6F56" w:rsidRPr="002A6F56" w:rsidRDefault="002A6F56" w:rsidP="00DB0F44">
            <w:pPr>
              <w:widowControl/>
              <w:spacing w:line="276" w:lineRule="auto"/>
              <w:rPr>
                <w:rFonts w:ascii="Times New Roman" w:eastAsia="宋体" w:hAnsi="Times New Roman" w:cs="Times New Roman"/>
                <w:color w:val="0F1115"/>
                <w:kern w:val="0"/>
                <w:sz w:val="20"/>
                <w:szCs w:val="20"/>
              </w:rPr>
            </w:pPr>
            <w:r w:rsidRPr="002A6F56">
              <w:rPr>
                <w:rFonts w:ascii="Times New Roman" w:eastAsia="宋体" w:hAnsi="Times New Roman" w:cs="Times New Roman"/>
                <w:color w:val="0F1115"/>
                <w:kern w:val="0"/>
                <w:sz w:val="20"/>
                <w:szCs w:val="20"/>
              </w:rPr>
              <w:t>Whole Exome Sequencing</w:t>
            </w:r>
          </w:p>
        </w:tc>
      </w:tr>
      <w:tr w:rsidR="00DB0F44" w:rsidRPr="002A6F56" w:rsidTr="00DB0F44">
        <w:trPr>
          <w:gridBefore w:val="1"/>
          <w:wBefore w:w="16" w:type="dxa"/>
          <w:trHeight w:val="840"/>
          <w:jc w:val="center"/>
        </w:trPr>
        <w:tc>
          <w:tcPr>
            <w:tcW w:w="2175" w:type="dxa"/>
            <w:gridSpan w:val="3"/>
            <w:tcBorders>
              <w:top w:val="single" w:sz="8" w:space="0" w:color="auto"/>
              <w:left w:val="nil"/>
              <w:bottom w:val="single" w:sz="8" w:space="0" w:color="auto"/>
              <w:right w:val="nil"/>
            </w:tcBorders>
            <w:shd w:val="clear" w:color="auto" w:fill="auto"/>
            <w:vAlign w:val="center"/>
            <w:hideMark/>
          </w:tcPr>
          <w:p w:rsidR="002A6F56" w:rsidRPr="002A6F56" w:rsidRDefault="002A6F56" w:rsidP="00DB0F44">
            <w:pPr>
              <w:widowControl/>
              <w:spacing w:line="276" w:lineRule="auto"/>
              <w:jc w:val="left"/>
              <w:rPr>
                <w:rFonts w:ascii="Times New Roman" w:eastAsia="宋体" w:hAnsi="Times New Roman" w:cs="Times New Roman"/>
                <w:b/>
                <w:bCs/>
                <w:color w:val="0F1115"/>
                <w:kern w:val="0"/>
                <w:sz w:val="20"/>
                <w:szCs w:val="20"/>
              </w:rPr>
            </w:pPr>
            <w:r w:rsidRPr="002A6F56">
              <w:rPr>
                <w:rFonts w:ascii="Times New Roman" w:eastAsia="宋体" w:hAnsi="Times New Roman" w:cs="Times New Roman"/>
                <w:b/>
                <w:bCs/>
                <w:color w:val="0F1115"/>
                <w:kern w:val="0"/>
                <w:sz w:val="20"/>
                <w:szCs w:val="20"/>
              </w:rPr>
              <w:t>Testing Method and Content</w:t>
            </w:r>
          </w:p>
        </w:tc>
        <w:tc>
          <w:tcPr>
            <w:tcW w:w="8916" w:type="dxa"/>
            <w:gridSpan w:val="9"/>
            <w:tcBorders>
              <w:top w:val="single" w:sz="8" w:space="0" w:color="auto"/>
              <w:left w:val="nil"/>
              <w:bottom w:val="single" w:sz="8" w:space="0" w:color="auto"/>
              <w:right w:val="nil"/>
            </w:tcBorders>
            <w:shd w:val="clear" w:color="auto" w:fill="auto"/>
            <w:noWrap/>
            <w:vAlign w:val="center"/>
            <w:hideMark/>
          </w:tcPr>
          <w:p w:rsidR="002A6F56" w:rsidRPr="002A6F56" w:rsidRDefault="002A6F56" w:rsidP="00DB0F44">
            <w:pPr>
              <w:widowControl/>
              <w:spacing w:line="276" w:lineRule="auto"/>
              <w:rPr>
                <w:rFonts w:ascii="Times New Roman" w:eastAsia="宋体" w:hAnsi="Times New Roman" w:cs="Times New Roman"/>
                <w:color w:val="0F1115"/>
                <w:kern w:val="0"/>
                <w:sz w:val="20"/>
                <w:szCs w:val="20"/>
              </w:rPr>
            </w:pPr>
            <w:r w:rsidRPr="002A6F56">
              <w:rPr>
                <w:rFonts w:ascii="Times New Roman" w:eastAsia="宋体" w:hAnsi="Times New Roman" w:cs="Times New Roman"/>
                <w:color w:val="0F1115"/>
                <w:kern w:val="0"/>
                <w:sz w:val="20"/>
                <w:szCs w:val="20"/>
              </w:rPr>
              <w:t>Targeted region capture and high-throughput sequencing technology were used to sequence the exonic coding regions of approximately 20,000 functional genes in the human genome + mitochondrial genome sequences.</w:t>
            </w:r>
          </w:p>
        </w:tc>
      </w:tr>
      <w:tr w:rsidR="00DB0F44" w:rsidRPr="00DB0F44" w:rsidTr="00DB0F44">
        <w:trPr>
          <w:gridBefore w:val="1"/>
          <w:wBefore w:w="16" w:type="dxa"/>
          <w:trHeight w:val="376"/>
          <w:jc w:val="center"/>
        </w:trPr>
        <w:tc>
          <w:tcPr>
            <w:tcW w:w="2175" w:type="dxa"/>
            <w:gridSpan w:val="3"/>
            <w:tcBorders>
              <w:top w:val="single" w:sz="8" w:space="0" w:color="auto"/>
              <w:left w:val="nil"/>
              <w:bottom w:val="single" w:sz="8" w:space="0" w:color="auto"/>
              <w:right w:val="nil"/>
            </w:tcBorders>
            <w:shd w:val="clear" w:color="auto" w:fill="auto"/>
            <w:vAlign w:val="center"/>
            <w:hideMark/>
          </w:tcPr>
          <w:p w:rsidR="00DB0F44" w:rsidRPr="00DB0F44" w:rsidRDefault="00DB0F44" w:rsidP="00DB0F44">
            <w:pPr>
              <w:widowControl/>
              <w:spacing w:line="276" w:lineRule="auto"/>
              <w:jc w:val="left"/>
              <w:rPr>
                <w:rFonts w:ascii="Times New Roman" w:eastAsia="宋体" w:hAnsi="Times New Roman" w:cs="Times New Roman"/>
                <w:b/>
                <w:bCs/>
                <w:color w:val="0F1115"/>
                <w:kern w:val="0"/>
                <w:sz w:val="20"/>
                <w:szCs w:val="20"/>
              </w:rPr>
            </w:pPr>
            <w:r w:rsidRPr="00DB0F44">
              <w:rPr>
                <w:rFonts w:ascii="Times New Roman" w:eastAsia="宋体" w:hAnsi="Times New Roman" w:cs="Times New Roman"/>
                <w:b/>
                <w:bCs/>
                <w:color w:val="0F1115"/>
                <w:kern w:val="0"/>
                <w:sz w:val="20"/>
                <w:szCs w:val="20"/>
              </w:rPr>
              <w:t>Test Results:</w:t>
            </w:r>
          </w:p>
        </w:tc>
        <w:tc>
          <w:tcPr>
            <w:tcW w:w="8916" w:type="dxa"/>
            <w:gridSpan w:val="9"/>
            <w:tcBorders>
              <w:top w:val="single" w:sz="8" w:space="0" w:color="auto"/>
              <w:left w:val="nil"/>
              <w:bottom w:val="single" w:sz="8" w:space="0" w:color="auto"/>
              <w:right w:val="nil"/>
            </w:tcBorders>
            <w:shd w:val="clear" w:color="auto" w:fill="auto"/>
            <w:noWrap/>
            <w:vAlign w:val="center"/>
            <w:hideMark/>
          </w:tcPr>
          <w:p w:rsidR="00DB0F44" w:rsidRPr="00DB0F44" w:rsidRDefault="00DB0F44" w:rsidP="00DB0F44">
            <w:pPr>
              <w:widowControl/>
              <w:spacing w:line="276" w:lineRule="auto"/>
              <w:rPr>
                <w:rFonts w:ascii="Times New Roman" w:eastAsia="宋体" w:hAnsi="Times New Roman" w:cs="Times New Roman"/>
                <w:color w:val="0F1115"/>
                <w:kern w:val="0"/>
                <w:sz w:val="20"/>
                <w:szCs w:val="20"/>
              </w:rPr>
            </w:pPr>
          </w:p>
        </w:tc>
      </w:tr>
      <w:tr w:rsidR="00DB0F44" w:rsidRPr="00DB0F44" w:rsidTr="00DB0F44">
        <w:trPr>
          <w:trHeight w:val="762"/>
          <w:jc w:val="center"/>
        </w:trPr>
        <w:tc>
          <w:tcPr>
            <w:tcW w:w="705" w:type="dxa"/>
            <w:gridSpan w:val="2"/>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Gene</w:t>
            </w:r>
          </w:p>
        </w:tc>
        <w:tc>
          <w:tcPr>
            <w:tcW w:w="1069"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Genomic Coordinate (GRCh38)</w:t>
            </w:r>
          </w:p>
        </w:tc>
        <w:tc>
          <w:tcPr>
            <w:tcW w:w="1199" w:type="dxa"/>
            <w:gridSpan w:val="2"/>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Transcript &amp; Exon</w:t>
            </w:r>
          </w:p>
        </w:tc>
        <w:tc>
          <w:tcPr>
            <w:tcW w:w="1035"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Nucleotide &amp; Amino Acid Change</w:t>
            </w:r>
          </w:p>
        </w:tc>
        <w:tc>
          <w:tcPr>
            <w:tcW w:w="803"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Zygosity</w:t>
            </w:r>
          </w:p>
        </w:tc>
        <w:tc>
          <w:tcPr>
            <w:tcW w:w="963"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Population Frequency</w:t>
            </w:r>
          </w:p>
        </w:tc>
        <w:tc>
          <w:tcPr>
            <w:tcW w:w="1150"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Pathogenicity Prediction</w:t>
            </w:r>
          </w:p>
        </w:tc>
        <w:tc>
          <w:tcPr>
            <w:tcW w:w="1141"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ACMG Classification</w:t>
            </w:r>
          </w:p>
        </w:tc>
        <w:tc>
          <w:tcPr>
            <w:tcW w:w="1011"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Inheritance Pattern</w:t>
            </w:r>
          </w:p>
        </w:tc>
        <w:tc>
          <w:tcPr>
            <w:tcW w:w="1145"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Associated Disease</w:t>
            </w:r>
          </w:p>
        </w:tc>
        <w:tc>
          <w:tcPr>
            <w:tcW w:w="886"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b/>
                <w:color w:val="000000"/>
                <w:kern w:val="0"/>
                <w:sz w:val="16"/>
                <w:szCs w:val="24"/>
              </w:rPr>
            </w:pPr>
            <w:r w:rsidRPr="00DB0F44">
              <w:rPr>
                <w:rFonts w:ascii="Times New Roman" w:eastAsia="宋体" w:hAnsi="Times New Roman" w:cs="Times New Roman"/>
                <w:b/>
                <w:color w:val="000000"/>
                <w:kern w:val="0"/>
                <w:sz w:val="16"/>
                <w:szCs w:val="24"/>
              </w:rPr>
              <w:t>Variant Origin</w:t>
            </w:r>
          </w:p>
        </w:tc>
      </w:tr>
      <w:tr w:rsidR="00DB0F44" w:rsidRPr="00DB0F44" w:rsidTr="00DB0F44">
        <w:trPr>
          <w:trHeight w:val="568"/>
          <w:jc w:val="center"/>
        </w:trPr>
        <w:tc>
          <w:tcPr>
            <w:tcW w:w="705" w:type="dxa"/>
            <w:gridSpan w:val="2"/>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UMOD</w:t>
            </w:r>
          </w:p>
        </w:tc>
        <w:tc>
          <w:tcPr>
            <w:tcW w:w="1069"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chr16:</w:t>
            </w:r>
            <w:r w:rsidRPr="00DB0F44">
              <w:rPr>
                <w:rFonts w:ascii="Times New Roman" w:eastAsia="宋体" w:hAnsi="Times New Roman" w:cs="Times New Roman"/>
                <w:color w:val="000000"/>
                <w:kern w:val="0"/>
                <w:sz w:val="16"/>
                <w:szCs w:val="24"/>
              </w:rPr>
              <w:br/>
              <w:t>20360510</w:t>
            </w:r>
          </w:p>
        </w:tc>
        <w:tc>
          <w:tcPr>
            <w:tcW w:w="1199" w:type="dxa"/>
            <w:gridSpan w:val="2"/>
            <w:tcBorders>
              <w:top w:val="single" w:sz="8" w:space="0" w:color="auto"/>
              <w:bottom w:val="single" w:sz="8" w:space="0" w:color="auto"/>
            </w:tcBorders>
            <w:shd w:val="clear" w:color="auto" w:fill="auto"/>
            <w:vAlign w:val="center"/>
            <w:hideMark/>
          </w:tcPr>
          <w:p w:rsidR="00DB0F44" w:rsidRPr="00DB0F44" w:rsidRDefault="00DB0F44" w:rsidP="00DB0F44">
            <w:pPr>
              <w:jc w:val="center"/>
              <w:rPr>
                <w:rFonts w:ascii="Times New Roman" w:eastAsia="宋体" w:hAnsi="Times New Roman" w:cs="Times New Roman"/>
                <w:color w:val="0F1115"/>
                <w:sz w:val="16"/>
                <w:szCs w:val="16"/>
              </w:rPr>
            </w:pPr>
            <w:r w:rsidRPr="00DB0F44">
              <w:rPr>
                <w:rFonts w:ascii="Times New Roman" w:hAnsi="Times New Roman" w:cs="Times New Roman"/>
                <w:color w:val="0F1115"/>
                <w:sz w:val="16"/>
                <w:szCs w:val="16"/>
              </w:rPr>
              <w:t>NM_003361.4: exon 3</w:t>
            </w:r>
          </w:p>
        </w:tc>
        <w:tc>
          <w:tcPr>
            <w:tcW w:w="1035" w:type="dxa"/>
            <w:tcBorders>
              <w:top w:val="single" w:sz="8" w:space="0" w:color="auto"/>
              <w:bottom w:val="single" w:sz="8" w:space="0" w:color="auto"/>
            </w:tcBorders>
            <w:shd w:val="clear" w:color="auto" w:fill="auto"/>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c.113A&gt;T (p.Asn38Ile)</w:t>
            </w:r>
          </w:p>
        </w:tc>
        <w:tc>
          <w:tcPr>
            <w:tcW w:w="803"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Het</w:t>
            </w:r>
          </w:p>
        </w:tc>
        <w:tc>
          <w:tcPr>
            <w:tcW w:w="963"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w:t>
            </w:r>
          </w:p>
        </w:tc>
        <w:tc>
          <w:tcPr>
            <w:tcW w:w="1150"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w:t>
            </w:r>
          </w:p>
        </w:tc>
        <w:tc>
          <w:tcPr>
            <w:tcW w:w="1141"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VUS</w:t>
            </w:r>
          </w:p>
        </w:tc>
        <w:tc>
          <w:tcPr>
            <w:tcW w:w="1011"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AD</w:t>
            </w:r>
          </w:p>
        </w:tc>
        <w:tc>
          <w:tcPr>
            <w:tcW w:w="1145"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6"/>
                <w:szCs w:val="24"/>
              </w:rPr>
            </w:pPr>
            <w:r w:rsidRPr="00DB0F44">
              <w:rPr>
                <w:rFonts w:ascii="Times New Roman" w:eastAsia="宋体" w:hAnsi="Times New Roman" w:cs="Times New Roman"/>
                <w:color w:val="000000"/>
                <w:kern w:val="0"/>
                <w:sz w:val="16"/>
                <w:szCs w:val="24"/>
              </w:rPr>
              <w:t>ADTKD</w:t>
            </w:r>
          </w:p>
        </w:tc>
        <w:tc>
          <w:tcPr>
            <w:tcW w:w="886" w:type="dxa"/>
            <w:tcBorders>
              <w:top w:val="single" w:sz="8" w:space="0" w:color="auto"/>
              <w:bottom w:val="single" w:sz="8" w:space="0" w:color="auto"/>
            </w:tcBorders>
            <w:shd w:val="clear" w:color="auto" w:fill="auto"/>
            <w:noWrap/>
            <w:vAlign w:val="center"/>
            <w:hideMark/>
          </w:tcPr>
          <w:p w:rsidR="00DB0F44" w:rsidRPr="00DB0F44" w:rsidRDefault="00DB0F44" w:rsidP="00DB0F44">
            <w:pPr>
              <w:widowControl/>
              <w:jc w:val="center"/>
              <w:rPr>
                <w:rFonts w:ascii="Times New Roman" w:eastAsia="宋体" w:hAnsi="Times New Roman" w:cs="Times New Roman"/>
                <w:color w:val="000000"/>
                <w:kern w:val="0"/>
                <w:sz w:val="18"/>
                <w:szCs w:val="24"/>
              </w:rPr>
            </w:pPr>
            <w:r w:rsidRPr="00DB0F44">
              <w:rPr>
                <w:rFonts w:ascii="Times New Roman" w:eastAsia="宋体" w:hAnsi="Times New Roman" w:cs="Times New Roman"/>
                <w:color w:val="000000"/>
                <w:kern w:val="0"/>
                <w:sz w:val="18"/>
                <w:szCs w:val="24"/>
              </w:rPr>
              <w:t>unknown</w:t>
            </w:r>
          </w:p>
        </w:tc>
      </w:tr>
      <w:tr w:rsidR="00EB5878" w:rsidRPr="00DB0F44" w:rsidTr="00617C62">
        <w:trPr>
          <w:trHeight w:val="568"/>
          <w:jc w:val="center"/>
        </w:trPr>
        <w:tc>
          <w:tcPr>
            <w:tcW w:w="11107" w:type="dxa"/>
            <w:gridSpan w:val="13"/>
            <w:tcBorders>
              <w:top w:val="single" w:sz="8" w:space="0" w:color="auto"/>
              <w:bottom w:val="single" w:sz="8" w:space="0" w:color="auto"/>
            </w:tcBorders>
            <w:shd w:val="clear" w:color="auto" w:fill="auto"/>
            <w:noWrap/>
            <w:vAlign w:val="center"/>
            <w:hideMark/>
          </w:tcPr>
          <w:p w:rsidR="00EB5878" w:rsidRPr="00DB0F44" w:rsidRDefault="00EB5878" w:rsidP="00EB5878">
            <w:pPr>
              <w:widowControl/>
              <w:spacing w:line="276" w:lineRule="auto"/>
              <w:rPr>
                <w:rFonts w:ascii="Times New Roman" w:eastAsia="宋体" w:hAnsi="Times New Roman" w:cs="Times New Roman"/>
                <w:color w:val="000000"/>
                <w:kern w:val="0"/>
                <w:sz w:val="18"/>
                <w:szCs w:val="24"/>
              </w:rPr>
            </w:pPr>
            <w:r w:rsidRPr="00EB5878">
              <w:rPr>
                <w:rFonts w:ascii="Times New Roman" w:eastAsia="宋体" w:hAnsi="Times New Roman" w:cs="Times New Roman"/>
                <w:color w:val="000000"/>
                <w:kern w:val="0"/>
                <w:sz w:val="18"/>
                <w:szCs w:val="24"/>
              </w:rPr>
              <w:t>Remarks: Zygosity: Het denotes heterozygous mutation, Hom denotes homozygous mutation, Hemi denotes hemizygous mutation, N denotes no mutation detected. Prediction: P: Predicted pathogenic; B: Predicted benign; - Unknown. Inheritance Mode: AD denotes Autos</w:t>
            </w:r>
            <w:r w:rsidRPr="00EB5878">
              <w:rPr>
                <w:rFonts w:ascii="Times New Roman" w:eastAsia="宋体" w:hAnsi="Times New Roman" w:cs="Times New Roman" w:hint="eastAsia"/>
                <w:color w:val="000000"/>
                <w:kern w:val="0"/>
                <w:sz w:val="18"/>
                <w:szCs w:val="24"/>
              </w:rPr>
              <w:t xml:space="preserve">omal Dominant, AR denotes Autosomal Recessive, XLR denotes X-Linked Recessive. Score: Bayesian framework Uncertain locus score and corresponding pathogenicity probability: &lt;0 (0.1%); 0 (10%); 1 (18.8%); 2 (32.5%); 3 (50%); 4 (67.5%); 5 (81.2%); </w:t>
            </w:r>
            <w:r w:rsidRPr="00EB5878">
              <w:rPr>
                <w:rFonts w:ascii="Times New Roman" w:eastAsia="宋体" w:hAnsi="Times New Roman" w:cs="Times New Roman" w:hint="eastAsia"/>
                <w:color w:val="000000"/>
                <w:kern w:val="0"/>
                <w:sz w:val="18"/>
                <w:szCs w:val="24"/>
              </w:rPr>
              <w:t>≥</w:t>
            </w:r>
            <w:r w:rsidRPr="00EB5878">
              <w:rPr>
                <w:rFonts w:ascii="Times New Roman" w:eastAsia="宋体" w:hAnsi="Times New Roman" w:cs="Times New Roman" w:hint="eastAsia"/>
                <w:color w:val="000000"/>
                <w:kern w:val="0"/>
                <w:sz w:val="18"/>
                <w:szCs w:val="24"/>
              </w:rPr>
              <w:t>6 (</w:t>
            </w:r>
            <w:r w:rsidRPr="00EB5878">
              <w:rPr>
                <w:rFonts w:ascii="Times New Roman" w:eastAsia="宋体" w:hAnsi="Times New Roman" w:cs="Times New Roman" w:hint="eastAsia"/>
                <w:color w:val="000000"/>
                <w:kern w:val="0"/>
                <w:sz w:val="18"/>
                <w:szCs w:val="24"/>
              </w:rPr>
              <w:t>≥</w:t>
            </w:r>
            <w:r w:rsidRPr="00EB5878">
              <w:rPr>
                <w:rFonts w:ascii="Times New Roman" w:eastAsia="宋体" w:hAnsi="Times New Roman" w:cs="Times New Roman" w:hint="eastAsia"/>
                <w:color w:val="000000"/>
                <w:kern w:val="0"/>
                <w:sz w:val="18"/>
                <w:szCs w:val="24"/>
              </w:rPr>
              <w:t>90%).</w:t>
            </w:r>
          </w:p>
        </w:tc>
      </w:tr>
      <w:tr w:rsidR="00EB5878" w:rsidRPr="00DB0F44" w:rsidTr="00617C62">
        <w:trPr>
          <w:trHeight w:val="568"/>
          <w:jc w:val="center"/>
        </w:trPr>
        <w:tc>
          <w:tcPr>
            <w:tcW w:w="11107" w:type="dxa"/>
            <w:gridSpan w:val="13"/>
            <w:tcBorders>
              <w:top w:val="single" w:sz="8" w:space="0" w:color="auto"/>
              <w:bottom w:val="single" w:sz="8" w:space="0" w:color="auto"/>
            </w:tcBorders>
            <w:shd w:val="clear" w:color="auto" w:fill="auto"/>
            <w:noWrap/>
            <w:vAlign w:val="center"/>
            <w:hideMark/>
          </w:tcPr>
          <w:p w:rsidR="00EB5878" w:rsidRPr="00EB5878" w:rsidRDefault="00EB5878" w:rsidP="00EB5878">
            <w:pPr>
              <w:widowControl/>
              <w:spacing w:line="276" w:lineRule="auto"/>
              <w:rPr>
                <w:rFonts w:ascii="Times New Roman" w:eastAsia="宋体" w:hAnsi="Times New Roman" w:cs="Times New Roman"/>
                <w:b/>
                <w:color w:val="000000"/>
                <w:kern w:val="0"/>
                <w:sz w:val="20"/>
                <w:szCs w:val="20"/>
              </w:rPr>
            </w:pPr>
            <w:r w:rsidRPr="00EB5878">
              <w:rPr>
                <w:rFonts w:ascii="Times New Roman" w:eastAsia="宋体" w:hAnsi="Times New Roman" w:cs="Times New Roman"/>
                <w:b/>
                <w:color w:val="000000"/>
                <w:kern w:val="0"/>
                <w:sz w:val="20"/>
                <w:szCs w:val="20"/>
              </w:rPr>
              <w:t>Result Analysis:</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sidRPr="00EB5878">
              <w:rPr>
                <w:rFonts w:ascii="Times New Roman" w:eastAsia="宋体" w:hAnsi="Times New Roman" w:cs="Times New Roman" w:hint="eastAsia"/>
                <w:color w:val="000000"/>
                <w:kern w:val="0"/>
                <w:sz w:val="20"/>
                <w:szCs w:val="20"/>
              </w:rPr>
              <w:t xml:space="preserve">1. </w:t>
            </w:r>
            <w:r w:rsidRPr="00EB5878">
              <w:rPr>
                <w:rFonts w:ascii="Times New Roman" w:eastAsia="宋体" w:hAnsi="Times New Roman" w:cs="Times New Roman"/>
                <w:color w:val="000000"/>
                <w:kern w:val="0"/>
                <w:sz w:val="20"/>
                <w:szCs w:val="20"/>
              </w:rPr>
              <w:t>UMOD Gene Variant: The proband was found to have a heterozygous variant in the UMOD gene: c.113A&gt;T (p.Asn38Ile). This variant is a missense mutation. It has been reported in the literature in patients clinically diagnosed with Autosomal Dominant Tubulointerstitial Kidney Disease. It is absent from normal population databases, indicating it is a rare variant (PM2). The genetic origin of this variant is currently unknown. According to the ACMG guidelines, this variant is classified as a Variant of Uncert</w:t>
            </w:r>
            <w:r w:rsidRPr="00EB5878">
              <w:rPr>
                <w:rFonts w:ascii="Times New Roman" w:eastAsia="宋体" w:hAnsi="Times New Roman" w:cs="Times New Roman"/>
                <w:color w:val="000000"/>
                <w:kern w:val="0"/>
                <w:sz w:val="20"/>
                <w:szCs w:val="20"/>
              </w:rPr>
              <w:t>ain Significance (VUS) (PM2=2).</w:t>
            </w:r>
          </w:p>
          <w:p w:rsidR="00EB5878" w:rsidRPr="00EB5878" w:rsidRDefault="00EB5878" w:rsidP="00EB5878">
            <w:pPr>
              <w:widowControl/>
              <w:spacing w:line="276" w:lineRule="auto"/>
              <w:rPr>
                <w:rFonts w:ascii="Times New Roman" w:eastAsia="宋体" w:hAnsi="Times New Roman" w:cs="Times New Roman"/>
                <w:color w:val="000000"/>
                <w:kern w:val="0"/>
                <w:sz w:val="18"/>
                <w:szCs w:val="24"/>
              </w:rPr>
            </w:pPr>
            <w:r w:rsidRPr="00EB5878">
              <w:rPr>
                <w:rFonts w:ascii="Times New Roman" w:eastAsia="宋体" w:hAnsi="Times New Roman" w:cs="Times New Roman" w:hint="eastAsia"/>
                <w:color w:val="000000"/>
                <w:kern w:val="0"/>
                <w:sz w:val="20"/>
                <w:szCs w:val="20"/>
              </w:rPr>
              <w:t>2.</w:t>
            </w:r>
            <w:r>
              <w:rPr>
                <w:rFonts w:ascii="Times New Roman" w:eastAsia="宋体" w:hAnsi="Times New Roman" w:cs="Times New Roman" w:hint="eastAsia"/>
                <w:color w:val="000000"/>
                <w:kern w:val="0"/>
                <w:sz w:val="20"/>
                <w:szCs w:val="20"/>
              </w:rPr>
              <w:t xml:space="preserve"> </w:t>
            </w:r>
            <w:r w:rsidRPr="00EB5878">
              <w:rPr>
                <w:rFonts w:ascii="Times New Roman" w:eastAsia="宋体" w:hAnsi="Times New Roman" w:cs="Times New Roman"/>
                <w:color w:val="000000"/>
                <w:kern w:val="0"/>
                <w:sz w:val="20"/>
                <w:szCs w:val="20"/>
              </w:rPr>
              <w:t xml:space="preserve">Disease Association: UMOD gene variants can cause </w:t>
            </w:r>
            <w:r w:rsidRPr="00EB5878">
              <w:rPr>
                <w:rFonts w:ascii="Times New Roman" w:eastAsia="宋体" w:hAnsi="Times New Roman" w:cs="Times New Roman"/>
                <w:b/>
                <w:color w:val="000000"/>
                <w:kern w:val="0"/>
                <w:sz w:val="20"/>
                <w:szCs w:val="20"/>
              </w:rPr>
              <w:t>Autosomal Dominant Tubulointerstitial Kidney Disease 1 (OMIM: 162000, ADTKD1)</w:t>
            </w:r>
            <w:r w:rsidRPr="00EB5878">
              <w:rPr>
                <w:rFonts w:ascii="Times New Roman" w:eastAsia="宋体" w:hAnsi="Times New Roman" w:cs="Times New Roman"/>
                <w:color w:val="000000"/>
                <w:kern w:val="0"/>
                <w:sz w:val="20"/>
                <w:szCs w:val="20"/>
              </w:rPr>
              <w:t xml:space="preserve">. This condition is an adult-onset, slowly progressive nephropathy characterized by elevated serum uric acid levels </w:t>
            </w:r>
          </w:p>
        </w:tc>
      </w:tr>
    </w:tbl>
    <w:p w:rsidR="00EB5878" w:rsidRDefault="00EB5878" w:rsidP="00EB5878">
      <w:pPr>
        <w:spacing w:line="360" w:lineRule="auto"/>
        <w:jc w:val="center"/>
        <w:rPr>
          <w:rFonts w:ascii="Times New Roman" w:hAnsi="Times New Roman" w:cs="Times New Roman" w:hint="eastAsia"/>
          <w:b/>
          <w:sz w:val="22"/>
        </w:rPr>
      </w:pPr>
      <w:r w:rsidRPr="009F4150">
        <w:rPr>
          <w:rFonts w:ascii="Times New Roman" w:hAnsi="Times New Roman" w:cs="Times New Roman"/>
          <w:b/>
          <w:sz w:val="22"/>
        </w:rPr>
        <w:lastRenderedPageBreak/>
        <w:t>Genetic Testing Department, Sichuan Provincial People's Hospital Genetic Disease</w:t>
      </w:r>
      <w:r w:rsidRPr="009F4150">
        <w:rPr>
          <w:rFonts w:ascii="Times New Roman" w:hAnsi="Times New Roman" w:cs="Times New Roman" w:hint="eastAsia"/>
          <w:b/>
          <w:sz w:val="22"/>
        </w:rPr>
        <w:t xml:space="preserve"> </w:t>
      </w:r>
      <w:r w:rsidRPr="009F4150">
        <w:rPr>
          <w:rFonts w:ascii="Times New Roman" w:hAnsi="Times New Roman" w:cs="Times New Roman"/>
          <w:b/>
          <w:sz w:val="22"/>
        </w:rPr>
        <w:t>Genetic Testing Report</w:t>
      </w:r>
    </w:p>
    <w:tbl>
      <w:tblPr>
        <w:tblW w:w="11095" w:type="dxa"/>
        <w:jc w:val="center"/>
        <w:tblInd w:w="-1162" w:type="dxa"/>
        <w:tblBorders>
          <w:top w:val="single" w:sz="12" w:space="0" w:color="auto"/>
          <w:bottom w:val="single" w:sz="12" w:space="0" w:color="auto"/>
        </w:tblBorders>
        <w:tblLook w:val="04A0"/>
      </w:tblPr>
      <w:tblGrid>
        <w:gridCol w:w="805"/>
        <w:gridCol w:w="1080"/>
        <w:gridCol w:w="850"/>
        <w:gridCol w:w="4915"/>
        <w:gridCol w:w="1602"/>
        <w:gridCol w:w="1843"/>
      </w:tblGrid>
      <w:tr w:rsidR="00EB5878" w:rsidRPr="009F4150" w:rsidTr="002F4F00">
        <w:trPr>
          <w:trHeight w:val="520"/>
          <w:jc w:val="center"/>
        </w:trPr>
        <w:tc>
          <w:tcPr>
            <w:tcW w:w="805"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r w:rsidRPr="009F4150">
              <w:rPr>
                <w:rFonts w:ascii="Times New Roman" w:eastAsia="宋体" w:hAnsi="Times New Roman" w:cs="Times New Roman"/>
                <w:color w:val="000000"/>
                <w:kern w:val="0"/>
                <w:sz w:val="20"/>
                <w:szCs w:val="20"/>
              </w:rPr>
              <w:t>Name</w:t>
            </w:r>
          </w:p>
        </w:tc>
        <w:tc>
          <w:tcPr>
            <w:tcW w:w="1080"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p>
        </w:tc>
        <w:tc>
          <w:tcPr>
            <w:tcW w:w="850"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Sec</w:t>
            </w:r>
          </w:p>
        </w:tc>
        <w:tc>
          <w:tcPr>
            <w:tcW w:w="4915"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Nephrology Outpatient Clinic</w:t>
            </w:r>
          </w:p>
        </w:tc>
        <w:tc>
          <w:tcPr>
            <w:tcW w:w="1602"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Specimen</w:t>
            </w:r>
          </w:p>
        </w:tc>
        <w:tc>
          <w:tcPr>
            <w:tcW w:w="1843"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Blood</w:t>
            </w:r>
          </w:p>
        </w:tc>
      </w:tr>
      <w:tr w:rsidR="00EB5878" w:rsidRPr="009F4150" w:rsidTr="002F4F00">
        <w:trPr>
          <w:trHeight w:val="300"/>
          <w:jc w:val="center"/>
        </w:trPr>
        <w:tc>
          <w:tcPr>
            <w:tcW w:w="805"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Sex</w:t>
            </w:r>
          </w:p>
        </w:tc>
        <w:tc>
          <w:tcPr>
            <w:tcW w:w="1080"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Male</w:t>
            </w:r>
          </w:p>
        </w:tc>
        <w:tc>
          <w:tcPr>
            <w:tcW w:w="850"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r w:rsidRPr="009F4150">
              <w:rPr>
                <w:rFonts w:ascii="Times New Roman" w:eastAsia="宋体" w:hAnsi="Times New Roman" w:cs="Times New Roman"/>
                <w:color w:val="000000"/>
                <w:kern w:val="0"/>
                <w:sz w:val="20"/>
                <w:szCs w:val="20"/>
              </w:rPr>
              <w:t>CaseNo</w:t>
            </w:r>
          </w:p>
        </w:tc>
        <w:tc>
          <w:tcPr>
            <w:tcW w:w="4915"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p>
        </w:tc>
        <w:tc>
          <w:tcPr>
            <w:tcW w:w="1602"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SpeNo</w:t>
            </w:r>
          </w:p>
        </w:tc>
        <w:tc>
          <w:tcPr>
            <w:tcW w:w="1843"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202405M0620</w:t>
            </w:r>
          </w:p>
        </w:tc>
      </w:tr>
      <w:tr w:rsidR="00EB5878" w:rsidRPr="009F4150" w:rsidTr="002F4F00">
        <w:trPr>
          <w:trHeight w:val="300"/>
          <w:jc w:val="center"/>
        </w:trPr>
        <w:tc>
          <w:tcPr>
            <w:tcW w:w="805"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Age</w:t>
            </w:r>
          </w:p>
        </w:tc>
        <w:tc>
          <w:tcPr>
            <w:tcW w:w="1080" w:type="dxa"/>
            <w:shd w:val="clear" w:color="auto" w:fill="FFFFFF"/>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33 years</w:t>
            </w:r>
          </w:p>
        </w:tc>
        <w:tc>
          <w:tcPr>
            <w:tcW w:w="850"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Dept</w:t>
            </w:r>
          </w:p>
        </w:tc>
        <w:tc>
          <w:tcPr>
            <w:tcW w:w="4915"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r w:rsidRPr="009F4150">
              <w:rPr>
                <w:rFonts w:ascii="Times New Roman" w:eastAsia="宋体" w:hAnsi="Times New Roman" w:cs="Times New Roman"/>
                <w:color w:val="000000"/>
                <w:kern w:val="0"/>
                <w:sz w:val="20"/>
                <w:szCs w:val="20"/>
              </w:rPr>
              <w:t>Medical Genetics Center / Prenatal Diagnosis Center</w:t>
            </w:r>
          </w:p>
        </w:tc>
        <w:tc>
          <w:tcPr>
            <w:tcW w:w="1602"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F1115"/>
                <w:kern w:val="0"/>
                <w:sz w:val="20"/>
                <w:szCs w:val="20"/>
              </w:rPr>
            </w:pPr>
            <w:r w:rsidRPr="009F4150">
              <w:rPr>
                <w:rFonts w:ascii="Times New Roman" w:eastAsia="宋体" w:hAnsi="Times New Roman" w:cs="Times New Roman"/>
                <w:color w:val="0F1115"/>
                <w:kern w:val="0"/>
                <w:sz w:val="20"/>
                <w:szCs w:val="20"/>
              </w:rPr>
              <w:t>SpeNo</w:t>
            </w:r>
          </w:p>
        </w:tc>
        <w:tc>
          <w:tcPr>
            <w:tcW w:w="1843" w:type="dxa"/>
            <w:shd w:val="clear" w:color="auto" w:fill="auto"/>
            <w:noWrap/>
            <w:vAlign w:val="center"/>
            <w:hideMark/>
          </w:tcPr>
          <w:p w:rsidR="00EB5878" w:rsidRPr="009F4150" w:rsidRDefault="00EB5878" w:rsidP="002F4F00">
            <w:pPr>
              <w:widowControl/>
              <w:jc w:val="left"/>
              <w:rPr>
                <w:rFonts w:ascii="Times New Roman" w:eastAsia="宋体" w:hAnsi="Times New Roman" w:cs="Times New Roman"/>
                <w:color w:val="000000"/>
                <w:kern w:val="0"/>
                <w:sz w:val="20"/>
                <w:szCs w:val="20"/>
              </w:rPr>
            </w:pPr>
          </w:p>
        </w:tc>
      </w:tr>
    </w:tbl>
    <w:p w:rsidR="002A6F56" w:rsidRDefault="002A6F56" w:rsidP="00EB5878">
      <w:pPr>
        <w:widowControl/>
        <w:spacing w:line="276" w:lineRule="auto"/>
        <w:rPr>
          <w:rFonts w:ascii="Times New Roman" w:eastAsia="宋体" w:hAnsi="Times New Roman" w:cs="Times New Roman" w:hint="eastAsia"/>
          <w:color w:val="000000"/>
          <w:kern w:val="0"/>
          <w:sz w:val="20"/>
          <w:szCs w:val="20"/>
        </w:rPr>
      </w:pPr>
    </w:p>
    <w:tbl>
      <w:tblPr>
        <w:tblW w:w="11107" w:type="dxa"/>
        <w:jc w:val="center"/>
        <w:tblInd w:w="90" w:type="dxa"/>
        <w:tblLook w:val="04A0"/>
      </w:tblPr>
      <w:tblGrid>
        <w:gridCol w:w="11107"/>
      </w:tblGrid>
      <w:tr w:rsidR="00EB5878" w:rsidRPr="00EB5878" w:rsidTr="002F4F00">
        <w:trPr>
          <w:trHeight w:val="568"/>
          <w:jc w:val="center"/>
        </w:trPr>
        <w:tc>
          <w:tcPr>
            <w:tcW w:w="11107" w:type="dxa"/>
            <w:tcBorders>
              <w:top w:val="single" w:sz="8" w:space="0" w:color="auto"/>
              <w:bottom w:val="single" w:sz="8" w:space="0" w:color="auto"/>
            </w:tcBorders>
            <w:shd w:val="clear" w:color="auto" w:fill="auto"/>
            <w:noWrap/>
            <w:vAlign w:val="center"/>
            <w:hideMark/>
          </w:tcPr>
          <w:p w:rsidR="00EB5878" w:rsidRDefault="00EB5878" w:rsidP="002F4F00">
            <w:pPr>
              <w:widowControl/>
              <w:spacing w:line="276" w:lineRule="auto"/>
              <w:rPr>
                <w:rFonts w:ascii="Times New Roman" w:eastAsia="宋体" w:hAnsi="Times New Roman" w:cs="Times New Roman" w:hint="eastAsia"/>
                <w:color w:val="000000"/>
                <w:kern w:val="0"/>
                <w:sz w:val="20"/>
                <w:szCs w:val="20"/>
              </w:rPr>
            </w:pPr>
            <w:r w:rsidRPr="00EB5878">
              <w:rPr>
                <w:rFonts w:ascii="Times New Roman" w:eastAsia="宋体" w:hAnsi="Times New Roman" w:cs="Times New Roman"/>
                <w:color w:val="000000"/>
                <w:kern w:val="0"/>
                <w:sz w:val="20"/>
                <w:szCs w:val="20"/>
              </w:rPr>
              <w:t>(hyperuricemia), defective urine concentrating ability, and eventual progression to end-stage renal failure. Some patients may present with gouty arthritis.</w:t>
            </w:r>
            <w:r>
              <w:t xml:space="preserve"> </w:t>
            </w:r>
            <w:r w:rsidRPr="00EB5878">
              <w:rPr>
                <w:rFonts w:ascii="Times New Roman" w:eastAsia="宋体" w:hAnsi="Times New Roman" w:cs="Times New Roman"/>
                <w:color w:val="000000"/>
                <w:kern w:val="0"/>
                <w:sz w:val="20"/>
                <w:szCs w:val="20"/>
              </w:rPr>
              <w:t>(Cont.) arterial hypertension, polydipsia/polyuria, mild proteinuria, etc. Renal ultrasound may show small kidneys or increased echogenicity. Renal biopsy may reveal tubular atrophy, interstitial fibrosis, tubular microcystic dilation, tubular basement membrane thickening, medullary cysts, secondary glomerulosclerosis, or cystic changes. The average age of progression to end-stage renal disease is 56 years (range 50-65 years). This disease exhibits significant phenotypic heterogeneity and incomplete penetrance. ADTKD1 is inherited in an autosomal dominant manner, and heterozygous pathogenic variants in the UMOD gene can cause the disease.</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3. </w:t>
            </w:r>
            <w:r w:rsidRPr="00EB5878">
              <w:rPr>
                <w:rFonts w:ascii="Times New Roman" w:eastAsia="宋体" w:hAnsi="Times New Roman" w:cs="Times New Roman"/>
                <w:color w:val="000000"/>
                <w:kern w:val="0"/>
                <w:sz w:val="20"/>
                <w:szCs w:val="20"/>
              </w:rPr>
              <w:t>The above conclusions are based on current research into genetic etiology and are not final diagnoses. They are for reference only. Please integrate with the individual's disease phenotype, family history, and other test results for comprehensive analysis.</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4. </w:t>
            </w:r>
            <w:r w:rsidRPr="00EB5878">
              <w:rPr>
                <w:rFonts w:ascii="Times New Roman" w:eastAsia="宋体" w:hAnsi="Times New Roman" w:cs="Times New Roman"/>
                <w:color w:val="000000"/>
                <w:kern w:val="0"/>
                <w:sz w:val="20"/>
                <w:szCs w:val="20"/>
              </w:rPr>
              <w:t>It is recommended to visit the Genetic Counseling and Prenatal Diagnosis outpatient clinic for consultation regarding these results.</w:t>
            </w:r>
          </w:p>
          <w:p w:rsidR="00EB5878" w:rsidRPr="00EB5878" w:rsidRDefault="00EB5878" w:rsidP="00EB5878">
            <w:pPr>
              <w:widowControl/>
              <w:spacing w:line="276" w:lineRule="auto"/>
              <w:ind w:leftChars="215" w:left="451"/>
              <w:rPr>
                <w:rFonts w:ascii="Times New Roman" w:eastAsia="宋体" w:hAnsi="Times New Roman" w:cs="Times New Roman"/>
                <w:color w:val="000000"/>
                <w:kern w:val="0"/>
                <w:sz w:val="18"/>
                <w:szCs w:val="24"/>
              </w:rPr>
            </w:pPr>
            <w:r w:rsidRPr="00EB5878">
              <w:rPr>
                <w:rFonts w:ascii="Times New Roman" w:eastAsia="宋体" w:hAnsi="Times New Roman" w:cs="Times New Roman"/>
                <w:color w:val="000000"/>
                <w:kern w:val="0"/>
                <w:sz w:val="20"/>
                <w:szCs w:val="20"/>
              </w:rPr>
              <w:t>Clinic Schedule: Monday, Wednesday, Friday mornings; Tuesday afternoons (Associate Chief Physician Ma Tao); Wednesday, Thursday afternoons (Chief Physician Yang Jiyun).</w:t>
            </w:r>
          </w:p>
        </w:tc>
      </w:tr>
    </w:tbl>
    <w:p w:rsidR="00EB5878" w:rsidRDefault="00EB5878" w:rsidP="00EB5878">
      <w:pPr>
        <w:widowControl/>
        <w:spacing w:line="276" w:lineRule="auto"/>
        <w:rPr>
          <w:rFonts w:ascii="Times New Roman" w:eastAsia="宋体" w:hAnsi="Times New Roman" w:cs="Times New Roman"/>
          <w:color w:val="000000"/>
          <w:kern w:val="0"/>
          <w:sz w:val="20"/>
          <w:szCs w:val="20"/>
        </w:rPr>
      </w:pPr>
    </w:p>
    <w:p w:rsidR="00EB5878" w:rsidRDefault="00EB5878">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br w:type="page"/>
      </w:r>
    </w:p>
    <w:tbl>
      <w:tblPr>
        <w:tblW w:w="11107" w:type="dxa"/>
        <w:jc w:val="center"/>
        <w:tblInd w:w="90" w:type="dxa"/>
        <w:tblBorders>
          <w:top w:val="single" w:sz="8" w:space="0" w:color="auto"/>
        </w:tblBorders>
        <w:tblLook w:val="04A0"/>
      </w:tblPr>
      <w:tblGrid>
        <w:gridCol w:w="11107"/>
      </w:tblGrid>
      <w:tr w:rsidR="00EB5878" w:rsidRPr="00EB5878" w:rsidTr="00EB5878">
        <w:trPr>
          <w:trHeight w:val="568"/>
          <w:jc w:val="center"/>
        </w:trPr>
        <w:tc>
          <w:tcPr>
            <w:tcW w:w="11107" w:type="dxa"/>
            <w:shd w:val="clear" w:color="auto" w:fill="auto"/>
            <w:noWrap/>
            <w:vAlign w:val="center"/>
            <w:hideMark/>
          </w:tcPr>
          <w:p w:rsidR="00EB5878" w:rsidRPr="00EB5878" w:rsidRDefault="00EB5878" w:rsidP="00EB5878">
            <w:pPr>
              <w:widowControl/>
              <w:spacing w:line="276" w:lineRule="auto"/>
              <w:ind w:leftChars="215" w:left="451"/>
              <w:jc w:val="center"/>
              <w:rPr>
                <w:rFonts w:ascii="Times New Roman" w:eastAsia="宋体" w:hAnsi="Times New Roman" w:cs="Times New Roman"/>
                <w:b/>
                <w:color w:val="000000"/>
                <w:kern w:val="0"/>
                <w:sz w:val="24"/>
                <w:szCs w:val="24"/>
              </w:rPr>
            </w:pPr>
            <w:r w:rsidRPr="00EB5878">
              <w:rPr>
                <w:rFonts w:ascii="Times New Roman" w:eastAsia="宋体" w:hAnsi="Times New Roman" w:cs="Times New Roman"/>
                <w:b/>
                <w:color w:val="000000"/>
                <w:kern w:val="0"/>
                <w:sz w:val="24"/>
                <w:szCs w:val="24"/>
              </w:rPr>
              <w:lastRenderedPageBreak/>
              <w:t>Appendix 1 Testing Methods and Limitations</w:t>
            </w:r>
          </w:p>
        </w:tc>
      </w:tr>
    </w:tbl>
    <w:p w:rsidR="00EB5878" w:rsidRPr="00EB5878" w:rsidRDefault="00EB5878" w:rsidP="00EB5878">
      <w:pPr>
        <w:widowControl/>
        <w:spacing w:line="276" w:lineRule="auto"/>
        <w:rPr>
          <w:rFonts w:ascii="Times New Roman" w:eastAsia="宋体" w:hAnsi="Times New Roman" w:cs="Times New Roman"/>
          <w:b/>
          <w:color w:val="000000"/>
          <w:kern w:val="0"/>
          <w:sz w:val="20"/>
          <w:szCs w:val="20"/>
        </w:rPr>
      </w:pPr>
      <w:r w:rsidRPr="00EB5878">
        <w:rPr>
          <w:rFonts w:ascii="Times New Roman" w:eastAsia="宋体" w:hAnsi="Times New Roman" w:cs="Times New Roman"/>
          <w:b/>
          <w:color w:val="000000"/>
          <w:kern w:val="0"/>
          <w:sz w:val="20"/>
          <w:szCs w:val="20"/>
        </w:rPr>
        <w:t>Testing Method:</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sidRPr="00EB5878">
        <w:rPr>
          <w:rFonts w:ascii="Times New Roman" w:eastAsia="宋体" w:hAnsi="Times New Roman" w:cs="Times New Roman"/>
          <w:color w:val="000000"/>
          <w:kern w:val="0"/>
          <w:sz w:val="20"/>
          <w:szCs w:val="20"/>
        </w:rPr>
        <w:t>This method uses genomic DNA extracted from the patient's blood as the testing material. The DNA is fragmented, and a library is prepared. The DNA of the target gene exons and adjacent splice regions is then captured and enriched using a chip, followed by variant detection using a high-throughput sequencing platform.</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p>
    <w:p w:rsidR="00EB5878" w:rsidRPr="00EB5878" w:rsidRDefault="00EB5878" w:rsidP="00EB5878">
      <w:pPr>
        <w:widowControl/>
        <w:spacing w:line="276" w:lineRule="auto"/>
        <w:rPr>
          <w:rFonts w:ascii="Times New Roman" w:eastAsia="宋体" w:hAnsi="Times New Roman" w:cs="Times New Roman"/>
          <w:b/>
          <w:color w:val="000000"/>
          <w:kern w:val="0"/>
          <w:sz w:val="20"/>
          <w:szCs w:val="20"/>
        </w:rPr>
      </w:pPr>
      <w:r w:rsidRPr="00EB5878">
        <w:rPr>
          <w:rFonts w:ascii="Times New Roman" w:eastAsia="宋体" w:hAnsi="Times New Roman" w:cs="Times New Roman"/>
          <w:b/>
          <w:color w:val="000000"/>
          <w:kern w:val="0"/>
          <w:sz w:val="20"/>
          <w:szCs w:val="20"/>
        </w:rPr>
        <w:t>Test Scope and Limitations:</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1. </w:t>
      </w:r>
      <w:r w:rsidRPr="00EB5878">
        <w:rPr>
          <w:rFonts w:ascii="Times New Roman" w:eastAsia="宋体" w:hAnsi="Times New Roman" w:cs="Times New Roman"/>
          <w:color w:val="000000"/>
          <w:kern w:val="0"/>
          <w:sz w:val="20"/>
          <w:szCs w:val="20"/>
        </w:rPr>
        <w:t>This technical method can detect variants in gene exons and adjacent ±20 bp intronic regions (including single nucleotide variants and insertions/deletions within 20 bp), and can suggest exon-level copy number variations. It cannot detect genomic structural variations (e.g., large deletions, duplications, and inversions), large insertions (such as Alu-mediated insertions), mutations in gene regulatory regions or deep intronic regions, dynamic mutations, or complex rearrangements. This method cannot fully cover highly repetitive regions, GC-rich regions, highly complex regions, or pseudogene regions. Furthermore, during data analysis, to ensure accuracy, a small number of variants with excessively low sequencing quality in the target region will be filtered out. Therefore, this method may have a certain false-negative probability.</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2. </w:t>
      </w:r>
      <w:r w:rsidRPr="00EB5878">
        <w:rPr>
          <w:rFonts w:ascii="Times New Roman" w:eastAsia="宋体" w:hAnsi="Times New Roman" w:cs="Times New Roman"/>
          <w:color w:val="000000"/>
          <w:kern w:val="0"/>
          <w:sz w:val="20"/>
          <w:szCs w:val="20"/>
        </w:rPr>
        <w:t>Based on the patient's chief complaint, this analysis used Human Phenotype Ontology (HPO) and/or Online Mendelian Inheritance in Man (OMIM) terms to filter candidate pathogenic genes. Genes related to polygenic susceptibility and complex diseases are not included in this analysis.</w:t>
      </w:r>
    </w:p>
    <w:p w:rsidR="00EB5878" w:rsidRPr="00EB5878" w:rsidRDefault="00EB5878" w:rsidP="00EB5878">
      <w:pPr>
        <w:widowControl/>
        <w:spacing w:line="276" w:lineRule="auto"/>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3. </w:t>
      </w:r>
      <w:r w:rsidRPr="00EB5878">
        <w:rPr>
          <w:rFonts w:ascii="Times New Roman" w:eastAsia="宋体" w:hAnsi="Times New Roman" w:cs="Times New Roman"/>
          <w:color w:val="000000"/>
          <w:kern w:val="0"/>
          <w:sz w:val="20"/>
          <w:szCs w:val="20"/>
        </w:rPr>
        <w:t>This report is limited to pathogenic, likely pathogenic, or variants of uncertain significance related to the patient's clinical phenotype and not conflicting with the patient's family genetic history. The laboratory cannot guarantee the authenticity, accuracy, or comprehensiveness of the clinical manifestations or clinically suspected diseases provided by the physician or the patient. For samples with inaccurate or incomplete clinical phenotypes and family history provided, there is a risk of imprecise variant prioritization.</w:t>
      </w:r>
    </w:p>
    <w:p w:rsidR="00EB5878" w:rsidRDefault="00EB5878" w:rsidP="00EB5878">
      <w:pPr>
        <w:widowControl/>
        <w:spacing w:line="276" w:lineRule="auto"/>
        <w:rPr>
          <w:rFonts w:ascii="Times New Roman" w:eastAsia="宋体" w:hAnsi="Times New Roman" w:cs="Times New Roman" w:hint="eastAsia"/>
          <w:color w:val="000000"/>
          <w:kern w:val="0"/>
          <w:sz w:val="20"/>
          <w:szCs w:val="20"/>
        </w:rPr>
      </w:pPr>
      <w:r>
        <w:rPr>
          <w:rFonts w:ascii="Times New Roman" w:eastAsia="宋体" w:hAnsi="Times New Roman" w:cs="Times New Roman" w:hint="eastAsia"/>
          <w:color w:val="000000"/>
          <w:kern w:val="0"/>
          <w:sz w:val="20"/>
          <w:szCs w:val="20"/>
        </w:rPr>
        <w:t xml:space="preserve">4. </w:t>
      </w:r>
      <w:r w:rsidRPr="00EB5878">
        <w:rPr>
          <w:rFonts w:ascii="Times New Roman" w:eastAsia="宋体" w:hAnsi="Times New Roman" w:cs="Times New Roman"/>
          <w:color w:val="000000"/>
          <w:kern w:val="0"/>
          <w:sz w:val="20"/>
          <w:szCs w:val="20"/>
        </w:rPr>
        <w:t>Not all variants listed in this report will necessarily cause disease in the patient. Pathogenicity requires comprehensive analysis based on the variant's impact, inheritance pattern, clinical features, and other factors. The information in this report regarding disease correlation, correlation explanations, variant-associated diseases, and clinical features is derived from existing published research and based on the current level of medical knowledge. We cannot guarantee that all literature has been queried or the latest literature tracked. These interpretations may change as medicine advances. Therefore, the above conclusions are based on laboratory testing data and do not represent a final diagnosis; they are for clinical</w:t>
      </w:r>
      <w:r w:rsidR="00322539">
        <w:rPr>
          <w:rFonts w:ascii="Times New Roman" w:eastAsia="宋体" w:hAnsi="Times New Roman" w:cs="Times New Roman" w:hint="eastAsia"/>
          <w:color w:val="000000"/>
          <w:kern w:val="0"/>
          <w:sz w:val="20"/>
          <w:szCs w:val="20"/>
        </w:rPr>
        <w:t>.</w:t>
      </w:r>
    </w:p>
    <w:p w:rsidR="00322539" w:rsidRDefault="00322539" w:rsidP="00EB5878">
      <w:pPr>
        <w:widowControl/>
        <w:spacing w:line="276" w:lineRule="auto"/>
        <w:rPr>
          <w:rFonts w:ascii="Times New Roman" w:eastAsia="宋体" w:hAnsi="Times New Roman" w:cs="Times New Roman" w:hint="eastAsia"/>
          <w:color w:val="000000"/>
          <w:kern w:val="0"/>
          <w:sz w:val="20"/>
          <w:szCs w:val="20"/>
        </w:rPr>
      </w:pPr>
    </w:p>
    <w:p w:rsidR="00322539" w:rsidRDefault="00322539" w:rsidP="00EB5878">
      <w:pPr>
        <w:widowControl/>
        <w:spacing w:line="276" w:lineRule="auto"/>
        <w:rPr>
          <w:rFonts w:ascii="Times New Roman" w:eastAsia="宋体" w:hAnsi="Times New Roman" w:cs="Times New Roman" w:hint="eastAsia"/>
          <w:color w:val="000000"/>
          <w:kern w:val="0"/>
          <w:sz w:val="20"/>
          <w:szCs w:val="20"/>
        </w:rPr>
      </w:pPr>
    </w:p>
    <w:p w:rsidR="00322539" w:rsidRDefault="00322539" w:rsidP="00EB5878">
      <w:pPr>
        <w:widowControl/>
        <w:spacing w:line="276" w:lineRule="auto"/>
        <w:rPr>
          <w:rFonts w:ascii="Times New Roman" w:eastAsia="宋体" w:hAnsi="Times New Roman" w:cs="Times New Roman" w:hint="eastAsia"/>
          <w:color w:val="000000"/>
          <w:kern w:val="0"/>
          <w:sz w:val="20"/>
          <w:szCs w:val="20"/>
        </w:rPr>
      </w:pPr>
    </w:p>
    <w:p w:rsidR="00322539" w:rsidRDefault="00322539" w:rsidP="00EB5878">
      <w:pPr>
        <w:widowControl/>
        <w:spacing w:line="276" w:lineRule="auto"/>
        <w:rPr>
          <w:rFonts w:ascii="Times New Roman" w:eastAsia="宋体" w:hAnsi="Times New Roman" w:cs="Times New Roman" w:hint="eastAsia"/>
          <w:color w:val="000000"/>
          <w:kern w:val="0"/>
          <w:sz w:val="20"/>
          <w:szCs w:val="20"/>
        </w:rPr>
      </w:pPr>
    </w:p>
    <w:tbl>
      <w:tblPr>
        <w:tblW w:w="10250" w:type="dxa"/>
        <w:jc w:val="center"/>
        <w:tblInd w:w="98" w:type="dxa"/>
        <w:tblLook w:val="04A0"/>
      </w:tblPr>
      <w:tblGrid>
        <w:gridCol w:w="1394"/>
        <w:gridCol w:w="1651"/>
        <w:gridCol w:w="1304"/>
        <w:gridCol w:w="1423"/>
        <w:gridCol w:w="1680"/>
        <w:gridCol w:w="1320"/>
        <w:gridCol w:w="1478"/>
      </w:tblGrid>
      <w:tr w:rsidR="00322539" w:rsidRPr="00322539" w:rsidTr="00322539">
        <w:trPr>
          <w:trHeight w:val="440"/>
          <w:jc w:val="center"/>
        </w:trPr>
        <w:tc>
          <w:tcPr>
            <w:tcW w:w="10250" w:type="dxa"/>
            <w:gridSpan w:val="7"/>
            <w:tcBorders>
              <w:top w:val="nil"/>
              <w:left w:val="nil"/>
              <w:bottom w:val="single" w:sz="8" w:space="0" w:color="auto"/>
              <w:right w:val="nil"/>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b/>
                <w:bCs/>
                <w:color w:val="0F1115"/>
                <w:kern w:val="0"/>
                <w:sz w:val="24"/>
                <w:szCs w:val="24"/>
              </w:rPr>
            </w:pPr>
            <w:r w:rsidRPr="00322539">
              <w:rPr>
                <w:rFonts w:ascii="Times New Roman" w:eastAsia="宋体" w:hAnsi="Times New Roman" w:cs="Times New Roman"/>
                <w:b/>
                <w:bCs/>
                <w:color w:val="0F1115"/>
                <w:kern w:val="0"/>
                <w:sz w:val="24"/>
                <w:szCs w:val="24"/>
              </w:rPr>
              <w:lastRenderedPageBreak/>
              <w:t>Appendix 2. Targeted Capture High-Throughput Sequencing Parameters</w:t>
            </w:r>
          </w:p>
        </w:tc>
      </w:tr>
      <w:tr w:rsidR="00322539" w:rsidRPr="00322539" w:rsidTr="00322539">
        <w:trPr>
          <w:trHeight w:val="1040"/>
          <w:jc w:val="center"/>
        </w:trPr>
        <w:tc>
          <w:tcPr>
            <w:tcW w:w="13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Sample ID</w:t>
            </w:r>
          </w:p>
        </w:tc>
        <w:tc>
          <w:tcPr>
            <w:tcW w:w="16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Raw Data Output (Mb)</w:t>
            </w:r>
          </w:p>
        </w:tc>
        <w:tc>
          <w:tcPr>
            <w:tcW w:w="13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Target Region Length (bp)</w:t>
            </w:r>
          </w:p>
        </w:tc>
        <w:tc>
          <w:tcPr>
            <w:tcW w:w="14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Target Region Coverage</w:t>
            </w:r>
          </w:p>
        </w:tc>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Target Region Mean Depth (X)</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 of Target Region with &gt;10X Coverage</w:t>
            </w:r>
          </w:p>
        </w:tc>
        <w:tc>
          <w:tcPr>
            <w:tcW w:w="14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 of Target Region with &gt;20X Coverage</w:t>
            </w:r>
          </w:p>
        </w:tc>
      </w:tr>
      <w:tr w:rsidR="00322539" w:rsidRPr="00322539" w:rsidTr="00322539">
        <w:trPr>
          <w:trHeight w:val="520"/>
          <w:jc w:val="center"/>
        </w:trPr>
        <w:tc>
          <w:tcPr>
            <w:tcW w:w="13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202405M0620</w:t>
            </w:r>
          </w:p>
        </w:tc>
        <w:tc>
          <w:tcPr>
            <w:tcW w:w="16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13680</w:t>
            </w:r>
          </w:p>
        </w:tc>
        <w:tc>
          <w:tcPr>
            <w:tcW w:w="13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42500000</w:t>
            </w:r>
          </w:p>
        </w:tc>
        <w:tc>
          <w:tcPr>
            <w:tcW w:w="14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99.80%</w:t>
            </w:r>
          </w:p>
        </w:tc>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181.76</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99.30%</w:t>
            </w:r>
          </w:p>
        </w:tc>
        <w:tc>
          <w:tcPr>
            <w:tcW w:w="14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22539" w:rsidRPr="00322539" w:rsidRDefault="00322539" w:rsidP="00322539">
            <w:pPr>
              <w:widowControl/>
              <w:jc w:val="center"/>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99.00%</w:t>
            </w:r>
          </w:p>
        </w:tc>
      </w:tr>
    </w:tbl>
    <w:p w:rsidR="00322539" w:rsidRDefault="00322539" w:rsidP="00EB5878">
      <w:pPr>
        <w:widowControl/>
        <w:spacing w:line="276" w:lineRule="auto"/>
        <w:rPr>
          <w:rFonts w:ascii="Times New Roman" w:eastAsia="宋体" w:hAnsi="Times New Roman" w:cs="Times New Roman"/>
          <w:color w:val="000000"/>
          <w:kern w:val="0"/>
          <w:sz w:val="20"/>
          <w:szCs w:val="20"/>
        </w:rPr>
      </w:pPr>
    </w:p>
    <w:p w:rsidR="00322539" w:rsidRDefault="00322539">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br w:type="page"/>
      </w:r>
    </w:p>
    <w:p w:rsidR="00CA32E2" w:rsidRDefault="00322539" w:rsidP="00CA32E2">
      <w:pPr>
        <w:widowControl/>
        <w:spacing w:line="480" w:lineRule="auto"/>
        <w:jc w:val="center"/>
        <w:rPr>
          <w:rFonts w:ascii="Times New Roman" w:eastAsia="宋体" w:hAnsi="Times New Roman" w:cs="Times New Roman" w:hint="eastAsia"/>
          <w:b/>
          <w:color w:val="000000"/>
          <w:kern w:val="0"/>
          <w:sz w:val="24"/>
          <w:szCs w:val="20"/>
        </w:rPr>
      </w:pPr>
      <w:r w:rsidRPr="00322539">
        <w:rPr>
          <w:rFonts w:ascii="Times New Roman" w:eastAsia="宋体" w:hAnsi="Times New Roman" w:cs="Times New Roman"/>
          <w:b/>
          <w:color w:val="000000"/>
          <w:kern w:val="0"/>
          <w:sz w:val="24"/>
          <w:szCs w:val="20"/>
        </w:rPr>
        <w:lastRenderedPageBreak/>
        <w:t>Appendix Table 1. List of Genes Analyzed</w:t>
      </w:r>
    </w:p>
    <w:tbl>
      <w:tblPr>
        <w:tblW w:w="10335"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95"/>
        <w:gridCol w:w="1200"/>
        <w:gridCol w:w="1200"/>
        <w:gridCol w:w="1320"/>
        <w:gridCol w:w="1080"/>
        <w:gridCol w:w="1320"/>
        <w:gridCol w:w="1200"/>
        <w:gridCol w:w="1520"/>
      </w:tblGrid>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ACE</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IFT43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CLDN19</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PKHD1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BBS12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MMAA</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FGF23</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SLC3A1</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ACTN4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IFT80</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CNNM2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PLA2R1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MMAB</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FGFR1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SLC4A1</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ADAMTS13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INF2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COL4A3</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PLCE1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BBS4</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MMACHC</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FLG</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SLC4A4</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ADCK3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INPP5E</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COL4A4</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PMM2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BBS5</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MMADHC</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FN1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SLC5A2</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ADCK4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INVS</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COL4A5</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PTPRO</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BBS7</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MME</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FRAS1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SLC7A7</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AGT</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IQCB1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COQ2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REN</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BBS9</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MTHFR</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FREM2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SLC7A9</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AGTR1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ITGA3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COQ6</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RET</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BMP4</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MTRR</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FXYD2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SMARCAL1</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AGXT</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ITGA8</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COQ9</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ROBO2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BMP7</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MUC1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GATA3</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SOX17</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AHI1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ITGB4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CRB2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RPGRIP1L</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BSND</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MUT</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GDNF</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TCTN2</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ALG1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KAL1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CSPP1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SALL1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C1QA</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MYH9</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GLA</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TCTN3</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ALMS1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KANK1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CTBP1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SARS2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C1QB</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MYO1E</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GLIS2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THBD</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AMH</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KANK2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CTNS</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SCARB2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C1QC</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NEIL1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GPC3</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THSD7A</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ANKS6</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KANK4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CUBN</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SCNN1A</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C3</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NEK1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GRHPR</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TMEM138</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ANLN</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KCNA1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CUL3</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SCNN1B</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CA2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NEK8</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GRIP1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TMEM216</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APOA1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KCNJ1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CYP27B1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SCNN1G</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CASR</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NPHP1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HNF1B</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TMEM231</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APOE</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KCNJ10</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CYP2R1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SDCCAG8</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CBS</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NPHP3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HOGA1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TMEM237</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APOL1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KLHL3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DGKE</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SIX1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CC2D2A</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NPHP4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HPSE2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TMEM67</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APRT</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LAMA3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DIS3L2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SIX2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CD151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NPHS1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IFT122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TNXB</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AQP2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LAMB2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DMP1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SIX5</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CD2AP</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NPHS2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IFT140</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COL4A6</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ARHGAP24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LAMB3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DSTYK</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SLC12A1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CD46</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NUP107</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IFT172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CLDN16</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ARHGDIA</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LAMC2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DYNC2H1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SLC12A3</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CDC5L</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NUP205</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WDR73</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WDR34</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ARL6</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LMBRD1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EGF</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SLC17A5</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CEP164</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NUP93</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WNK1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WDPCP</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ATP6V0A4</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LMX1B</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EMP2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SLC1A1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CEP290</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OCRL</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WNK4</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UPK3A</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ATP6V1B1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LRIG2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ENPP1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SLC22A12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CEP41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OFD1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WNT4</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TTC21B</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AVPR2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LYZ</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EYA1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SLC2A2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CFB</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PAX2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WT1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TRPC6</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B2M</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LZTFL1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FAT1</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SLC2A9</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CFH</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PDE6D</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XDH</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WDR19</w:t>
            </w: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B9D1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MAPK11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FGA</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SLC34A1</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CFHR5</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PDGFRA</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XPO1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B9D2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MEFV</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FGF12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SLC34A3</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CFI</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PDSS1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ZMPSTE24</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MKKS</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FGF18</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SLC35A2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CHD1L</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PDSS2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ZNF423</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BBS10</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MKS1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FGF20</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SLC36A2</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CLCN5</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PEX1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WDR35</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CLCNKA</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PHEX</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WDR60</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VDR</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TTC8</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TRPM6</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TRAP1</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r w:rsidR="00CA32E2" w:rsidRPr="00322539" w:rsidTr="00CA32E2">
        <w:trPr>
          <w:trHeight w:val="300"/>
          <w:jc w:val="center"/>
        </w:trPr>
        <w:tc>
          <w:tcPr>
            <w:tcW w:w="1495"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CLCNKB</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PKD1</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PKD2</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WAS</w:t>
            </w:r>
          </w:p>
        </w:tc>
        <w:tc>
          <w:tcPr>
            <w:tcW w:w="108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UMOD</w:t>
            </w:r>
          </w:p>
        </w:tc>
        <w:tc>
          <w:tcPr>
            <w:tcW w:w="13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TSC2</w:t>
            </w:r>
          </w:p>
        </w:tc>
        <w:tc>
          <w:tcPr>
            <w:tcW w:w="120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r w:rsidRPr="00322539">
              <w:rPr>
                <w:rFonts w:ascii="Times New Roman" w:eastAsia="宋体" w:hAnsi="Times New Roman" w:cs="Times New Roman"/>
                <w:color w:val="000000"/>
                <w:kern w:val="0"/>
                <w:sz w:val="20"/>
                <w:szCs w:val="20"/>
              </w:rPr>
              <w:t>TRIM32</w:t>
            </w:r>
          </w:p>
        </w:tc>
        <w:tc>
          <w:tcPr>
            <w:tcW w:w="1520" w:type="dxa"/>
            <w:shd w:val="clear" w:color="auto" w:fill="auto"/>
            <w:noWrap/>
            <w:vAlign w:val="center"/>
            <w:hideMark/>
          </w:tcPr>
          <w:p w:rsidR="00322539" w:rsidRPr="00322539" w:rsidRDefault="00322539" w:rsidP="00322539">
            <w:pPr>
              <w:widowControl/>
              <w:jc w:val="left"/>
              <w:rPr>
                <w:rFonts w:ascii="Times New Roman" w:eastAsia="宋体" w:hAnsi="Times New Roman" w:cs="Times New Roman"/>
                <w:color w:val="000000"/>
                <w:kern w:val="0"/>
                <w:sz w:val="20"/>
                <w:szCs w:val="20"/>
              </w:rPr>
            </w:pPr>
          </w:p>
        </w:tc>
      </w:tr>
    </w:tbl>
    <w:p w:rsidR="00322539" w:rsidRPr="00322539" w:rsidRDefault="00322539" w:rsidP="00322539">
      <w:pPr>
        <w:widowControl/>
        <w:spacing w:line="276" w:lineRule="auto"/>
        <w:jc w:val="center"/>
        <w:rPr>
          <w:rFonts w:ascii="Times New Roman" w:eastAsia="宋体" w:hAnsi="Times New Roman" w:cs="Times New Roman"/>
          <w:b/>
          <w:color w:val="000000"/>
          <w:kern w:val="0"/>
          <w:sz w:val="24"/>
          <w:szCs w:val="20"/>
        </w:rPr>
      </w:pPr>
    </w:p>
    <w:sectPr w:rsidR="00322539" w:rsidRPr="003225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A44" w:rsidRDefault="00965A44" w:rsidP="009F4150">
      <w:r>
        <w:separator/>
      </w:r>
    </w:p>
  </w:endnote>
  <w:endnote w:type="continuationSeparator" w:id="1">
    <w:p w:rsidR="00965A44" w:rsidRDefault="00965A44" w:rsidP="009F4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10547"/>
      <w:docPartObj>
        <w:docPartGallery w:val="Page Numbers (Bottom of Page)"/>
        <w:docPartUnique/>
      </w:docPartObj>
    </w:sdtPr>
    <w:sdtContent>
      <w:p w:rsidR="00EB5878" w:rsidRDefault="00EB5878">
        <w:pPr>
          <w:pStyle w:val="a4"/>
          <w:jc w:val="center"/>
        </w:pPr>
        <w:fldSimple w:instr=" PAGE   \* MERGEFORMAT ">
          <w:r w:rsidR="00CA32E2" w:rsidRPr="00CA32E2">
            <w:rPr>
              <w:noProof/>
              <w:lang w:val="zh-CN"/>
            </w:rPr>
            <w:t>1</w:t>
          </w:r>
        </w:fldSimple>
      </w:p>
    </w:sdtContent>
  </w:sdt>
  <w:p w:rsidR="00EB5878" w:rsidRDefault="00EB58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A44" w:rsidRDefault="00965A44" w:rsidP="009F4150">
      <w:r>
        <w:separator/>
      </w:r>
    </w:p>
  </w:footnote>
  <w:footnote w:type="continuationSeparator" w:id="1">
    <w:p w:rsidR="00965A44" w:rsidRDefault="00965A44" w:rsidP="009F41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150"/>
    <w:rsid w:val="002A6F56"/>
    <w:rsid w:val="00322539"/>
    <w:rsid w:val="00965A44"/>
    <w:rsid w:val="009F4150"/>
    <w:rsid w:val="00CA32E2"/>
    <w:rsid w:val="00DB0F44"/>
    <w:rsid w:val="00EB5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4150"/>
    <w:rPr>
      <w:sz w:val="18"/>
      <w:szCs w:val="18"/>
    </w:rPr>
  </w:style>
  <w:style w:type="paragraph" w:styleId="a4">
    <w:name w:val="footer"/>
    <w:basedOn w:val="a"/>
    <w:link w:val="Char0"/>
    <w:uiPriority w:val="99"/>
    <w:unhideWhenUsed/>
    <w:rsid w:val="009F4150"/>
    <w:pPr>
      <w:tabs>
        <w:tab w:val="center" w:pos="4153"/>
        <w:tab w:val="right" w:pos="8306"/>
      </w:tabs>
      <w:snapToGrid w:val="0"/>
      <w:jc w:val="left"/>
    </w:pPr>
    <w:rPr>
      <w:sz w:val="18"/>
      <w:szCs w:val="18"/>
    </w:rPr>
  </w:style>
  <w:style w:type="character" w:customStyle="1" w:styleId="Char0">
    <w:name w:val="页脚 Char"/>
    <w:basedOn w:val="a0"/>
    <w:link w:val="a4"/>
    <w:uiPriority w:val="99"/>
    <w:rsid w:val="009F4150"/>
    <w:rPr>
      <w:sz w:val="18"/>
      <w:szCs w:val="18"/>
    </w:rPr>
  </w:style>
</w:styles>
</file>

<file path=word/webSettings.xml><?xml version="1.0" encoding="utf-8"?>
<w:webSettings xmlns:r="http://schemas.openxmlformats.org/officeDocument/2006/relationships" xmlns:w="http://schemas.openxmlformats.org/wordprocessingml/2006/main">
  <w:divs>
    <w:div w:id="25101242">
      <w:bodyDiv w:val="1"/>
      <w:marLeft w:val="0"/>
      <w:marRight w:val="0"/>
      <w:marTop w:val="0"/>
      <w:marBottom w:val="0"/>
      <w:divBdr>
        <w:top w:val="none" w:sz="0" w:space="0" w:color="auto"/>
        <w:left w:val="none" w:sz="0" w:space="0" w:color="auto"/>
        <w:bottom w:val="none" w:sz="0" w:space="0" w:color="auto"/>
        <w:right w:val="none" w:sz="0" w:space="0" w:color="auto"/>
      </w:divBdr>
    </w:div>
    <w:div w:id="92435186">
      <w:bodyDiv w:val="1"/>
      <w:marLeft w:val="0"/>
      <w:marRight w:val="0"/>
      <w:marTop w:val="0"/>
      <w:marBottom w:val="0"/>
      <w:divBdr>
        <w:top w:val="none" w:sz="0" w:space="0" w:color="auto"/>
        <w:left w:val="none" w:sz="0" w:space="0" w:color="auto"/>
        <w:bottom w:val="none" w:sz="0" w:space="0" w:color="auto"/>
        <w:right w:val="none" w:sz="0" w:space="0" w:color="auto"/>
      </w:divBdr>
    </w:div>
    <w:div w:id="126750758">
      <w:bodyDiv w:val="1"/>
      <w:marLeft w:val="0"/>
      <w:marRight w:val="0"/>
      <w:marTop w:val="0"/>
      <w:marBottom w:val="0"/>
      <w:divBdr>
        <w:top w:val="none" w:sz="0" w:space="0" w:color="auto"/>
        <w:left w:val="none" w:sz="0" w:space="0" w:color="auto"/>
        <w:bottom w:val="none" w:sz="0" w:space="0" w:color="auto"/>
        <w:right w:val="none" w:sz="0" w:space="0" w:color="auto"/>
      </w:divBdr>
    </w:div>
    <w:div w:id="138963125">
      <w:bodyDiv w:val="1"/>
      <w:marLeft w:val="0"/>
      <w:marRight w:val="0"/>
      <w:marTop w:val="0"/>
      <w:marBottom w:val="0"/>
      <w:divBdr>
        <w:top w:val="none" w:sz="0" w:space="0" w:color="auto"/>
        <w:left w:val="none" w:sz="0" w:space="0" w:color="auto"/>
        <w:bottom w:val="none" w:sz="0" w:space="0" w:color="auto"/>
        <w:right w:val="none" w:sz="0" w:space="0" w:color="auto"/>
      </w:divBdr>
    </w:div>
    <w:div w:id="140197863">
      <w:bodyDiv w:val="1"/>
      <w:marLeft w:val="0"/>
      <w:marRight w:val="0"/>
      <w:marTop w:val="0"/>
      <w:marBottom w:val="0"/>
      <w:divBdr>
        <w:top w:val="none" w:sz="0" w:space="0" w:color="auto"/>
        <w:left w:val="none" w:sz="0" w:space="0" w:color="auto"/>
        <w:bottom w:val="none" w:sz="0" w:space="0" w:color="auto"/>
        <w:right w:val="none" w:sz="0" w:space="0" w:color="auto"/>
      </w:divBdr>
    </w:div>
    <w:div w:id="317803254">
      <w:bodyDiv w:val="1"/>
      <w:marLeft w:val="0"/>
      <w:marRight w:val="0"/>
      <w:marTop w:val="0"/>
      <w:marBottom w:val="0"/>
      <w:divBdr>
        <w:top w:val="none" w:sz="0" w:space="0" w:color="auto"/>
        <w:left w:val="none" w:sz="0" w:space="0" w:color="auto"/>
        <w:bottom w:val="none" w:sz="0" w:space="0" w:color="auto"/>
        <w:right w:val="none" w:sz="0" w:space="0" w:color="auto"/>
      </w:divBdr>
    </w:div>
    <w:div w:id="856847392">
      <w:bodyDiv w:val="1"/>
      <w:marLeft w:val="0"/>
      <w:marRight w:val="0"/>
      <w:marTop w:val="0"/>
      <w:marBottom w:val="0"/>
      <w:divBdr>
        <w:top w:val="none" w:sz="0" w:space="0" w:color="auto"/>
        <w:left w:val="none" w:sz="0" w:space="0" w:color="auto"/>
        <w:bottom w:val="none" w:sz="0" w:space="0" w:color="auto"/>
        <w:right w:val="none" w:sz="0" w:space="0" w:color="auto"/>
      </w:divBdr>
    </w:div>
    <w:div w:id="876233316">
      <w:bodyDiv w:val="1"/>
      <w:marLeft w:val="0"/>
      <w:marRight w:val="0"/>
      <w:marTop w:val="0"/>
      <w:marBottom w:val="0"/>
      <w:divBdr>
        <w:top w:val="none" w:sz="0" w:space="0" w:color="auto"/>
        <w:left w:val="none" w:sz="0" w:space="0" w:color="auto"/>
        <w:bottom w:val="none" w:sz="0" w:space="0" w:color="auto"/>
        <w:right w:val="none" w:sz="0" w:space="0" w:color="auto"/>
      </w:divBdr>
    </w:div>
    <w:div w:id="917859794">
      <w:bodyDiv w:val="1"/>
      <w:marLeft w:val="0"/>
      <w:marRight w:val="0"/>
      <w:marTop w:val="0"/>
      <w:marBottom w:val="0"/>
      <w:divBdr>
        <w:top w:val="none" w:sz="0" w:space="0" w:color="auto"/>
        <w:left w:val="none" w:sz="0" w:space="0" w:color="auto"/>
        <w:bottom w:val="none" w:sz="0" w:space="0" w:color="auto"/>
        <w:right w:val="none" w:sz="0" w:space="0" w:color="auto"/>
      </w:divBdr>
    </w:div>
    <w:div w:id="941036652">
      <w:bodyDiv w:val="1"/>
      <w:marLeft w:val="0"/>
      <w:marRight w:val="0"/>
      <w:marTop w:val="0"/>
      <w:marBottom w:val="0"/>
      <w:divBdr>
        <w:top w:val="none" w:sz="0" w:space="0" w:color="auto"/>
        <w:left w:val="none" w:sz="0" w:space="0" w:color="auto"/>
        <w:bottom w:val="none" w:sz="0" w:space="0" w:color="auto"/>
        <w:right w:val="none" w:sz="0" w:space="0" w:color="auto"/>
      </w:divBdr>
    </w:div>
    <w:div w:id="975137330">
      <w:bodyDiv w:val="1"/>
      <w:marLeft w:val="0"/>
      <w:marRight w:val="0"/>
      <w:marTop w:val="0"/>
      <w:marBottom w:val="0"/>
      <w:divBdr>
        <w:top w:val="none" w:sz="0" w:space="0" w:color="auto"/>
        <w:left w:val="none" w:sz="0" w:space="0" w:color="auto"/>
        <w:bottom w:val="none" w:sz="0" w:space="0" w:color="auto"/>
        <w:right w:val="none" w:sz="0" w:space="0" w:color="auto"/>
      </w:divBdr>
    </w:div>
    <w:div w:id="1037698010">
      <w:bodyDiv w:val="1"/>
      <w:marLeft w:val="0"/>
      <w:marRight w:val="0"/>
      <w:marTop w:val="0"/>
      <w:marBottom w:val="0"/>
      <w:divBdr>
        <w:top w:val="none" w:sz="0" w:space="0" w:color="auto"/>
        <w:left w:val="none" w:sz="0" w:space="0" w:color="auto"/>
        <w:bottom w:val="none" w:sz="0" w:space="0" w:color="auto"/>
        <w:right w:val="none" w:sz="0" w:space="0" w:color="auto"/>
      </w:divBdr>
    </w:div>
    <w:div w:id="1046637735">
      <w:bodyDiv w:val="1"/>
      <w:marLeft w:val="0"/>
      <w:marRight w:val="0"/>
      <w:marTop w:val="0"/>
      <w:marBottom w:val="0"/>
      <w:divBdr>
        <w:top w:val="none" w:sz="0" w:space="0" w:color="auto"/>
        <w:left w:val="none" w:sz="0" w:space="0" w:color="auto"/>
        <w:bottom w:val="none" w:sz="0" w:space="0" w:color="auto"/>
        <w:right w:val="none" w:sz="0" w:space="0" w:color="auto"/>
      </w:divBdr>
    </w:div>
    <w:div w:id="1065951072">
      <w:bodyDiv w:val="1"/>
      <w:marLeft w:val="0"/>
      <w:marRight w:val="0"/>
      <w:marTop w:val="0"/>
      <w:marBottom w:val="0"/>
      <w:divBdr>
        <w:top w:val="none" w:sz="0" w:space="0" w:color="auto"/>
        <w:left w:val="none" w:sz="0" w:space="0" w:color="auto"/>
        <w:bottom w:val="none" w:sz="0" w:space="0" w:color="auto"/>
        <w:right w:val="none" w:sz="0" w:space="0" w:color="auto"/>
      </w:divBdr>
    </w:div>
    <w:div w:id="1080831056">
      <w:bodyDiv w:val="1"/>
      <w:marLeft w:val="0"/>
      <w:marRight w:val="0"/>
      <w:marTop w:val="0"/>
      <w:marBottom w:val="0"/>
      <w:divBdr>
        <w:top w:val="none" w:sz="0" w:space="0" w:color="auto"/>
        <w:left w:val="none" w:sz="0" w:space="0" w:color="auto"/>
        <w:bottom w:val="none" w:sz="0" w:space="0" w:color="auto"/>
        <w:right w:val="none" w:sz="0" w:space="0" w:color="auto"/>
      </w:divBdr>
    </w:div>
    <w:div w:id="1094058225">
      <w:bodyDiv w:val="1"/>
      <w:marLeft w:val="0"/>
      <w:marRight w:val="0"/>
      <w:marTop w:val="0"/>
      <w:marBottom w:val="0"/>
      <w:divBdr>
        <w:top w:val="none" w:sz="0" w:space="0" w:color="auto"/>
        <w:left w:val="none" w:sz="0" w:space="0" w:color="auto"/>
        <w:bottom w:val="none" w:sz="0" w:space="0" w:color="auto"/>
        <w:right w:val="none" w:sz="0" w:space="0" w:color="auto"/>
      </w:divBdr>
    </w:div>
    <w:div w:id="1109393626">
      <w:bodyDiv w:val="1"/>
      <w:marLeft w:val="0"/>
      <w:marRight w:val="0"/>
      <w:marTop w:val="0"/>
      <w:marBottom w:val="0"/>
      <w:divBdr>
        <w:top w:val="none" w:sz="0" w:space="0" w:color="auto"/>
        <w:left w:val="none" w:sz="0" w:space="0" w:color="auto"/>
        <w:bottom w:val="none" w:sz="0" w:space="0" w:color="auto"/>
        <w:right w:val="none" w:sz="0" w:space="0" w:color="auto"/>
      </w:divBdr>
    </w:div>
    <w:div w:id="1288707736">
      <w:bodyDiv w:val="1"/>
      <w:marLeft w:val="0"/>
      <w:marRight w:val="0"/>
      <w:marTop w:val="0"/>
      <w:marBottom w:val="0"/>
      <w:divBdr>
        <w:top w:val="none" w:sz="0" w:space="0" w:color="auto"/>
        <w:left w:val="none" w:sz="0" w:space="0" w:color="auto"/>
        <w:bottom w:val="none" w:sz="0" w:space="0" w:color="auto"/>
        <w:right w:val="none" w:sz="0" w:space="0" w:color="auto"/>
      </w:divBdr>
    </w:div>
    <w:div w:id="1515606001">
      <w:bodyDiv w:val="1"/>
      <w:marLeft w:val="0"/>
      <w:marRight w:val="0"/>
      <w:marTop w:val="0"/>
      <w:marBottom w:val="0"/>
      <w:divBdr>
        <w:top w:val="none" w:sz="0" w:space="0" w:color="auto"/>
        <w:left w:val="none" w:sz="0" w:space="0" w:color="auto"/>
        <w:bottom w:val="none" w:sz="0" w:space="0" w:color="auto"/>
        <w:right w:val="none" w:sz="0" w:space="0" w:color="auto"/>
      </w:divBdr>
    </w:div>
    <w:div w:id="1646280439">
      <w:bodyDiv w:val="1"/>
      <w:marLeft w:val="0"/>
      <w:marRight w:val="0"/>
      <w:marTop w:val="0"/>
      <w:marBottom w:val="0"/>
      <w:divBdr>
        <w:top w:val="none" w:sz="0" w:space="0" w:color="auto"/>
        <w:left w:val="none" w:sz="0" w:space="0" w:color="auto"/>
        <w:bottom w:val="none" w:sz="0" w:space="0" w:color="auto"/>
        <w:right w:val="none" w:sz="0" w:space="0" w:color="auto"/>
      </w:divBdr>
    </w:div>
    <w:div w:id="1706640951">
      <w:bodyDiv w:val="1"/>
      <w:marLeft w:val="0"/>
      <w:marRight w:val="0"/>
      <w:marTop w:val="0"/>
      <w:marBottom w:val="0"/>
      <w:divBdr>
        <w:top w:val="none" w:sz="0" w:space="0" w:color="auto"/>
        <w:left w:val="none" w:sz="0" w:space="0" w:color="auto"/>
        <w:bottom w:val="none" w:sz="0" w:space="0" w:color="auto"/>
        <w:right w:val="none" w:sz="0" w:space="0" w:color="auto"/>
      </w:divBdr>
    </w:div>
    <w:div w:id="1743213565">
      <w:bodyDiv w:val="1"/>
      <w:marLeft w:val="0"/>
      <w:marRight w:val="0"/>
      <w:marTop w:val="0"/>
      <w:marBottom w:val="0"/>
      <w:divBdr>
        <w:top w:val="none" w:sz="0" w:space="0" w:color="auto"/>
        <w:left w:val="none" w:sz="0" w:space="0" w:color="auto"/>
        <w:bottom w:val="none" w:sz="0" w:space="0" w:color="auto"/>
        <w:right w:val="none" w:sz="0" w:space="0" w:color="auto"/>
      </w:divBdr>
    </w:div>
    <w:div w:id="1760104647">
      <w:bodyDiv w:val="1"/>
      <w:marLeft w:val="0"/>
      <w:marRight w:val="0"/>
      <w:marTop w:val="0"/>
      <w:marBottom w:val="0"/>
      <w:divBdr>
        <w:top w:val="none" w:sz="0" w:space="0" w:color="auto"/>
        <w:left w:val="none" w:sz="0" w:space="0" w:color="auto"/>
        <w:bottom w:val="none" w:sz="0" w:space="0" w:color="auto"/>
        <w:right w:val="none" w:sz="0" w:space="0" w:color="auto"/>
      </w:divBdr>
    </w:div>
    <w:div w:id="1771584489">
      <w:bodyDiv w:val="1"/>
      <w:marLeft w:val="0"/>
      <w:marRight w:val="0"/>
      <w:marTop w:val="0"/>
      <w:marBottom w:val="0"/>
      <w:divBdr>
        <w:top w:val="none" w:sz="0" w:space="0" w:color="auto"/>
        <w:left w:val="none" w:sz="0" w:space="0" w:color="auto"/>
        <w:bottom w:val="none" w:sz="0" w:space="0" w:color="auto"/>
        <w:right w:val="none" w:sz="0" w:space="0" w:color="auto"/>
      </w:divBdr>
    </w:div>
    <w:div w:id="1778016495">
      <w:bodyDiv w:val="1"/>
      <w:marLeft w:val="0"/>
      <w:marRight w:val="0"/>
      <w:marTop w:val="0"/>
      <w:marBottom w:val="0"/>
      <w:divBdr>
        <w:top w:val="none" w:sz="0" w:space="0" w:color="auto"/>
        <w:left w:val="none" w:sz="0" w:space="0" w:color="auto"/>
        <w:bottom w:val="none" w:sz="0" w:space="0" w:color="auto"/>
        <w:right w:val="none" w:sz="0" w:space="0" w:color="auto"/>
      </w:divBdr>
    </w:div>
    <w:div w:id="1833132225">
      <w:bodyDiv w:val="1"/>
      <w:marLeft w:val="0"/>
      <w:marRight w:val="0"/>
      <w:marTop w:val="0"/>
      <w:marBottom w:val="0"/>
      <w:divBdr>
        <w:top w:val="none" w:sz="0" w:space="0" w:color="auto"/>
        <w:left w:val="none" w:sz="0" w:space="0" w:color="auto"/>
        <w:bottom w:val="none" w:sz="0" w:space="0" w:color="auto"/>
        <w:right w:val="none" w:sz="0" w:space="0" w:color="auto"/>
      </w:divBdr>
    </w:div>
    <w:div w:id="1852714899">
      <w:bodyDiv w:val="1"/>
      <w:marLeft w:val="0"/>
      <w:marRight w:val="0"/>
      <w:marTop w:val="0"/>
      <w:marBottom w:val="0"/>
      <w:divBdr>
        <w:top w:val="none" w:sz="0" w:space="0" w:color="auto"/>
        <w:left w:val="none" w:sz="0" w:space="0" w:color="auto"/>
        <w:bottom w:val="none" w:sz="0" w:space="0" w:color="auto"/>
        <w:right w:val="none" w:sz="0" w:space="0" w:color="auto"/>
      </w:divBdr>
    </w:div>
    <w:div w:id="1928533994">
      <w:bodyDiv w:val="1"/>
      <w:marLeft w:val="0"/>
      <w:marRight w:val="0"/>
      <w:marTop w:val="0"/>
      <w:marBottom w:val="0"/>
      <w:divBdr>
        <w:top w:val="none" w:sz="0" w:space="0" w:color="auto"/>
        <w:left w:val="none" w:sz="0" w:space="0" w:color="auto"/>
        <w:bottom w:val="none" w:sz="0" w:space="0" w:color="auto"/>
        <w:right w:val="none" w:sz="0" w:space="0" w:color="auto"/>
      </w:divBdr>
    </w:div>
    <w:div w:id="2030646185">
      <w:bodyDiv w:val="1"/>
      <w:marLeft w:val="0"/>
      <w:marRight w:val="0"/>
      <w:marTop w:val="0"/>
      <w:marBottom w:val="0"/>
      <w:divBdr>
        <w:top w:val="none" w:sz="0" w:space="0" w:color="auto"/>
        <w:left w:val="none" w:sz="0" w:space="0" w:color="auto"/>
        <w:bottom w:val="none" w:sz="0" w:space="0" w:color="auto"/>
        <w:right w:val="none" w:sz="0" w:space="0" w:color="auto"/>
      </w:divBdr>
    </w:div>
    <w:div w:id="20651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D3C8706-CFA1-47EB-898F-B4641479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Hexin</dc:creator>
  <cp:keywords/>
  <dc:description/>
  <cp:lastModifiedBy>Hexin</cp:lastModifiedBy>
  <cp:revision>2</cp:revision>
  <dcterms:created xsi:type="dcterms:W3CDTF">2025-11-04T16:20:00Z</dcterms:created>
  <dcterms:modified xsi:type="dcterms:W3CDTF">2025-11-04T17:14:00Z</dcterms:modified>
</cp:coreProperties>
</file>