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A2112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>upplementary information</w:t>
      </w:r>
    </w:p>
    <w:p w14:paraId="55FC31B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DC209F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812984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477B53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F58BAA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F039C3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CE1F06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DE5B9F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ACD6A3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69F038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5840F9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E83824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DFF4B2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E2188B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4806FA0">
      <w:pPr>
        <w:pStyle w:val="2"/>
        <w:widowControl/>
        <w:shd w:val="clear" w:color="auto" w:fill="FFFFFF"/>
        <w:spacing w:beforeAutospacing="0" w:afterAutospacing="0"/>
        <w:jc w:val="center"/>
        <w:rPr>
          <w:rFonts w:hint="default" w:ascii="Times New Roman" w:hAnsi="Times New Roman" w:eastAsiaTheme="minorEastAsia"/>
          <w:b/>
          <w:bCs/>
          <w:color w:val="000000"/>
          <w:shd w:val="clear" w:color="auto" w:fill="FFFFFF"/>
          <w:lang w:val="en-US" w:eastAsia="zh-CN"/>
        </w:rPr>
      </w:pPr>
      <w:r>
        <w:rPr>
          <w:rFonts w:hint="eastAsia" w:ascii="Times New Roman" w:hAnsi="Times New Roman"/>
          <w:b/>
          <w:bCs/>
          <w:color w:val="000000"/>
          <w:shd w:val="clear" w:color="auto" w:fill="FFFFFF"/>
        </w:rPr>
        <w:t xml:space="preserve">Acoustic vortex tweezers </w:t>
      </w:r>
      <w:r>
        <w:rPr>
          <w:rFonts w:hint="eastAsia" w:ascii="Times New Roman" w:hAnsi="Times New Roman"/>
          <w:b/>
          <w:bCs/>
          <w:color w:val="000000"/>
          <w:shd w:val="clear" w:color="auto" w:fill="FFFFFF"/>
          <w:lang w:val="en-US" w:eastAsia="zh-CN"/>
        </w:rPr>
        <w:t>selectively</w:t>
      </w:r>
      <w:r>
        <w:rPr>
          <w:rFonts w:hint="eastAsia" w:ascii="Times New Roman" w:hAnsi="Times New Roman"/>
          <w:b/>
          <w:bCs/>
          <w:color w:val="000000"/>
          <w:shd w:val="clear" w:color="auto" w:fill="FFFFFF"/>
        </w:rPr>
        <w:t xml:space="preserve"> </w:t>
      </w:r>
      <w:r>
        <w:rPr>
          <w:rFonts w:hint="eastAsia" w:ascii="Times New Roman" w:hAnsi="Times New Roman"/>
          <w:b/>
          <w:bCs/>
          <w:color w:val="000000"/>
          <w:shd w:val="clear" w:color="auto" w:fill="FFFFFF"/>
          <w:lang w:val="en-US" w:eastAsia="zh-CN"/>
        </w:rPr>
        <w:t>manipulated</w:t>
      </w:r>
      <w:bookmarkStart w:id="0" w:name="_GoBack"/>
      <w:bookmarkEnd w:id="0"/>
      <w:r>
        <w:rPr>
          <w:rFonts w:hint="eastAsia" w:ascii="Times New Roman" w:hAnsi="Times New Roman"/>
          <w:b/>
          <w:bCs/>
          <w:color w:val="000000"/>
          <w:shd w:val="clear" w:color="auto" w:fill="FFFFFF"/>
        </w:rPr>
        <w:t xml:space="preserve"> intelligent microbots </w:t>
      </w:r>
      <w:r>
        <w:rPr>
          <w:rFonts w:hint="eastAsia" w:ascii="Times New Roman" w:hAnsi="Times New Roman"/>
          <w:b/>
          <w:bCs/>
          <w:color w:val="000000"/>
          <w:shd w:val="clear" w:color="auto" w:fill="FFFFFF"/>
          <w:lang w:val="en-US" w:eastAsia="zh-CN"/>
        </w:rPr>
        <w:t>to achieve</w:t>
      </w:r>
      <w:r>
        <w:rPr>
          <w:rFonts w:hint="eastAsia" w:ascii="Times New Roman" w:hAnsi="Times New Roman"/>
          <w:b/>
          <w:bCs/>
          <w:color w:val="000000"/>
          <w:shd w:val="clear" w:color="auto" w:fill="FFFFFF"/>
        </w:rPr>
        <w:t xml:space="preserve"> </w:t>
      </w:r>
      <w:r>
        <w:rPr>
          <w:rFonts w:hint="eastAsia" w:ascii="Times New Roman" w:hAnsi="Times New Roman"/>
          <w:b/>
          <w:bCs/>
          <w:i w:val="0"/>
          <w:iCs w:val="0"/>
          <w:color w:val="000000"/>
          <w:shd w:val="clear" w:color="auto" w:fill="FFFFFF"/>
          <w:lang w:eastAsia="zh-CN"/>
        </w:rPr>
        <w:t>in situ</w:t>
      </w:r>
      <w:r>
        <w:rPr>
          <w:rFonts w:hint="eastAsia" w:ascii="Times New Roman" w:hAnsi="Times New Roman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hint="eastAsia" w:ascii="Times New Roman" w:hAnsi="Times New Roman"/>
          <w:b/>
          <w:bCs/>
          <w:i w:val="0"/>
          <w:iCs w:val="0"/>
          <w:color w:val="000000"/>
          <w:shd w:val="clear" w:color="auto" w:fill="FFFFFF"/>
          <w:lang w:val="en-US" w:eastAsia="zh-CN"/>
        </w:rPr>
        <w:t>explosive</w:t>
      </w:r>
      <w:r>
        <w:rPr>
          <w:rFonts w:hint="eastAsia" w:ascii="Times New Roman" w:hAnsi="Times New Roman"/>
          <w:b/>
          <w:bCs/>
          <w:i/>
          <w:iCs/>
          <w:color w:val="000000"/>
          <w:shd w:val="clear" w:color="auto" w:fill="FFFFFF"/>
          <w:lang w:val="en-US" w:eastAsia="zh-CN"/>
        </w:rPr>
        <w:t xml:space="preserve"> </w:t>
      </w:r>
      <w:r>
        <w:rPr>
          <w:rFonts w:hint="eastAsia" w:ascii="Times New Roman" w:hAnsi="Times New Roman"/>
          <w:b/>
          <w:bCs/>
          <w:color w:val="000000"/>
          <w:shd w:val="clear" w:color="auto" w:fill="FFFFFF"/>
        </w:rPr>
        <w:t>anti</w:t>
      </w:r>
      <w:r>
        <w:rPr>
          <w:rFonts w:hint="eastAsia" w:ascii="Times New Roman" w:hAnsi="Times New Roman"/>
          <w:b/>
          <w:bCs/>
          <w:color w:val="000000"/>
          <w:shd w:val="clear" w:color="auto" w:fill="FFFFFF"/>
          <w:lang w:val="en-US" w:eastAsia="zh-CN"/>
        </w:rPr>
        <w:t>body</w:t>
      </w:r>
      <w:r>
        <w:rPr>
          <w:rFonts w:hint="eastAsia" w:ascii="Times New Roman" w:hAnsi="Times New Roman"/>
          <w:b/>
          <w:bCs/>
          <w:color w:val="000000"/>
          <w:shd w:val="clear" w:color="auto" w:fill="FFFFFF"/>
        </w:rPr>
        <w:t xml:space="preserve"> production </w:t>
      </w:r>
      <w:r>
        <w:rPr>
          <w:rFonts w:hint="eastAsia" w:ascii="Times New Roman" w:hAnsi="Times New Roman"/>
          <w:b/>
          <w:bCs/>
          <w:color w:val="000000"/>
          <w:shd w:val="clear" w:color="auto" w:fill="FFFFFF"/>
          <w:lang w:val="en-US" w:eastAsia="zh-CN"/>
        </w:rPr>
        <w:t>for</w:t>
      </w:r>
      <w:r>
        <w:rPr>
          <w:rFonts w:hint="eastAsia" w:ascii="Times New Roman" w:hAnsi="Times New Roman"/>
          <w:b/>
          <w:bCs/>
          <w:color w:val="000000"/>
          <w:shd w:val="clear" w:color="auto" w:fill="FFFFFF"/>
        </w:rPr>
        <w:t xml:space="preserve"> </w:t>
      </w:r>
      <w:r>
        <w:rPr>
          <w:rFonts w:hint="eastAsia" w:ascii="Times New Roman" w:hAnsi="Times New Roman"/>
          <w:b/>
          <w:bCs/>
          <w:color w:val="000000"/>
          <w:shd w:val="clear" w:color="auto" w:fill="FFFFFF"/>
          <w:lang w:val="en-US" w:eastAsia="zh-CN"/>
        </w:rPr>
        <w:t>precise immunotherapy</w:t>
      </w:r>
    </w:p>
    <w:p w14:paraId="0D40564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691936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D00718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9A28C1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FB4221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C0A177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D42219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25F73C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BB16D8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C326C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832334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BF5FD4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4E257A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2C90C2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8AC97E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92C9C2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C72531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53B05F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hAnsi="Times New Roman" w:cs="Times New Roman"/>
          <w:b/>
          <w:bCs/>
          <w:sz w:val="24"/>
          <w:szCs w:val="24"/>
        </w:rPr>
        <w:t>a et al</w:t>
      </w:r>
    </w:p>
    <w:p w14:paraId="77A5C49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3C6C3B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6DD8C7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A6A375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7C540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767FD6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D57F4F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44CBD3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076890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ADB0CB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>upplementary Figures</w:t>
      </w:r>
    </w:p>
    <w:p w14:paraId="1D167CC5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837180" cy="2520315"/>
            <wp:effectExtent l="0" t="0" r="1270" b="13335"/>
            <wp:docPr id="14" name="图片 14" descr="图片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1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3718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B2C29">
      <w:pP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Supplementary Figure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1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vertAlign w:val="superscript"/>
          <w:lang w:val="en-US" w:eastAsia="zh-CN"/>
        </w:rPr>
        <w:t>1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HNMR spectra of PEI, HBA, DOX and PEI-HBA-DOX.</w:t>
      </w:r>
    </w:p>
    <w:p w14:paraId="3C4DE858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65605" cy="1440180"/>
            <wp:effectExtent l="0" t="0" r="10795" b="7620"/>
            <wp:docPr id="13" name="图片 13" descr="图片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6560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1C4AA">
      <w:pP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Supplementary Figure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2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FITR spectra of HBA, DOX, PEI, and PEI-HBA-DOX.</w:t>
      </w:r>
    </w:p>
    <w:p w14:paraId="5A18D86E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819910" cy="1151890"/>
            <wp:effectExtent l="0" t="0" r="8890" b="10160"/>
            <wp:docPr id="8" name="图片 8" descr="图片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19910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6CAC4">
      <w:pPr>
        <w:jc w:val="both"/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Supplementary Figure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3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.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Agarose gel electrophoresis analysis.</w:t>
      </w:r>
    </w:p>
    <w:p w14:paraId="74D119CB">
      <w:pP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</w:p>
    <w:p w14:paraId="1DA163DD">
      <w:pPr>
        <w:jc w:val="center"/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1800225" cy="1583690"/>
            <wp:effectExtent l="0" t="0" r="9525" b="16510"/>
            <wp:docPr id="22" name="图片 22" descr="edfdca5e-49a7-4557-971f-ae09fd5a6a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edfdca5e-49a7-4557-971f-ae09fd5a6aa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C6208">
      <w:pP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Supplementary Figure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4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The map of plasmid sequence.</w:t>
      </w:r>
    </w:p>
    <w:p w14:paraId="1B6E3B4C">
      <w:pPr>
        <w:jc w:val="center"/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71135" cy="920115"/>
            <wp:effectExtent l="0" t="0" r="5715" b="13335"/>
            <wp:docPr id="23" name="图片 2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片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92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3884A">
      <w:pP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Supplementary Figure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5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The sequence of plasmid that conjugating anti-PD-L1-scFv with EGFP. The original sequence of anti-PD-L1-scFv was obtained from the previous study </w:t>
      </w:r>
      <w:r>
        <w:rPr>
          <w:rFonts w:hint="eastAsia" w:ascii="Times New Roman" w:hAnsi="Times New Roman" w:cs="Times New Roman"/>
          <w:b w:val="0"/>
          <w:bCs w:val="0"/>
          <w:color w:val="0000FF"/>
          <w:sz w:val="24"/>
          <w:szCs w:val="24"/>
          <w:lang w:val="en-US" w:eastAsia="zh-CN"/>
        </w:rPr>
        <w:t>[x]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.</w:t>
      </w:r>
    </w:p>
    <w:p w14:paraId="7EEEAFE9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11500" cy="1224280"/>
            <wp:effectExtent l="0" t="0" r="12700" b="13970"/>
            <wp:docPr id="6" name="图片 6" descr="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11500" cy="122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16594">
      <w:pPr>
        <w:jc w:val="both"/>
        <w:rPr>
          <w:rFonts w:hint="eastAsia" w:ascii="Times New Roman" w:hAnsi="Times New Roman" w:cs="Times New Roman"/>
          <w:b/>
          <w:bCs/>
          <w:sz w:val="24"/>
          <w:szCs w:val="24"/>
          <w:lang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Supplementary Figure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6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.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Size distribution and Zeta potential of polyplex in different w/w ratio.</w:t>
      </w:r>
    </w:p>
    <w:p w14:paraId="16718B49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440180" cy="1440180"/>
            <wp:effectExtent l="0" t="0" r="7620" b="7620"/>
            <wp:docPr id="9" name="图片 9" descr="图片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092A1">
      <w:pP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7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TEM image of CD/pAb@Lip.</w:t>
      </w:r>
    </w:p>
    <w:p w14:paraId="5FF78A3F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548130" cy="1175385"/>
            <wp:effectExtent l="0" t="0" r="13970" b="5715"/>
            <wp:docPr id="7" name="图片 7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117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48063">
      <w:pPr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Supplementary Figure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8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.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Zeta potential of different particles.</w:t>
      </w:r>
    </w:p>
    <w:p w14:paraId="566A0606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21635" cy="1440180"/>
            <wp:effectExtent l="0" t="0" r="12065" b="7620"/>
            <wp:docPr id="10" name="图片 10" descr="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2163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E9540">
      <w:pP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Supplementary Figure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9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TEM image of ECγ and GVsECγ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.</w:t>
      </w:r>
    </w:p>
    <w:p w14:paraId="4571F48D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88485" cy="1115695"/>
            <wp:effectExtent l="0" t="0" r="12065" b="7620"/>
            <wp:docPr id="16" name="图片 16" descr="图片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88485" cy="111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8147D">
      <w:pPr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Supplementary Figure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10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.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Ultrasonic images of ECγ and GVsECγ</w:t>
      </w:r>
    </w:p>
    <w:p w14:paraId="7F72BB92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99280" cy="1043940"/>
            <wp:effectExtent l="0" t="0" r="1270" b="3810"/>
            <wp:docPr id="15" name="图片 15" descr="图片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99280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0AAEE">
      <w:pPr>
        <w:jc w:val="both"/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Supplementary Figure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11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.</w:t>
      </w: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</w:rPr>
        <w:t xml:space="preserve"> </w:t>
      </w: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vertAlign w:val="baseline"/>
          <w:lang w:val="en-US" w:eastAsia="zh-CN"/>
        </w:rPr>
        <w:t xml:space="preserve">Fluorescent image of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vertAlign w:val="baseline"/>
          <w:lang w:val="en-US" w:eastAsia="zh-CN"/>
        </w:rPr>
        <w:t>CD/pAb@Lip@GVsECγ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vertAlign w:val="baseline"/>
          <w:lang w:val="en-US" w:eastAsia="zh-CN"/>
        </w:rPr>
        <w:t>.</w:t>
      </w:r>
    </w:p>
    <w:p w14:paraId="2AB5A2B6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37510" cy="2700020"/>
            <wp:effectExtent l="0" t="0" r="15240" b="5080"/>
            <wp:docPr id="11" name="图片 11" descr="图片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3751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2F118">
      <w:pPr>
        <w:jc w:val="both"/>
        <w:rPr>
          <w:rFonts w:hint="default" w:eastAsiaTheme="minorEastAsia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Supplementary Figure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12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.</w:t>
      </w: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vertAlign w:val="baseline"/>
          <w:lang w:val="en-US" w:eastAsia="zh-CN"/>
        </w:rPr>
        <w:t>In vitro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vertAlign w:val="baseline"/>
          <w:lang w:val="en-US" w:eastAsia="zh-CN"/>
        </w:rPr>
        <w:t xml:space="preserve"> AV manipulation of CD/pAb@Lip@GVsECγ 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vertAlign w:val="baseline"/>
          <w:lang w:val="en-US" w:eastAsia="zh-CN"/>
        </w:rPr>
        <w:t>in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vertAlign w:val="baseline"/>
          <w:lang w:val="en-US" w:eastAsia="zh-CN"/>
        </w:rPr>
        <w:t xml:space="preserve"> different concentration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vertAlign w:val="baseline"/>
          <w:lang w:val="en-US" w:eastAsia="zh-CN"/>
        </w:rPr>
        <w:t>.</w:t>
      </w:r>
    </w:p>
    <w:p w14:paraId="72F33569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27350" cy="2700020"/>
            <wp:effectExtent l="0" t="0" r="6350" b="5080"/>
            <wp:docPr id="12" name="图片 12" descr="图片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2735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59DB1">
      <w:pPr>
        <w:jc w:val="both"/>
        <w:rPr>
          <w:rFonts w:hint="eastAsia" w:ascii="Times New Roman" w:hAnsi="Times New Roman" w:cs="Times New Roman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Supplementary Figure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13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.</w:t>
      </w: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vertAlign w:val="baseline"/>
          <w:lang w:val="en-US" w:eastAsia="zh-CN"/>
        </w:rPr>
        <w:t>In vitro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vertAlign w:val="baseline"/>
          <w:lang w:val="en-US" w:eastAsia="zh-CN"/>
        </w:rPr>
        <w:t xml:space="preserve"> AV manipulation of CD/pAb@Lip@GVsECγ 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vertAlign w:val="baseline"/>
          <w:lang w:val="en-US" w:eastAsia="zh-CN"/>
        </w:rPr>
        <w:t>in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vertAlign w:val="baseline"/>
          <w:lang w:val="en-US" w:eastAsia="zh-CN"/>
        </w:rPr>
        <w:t xml:space="preserve"> different 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vertAlign w:val="baseline"/>
          <w:lang w:val="en-US" w:eastAsia="zh-CN"/>
        </w:rPr>
        <w:t>flow velocity.</w:t>
      </w:r>
    </w:p>
    <w:p w14:paraId="78D911A5">
      <w:pPr>
        <w:jc w:val="center"/>
        <w:rPr>
          <w:rFonts w:hint="eastAsia" w:ascii="Times New Roman" w:hAnsi="Times New Roman" w:cs="Times New Roman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4"/>
          <w:szCs w:val="24"/>
          <w:vertAlign w:val="baseline"/>
          <w:lang w:val="en-US" w:eastAsia="zh-CN"/>
        </w:rPr>
        <w:drawing>
          <wp:inline distT="0" distB="0" distL="114300" distR="114300">
            <wp:extent cx="3913505" cy="1440180"/>
            <wp:effectExtent l="0" t="0" r="10795" b="7620"/>
            <wp:docPr id="18" name="图片 18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1350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710B4">
      <w:pPr>
        <w:jc w:val="both"/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vertAlign w:val="baseline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Supplementary Figure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14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.</w:t>
      </w: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</w:rPr>
        <w:t xml:space="preserve"> </w:t>
      </w: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vertAlign w:val="baseline"/>
          <w:lang w:val="en-US" w:eastAsia="zh-CN"/>
        </w:rPr>
        <w:t>Establish of tumor window chamber model.</w:t>
      </w:r>
    </w:p>
    <w:p w14:paraId="3C151E5B">
      <w:pPr>
        <w:jc w:val="center"/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vertAlign w:val="baseline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vertAlign w:val="baseline"/>
          <w:lang w:val="en-US" w:eastAsia="zh-CN"/>
        </w:rPr>
        <w:drawing>
          <wp:inline distT="0" distB="0" distL="114300" distR="114300">
            <wp:extent cx="1955165" cy="1440180"/>
            <wp:effectExtent l="0" t="0" r="6985" b="7620"/>
            <wp:docPr id="19" name="图片 19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5516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5465E">
      <w:pPr>
        <w:jc w:val="both"/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vertAlign w:val="baseline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Supplementary Figure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15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.</w:t>
      </w: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</w:rPr>
        <w:t xml:space="preserve"> 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vertAlign w:val="baseline"/>
          <w:lang w:val="en-US" w:eastAsia="zh-CN"/>
        </w:rPr>
        <w:t>Temperature change of tumor during AV irradiation</w:t>
      </w: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vertAlign w:val="baseline"/>
          <w:lang w:val="en-US" w:eastAsia="zh-CN"/>
        </w:rPr>
        <w:t>.</w:t>
      </w:r>
    </w:p>
    <w:p w14:paraId="51F0E5F4">
      <w:pPr>
        <w:jc w:val="center"/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vertAlign w:val="baseline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vertAlign w:val="baseline"/>
          <w:lang w:val="en-US" w:eastAsia="zh-CN"/>
        </w:rPr>
        <w:drawing>
          <wp:inline distT="0" distB="0" distL="114300" distR="114300">
            <wp:extent cx="1929765" cy="1440180"/>
            <wp:effectExtent l="0" t="0" r="13335" b="7620"/>
            <wp:docPr id="21" name="图片 21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2976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CB4E9">
      <w:pPr>
        <w:jc w:val="both"/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vertAlign w:val="baseline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Supplementary Figure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16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.</w:t>
      </w: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</w:rPr>
        <w:t xml:space="preserve"> 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vertAlign w:val="baseline"/>
          <w:lang w:val="en-US" w:eastAsia="zh-CN"/>
        </w:rPr>
        <w:t>Fluorescence intensity analysis of tumor section after AV irradiation</w:t>
      </w: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vertAlign w:val="baseline"/>
          <w:lang w:val="en-US" w:eastAsia="zh-CN"/>
        </w:rPr>
        <w:t>.</w:t>
      </w:r>
    </w:p>
    <w:p w14:paraId="7DF6A680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868045"/>
            <wp:effectExtent l="0" t="0" r="4445" b="8255"/>
            <wp:docPr id="17" name="图片 17" descr="图片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片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6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88259">
      <w:pPr>
        <w:jc w:val="both"/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vertAlign w:val="baseline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Supplementary Figure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17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.</w:t>
      </w: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</w:rPr>
        <w:t xml:space="preserve"> </w:t>
      </w: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vertAlign w:val="baseline"/>
          <w:lang w:val="en-US" w:eastAsia="zh-CN"/>
        </w:rPr>
        <w:t>ROS detection in different groups at celluar level. Noted: G1: PBS, G2: FAV, G3: CD@Lip@GVsEC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vertAlign w:val="baseline"/>
          <w:lang w:val="en-US" w:eastAsia="zh-CN"/>
        </w:rPr>
        <w:t>γ</w:t>
      </w: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vertAlign w:val="baseline"/>
          <w:lang w:val="en-US" w:eastAsia="zh-CN"/>
        </w:rPr>
        <w:t xml:space="preserve"> + AV, G4: CD/pAb@Lip@GVsEC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vertAlign w:val="baseline"/>
          <w:lang w:val="en-US" w:eastAsia="zh-CN"/>
        </w:rPr>
        <w:t>γ</w:t>
      </w: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vertAlign w:val="baseline"/>
          <w:lang w:val="en-US" w:eastAsia="zh-CN"/>
        </w:rPr>
        <w:t>, G5: CD/pAb@Lip@GVsEC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vertAlign w:val="baseline"/>
          <w:lang w:val="en-US" w:eastAsia="zh-CN"/>
        </w:rPr>
        <w:t>γ</w:t>
      </w: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vertAlign w:val="baseline"/>
          <w:lang w:val="en-US" w:eastAsia="zh-CN"/>
        </w:rPr>
        <w:t xml:space="preserve"> + AV.</w:t>
      </w:r>
    </w:p>
    <w:p w14:paraId="25CA5B14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1233170"/>
            <wp:effectExtent l="0" t="0" r="13970" b="5080"/>
            <wp:docPr id="20" name="图片 20" descr="图片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23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AE37E">
      <w:pPr>
        <w:jc w:val="both"/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vertAlign w:val="baseline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Supplementary Figure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18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.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Quantitative analysis of immune cell infiltration in primary tumor. </w:t>
      </w: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vertAlign w:val="baseline"/>
          <w:lang w:val="en-US" w:eastAsia="zh-CN"/>
        </w:rPr>
        <w:t>Noted: G1: PBS, G2: FAV, G3: CD@Lip@GVsEC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vertAlign w:val="baseline"/>
          <w:lang w:val="en-US" w:eastAsia="zh-CN"/>
        </w:rPr>
        <w:t>γ</w:t>
      </w: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vertAlign w:val="baseline"/>
          <w:lang w:val="en-US" w:eastAsia="zh-CN"/>
        </w:rPr>
        <w:t xml:space="preserve"> + AV, G4: CD/pAb@Lip@GVsEC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vertAlign w:val="baseline"/>
          <w:lang w:val="en-US" w:eastAsia="zh-CN"/>
        </w:rPr>
        <w:t>γ</w:t>
      </w: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vertAlign w:val="baseline"/>
          <w:lang w:val="en-US" w:eastAsia="zh-CN"/>
        </w:rPr>
        <w:t>, G5: CD/pAb@Lip@GVsEC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vertAlign w:val="baseline"/>
          <w:lang w:val="en-US" w:eastAsia="zh-CN"/>
        </w:rPr>
        <w:t>γ</w:t>
      </w: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vertAlign w:val="baseline"/>
          <w:lang w:val="en-US" w:eastAsia="zh-CN"/>
        </w:rPr>
        <w:t xml:space="preserve"> + AV.</w:t>
      </w:r>
    </w:p>
    <w:p w14:paraId="0BEC33BD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95780" cy="1403985"/>
            <wp:effectExtent l="0" t="0" r="13970" b="5715"/>
            <wp:docPr id="2" name="图片 2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95780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65C6D">
      <w:pPr>
        <w:jc w:val="both"/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vertAlign w:val="baseline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Supplementary Figure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19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.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Distant tumor growth in different groups within 14 days. </w:t>
      </w: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vertAlign w:val="baseline"/>
          <w:lang w:val="en-US" w:eastAsia="zh-CN"/>
        </w:rPr>
        <w:t>Noted: G1: PBS, G2: FAV, G3: CD@Lip@GVsEC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vertAlign w:val="baseline"/>
          <w:lang w:val="en-US" w:eastAsia="zh-CN"/>
        </w:rPr>
        <w:t>γ</w:t>
      </w: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vertAlign w:val="baseline"/>
          <w:lang w:val="en-US" w:eastAsia="zh-CN"/>
        </w:rPr>
        <w:t xml:space="preserve"> + AV, G4: CD/pAb@Lip@GVsEC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vertAlign w:val="baseline"/>
          <w:lang w:val="en-US" w:eastAsia="zh-CN"/>
        </w:rPr>
        <w:t>γ</w:t>
      </w: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vertAlign w:val="baseline"/>
          <w:lang w:val="en-US" w:eastAsia="zh-CN"/>
        </w:rPr>
        <w:t>, G5: CD/pAb@Lip@GVsEC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vertAlign w:val="baseline"/>
          <w:lang w:val="en-US" w:eastAsia="zh-CN"/>
        </w:rPr>
        <w:t>γ</w:t>
      </w: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vertAlign w:val="baseline"/>
          <w:lang w:val="en-US" w:eastAsia="zh-CN"/>
        </w:rPr>
        <w:t xml:space="preserve"> + AV.</w:t>
      </w:r>
    </w:p>
    <w:p w14:paraId="23D05889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61365"/>
            <wp:effectExtent l="0" t="0" r="5715" b="635"/>
            <wp:docPr id="1" name="图片 1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6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D2DA2">
      <w:pPr>
        <w:jc w:val="both"/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vertAlign w:val="baseline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Supplementary Figure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20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.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Individual distant tumor growth in different groups within 14 days.</w:t>
      </w:r>
    </w:p>
    <w:p w14:paraId="708D4A9B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078355" cy="1403985"/>
            <wp:effectExtent l="0" t="0" r="17145" b="5715"/>
            <wp:docPr id="5" name="图片 5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78355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688FB">
      <w:pPr>
        <w:jc w:val="both"/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vertAlign w:val="baseline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Supplementary Figure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21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.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 w:eastAsia="zh-CN"/>
        </w:rPr>
        <w:t>In vitro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 tumor weighing in different groups after treatments. </w:t>
      </w: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vertAlign w:val="baseline"/>
          <w:lang w:val="en-US" w:eastAsia="zh-CN"/>
        </w:rPr>
        <w:t>Noted: G1: PBS, G2: FAV, G3: CD@Lip@GVsEC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vertAlign w:val="baseline"/>
          <w:lang w:val="en-US" w:eastAsia="zh-CN"/>
        </w:rPr>
        <w:t>γ</w:t>
      </w: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vertAlign w:val="baseline"/>
          <w:lang w:val="en-US" w:eastAsia="zh-CN"/>
        </w:rPr>
        <w:t xml:space="preserve"> + AV, G4: CD/pAb@Lip@GVsEC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vertAlign w:val="baseline"/>
          <w:lang w:val="en-US" w:eastAsia="zh-CN"/>
        </w:rPr>
        <w:t>γ</w:t>
      </w: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vertAlign w:val="baseline"/>
          <w:lang w:val="en-US" w:eastAsia="zh-CN"/>
        </w:rPr>
        <w:t>, G5: CD/pAb@Lip@GVsEC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vertAlign w:val="baseline"/>
          <w:lang w:val="en-US" w:eastAsia="zh-CN"/>
        </w:rPr>
        <w:t>γ</w:t>
      </w: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vertAlign w:val="baseline"/>
          <w:lang w:val="en-US" w:eastAsia="zh-CN"/>
        </w:rPr>
        <w:t xml:space="preserve"> + AV.</w:t>
      </w:r>
    </w:p>
    <w:p w14:paraId="3AF57102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96415" cy="1403985"/>
            <wp:effectExtent l="0" t="0" r="13335" b="5715"/>
            <wp:docPr id="3" name="图片 3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96415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EE248">
      <w:pPr>
        <w:jc w:val="both"/>
        <w:rPr>
          <w:rFonts w:hint="default" w:eastAsiaTheme="minorEastAsia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Supplementary Figure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22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Body weight change in different groups within 14 days. </w:t>
      </w: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vertAlign w:val="baseline"/>
          <w:lang w:val="en-US" w:eastAsia="zh-CN"/>
        </w:rPr>
        <w:t>Noted: G1: PBS, G2: FAV, G3: CD@Lip@GVsEC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vertAlign w:val="baseline"/>
          <w:lang w:val="en-US" w:eastAsia="zh-CN"/>
        </w:rPr>
        <w:t>γ</w:t>
      </w: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vertAlign w:val="baseline"/>
          <w:lang w:val="en-US" w:eastAsia="zh-CN"/>
        </w:rPr>
        <w:t xml:space="preserve"> + AV, G4: CD/pAb@Lip@GVsEC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vertAlign w:val="baseline"/>
          <w:lang w:val="en-US" w:eastAsia="zh-CN"/>
        </w:rPr>
        <w:t>γ</w:t>
      </w: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vertAlign w:val="baseline"/>
          <w:lang w:val="en-US" w:eastAsia="zh-CN"/>
        </w:rPr>
        <w:t>, G5: CD/pAb@Lip@GVsEC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vertAlign w:val="baseline"/>
          <w:lang w:val="en-US" w:eastAsia="zh-CN"/>
        </w:rPr>
        <w:t>γ</w:t>
      </w: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vertAlign w:val="baseline"/>
          <w:lang w:val="en-US" w:eastAsia="zh-CN"/>
        </w:rPr>
        <w:t xml:space="preserve"> + AV.</w:t>
      </w:r>
    </w:p>
    <w:p w14:paraId="3139803C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800225" cy="1403985"/>
            <wp:effectExtent l="0" t="0" r="9525" b="5715"/>
            <wp:docPr id="4" name="图片 4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821CD">
      <w:pPr>
        <w:jc w:val="both"/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vertAlign w:val="baseline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Supplementary Figure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23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.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Survival rate of mice in different groups within 50 days. </w:t>
      </w: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vertAlign w:val="baseline"/>
          <w:lang w:val="en-US" w:eastAsia="zh-CN"/>
        </w:rPr>
        <w:t>Noted: G1: PBS, G2: FAV, G3: CD@Lip@GVsEC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vertAlign w:val="baseline"/>
          <w:lang w:val="en-US" w:eastAsia="zh-CN"/>
        </w:rPr>
        <w:t>γ</w:t>
      </w: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vertAlign w:val="baseline"/>
          <w:lang w:val="en-US" w:eastAsia="zh-CN"/>
        </w:rPr>
        <w:t xml:space="preserve"> + AV, G4: CD/pAb@Lip@GVsEC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vertAlign w:val="baseline"/>
          <w:lang w:val="en-US" w:eastAsia="zh-CN"/>
        </w:rPr>
        <w:t>γ</w:t>
      </w: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vertAlign w:val="baseline"/>
          <w:lang w:val="en-US" w:eastAsia="zh-CN"/>
        </w:rPr>
        <w:t>, G5: CD/pAb@Lip@GVsEC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vertAlign w:val="baseline"/>
          <w:lang w:val="en-US" w:eastAsia="zh-CN"/>
        </w:rPr>
        <w:t>γ</w:t>
      </w: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vertAlign w:val="baseline"/>
          <w:lang w:val="en-US" w:eastAsia="zh-CN"/>
        </w:rPr>
        <w:t xml:space="preserve"> + AV.</w:t>
      </w:r>
    </w:p>
    <w:p w14:paraId="7F972B63">
      <w:pPr>
        <w:jc w:val="both"/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vertAlign w:val="baseline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vertAlign w:val="baseline"/>
          <w:lang w:val="en-US" w:eastAsia="zh-CN"/>
        </w:rPr>
        <w:drawing>
          <wp:inline distT="0" distB="0" distL="114300" distR="114300">
            <wp:extent cx="5271770" cy="1243330"/>
            <wp:effectExtent l="0" t="0" r="5080" b="13970"/>
            <wp:docPr id="24" name="图片 2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片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A2FAD">
      <w:pPr>
        <w:jc w:val="both"/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vertAlign w:val="baseline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Supplementary Figure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24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.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Quantitative analysis of immune cell infiltration in distant tumor. </w:t>
      </w: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vertAlign w:val="baseline"/>
          <w:lang w:val="en-US" w:eastAsia="zh-CN"/>
        </w:rPr>
        <w:t>Noted: G1: PBS, G2: FAV, G3: CD@Lip@GVsEC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vertAlign w:val="baseline"/>
          <w:lang w:val="en-US" w:eastAsia="zh-CN"/>
        </w:rPr>
        <w:t>γ</w:t>
      </w: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vertAlign w:val="baseline"/>
          <w:lang w:val="en-US" w:eastAsia="zh-CN"/>
        </w:rPr>
        <w:t xml:space="preserve"> + AV, G4: CD/pAb@Lip@GVsEC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vertAlign w:val="baseline"/>
          <w:lang w:val="en-US" w:eastAsia="zh-CN"/>
        </w:rPr>
        <w:t>γ</w:t>
      </w: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vertAlign w:val="baseline"/>
          <w:lang w:val="en-US" w:eastAsia="zh-CN"/>
        </w:rPr>
        <w:t>, G5: CD/pAb@Lip@GVsEC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vertAlign w:val="baseline"/>
          <w:lang w:val="en-US" w:eastAsia="zh-CN"/>
        </w:rPr>
        <w:t>γ</w:t>
      </w:r>
      <w:r>
        <w:rPr>
          <w:rFonts w:hint="eastAsia" w:ascii="Times New Roman" w:hAnsi="Times New Roman" w:cs="Times New Roman"/>
          <w:b w:val="0"/>
          <w:bCs w:val="0"/>
          <w:i w:val="0"/>
          <w:iCs w:val="0"/>
          <w:sz w:val="24"/>
          <w:szCs w:val="24"/>
          <w:vertAlign w:val="baseline"/>
          <w:lang w:val="en-US" w:eastAsia="zh-CN"/>
        </w:rPr>
        <w:t xml:space="preserve"> + AV.</w:t>
      </w:r>
    </w:p>
    <w:p w14:paraId="45E58F79">
      <w:pPr>
        <w:jc w:val="both"/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vertAlign w:val="baseline"/>
          <w:lang w:val="en-US" w:eastAsia="zh-CN"/>
        </w:rPr>
      </w:pPr>
    </w:p>
    <w:p w14:paraId="110A00CC">
      <w:pPr>
        <w:jc w:val="center"/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2B187A"/>
    <w:rsid w:val="043927D8"/>
    <w:rsid w:val="1424032E"/>
    <w:rsid w:val="16CE74DF"/>
    <w:rsid w:val="18C70CD3"/>
    <w:rsid w:val="1E6D20C1"/>
    <w:rsid w:val="21C470DD"/>
    <w:rsid w:val="268D3CB1"/>
    <w:rsid w:val="28524CEB"/>
    <w:rsid w:val="2C7A382A"/>
    <w:rsid w:val="391259D5"/>
    <w:rsid w:val="3DDB31D9"/>
    <w:rsid w:val="3DFC1EBF"/>
    <w:rsid w:val="47717E61"/>
    <w:rsid w:val="54A73895"/>
    <w:rsid w:val="5D8F7C82"/>
    <w:rsid w:val="6090524E"/>
    <w:rsid w:val="687709A1"/>
    <w:rsid w:val="6985242A"/>
    <w:rsid w:val="70F961C1"/>
    <w:rsid w:val="7A346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398</Words>
  <Characters>2451</Characters>
  <Lines>0</Lines>
  <Paragraphs>0</Paragraphs>
  <TotalTime>5</TotalTime>
  <ScaleCrop>false</ScaleCrop>
  <LinksUpToDate>false</LinksUpToDate>
  <CharactersWithSpaces>2821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2025-10-11T04:56:00Z</dcterms:created>
  <dc:creator>Administrator</dc:creator>
  <cp:lastModifiedBy>WPS_1531973414</cp:lastModifiedBy>
  <dcterms:modified xsi:type="dcterms:W3CDTF">2025-10-27T13:43:49Z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eyJoZGlkIjoiNmI0MGUzZDQ0NDg5M2E3ZDk2ZmVlMjZmMDI3ZDlkZDgiLCJ1c2VySWQiOiIzODc4MDYxMDYifQ==</vt:lpwstr>
  </property>
  <property fmtid="{D5CDD505-2E9C-101B-9397-08002B2CF9AE}" pid="4" name="ICV">
    <vt:lpwstr>2FA3521BB89C44F3B517DE690A26C253_12</vt:lpwstr>
  </property>
</Properties>
</file>