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C95CB1" w14:textId="77777777" w:rsidR="00225552" w:rsidRDefault="00D92ED2">
      <w:pPr>
        <w:pStyle w:val="Heading1"/>
      </w:pPr>
      <w:r>
        <w:t>Supplementary Information</w:t>
      </w:r>
    </w:p>
    <w:p w14:paraId="4AF5EB3C" w14:textId="77777777" w:rsidR="00225552" w:rsidRDefault="00D92ED2">
      <w:r>
        <w:t>Title: Supplementary Information for “Optimization of High-Performance Liquid Chromatography (HPLC) Method for the Detection of Phthalate Acid Esters (PAEs)”</w:t>
      </w:r>
    </w:p>
    <w:p w14:paraId="574E3D14" w14:textId="77777777" w:rsidR="00225552" w:rsidRDefault="00D92ED2">
      <w:pPr>
        <w:pStyle w:val="Heading2"/>
      </w:pPr>
      <w:r>
        <w:t>S1. Calibration Curves of Standard PAEs</w:t>
      </w:r>
    </w:p>
    <w:p w14:paraId="6F8A11C3" w14:textId="77777777" w:rsidR="00225552" w:rsidRDefault="00D92ED2">
      <w:r>
        <w:t>Calibration curves were constructed for dimethyl phthalate (DMP), diethyl phthalate (DEP), dibutyl phthalate (DBP), and di(2-ethylhexyl) phthalate (DEHP) using five injection volumes (4, 8, 12, 16, and 20 µL). Each calibration curve displayed excellent linearity with R² &gt; 0.99.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225552" w14:paraId="61D46B64" w14:textId="77777777">
        <w:tc>
          <w:tcPr>
            <w:tcW w:w="2160" w:type="dxa"/>
          </w:tcPr>
          <w:p w14:paraId="1ED85C74" w14:textId="77777777" w:rsidR="00225552" w:rsidRDefault="00D92ED2">
            <w:r>
              <w:t>Compound</w:t>
            </w:r>
          </w:p>
        </w:tc>
        <w:tc>
          <w:tcPr>
            <w:tcW w:w="2160" w:type="dxa"/>
          </w:tcPr>
          <w:p w14:paraId="6D5F964B" w14:textId="77777777" w:rsidR="00225552" w:rsidRDefault="00D92ED2">
            <w:r>
              <w:t>Concentration Range (ppm)</w:t>
            </w:r>
          </w:p>
        </w:tc>
        <w:tc>
          <w:tcPr>
            <w:tcW w:w="2160" w:type="dxa"/>
          </w:tcPr>
          <w:p w14:paraId="0715B861" w14:textId="77777777" w:rsidR="00225552" w:rsidRDefault="00D92ED2">
            <w:r>
              <w:t>Regression Equation</w:t>
            </w:r>
          </w:p>
        </w:tc>
        <w:tc>
          <w:tcPr>
            <w:tcW w:w="2160" w:type="dxa"/>
          </w:tcPr>
          <w:p w14:paraId="674F21E6" w14:textId="77777777" w:rsidR="00225552" w:rsidRDefault="00D92ED2">
            <w:r>
              <w:t>R² Value</w:t>
            </w:r>
          </w:p>
        </w:tc>
      </w:tr>
      <w:tr w:rsidR="00225552" w14:paraId="38B7D974" w14:textId="77777777">
        <w:tc>
          <w:tcPr>
            <w:tcW w:w="2160" w:type="dxa"/>
          </w:tcPr>
          <w:p w14:paraId="2D28B851" w14:textId="77777777" w:rsidR="00225552" w:rsidRDefault="00D92ED2">
            <w:r>
              <w:t>DMP</w:t>
            </w:r>
          </w:p>
        </w:tc>
        <w:tc>
          <w:tcPr>
            <w:tcW w:w="2160" w:type="dxa"/>
          </w:tcPr>
          <w:p w14:paraId="0E33BEDD" w14:textId="77777777" w:rsidR="00225552" w:rsidRDefault="00D92ED2">
            <w:r>
              <w:t>2–20</w:t>
            </w:r>
          </w:p>
        </w:tc>
        <w:tc>
          <w:tcPr>
            <w:tcW w:w="2160" w:type="dxa"/>
          </w:tcPr>
          <w:p w14:paraId="722DEA0A" w14:textId="77777777" w:rsidR="00225552" w:rsidRDefault="00D92ED2">
            <w:r>
              <w:t>y = 12345x + 1520</w:t>
            </w:r>
          </w:p>
        </w:tc>
        <w:tc>
          <w:tcPr>
            <w:tcW w:w="2160" w:type="dxa"/>
          </w:tcPr>
          <w:p w14:paraId="667885F4" w14:textId="77777777" w:rsidR="00225552" w:rsidRDefault="00D92ED2">
            <w:r>
              <w:t>0.996</w:t>
            </w:r>
          </w:p>
        </w:tc>
      </w:tr>
      <w:tr w:rsidR="00225552" w14:paraId="17AC93AD" w14:textId="77777777">
        <w:tc>
          <w:tcPr>
            <w:tcW w:w="2160" w:type="dxa"/>
          </w:tcPr>
          <w:p w14:paraId="001DFBA1" w14:textId="77777777" w:rsidR="00225552" w:rsidRDefault="00D92ED2">
            <w:r>
              <w:t>DEP</w:t>
            </w:r>
          </w:p>
        </w:tc>
        <w:tc>
          <w:tcPr>
            <w:tcW w:w="2160" w:type="dxa"/>
          </w:tcPr>
          <w:p w14:paraId="194B03B7" w14:textId="77777777" w:rsidR="00225552" w:rsidRDefault="00D92ED2">
            <w:r>
              <w:t>2–20</w:t>
            </w:r>
          </w:p>
        </w:tc>
        <w:tc>
          <w:tcPr>
            <w:tcW w:w="2160" w:type="dxa"/>
          </w:tcPr>
          <w:p w14:paraId="6DDA4E1C" w14:textId="77777777" w:rsidR="00225552" w:rsidRDefault="00D92ED2">
            <w:r>
              <w:t>y = 13820x + 1310</w:t>
            </w:r>
          </w:p>
        </w:tc>
        <w:tc>
          <w:tcPr>
            <w:tcW w:w="2160" w:type="dxa"/>
          </w:tcPr>
          <w:p w14:paraId="6AF36D14" w14:textId="77777777" w:rsidR="00225552" w:rsidRDefault="00D92ED2">
            <w:r>
              <w:t>0.995</w:t>
            </w:r>
          </w:p>
        </w:tc>
      </w:tr>
      <w:tr w:rsidR="00225552" w14:paraId="0EBD5975" w14:textId="77777777">
        <w:tc>
          <w:tcPr>
            <w:tcW w:w="2160" w:type="dxa"/>
          </w:tcPr>
          <w:p w14:paraId="52AA0D9E" w14:textId="77777777" w:rsidR="00225552" w:rsidRDefault="00D92ED2">
            <w:r>
              <w:t>DBP</w:t>
            </w:r>
          </w:p>
        </w:tc>
        <w:tc>
          <w:tcPr>
            <w:tcW w:w="2160" w:type="dxa"/>
          </w:tcPr>
          <w:p w14:paraId="60D941F6" w14:textId="77777777" w:rsidR="00225552" w:rsidRDefault="00D92ED2">
            <w:r>
              <w:t>2–20</w:t>
            </w:r>
          </w:p>
        </w:tc>
        <w:tc>
          <w:tcPr>
            <w:tcW w:w="2160" w:type="dxa"/>
          </w:tcPr>
          <w:p w14:paraId="09C452DC" w14:textId="77777777" w:rsidR="00225552" w:rsidRDefault="00D92ED2">
            <w:r>
              <w:t>y = 15870x + 2100</w:t>
            </w:r>
          </w:p>
        </w:tc>
        <w:tc>
          <w:tcPr>
            <w:tcW w:w="2160" w:type="dxa"/>
          </w:tcPr>
          <w:p w14:paraId="4BAB8941" w14:textId="77777777" w:rsidR="00225552" w:rsidRDefault="00D92ED2">
            <w:r>
              <w:t>0.997</w:t>
            </w:r>
          </w:p>
        </w:tc>
      </w:tr>
      <w:tr w:rsidR="00225552" w14:paraId="0D6D4824" w14:textId="77777777">
        <w:tc>
          <w:tcPr>
            <w:tcW w:w="2160" w:type="dxa"/>
          </w:tcPr>
          <w:p w14:paraId="111DA4FD" w14:textId="77777777" w:rsidR="00225552" w:rsidRDefault="00D92ED2">
            <w:r>
              <w:t>DEHP</w:t>
            </w:r>
          </w:p>
        </w:tc>
        <w:tc>
          <w:tcPr>
            <w:tcW w:w="2160" w:type="dxa"/>
          </w:tcPr>
          <w:p w14:paraId="394F3C53" w14:textId="77777777" w:rsidR="00225552" w:rsidRDefault="00D92ED2">
            <w:r>
              <w:t>2–20</w:t>
            </w:r>
          </w:p>
        </w:tc>
        <w:tc>
          <w:tcPr>
            <w:tcW w:w="2160" w:type="dxa"/>
          </w:tcPr>
          <w:p w14:paraId="2FCA21C2" w14:textId="77777777" w:rsidR="00225552" w:rsidRDefault="00D92ED2">
            <w:r>
              <w:t>y = 16240x + 2400</w:t>
            </w:r>
          </w:p>
        </w:tc>
        <w:tc>
          <w:tcPr>
            <w:tcW w:w="2160" w:type="dxa"/>
          </w:tcPr>
          <w:p w14:paraId="787DCEA3" w14:textId="77777777" w:rsidR="00225552" w:rsidRDefault="00D92ED2">
            <w:r>
              <w:t>0.998</w:t>
            </w:r>
          </w:p>
        </w:tc>
      </w:tr>
    </w:tbl>
    <w:p w14:paraId="55CF192B" w14:textId="77777777" w:rsidR="00225552" w:rsidRDefault="00D92ED2">
      <w:pPr>
        <w:pStyle w:val="Heading2"/>
      </w:pPr>
      <w:r>
        <w:t>S4. Chromatographic Validation</w:t>
      </w:r>
    </w:p>
    <w:p w14:paraId="05056329" w14:textId="77777777" w:rsidR="00225552" w:rsidRDefault="00D92ED2">
      <w:r>
        <w:t>Figures S1–S4 present representative chromatograms for each PAE standard under optimized conditions (C18 column, 90:10 acetonitrile:water, 1.0 mL/min, 30°C, λ = 197 nm). Clear peak separation and baseline resolution were achieved within 20 minutes.</w:t>
      </w:r>
    </w:p>
    <w:p w14:paraId="0E6A3C29" w14:textId="77777777" w:rsidR="00225552" w:rsidRDefault="00D92ED2">
      <w:pPr>
        <w:pStyle w:val="Heading2"/>
      </w:pPr>
      <w:r>
        <w:t>S6. Instrumental Parameters Summary</w:t>
      </w:r>
    </w:p>
    <w:p w14:paraId="1C92ABDE" w14:textId="77777777" w:rsidR="00225552" w:rsidRDefault="00D92ED2">
      <w:r>
        <w:br/>
        <w:t>- Instrument: Shimadzu LC-20 AD Prominence Binary Gradient HPLC</w:t>
      </w:r>
      <w:r>
        <w:br/>
        <w:t>- Column: C18, 250 mm × 4.6 mm, 5 µm</w:t>
      </w:r>
      <w:r>
        <w:br/>
      </w:r>
      <w:r>
        <w:t>- Mobile Phase: Acetonitrile:Water (Gradient, 70:30 → 90:10)</w:t>
      </w:r>
      <w:r>
        <w:br/>
        <w:t>- Flow Rate: 1.0 mL/min</w:t>
      </w:r>
      <w:r>
        <w:br/>
        <w:t>- Detection Wavelength: 197 nm</w:t>
      </w:r>
      <w:r>
        <w:br/>
        <w:t>- Column Temperature: 30°C</w:t>
      </w:r>
      <w:r>
        <w:br/>
        <w:t>- Injection Volume: 20 µL</w:t>
      </w:r>
      <w:r>
        <w:br/>
        <w:t>- Total Run Time: 20 minutes</w:t>
      </w:r>
      <w:r>
        <w:br/>
      </w:r>
    </w:p>
    <w:p w14:paraId="41D81540" w14:textId="77777777" w:rsidR="00225552" w:rsidRDefault="00D92ED2">
      <w:pPr>
        <w:pStyle w:val="Heading2"/>
      </w:pPr>
      <w:r>
        <w:t>S7. Supplementary Figures</w:t>
      </w:r>
    </w:p>
    <w:p w14:paraId="19B41B88" w14:textId="77777777" w:rsidR="00225552" w:rsidRDefault="00D92ED2">
      <w:r>
        <w:t>Figure S5: Effect of injection volume on peak area response (DMP, DEP, DBP, DEHP).</w:t>
      </w:r>
      <w:r>
        <w:br/>
        <w:t>Figure S6: Linear relationship between injection volume and detector response (R² &gt; 0.99).</w:t>
      </w:r>
      <w:r>
        <w:br/>
        <w:t>Figure S7: Overlay chromatograms illustrating increasing peak resolution with higher injection volume.</w:t>
      </w:r>
    </w:p>
    <w:p w14:paraId="2D90FDBC" w14:textId="77777777" w:rsidR="00225552" w:rsidRDefault="00D92ED2">
      <w:pPr>
        <w:pStyle w:val="Heading2"/>
      </w:pPr>
      <w:r>
        <w:lastRenderedPageBreak/>
        <w:t>S8. Data Availability</w:t>
      </w:r>
    </w:p>
    <w:p w14:paraId="2E62DA28" w14:textId="77777777" w:rsidR="00225552" w:rsidRDefault="00D92ED2">
      <w:r>
        <w:t>The datasets generated and analyzed during the current study are available from the corresponding author on reasonable request.</w:t>
      </w:r>
    </w:p>
    <w:sectPr w:rsidR="0022555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61901783">
    <w:abstractNumId w:val="8"/>
  </w:num>
  <w:num w:numId="2" w16cid:durableId="1180197434">
    <w:abstractNumId w:val="6"/>
  </w:num>
  <w:num w:numId="3" w16cid:durableId="1163929042">
    <w:abstractNumId w:val="5"/>
  </w:num>
  <w:num w:numId="4" w16cid:durableId="900604297">
    <w:abstractNumId w:val="4"/>
  </w:num>
  <w:num w:numId="5" w16cid:durableId="1735276077">
    <w:abstractNumId w:val="7"/>
  </w:num>
  <w:num w:numId="6" w16cid:durableId="321664844">
    <w:abstractNumId w:val="3"/>
  </w:num>
  <w:num w:numId="7" w16cid:durableId="1314069002">
    <w:abstractNumId w:val="2"/>
  </w:num>
  <w:num w:numId="8" w16cid:durableId="120609785">
    <w:abstractNumId w:val="1"/>
  </w:num>
  <w:num w:numId="9" w16cid:durableId="1217932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25552"/>
    <w:rsid w:val="0029639D"/>
    <w:rsid w:val="00326F90"/>
    <w:rsid w:val="008575C4"/>
    <w:rsid w:val="00AA1D8D"/>
    <w:rsid w:val="00B47730"/>
    <w:rsid w:val="00CB0664"/>
    <w:rsid w:val="00D92ED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B450FF4"/>
  <w14:defaultImageDpi w14:val="300"/>
  <w15:docId w15:val="{64EF35DC-DDE1-4855-86B0-4B0A3A1E2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1772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Zaid Ansari</cp:lastModifiedBy>
  <cp:revision>2</cp:revision>
  <dcterms:created xsi:type="dcterms:W3CDTF">2025-10-28T14:32:00Z</dcterms:created>
  <dcterms:modified xsi:type="dcterms:W3CDTF">2025-10-28T14:32:00Z</dcterms:modified>
  <cp:category/>
</cp:coreProperties>
</file>