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E3C39" w14:textId="7BE9EF5C" w:rsidR="00502C8F" w:rsidRDefault="00F32EBF" w:rsidP="00C045BC">
      <w:pPr>
        <w:spacing w:line="480" w:lineRule="auto"/>
        <w:jc w:val="center"/>
        <w:rPr>
          <w:rFonts w:ascii="Times New Roman" w:hAnsi="Times New Roman" w:cs="Times New Roman"/>
          <w:b/>
          <w:bCs/>
          <w:sz w:val="28"/>
          <w:szCs w:val="28"/>
          <w14:ligatures w14:val="standardContextual"/>
        </w:rPr>
      </w:pPr>
      <w:r w:rsidRPr="00F32EBF">
        <w:rPr>
          <w:rFonts w:ascii="Times New Roman" w:hAnsi="Times New Roman" w:cs="Times New Roman"/>
          <w:b/>
          <w:bCs/>
          <w:sz w:val="28"/>
          <w:szCs w:val="28"/>
          <w14:ligatures w14:val="standardContextual"/>
        </w:rPr>
        <w:t>DiNetxify—a Python package for three‑dimensional disease network analysis based on electronic health record data</w:t>
      </w:r>
    </w:p>
    <w:p w14:paraId="742434DA" w14:textId="47682218" w:rsidR="00EC496A" w:rsidRPr="00C761D6" w:rsidRDefault="00EC496A" w:rsidP="00C045BC">
      <w:pPr>
        <w:spacing w:line="480" w:lineRule="auto"/>
        <w:jc w:val="center"/>
        <w:rPr>
          <w:rFonts w:ascii="Times New Roman" w:hAnsi="Times New Roman" w:cs="Times New Roman"/>
          <w:sz w:val="22"/>
          <w:vertAlign w:val="superscript"/>
        </w:rPr>
      </w:pPr>
      <w:r w:rsidRPr="00C761D6">
        <w:rPr>
          <w:rFonts w:ascii="Times New Roman" w:hAnsi="Times New Roman" w:cs="Times New Roman"/>
          <w:sz w:val="22"/>
        </w:rPr>
        <w:t xml:space="preserve">Can Hou, Haowen Liu, </w:t>
      </w:r>
      <w:r w:rsidR="00502C8F" w:rsidRPr="00502C8F">
        <w:rPr>
          <w:rFonts w:ascii="Times New Roman" w:hAnsi="Times New Roman" w:cs="Times New Roman" w:hint="eastAsia"/>
          <w:sz w:val="22"/>
        </w:rPr>
        <w:t>Viktor H. Ahlqvist</w:t>
      </w:r>
      <w:r w:rsidR="00502C8F">
        <w:rPr>
          <w:rFonts w:ascii="Times New Roman" w:hAnsi="Times New Roman" w:cs="Times New Roman" w:hint="eastAsia"/>
          <w:sz w:val="22"/>
        </w:rPr>
        <w:t xml:space="preserve">, </w:t>
      </w:r>
      <w:r w:rsidRPr="00C761D6">
        <w:rPr>
          <w:rFonts w:ascii="Times New Roman" w:hAnsi="Times New Roman" w:cs="Times New Roman"/>
          <w:sz w:val="22"/>
        </w:rPr>
        <w:t>Elisabet Unnur Gisladottir, Yao Yang, Huazhen Yang, Fang</w:t>
      </w:r>
      <w:r w:rsidRPr="00C761D6">
        <w:rPr>
          <w:rFonts w:ascii="Times New Roman" w:hAnsi="Times New Roman" w:cs="Times New Roman" w:hint="eastAsia"/>
          <w:sz w:val="22"/>
        </w:rPr>
        <w:t xml:space="preserve"> </w:t>
      </w:r>
      <w:r w:rsidRPr="00C761D6">
        <w:rPr>
          <w:rFonts w:ascii="Times New Roman" w:hAnsi="Times New Roman" w:cs="Times New Roman"/>
          <w:sz w:val="22"/>
        </w:rPr>
        <w:t>Fang, Unnur A. Valdimarsdóttir, Huan Song</w:t>
      </w:r>
    </w:p>
    <w:p w14:paraId="5C01550A" w14:textId="77777777" w:rsidR="00C617D6" w:rsidRPr="00EC496A" w:rsidRDefault="00C617D6" w:rsidP="000D1F1B">
      <w:pPr>
        <w:spacing w:line="360" w:lineRule="auto"/>
        <w:rPr>
          <w:rFonts w:ascii="Times New Roman" w:eastAsia="等线" w:hAnsi="Times New Roman" w:cs="等线"/>
          <w:color w:val="000000"/>
          <w:sz w:val="22"/>
        </w:rPr>
      </w:pPr>
    </w:p>
    <w:p w14:paraId="7206A9D9" w14:textId="359F02D4" w:rsidR="00CB2449" w:rsidRDefault="00C617D6" w:rsidP="00CB2449">
      <w:pPr>
        <w:spacing w:line="360" w:lineRule="auto"/>
        <w:jc w:val="center"/>
        <w:rPr>
          <w:rFonts w:ascii="Times New Roman" w:hAnsi="Times New Roman" w:cs="Times New Roman"/>
          <w:b/>
          <w:bCs/>
          <w:sz w:val="32"/>
          <w:szCs w:val="32"/>
        </w:rPr>
      </w:pPr>
      <w:r w:rsidRPr="0044444B">
        <w:rPr>
          <w:rFonts w:ascii="Times New Roman" w:hAnsi="Times New Roman" w:cs="Times New Roman" w:hint="eastAsia"/>
          <w:b/>
          <w:bCs/>
          <w:sz w:val="32"/>
          <w:szCs w:val="32"/>
        </w:rPr>
        <w:t>S</w:t>
      </w:r>
      <w:r w:rsidRPr="0044444B">
        <w:rPr>
          <w:rFonts w:ascii="Times New Roman" w:hAnsi="Times New Roman" w:cs="Times New Roman"/>
          <w:b/>
          <w:bCs/>
          <w:sz w:val="32"/>
          <w:szCs w:val="32"/>
        </w:rPr>
        <w:t xml:space="preserve">upplementary </w:t>
      </w:r>
      <w:r>
        <w:rPr>
          <w:rFonts w:ascii="Times New Roman" w:hAnsi="Times New Roman" w:cs="Times New Roman"/>
          <w:b/>
          <w:bCs/>
          <w:sz w:val="32"/>
          <w:szCs w:val="32"/>
        </w:rPr>
        <w:t>Figures</w:t>
      </w:r>
    </w:p>
    <w:p w14:paraId="15032B40" w14:textId="1412F34A" w:rsidR="00B9339C" w:rsidRPr="00F820CA" w:rsidRDefault="00CB2449" w:rsidP="00CB2449">
      <w:pPr>
        <w:widowControl/>
        <w:jc w:val="left"/>
        <w:rPr>
          <w:rFonts w:ascii="Times New Roman" w:hAnsi="Times New Roman" w:cs="Times New Roman"/>
          <w:b/>
          <w:bCs/>
          <w:sz w:val="32"/>
          <w:szCs w:val="32"/>
        </w:rPr>
      </w:pPr>
      <w:r>
        <w:rPr>
          <w:rFonts w:ascii="Times New Roman" w:hAnsi="Times New Roman" w:cs="Times New Roman"/>
          <w:b/>
          <w:bCs/>
          <w:sz w:val="32"/>
          <w:szCs w:val="32"/>
        </w:rPr>
        <w:br w:type="page"/>
      </w:r>
    </w:p>
    <w:p w14:paraId="02EBE086" w14:textId="6D496619" w:rsidR="001F0132" w:rsidRDefault="008E1FE3" w:rsidP="000D1F1B">
      <w:pPr>
        <w:rPr>
          <w:rFonts w:ascii="Times New Roman" w:hAnsi="Times New Roman" w:cs="Times New Roman"/>
          <w:b/>
          <w:bCs/>
          <w:sz w:val="24"/>
          <w:szCs w:val="24"/>
        </w:rPr>
      </w:pPr>
      <w:r>
        <w:rPr>
          <w:noProof/>
        </w:rPr>
        <w:lastRenderedPageBreak/>
        <w:drawing>
          <wp:inline distT="0" distB="0" distL="0" distR="0" wp14:anchorId="09B1A299" wp14:editId="55C12230">
            <wp:extent cx="4333240" cy="1979930"/>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33240" cy="1979930"/>
                    </a:xfrm>
                    <a:prstGeom prst="rect">
                      <a:avLst/>
                    </a:prstGeom>
                    <a:noFill/>
                    <a:ln>
                      <a:noFill/>
                    </a:ln>
                  </pic:spPr>
                </pic:pic>
              </a:graphicData>
            </a:graphic>
          </wp:inline>
        </w:drawing>
      </w:r>
    </w:p>
    <w:p w14:paraId="7EE18AFF" w14:textId="1DB78B98" w:rsidR="00562D33" w:rsidRPr="0089103C" w:rsidRDefault="00B9339C" w:rsidP="000D1F1B">
      <w:pPr>
        <w:rPr>
          <w:rFonts w:ascii="Times New Roman" w:hAnsi="Times New Roman" w:cs="Times New Roman"/>
          <w:sz w:val="24"/>
          <w:szCs w:val="24"/>
        </w:rPr>
        <w:sectPr w:rsidR="00562D33" w:rsidRPr="0089103C" w:rsidSect="0011680C">
          <w:pgSz w:w="11906" w:h="16838"/>
          <w:pgMar w:top="720" w:right="720" w:bottom="720" w:left="720" w:header="851" w:footer="992" w:gutter="0"/>
          <w:cols w:space="425"/>
          <w:docGrid w:type="lines" w:linePitch="312"/>
        </w:sectPr>
      </w:pPr>
      <w:r w:rsidRPr="00FE1DBA">
        <w:rPr>
          <w:rFonts w:ascii="Times New Roman" w:hAnsi="Times New Roman" w:cs="Times New Roman"/>
          <w:b/>
          <w:bCs/>
          <w:sz w:val="24"/>
          <w:szCs w:val="24"/>
        </w:rPr>
        <w:t xml:space="preserve">Supplementary Figure </w:t>
      </w:r>
      <w:r w:rsidR="00286B46">
        <w:rPr>
          <w:rFonts w:ascii="Times New Roman" w:hAnsi="Times New Roman" w:cs="Times New Roman"/>
          <w:b/>
          <w:bCs/>
          <w:sz w:val="24"/>
          <w:szCs w:val="24"/>
        </w:rPr>
        <w:t>1</w:t>
      </w:r>
      <w:r>
        <w:rPr>
          <w:rFonts w:ascii="Times New Roman" w:hAnsi="Times New Roman" w:cs="Times New Roman"/>
          <w:b/>
          <w:bCs/>
          <w:sz w:val="24"/>
          <w:szCs w:val="24"/>
        </w:rPr>
        <w:t xml:space="preserve"> </w:t>
      </w:r>
      <w:r w:rsidRPr="00FE1DBA">
        <w:rPr>
          <w:rFonts w:ascii="Times New Roman" w:hAnsi="Times New Roman" w:cs="Times New Roman"/>
          <w:sz w:val="24"/>
          <w:szCs w:val="24"/>
        </w:rPr>
        <w:t xml:space="preserve">Flowchart </w:t>
      </w:r>
      <w:r w:rsidR="0089103C">
        <w:rPr>
          <w:rFonts w:ascii="Times New Roman" w:hAnsi="Times New Roman" w:cs="Times New Roman" w:hint="eastAsia"/>
          <w:sz w:val="24"/>
          <w:szCs w:val="24"/>
        </w:rPr>
        <w:t xml:space="preserve">for the </w:t>
      </w:r>
      <w:r w:rsidR="00F32EBF">
        <w:rPr>
          <w:rFonts w:ascii="Times New Roman" w:hAnsi="Times New Roman" w:cs="Times New Roman" w:hint="eastAsia"/>
          <w:sz w:val="24"/>
          <w:szCs w:val="24"/>
        </w:rPr>
        <w:t xml:space="preserve">case study </w:t>
      </w:r>
      <w:r w:rsidR="0089103C">
        <w:rPr>
          <w:rFonts w:ascii="Times New Roman" w:hAnsi="Times New Roman" w:cs="Times New Roman" w:hint="eastAsia"/>
          <w:sz w:val="24"/>
          <w:szCs w:val="24"/>
        </w:rPr>
        <w:t>using the UK Biobank data</w:t>
      </w:r>
    </w:p>
    <w:p w14:paraId="05CFEB92" w14:textId="01CB4A74" w:rsidR="00562D33" w:rsidRDefault="00EF0601" w:rsidP="001920C8">
      <w:pPr>
        <w:jc w:val="center"/>
        <w:rPr>
          <w:rFonts w:ascii="Times New Roman" w:hAnsi="Times New Roman" w:cs="Times New Roman"/>
          <w:b/>
          <w:bCs/>
          <w:sz w:val="24"/>
          <w:szCs w:val="24"/>
        </w:rPr>
      </w:pPr>
      <w:r>
        <w:rPr>
          <w:noProof/>
        </w:rPr>
        <w:lastRenderedPageBreak/>
        <w:drawing>
          <wp:inline distT="0" distB="0" distL="0" distR="0" wp14:anchorId="300A94C0" wp14:editId="35A39180">
            <wp:extent cx="6642100" cy="6410960"/>
            <wp:effectExtent l="0" t="0" r="6350" b="8890"/>
            <wp:docPr id="18766149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2100" cy="6410960"/>
                    </a:xfrm>
                    <a:prstGeom prst="rect">
                      <a:avLst/>
                    </a:prstGeom>
                    <a:noFill/>
                    <a:ln>
                      <a:noFill/>
                    </a:ln>
                  </pic:spPr>
                </pic:pic>
              </a:graphicData>
            </a:graphic>
          </wp:inline>
        </w:drawing>
      </w:r>
    </w:p>
    <w:p w14:paraId="16831B93" w14:textId="6845DA8C" w:rsidR="00562D33" w:rsidRDefault="00562D33" w:rsidP="000D1F1B">
      <w:pPr>
        <w:rPr>
          <w:rFonts w:ascii="Times New Roman" w:hAnsi="Times New Roman" w:cs="Times New Roman"/>
          <w:sz w:val="24"/>
          <w:szCs w:val="24"/>
        </w:rPr>
      </w:pPr>
      <w:r w:rsidRPr="00FE1DBA">
        <w:rPr>
          <w:rFonts w:ascii="Times New Roman" w:hAnsi="Times New Roman" w:cs="Times New Roman"/>
          <w:b/>
          <w:bCs/>
          <w:sz w:val="24"/>
          <w:szCs w:val="24"/>
        </w:rPr>
        <w:t xml:space="preserve">Supplementary Figure </w:t>
      </w:r>
      <w:r w:rsidR="00286B46">
        <w:rPr>
          <w:rFonts w:ascii="Times New Roman" w:hAnsi="Times New Roman" w:cs="Times New Roman"/>
          <w:b/>
          <w:bCs/>
          <w:sz w:val="24"/>
          <w:szCs w:val="24"/>
        </w:rPr>
        <w:t>2</w:t>
      </w:r>
      <w:r>
        <w:rPr>
          <w:rFonts w:ascii="Times New Roman" w:hAnsi="Times New Roman" w:cs="Times New Roman"/>
          <w:b/>
          <w:bCs/>
          <w:sz w:val="24"/>
          <w:szCs w:val="24"/>
        </w:rPr>
        <w:t xml:space="preserve"> </w:t>
      </w:r>
      <w:r w:rsidR="00A91505" w:rsidRPr="005E2156">
        <w:rPr>
          <w:rFonts w:ascii="Times New Roman" w:hAnsi="Times New Roman" w:cs="Times New Roman" w:hint="eastAsia"/>
          <w:sz w:val="24"/>
          <w:szCs w:val="24"/>
        </w:rPr>
        <w:t xml:space="preserve">PheWAS analysis </w:t>
      </w:r>
      <w:r w:rsidR="00A91505">
        <w:rPr>
          <w:rFonts w:ascii="Times New Roman" w:hAnsi="Times New Roman" w:cs="Times New Roman" w:hint="eastAsia"/>
          <w:sz w:val="24"/>
          <w:szCs w:val="24"/>
        </w:rPr>
        <w:t xml:space="preserve">results </w:t>
      </w:r>
      <w:r w:rsidR="00A91505" w:rsidRPr="005E2156">
        <w:rPr>
          <w:rFonts w:ascii="Times New Roman" w:hAnsi="Times New Roman" w:cs="Times New Roman" w:hint="eastAsia"/>
          <w:sz w:val="24"/>
          <w:szCs w:val="24"/>
        </w:rPr>
        <w:t>in</w:t>
      </w:r>
      <w:r w:rsidR="00C223F3">
        <w:rPr>
          <w:rFonts w:ascii="Times New Roman" w:hAnsi="Times New Roman" w:cs="Times New Roman" w:hint="eastAsia"/>
          <w:sz w:val="24"/>
          <w:szCs w:val="24"/>
        </w:rPr>
        <w:t xml:space="preserve"> </w:t>
      </w:r>
      <w:r w:rsidR="00F32EBF">
        <w:rPr>
          <w:rFonts w:ascii="Times New Roman" w:hAnsi="Times New Roman" w:cs="Times New Roman" w:hint="eastAsia"/>
          <w:sz w:val="24"/>
          <w:szCs w:val="24"/>
        </w:rPr>
        <w:t xml:space="preserve">the </w:t>
      </w:r>
      <w:r w:rsidR="00C223F3">
        <w:rPr>
          <w:rFonts w:ascii="Times New Roman" w:hAnsi="Times New Roman" w:cs="Times New Roman" w:hint="eastAsia"/>
          <w:sz w:val="24"/>
          <w:szCs w:val="24"/>
        </w:rPr>
        <w:t>case study</w:t>
      </w:r>
      <w:r w:rsidR="003F42AE">
        <w:rPr>
          <w:rFonts w:ascii="Times New Roman" w:hAnsi="Times New Roman" w:cs="Times New Roman" w:hint="eastAsia"/>
          <w:sz w:val="24"/>
          <w:szCs w:val="24"/>
        </w:rPr>
        <w:t>.</w:t>
      </w:r>
    </w:p>
    <w:p w14:paraId="68444B86" w14:textId="75F94C3F" w:rsidR="00766A5D" w:rsidRPr="00DE774F" w:rsidRDefault="00DE774F" w:rsidP="000D1F1B">
      <w:pPr>
        <w:widowControl/>
        <w:rPr>
          <w:rFonts w:ascii="Times New Roman" w:hAnsi="Times New Roman" w:cs="Times New Roman"/>
          <w:sz w:val="24"/>
          <w:szCs w:val="24"/>
        </w:rPr>
        <w:sectPr w:rsidR="00766A5D" w:rsidRPr="00DE774F" w:rsidSect="001920C8">
          <w:pgSz w:w="11906" w:h="16838" w:code="9"/>
          <w:pgMar w:top="720" w:right="720" w:bottom="720" w:left="720" w:header="851" w:footer="992" w:gutter="0"/>
          <w:cols w:space="425"/>
          <w:docGrid w:type="lines" w:linePitch="312"/>
        </w:sectPr>
      </w:pPr>
      <w:r w:rsidRPr="00EF0601">
        <w:rPr>
          <w:rFonts w:ascii="Times New Roman" w:hAnsi="Times New Roman" w:cs="Times New Roman"/>
          <w:sz w:val="24"/>
          <w:szCs w:val="24"/>
        </w:rPr>
        <w:t xml:space="preserve">The ring shows </w:t>
      </w:r>
      <w:r w:rsidR="00365BAB" w:rsidRPr="00EF0601">
        <w:rPr>
          <w:rFonts w:ascii="Times New Roman" w:hAnsi="Times New Roman" w:cs="Times New Roman"/>
          <w:sz w:val="24"/>
          <w:szCs w:val="24"/>
        </w:rPr>
        <w:t>a</w:t>
      </w:r>
      <w:r w:rsidR="00C875EB">
        <w:rPr>
          <w:rFonts w:ascii="Times New Roman" w:hAnsi="Times New Roman" w:cs="Times New Roman" w:hint="eastAsia"/>
          <w:sz w:val="24"/>
          <w:szCs w:val="24"/>
        </w:rPr>
        <w:t xml:space="preserve"> Haza</w:t>
      </w:r>
      <w:r w:rsidR="00CC27C6">
        <w:rPr>
          <w:rFonts w:ascii="Times New Roman" w:hAnsi="Times New Roman" w:cs="Times New Roman" w:hint="eastAsia"/>
          <w:sz w:val="24"/>
          <w:szCs w:val="24"/>
        </w:rPr>
        <w:t>rd Ratio</w:t>
      </w:r>
      <w:r w:rsidRPr="00EF0601">
        <w:rPr>
          <w:rFonts w:ascii="Times New Roman" w:hAnsi="Times New Roman" w:cs="Times New Roman"/>
          <w:sz w:val="24"/>
          <w:szCs w:val="24"/>
        </w:rPr>
        <w:t xml:space="preserve"> for medical conditions in </w:t>
      </w:r>
      <w:r w:rsidR="00BA0227">
        <w:rPr>
          <w:rFonts w:ascii="Times New Roman" w:hAnsi="Times New Roman" w:cs="Times New Roman" w:hint="eastAsia"/>
          <w:sz w:val="24"/>
          <w:szCs w:val="24"/>
        </w:rPr>
        <w:t>case study 1</w:t>
      </w:r>
      <w:r w:rsidRPr="00EF0601">
        <w:rPr>
          <w:rFonts w:ascii="Times New Roman" w:hAnsi="Times New Roman" w:cs="Times New Roman"/>
          <w:sz w:val="24"/>
          <w:szCs w:val="24"/>
        </w:rPr>
        <w:t xml:space="preserve"> with color intensity reflecting the magnitude of the </w:t>
      </w:r>
      <w:r w:rsidR="00CC27C6">
        <w:rPr>
          <w:rFonts w:ascii="Times New Roman" w:hAnsi="Times New Roman" w:cs="Times New Roman" w:hint="eastAsia"/>
          <w:sz w:val="24"/>
          <w:szCs w:val="24"/>
        </w:rPr>
        <w:t>Hazard Ratio</w:t>
      </w:r>
      <w:r w:rsidRPr="00EF0601">
        <w:rPr>
          <w:rFonts w:ascii="Times New Roman" w:hAnsi="Times New Roman" w:cs="Times New Roman"/>
          <w:sz w:val="24"/>
          <w:szCs w:val="24"/>
        </w:rPr>
        <w:t>.</w:t>
      </w:r>
    </w:p>
    <w:p w14:paraId="10BC59B4" w14:textId="101A5BBA" w:rsidR="00562D33" w:rsidRDefault="001C70B0" w:rsidP="000D1F1B">
      <w:pPr>
        <w:widowControl/>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AF70DEC" wp14:editId="58909FC5">
            <wp:extent cx="6688010" cy="5824324"/>
            <wp:effectExtent l="0" t="0" r="0" b="5080"/>
            <wp:docPr id="122444203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9">
                      <a:extLst>
                        <a:ext uri="{28A0092B-C50C-407E-A947-70E740481C1C}">
                          <a14:useLocalDpi xmlns:a14="http://schemas.microsoft.com/office/drawing/2010/main" val="0"/>
                        </a:ext>
                      </a:extLst>
                    </a:blip>
                    <a:srcRect l="21194" t="5288" r="22296" b="7205"/>
                    <a:stretch>
                      <a:fillRect/>
                    </a:stretch>
                  </pic:blipFill>
                  <pic:spPr bwMode="auto">
                    <a:xfrm>
                      <a:off x="0" y="0"/>
                      <a:ext cx="6688010" cy="5824324"/>
                    </a:xfrm>
                    <a:prstGeom prst="rect">
                      <a:avLst/>
                    </a:prstGeom>
                    <a:noFill/>
                    <a:ln>
                      <a:noFill/>
                    </a:ln>
                    <a:extLst>
                      <a:ext uri="{53640926-AAD7-44D8-BBD7-CCE9431645EC}">
                        <a14:shadowObscured xmlns:a14="http://schemas.microsoft.com/office/drawing/2010/main"/>
                      </a:ext>
                    </a:extLst>
                  </pic:spPr>
                </pic:pic>
              </a:graphicData>
            </a:graphic>
          </wp:inline>
        </w:drawing>
      </w:r>
    </w:p>
    <w:p w14:paraId="40D9DACE" w14:textId="4AD85E13" w:rsidR="00F7539A" w:rsidRDefault="00F7539A" w:rsidP="000D1F1B">
      <w:pPr>
        <w:rPr>
          <w:rFonts w:ascii="Times New Roman" w:hAnsi="Times New Roman" w:cs="Times New Roman"/>
          <w:sz w:val="24"/>
          <w:szCs w:val="24"/>
        </w:rPr>
      </w:pPr>
      <w:r w:rsidRPr="00FE1DBA">
        <w:rPr>
          <w:rFonts w:ascii="Times New Roman" w:hAnsi="Times New Roman" w:cs="Times New Roman"/>
          <w:b/>
          <w:bCs/>
          <w:sz w:val="24"/>
          <w:szCs w:val="24"/>
        </w:rPr>
        <w:t xml:space="preserve">Supplementary Figure </w:t>
      </w:r>
      <w:r>
        <w:rPr>
          <w:rFonts w:ascii="Times New Roman" w:hAnsi="Times New Roman" w:cs="Times New Roman" w:hint="eastAsia"/>
          <w:b/>
          <w:bCs/>
          <w:sz w:val="24"/>
          <w:szCs w:val="24"/>
        </w:rPr>
        <w:t>3</w:t>
      </w:r>
      <w:r>
        <w:rPr>
          <w:rFonts w:ascii="Times New Roman" w:hAnsi="Times New Roman" w:cs="Times New Roman"/>
          <w:b/>
          <w:bCs/>
          <w:sz w:val="24"/>
          <w:szCs w:val="24"/>
        </w:rPr>
        <w:t xml:space="preserve"> </w:t>
      </w:r>
      <w:r w:rsidR="0091322C">
        <w:rPr>
          <w:rFonts w:ascii="Times New Roman" w:hAnsi="Times New Roman" w:cs="Times New Roman" w:hint="eastAsia"/>
          <w:sz w:val="24"/>
          <w:szCs w:val="24"/>
        </w:rPr>
        <w:t>C</w:t>
      </w:r>
      <w:r w:rsidR="0091322C" w:rsidRPr="00857958">
        <w:rPr>
          <w:rFonts w:ascii="Times New Roman" w:hAnsi="Times New Roman" w:cs="Times New Roman" w:hint="eastAsia"/>
          <w:sz w:val="24"/>
          <w:szCs w:val="24"/>
        </w:rPr>
        <w:t xml:space="preserve">omorbidity networks following </w:t>
      </w:r>
      <w:r w:rsidR="0091322C" w:rsidRPr="0091322C">
        <w:rPr>
          <w:rFonts w:ascii="Times New Roman" w:hAnsi="Times New Roman" w:cs="Times New Roman" w:hint="eastAsia"/>
          <w:sz w:val="24"/>
          <w:szCs w:val="24"/>
        </w:rPr>
        <w:t>short leukocyte telomere length</w:t>
      </w:r>
      <w:r w:rsidR="0091322C" w:rsidRPr="00857958">
        <w:rPr>
          <w:rFonts w:ascii="Times New Roman" w:hAnsi="Times New Roman" w:cs="Times New Roman" w:hint="eastAsia"/>
          <w:sz w:val="24"/>
          <w:szCs w:val="24"/>
        </w:rPr>
        <w:t xml:space="preserve"> in </w:t>
      </w:r>
      <w:r w:rsidR="00F32EBF">
        <w:rPr>
          <w:rFonts w:ascii="Times New Roman" w:hAnsi="Times New Roman" w:cs="Times New Roman" w:hint="eastAsia"/>
          <w:sz w:val="24"/>
          <w:szCs w:val="24"/>
        </w:rPr>
        <w:t>the</w:t>
      </w:r>
      <w:r w:rsidR="00F32EBF" w:rsidRPr="00857958">
        <w:rPr>
          <w:rFonts w:ascii="Times New Roman" w:hAnsi="Times New Roman" w:cs="Times New Roman"/>
          <w:sz w:val="24"/>
          <w:szCs w:val="24"/>
        </w:rPr>
        <w:t xml:space="preserve"> </w:t>
      </w:r>
      <w:r w:rsidR="009D3021" w:rsidRPr="00857958">
        <w:rPr>
          <w:rFonts w:ascii="Times New Roman" w:hAnsi="Times New Roman" w:cs="Times New Roman"/>
          <w:sz w:val="24"/>
          <w:szCs w:val="24"/>
        </w:rPr>
        <w:t>case</w:t>
      </w:r>
      <w:r w:rsidR="001A0BA0">
        <w:rPr>
          <w:rFonts w:ascii="Times New Roman" w:hAnsi="Times New Roman" w:cs="Times New Roman" w:hint="eastAsia"/>
          <w:sz w:val="24"/>
          <w:szCs w:val="24"/>
        </w:rPr>
        <w:t xml:space="preserve"> study</w:t>
      </w:r>
      <w:r w:rsidR="00222FAD">
        <w:rPr>
          <w:rFonts w:ascii="Times New Roman" w:hAnsi="Times New Roman" w:cs="Times New Roman" w:hint="eastAsia"/>
          <w:sz w:val="24"/>
          <w:szCs w:val="24"/>
        </w:rPr>
        <w:t xml:space="preserve"> based on t</w:t>
      </w:r>
      <w:r w:rsidR="00222FAD" w:rsidRPr="00BE11D4">
        <w:rPr>
          <w:rFonts w:ascii="Times New Roman" w:hAnsi="Times New Roman" w:cs="Times New Roman"/>
          <w:sz w:val="24"/>
          <w:szCs w:val="24"/>
        </w:rPr>
        <w:t>he original regularized partial correlation approach</w:t>
      </w:r>
      <w:r w:rsidR="001A0BA0">
        <w:rPr>
          <w:rFonts w:ascii="Times New Roman" w:hAnsi="Times New Roman" w:cs="Times New Roman" w:hint="eastAsia"/>
          <w:sz w:val="24"/>
          <w:szCs w:val="24"/>
        </w:rPr>
        <w:t>.</w:t>
      </w:r>
    </w:p>
    <w:p w14:paraId="05D1A308" w14:textId="77777777" w:rsidR="008E1FE3" w:rsidRDefault="00D64D38" w:rsidP="002B44AE">
      <w:pPr>
        <w:widowControl/>
        <w:rPr>
          <w:rFonts w:ascii="Times New Roman" w:hAnsi="Times New Roman" w:cs="Times New Roman"/>
          <w:sz w:val="24"/>
          <w:szCs w:val="24"/>
        </w:rPr>
        <w:sectPr w:rsidR="008E1FE3" w:rsidSect="00766A5D">
          <w:pgSz w:w="11906" w:h="16838"/>
          <w:pgMar w:top="720" w:right="720" w:bottom="720" w:left="720" w:header="851" w:footer="992" w:gutter="0"/>
          <w:cols w:space="425"/>
          <w:docGrid w:type="lines" w:linePitch="312"/>
        </w:sectPr>
      </w:pPr>
      <w:r w:rsidRPr="00AA6A63">
        <w:rPr>
          <w:rFonts w:ascii="Times New Roman" w:hAnsi="Times New Roman" w:cs="Times New Roman" w:hint="eastAsia"/>
          <w:sz w:val="24"/>
          <w:szCs w:val="24"/>
        </w:rPr>
        <w:t xml:space="preserve">Each node represents a disease, where node size indicates prevalence and node color represents the disease category. Both the Louvain and Greedy algorithms partitioned the network into </w:t>
      </w:r>
      <w:r w:rsidR="00AA6A63">
        <w:rPr>
          <w:rFonts w:ascii="Times New Roman" w:hAnsi="Times New Roman" w:cs="Times New Roman" w:hint="eastAsia"/>
          <w:sz w:val="24"/>
          <w:szCs w:val="24"/>
        </w:rPr>
        <w:t>eight</w:t>
      </w:r>
      <w:r w:rsidRPr="00AA6A63">
        <w:rPr>
          <w:rFonts w:ascii="Times New Roman" w:hAnsi="Times New Roman" w:cs="Times New Roman" w:hint="eastAsia"/>
          <w:sz w:val="24"/>
          <w:szCs w:val="24"/>
        </w:rPr>
        <w:t xml:space="preserve"> modules.</w:t>
      </w:r>
    </w:p>
    <w:p w14:paraId="3A34A881" w14:textId="77777777" w:rsidR="008E1FE3" w:rsidRDefault="008E1FE3" w:rsidP="002B44AE">
      <w:pPr>
        <w:widowControl/>
        <w:rPr>
          <w:rFonts w:hint="eastAsia"/>
        </w:rPr>
      </w:pPr>
      <w:r>
        <w:rPr>
          <w:noProof/>
        </w:rPr>
        <w:lastRenderedPageBreak/>
        <w:drawing>
          <wp:inline distT="0" distB="0" distL="0" distR="0" wp14:anchorId="44A6C7EB" wp14:editId="43B11C31">
            <wp:extent cx="9727470" cy="2303253"/>
            <wp:effectExtent l="0" t="0" r="762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748633" cy="2308264"/>
                    </a:xfrm>
                    <a:prstGeom prst="rect">
                      <a:avLst/>
                    </a:prstGeom>
                    <a:noFill/>
                    <a:ln>
                      <a:noFill/>
                    </a:ln>
                  </pic:spPr>
                </pic:pic>
              </a:graphicData>
            </a:graphic>
          </wp:inline>
        </w:drawing>
      </w:r>
    </w:p>
    <w:p w14:paraId="0ED9FCFD" w14:textId="7C9D5BC9" w:rsidR="008E1FE3" w:rsidRPr="008E1FE3" w:rsidRDefault="008E1FE3" w:rsidP="008E1FE3">
      <w:pPr>
        <w:rPr>
          <w:rFonts w:ascii="Times New Roman" w:hAnsi="Times New Roman" w:cs="Times New Roman"/>
          <w:sz w:val="24"/>
          <w:szCs w:val="24"/>
        </w:rPr>
      </w:pPr>
      <w:r w:rsidRPr="00FE1DBA">
        <w:rPr>
          <w:rFonts w:ascii="Times New Roman" w:hAnsi="Times New Roman" w:cs="Times New Roman"/>
          <w:b/>
          <w:bCs/>
          <w:sz w:val="24"/>
          <w:szCs w:val="24"/>
        </w:rPr>
        <w:t xml:space="preserve">Supplementary Figure </w:t>
      </w:r>
      <w:r>
        <w:rPr>
          <w:rFonts w:ascii="Times New Roman" w:hAnsi="Times New Roman" w:cs="Times New Roman" w:hint="eastAsia"/>
          <w:b/>
          <w:bCs/>
          <w:sz w:val="24"/>
          <w:szCs w:val="24"/>
        </w:rPr>
        <w:t>4</w:t>
      </w:r>
      <w:r w:rsidRPr="008E1FE3">
        <w:rPr>
          <w:rFonts w:ascii="Times New Roman" w:hAnsi="Times New Roman" w:cs="Times New Roman" w:hint="eastAsia"/>
          <w:sz w:val="24"/>
          <w:szCs w:val="24"/>
        </w:rPr>
        <w:t xml:space="preserve"> Computational performance of DiNetxify in </w:t>
      </w:r>
      <w:r w:rsidR="00F32EBF">
        <w:rPr>
          <w:rFonts w:ascii="Times New Roman" w:hAnsi="Times New Roman" w:cs="Times New Roman" w:hint="eastAsia"/>
          <w:sz w:val="24"/>
          <w:szCs w:val="24"/>
        </w:rPr>
        <w:t>the</w:t>
      </w:r>
      <w:r w:rsidR="00F32EBF" w:rsidRPr="008E1FE3">
        <w:rPr>
          <w:rFonts w:ascii="Times New Roman" w:hAnsi="Times New Roman" w:cs="Times New Roman" w:hint="eastAsia"/>
          <w:sz w:val="24"/>
          <w:szCs w:val="24"/>
        </w:rPr>
        <w:t xml:space="preserve"> </w:t>
      </w:r>
      <w:r w:rsidRPr="008E1FE3">
        <w:rPr>
          <w:rFonts w:ascii="Times New Roman" w:hAnsi="Times New Roman" w:cs="Times New Roman" w:hint="eastAsia"/>
          <w:sz w:val="24"/>
          <w:szCs w:val="24"/>
        </w:rPr>
        <w:t xml:space="preserve">UK Biobank case </w:t>
      </w:r>
      <w:r>
        <w:rPr>
          <w:rFonts w:ascii="Times New Roman" w:hAnsi="Times New Roman" w:cs="Times New Roman" w:hint="eastAsia"/>
          <w:sz w:val="24"/>
          <w:szCs w:val="24"/>
        </w:rPr>
        <w:t>study</w:t>
      </w:r>
    </w:p>
    <w:p w14:paraId="44C223DD" w14:textId="77777777" w:rsidR="00F32EBF" w:rsidRDefault="008E1FE3" w:rsidP="008E1FE3">
      <w:pPr>
        <w:rPr>
          <w:rFonts w:hint="eastAsia"/>
        </w:rPr>
        <w:sectPr w:rsidR="00F32EBF" w:rsidSect="008E1FE3">
          <w:pgSz w:w="16838" w:h="11906" w:orient="landscape"/>
          <w:pgMar w:top="720" w:right="720" w:bottom="720" w:left="720" w:header="851" w:footer="992" w:gutter="0"/>
          <w:cols w:space="425"/>
          <w:docGrid w:type="lines" w:linePitch="312"/>
        </w:sectPr>
      </w:pPr>
      <w:r w:rsidRPr="008E1FE3">
        <w:rPr>
          <w:rFonts w:ascii="Times New Roman" w:hAnsi="Times New Roman" w:cs="Times New Roman" w:hint="eastAsia"/>
          <w:sz w:val="24"/>
          <w:szCs w:val="24"/>
        </w:rPr>
        <w:t xml:space="preserve">Wall clock runtimes for the 3D disease network workflow </w:t>
      </w:r>
      <w:r>
        <w:rPr>
          <w:rFonts w:ascii="Times New Roman" w:hAnsi="Times New Roman" w:cs="Times New Roman" w:hint="eastAsia"/>
          <w:sz w:val="24"/>
          <w:szCs w:val="24"/>
        </w:rPr>
        <w:t>in</w:t>
      </w:r>
      <w:r w:rsidRPr="008E1FE3">
        <w:rPr>
          <w:rFonts w:ascii="Times New Roman" w:hAnsi="Times New Roman" w:cs="Times New Roman" w:hint="eastAsia"/>
          <w:sz w:val="24"/>
          <w:szCs w:val="24"/>
        </w:rPr>
        <w:t xml:space="preserve"> UK Biobank based case </w:t>
      </w:r>
      <w:r>
        <w:rPr>
          <w:rFonts w:ascii="Times New Roman" w:hAnsi="Times New Roman" w:cs="Times New Roman" w:hint="eastAsia"/>
          <w:sz w:val="24"/>
          <w:szCs w:val="24"/>
        </w:rPr>
        <w:t>study</w:t>
      </w:r>
      <w:r w:rsidRPr="008E1FE3">
        <w:rPr>
          <w:rFonts w:ascii="Times New Roman" w:hAnsi="Times New Roman" w:cs="Times New Roman" w:hint="eastAsia"/>
          <w:sz w:val="24"/>
          <w:szCs w:val="24"/>
        </w:rPr>
        <w:t>. Analyses ran on an Intel Xeon Gold 6248 server, 2.5 GHz, with 10, 20, or 40 CPU cores and 25 to 1</w:t>
      </w:r>
      <w:r>
        <w:rPr>
          <w:rFonts w:ascii="Times New Roman" w:hAnsi="Times New Roman" w:cs="Times New Roman" w:hint="eastAsia"/>
          <w:sz w:val="24"/>
          <w:szCs w:val="24"/>
        </w:rPr>
        <w:t>0</w:t>
      </w:r>
      <w:r w:rsidRPr="008E1FE3">
        <w:rPr>
          <w:rFonts w:ascii="Times New Roman" w:hAnsi="Times New Roman" w:cs="Times New Roman" w:hint="eastAsia"/>
          <w:sz w:val="24"/>
          <w:szCs w:val="24"/>
        </w:rPr>
        <w:t>0 GB RAM allocated. Columns report step specific runtimes, including data harmonization, PheWAS, comorbidity strength estimation, comorbidity network analysis, disease trajectory analysis, and the bars at right show total runtime per configuration. Blue indicates regularized partial correlation approach, yellow indicates the principal component analysis (PCA) based approximation approach.</w:t>
      </w:r>
      <w:r w:rsidR="002B44AE">
        <w:br w:type="page"/>
      </w:r>
    </w:p>
    <w:p w14:paraId="6AD30469" w14:textId="405543EC" w:rsidR="00525FD0" w:rsidRPr="00155F8B" w:rsidRDefault="00525FD0" w:rsidP="008E1FE3">
      <w:pPr>
        <w:rPr>
          <w:rFonts w:hint="eastAsia"/>
        </w:rPr>
      </w:pPr>
    </w:p>
    <w:p w14:paraId="475ED723" w14:textId="29798B9B" w:rsidR="001E2E4C" w:rsidRDefault="0002039A" w:rsidP="000D1F1B">
      <w:pPr>
        <w:rPr>
          <w:rFonts w:ascii="Times New Roman" w:hAnsi="Times New Roman" w:cs="Times New Roman"/>
          <w:b/>
          <w:bCs/>
          <w:sz w:val="24"/>
          <w:szCs w:val="24"/>
        </w:rPr>
      </w:pPr>
      <w:r>
        <w:rPr>
          <w:noProof/>
        </w:rPr>
        <w:drawing>
          <wp:inline distT="0" distB="0" distL="0" distR="0" wp14:anchorId="0F7C3850" wp14:editId="0282FB0F">
            <wp:extent cx="5077361" cy="7897091"/>
            <wp:effectExtent l="0" t="0" r="9525" b="8890"/>
            <wp:docPr id="1323040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81404" cy="7903380"/>
                    </a:xfrm>
                    <a:prstGeom prst="rect">
                      <a:avLst/>
                    </a:prstGeom>
                    <a:noFill/>
                    <a:ln>
                      <a:noFill/>
                    </a:ln>
                  </pic:spPr>
                </pic:pic>
              </a:graphicData>
            </a:graphic>
          </wp:inline>
        </w:drawing>
      </w:r>
    </w:p>
    <w:p w14:paraId="610A434D" w14:textId="4288D78C" w:rsidR="002167B8" w:rsidRDefault="002167B8" w:rsidP="000D1F1B">
      <w:pPr>
        <w:rPr>
          <w:rFonts w:ascii="Times New Roman" w:hAnsi="Times New Roman" w:cs="Times New Roman"/>
          <w:sz w:val="24"/>
          <w:szCs w:val="24"/>
        </w:rPr>
      </w:pPr>
      <w:r w:rsidRPr="005E2156">
        <w:rPr>
          <w:rFonts w:ascii="Times New Roman" w:hAnsi="Times New Roman" w:cs="Times New Roman" w:hint="eastAsia"/>
          <w:b/>
          <w:bCs/>
          <w:sz w:val="24"/>
          <w:szCs w:val="24"/>
        </w:rPr>
        <w:t xml:space="preserve">Supplementary Figure </w:t>
      </w:r>
      <w:r w:rsidR="008E1FE3">
        <w:rPr>
          <w:rFonts w:ascii="Times New Roman" w:hAnsi="Times New Roman" w:cs="Times New Roman" w:hint="eastAsia"/>
          <w:b/>
          <w:bCs/>
          <w:sz w:val="24"/>
          <w:szCs w:val="24"/>
        </w:rPr>
        <w:t>5</w:t>
      </w:r>
      <w:r w:rsidRPr="005E2156">
        <w:rPr>
          <w:rFonts w:ascii="Times New Roman" w:hAnsi="Times New Roman" w:cs="Times New Roman" w:hint="eastAsia"/>
          <w:sz w:val="24"/>
          <w:szCs w:val="24"/>
        </w:rPr>
        <w:t xml:space="preserve"> </w:t>
      </w:r>
      <w:r w:rsidR="00AE58AA" w:rsidRPr="00581A52">
        <w:rPr>
          <w:rFonts w:ascii="Times New Roman" w:hAnsi="Times New Roman" w:cs="Times New Roman"/>
          <w:sz w:val="22"/>
        </w:rPr>
        <w:t xml:space="preserve">Comparative </w:t>
      </w:r>
      <w:r w:rsidR="00AE58AA">
        <w:rPr>
          <w:rFonts w:ascii="Times New Roman" w:hAnsi="Times New Roman" w:cs="Times New Roman" w:hint="eastAsia"/>
          <w:sz w:val="22"/>
        </w:rPr>
        <w:t>a</w:t>
      </w:r>
      <w:r w:rsidR="00AE58AA" w:rsidRPr="00581A52">
        <w:rPr>
          <w:rFonts w:ascii="Times New Roman" w:hAnsi="Times New Roman" w:cs="Times New Roman"/>
          <w:sz w:val="22"/>
        </w:rPr>
        <w:t xml:space="preserve">nalysis of </w:t>
      </w:r>
      <w:r w:rsidR="00991A49">
        <w:rPr>
          <w:rFonts w:ascii="Times New Roman" w:hAnsi="Times New Roman" w:cs="Times New Roman" w:hint="eastAsia"/>
          <w:sz w:val="22"/>
        </w:rPr>
        <w:t>two</w:t>
      </w:r>
      <w:r w:rsidR="00AE58AA" w:rsidRPr="00581A52">
        <w:rPr>
          <w:rFonts w:ascii="Times New Roman" w:hAnsi="Times New Roman" w:cs="Times New Roman"/>
          <w:sz w:val="22"/>
        </w:rPr>
        <w:t xml:space="preserve"> </w:t>
      </w:r>
      <w:r w:rsidR="00991A49" w:rsidRPr="00B6491B">
        <w:rPr>
          <w:rFonts w:ascii="Times New Roman" w:hAnsi="Times New Roman" w:cs="Times New Roman"/>
          <w:sz w:val="24"/>
          <w:szCs w:val="24"/>
        </w:rPr>
        <w:t>approach</w:t>
      </w:r>
      <w:r w:rsidR="005B6935">
        <w:rPr>
          <w:rFonts w:ascii="Times New Roman" w:hAnsi="Times New Roman" w:cs="Times New Roman" w:hint="eastAsia"/>
          <w:sz w:val="22"/>
        </w:rPr>
        <w:t>e</w:t>
      </w:r>
      <w:r w:rsidR="00AE58AA" w:rsidRPr="00581A52">
        <w:rPr>
          <w:rFonts w:ascii="Times New Roman" w:hAnsi="Times New Roman" w:cs="Times New Roman"/>
          <w:sz w:val="22"/>
        </w:rPr>
        <w:t>s</w:t>
      </w:r>
      <w:r w:rsidR="00CB76F6">
        <w:rPr>
          <w:rFonts w:ascii="Times New Roman" w:hAnsi="Times New Roman" w:cs="Times New Roman" w:hint="eastAsia"/>
          <w:sz w:val="24"/>
          <w:szCs w:val="24"/>
        </w:rPr>
        <w:t xml:space="preserve"> in </w:t>
      </w:r>
      <w:r w:rsidR="00F32EBF">
        <w:rPr>
          <w:rFonts w:ascii="Times New Roman" w:hAnsi="Times New Roman" w:cs="Times New Roman" w:hint="eastAsia"/>
          <w:sz w:val="24"/>
          <w:szCs w:val="24"/>
        </w:rPr>
        <w:t xml:space="preserve">the </w:t>
      </w:r>
      <w:r w:rsidR="00CB76F6">
        <w:rPr>
          <w:rFonts w:ascii="Times New Roman" w:hAnsi="Times New Roman" w:cs="Times New Roman" w:hint="eastAsia"/>
          <w:sz w:val="24"/>
          <w:szCs w:val="24"/>
        </w:rPr>
        <w:t>case study</w:t>
      </w:r>
      <w:r w:rsidRPr="009061E3">
        <w:rPr>
          <w:rFonts w:ascii="Times New Roman" w:hAnsi="Times New Roman" w:cs="Times New Roman" w:hint="eastAsia"/>
          <w:sz w:val="24"/>
          <w:szCs w:val="24"/>
        </w:rPr>
        <w:t>.</w:t>
      </w:r>
    </w:p>
    <w:p w14:paraId="66E6AC5A" w14:textId="3A6ED515" w:rsidR="00F32EBF" w:rsidRDefault="00F41D8C" w:rsidP="000D1F1B">
      <w:pPr>
        <w:widowControl/>
        <w:rPr>
          <w:rFonts w:ascii="Times New Roman" w:hAnsi="Times New Roman" w:cs="Times New Roman"/>
          <w:b/>
          <w:bCs/>
          <w:sz w:val="24"/>
          <w:szCs w:val="24"/>
        </w:rPr>
        <w:sectPr w:rsidR="00F32EBF" w:rsidSect="00F32EBF">
          <w:pgSz w:w="11906" w:h="16838"/>
          <w:pgMar w:top="720" w:right="720" w:bottom="720" w:left="720" w:header="851" w:footer="992" w:gutter="0"/>
          <w:cols w:space="425"/>
          <w:docGrid w:type="lines" w:linePitch="312"/>
        </w:sectPr>
      </w:pPr>
      <w:r>
        <w:rPr>
          <w:rFonts w:ascii="Times New Roman" w:hAnsi="Times New Roman" w:cs="Times New Roman" w:hint="eastAsia"/>
          <w:sz w:val="22"/>
        </w:rPr>
        <w:t xml:space="preserve">The </w:t>
      </w:r>
      <w:r w:rsidR="0002039A">
        <w:rPr>
          <w:rFonts w:ascii="Times New Roman" w:hAnsi="Times New Roman" w:cs="Times New Roman" w:hint="eastAsia"/>
          <w:sz w:val="22"/>
        </w:rPr>
        <w:t>top</w:t>
      </w:r>
      <w:r>
        <w:rPr>
          <w:rFonts w:ascii="Times New Roman" w:hAnsi="Times New Roman" w:cs="Times New Roman" w:hint="eastAsia"/>
          <w:sz w:val="22"/>
        </w:rPr>
        <w:t xml:space="preserve"> one is t</w:t>
      </w:r>
      <w:r w:rsidR="00AE58AA" w:rsidRPr="00BB3398">
        <w:rPr>
          <w:rFonts w:ascii="Times New Roman" w:hAnsi="Times New Roman" w:cs="Times New Roman" w:hint="eastAsia"/>
          <w:sz w:val="22"/>
        </w:rPr>
        <w:t xml:space="preserve">he </w:t>
      </w:r>
      <w:r w:rsidR="00E119BC">
        <w:rPr>
          <w:rFonts w:ascii="Times New Roman" w:hAnsi="Times New Roman" w:cs="Times New Roman" w:hint="eastAsia"/>
          <w:sz w:val="22"/>
        </w:rPr>
        <w:t>correlation of beta</w:t>
      </w:r>
      <w:r w:rsidR="00AE58AA" w:rsidRPr="00BB3398">
        <w:rPr>
          <w:rFonts w:ascii="Times New Roman" w:hAnsi="Times New Roman" w:cs="Times New Roman" w:hint="eastAsia"/>
          <w:sz w:val="22"/>
        </w:rPr>
        <w:t xml:space="preserve"> in the comorbidity network analysis</w:t>
      </w:r>
      <w:r w:rsidR="00E119BC">
        <w:rPr>
          <w:rFonts w:ascii="Times New Roman" w:hAnsi="Times New Roman" w:cs="Times New Roman" w:hint="eastAsia"/>
          <w:sz w:val="22"/>
        </w:rPr>
        <w:t xml:space="preserve"> from two approaches</w:t>
      </w:r>
      <w:r w:rsidR="00AE58AA" w:rsidRPr="00BB3398">
        <w:rPr>
          <w:rFonts w:ascii="Times New Roman" w:hAnsi="Times New Roman" w:cs="Times New Roman" w:hint="eastAsia"/>
          <w:sz w:val="22"/>
        </w:rPr>
        <w:t xml:space="preserve">. </w:t>
      </w:r>
      <w:r w:rsidR="00F82F0A">
        <w:rPr>
          <w:rFonts w:ascii="Times New Roman" w:hAnsi="Times New Roman" w:cs="Times New Roman" w:hint="eastAsia"/>
          <w:sz w:val="22"/>
        </w:rPr>
        <w:t xml:space="preserve">The </w:t>
      </w:r>
      <w:r w:rsidR="00920A16">
        <w:rPr>
          <w:rFonts w:ascii="Times New Roman" w:hAnsi="Times New Roman" w:cs="Times New Roman"/>
          <w:sz w:val="22"/>
        </w:rPr>
        <w:t>bottom</w:t>
      </w:r>
      <w:r w:rsidR="00F82F0A">
        <w:rPr>
          <w:rFonts w:ascii="Times New Roman" w:hAnsi="Times New Roman" w:cs="Times New Roman" w:hint="eastAsia"/>
          <w:sz w:val="22"/>
        </w:rPr>
        <w:t xml:space="preserve"> one</w:t>
      </w:r>
      <w:r w:rsidR="00AE58AA" w:rsidRPr="00BB3398">
        <w:rPr>
          <w:rFonts w:ascii="Times New Roman" w:hAnsi="Times New Roman" w:cs="Times New Roman" w:hint="eastAsia"/>
          <w:sz w:val="22"/>
        </w:rPr>
        <w:t xml:space="preserve"> </w:t>
      </w:r>
      <w:r w:rsidR="00F82F0A">
        <w:rPr>
          <w:rFonts w:ascii="Times New Roman" w:hAnsi="Times New Roman" w:cs="Times New Roman" w:hint="eastAsia"/>
          <w:sz w:val="22"/>
        </w:rPr>
        <w:t>is</w:t>
      </w:r>
      <w:r w:rsidR="00AE58AA" w:rsidRPr="00BB3398">
        <w:rPr>
          <w:rFonts w:ascii="Times New Roman" w:hAnsi="Times New Roman" w:cs="Times New Roman" w:hint="eastAsia"/>
          <w:sz w:val="22"/>
        </w:rPr>
        <w:t xml:space="preserve"> </w:t>
      </w:r>
      <w:r w:rsidR="00E119BC">
        <w:rPr>
          <w:rFonts w:ascii="Times New Roman" w:hAnsi="Times New Roman" w:cs="Times New Roman" w:hint="eastAsia"/>
          <w:sz w:val="22"/>
        </w:rPr>
        <w:t>correlation of beta</w:t>
      </w:r>
      <w:r w:rsidR="00E119BC" w:rsidRPr="00BB3398">
        <w:rPr>
          <w:rFonts w:ascii="Times New Roman" w:hAnsi="Times New Roman" w:cs="Times New Roman" w:hint="eastAsia"/>
          <w:sz w:val="22"/>
        </w:rPr>
        <w:t xml:space="preserve"> </w:t>
      </w:r>
      <w:r w:rsidR="00AE58AA" w:rsidRPr="00BB3398">
        <w:rPr>
          <w:rFonts w:ascii="Times New Roman" w:hAnsi="Times New Roman" w:cs="Times New Roman" w:hint="eastAsia"/>
          <w:sz w:val="22"/>
        </w:rPr>
        <w:t xml:space="preserve">in the </w:t>
      </w:r>
      <w:r w:rsidR="000943A8">
        <w:rPr>
          <w:rFonts w:ascii="Times New Roman" w:hAnsi="Times New Roman" w:cs="Times New Roman" w:hint="eastAsia"/>
          <w:sz w:val="22"/>
        </w:rPr>
        <w:t>disease trajectory</w:t>
      </w:r>
      <w:r w:rsidR="00AE58AA" w:rsidRPr="00BB3398">
        <w:rPr>
          <w:rFonts w:ascii="Times New Roman" w:hAnsi="Times New Roman" w:cs="Times New Roman" w:hint="eastAsia"/>
          <w:sz w:val="22"/>
        </w:rPr>
        <w:t xml:space="preserve"> analysis</w:t>
      </w:r>
      <w:r w:rsidR="00E119BC">
        <w:rPr>
          <w:rFonts w:ascii="Times New Roman" w:hAnsi="Times New Roman" w:cs="Times New Roman" w:hint="eastAsia"/>
          <w:sz w:val="22"/>
        </w:rPr>
        <w:t xml:space="preserve"> from two approaches.</w:t>
      </w:r>
    </w:p>
    <w:p w14:paraId="6563760F" w14:textId="77777777" w:rsidR="00F32EBF" w:rsidRDefault="00F32EBF" w:rsidP="000D1F1B">
      <w:pPr>
        <w:widowControl/>
        <w:rPr>
          <w:rFonts w:ascii="Times New Roman" w:hAnsi="Times New Roman" w:cs="Times New Roman"/>
          <w:b/>
          <w:bCs/>
          <w:sz w:val="24"/>
          <w:szCs w:val="24"/>
        </w:rPr>
      </w:pPr>
      <w:r>
        <w:rPr>
          <w:rFonts w:ascii="Times New Roman" w:hAnsi="Times New Roman" w:cs="Times New Roman" w:hint="eastAsia"/>
          <w:b/>
          <w:bCs/>
          <w:noProof/>
          <w:sz w:val="24"/>
          <w:szCs w:val="24"/>
        </w:rPr>
        <w:lastRenderedPageBreak/>
        <w:drawing>
          <wp:inline distT="0" distB="0" distL="0" distR="0" wp14:anchorId="5946DC2F" wp14:editId="0E79DF9A">
            <wp:extent cx="9773920" cy="4891405"/>
            <wp:effectExtent l="0" t="0" r="0" b="444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773920" cy="4891405"/>
                    </a:xfrm>
                    <a:prstGeom prst="rect">
                      <a:avLst/>
                    </a:prstGeom>
                    <a:noFill/>
                    <a:ln>
                      <a:noFill/>
                    </a:ln>
                  </pic:spPr>
                </pic:pic>
              </a:graphicData>
            </a:graphic>
          </wp:inline>
        </w:drawing>
      </w:r>
    </w:p>
    <w:p w14:paraId="33B50A19" w14:textId="77777777" w:rsidR="00F32EBF" w:rsidRDefault="00F32EBF" w:rsidP="00F32EBF">
      <w:pPr>
        <w:rPr>
          <w:rFonts w:ascii="Times New Roman" w:hAnsi="Times New Roman" w:cs="Times New Roman"/>
          <w:sz w:val="22"/>
        </w:rPr>
      </w:pPr>
      <w:r w:rsidRPr="005E2156">
        <w:rPr>
          <w:rFonts w:ascii="Times New Roman" w:hAnsi="Times New Roman" w:cs="Times New Roman" w:hint="eastAsia"/>
          <w:b/>
          <w:bCs/>
          <w:sz w:val="24"/>
          <w:szCs w:val="24"/>
        </w:rPr>
        <w:t xml:space="preserve">Supplementary Figure </w:t>
      </w:r>
      <w:r>
        <w:rPr>
          <w:rFonts w:ascii="Times New Roman" w:hAnsi="Times New Roman" w:cs="Times New Roman" w:hint="eastAsia"/>
          <w:b/>
          <w:bCs/>
          <w:sz w:val="24"/>
          <w:szCs w:val="24"/>
        </w:rPr>
        <w:t>6</w:t>
      </w:r>
      <w:r w:rsidRPr="005E2156">
        <w:rPr>
          <w:rFonts w:ascii="Times New Roman" w:hAnsi="Times New Roman" w:cs="Times New Roman" w:hint="eastAsia"/>
          <w:sz w:val="24"/>
          <w:szCs w:val="24"/>
        </w:rPr>
        <w:t xml:space="preserve"> </w:t>
      </w:r>
      <w:r w:rsidRPr="000F25F6">
        <w:rPr>
          <w:rFonts w:ascii="Times New Roman" w:hAnsi="Times New Roman" w:cs="Times New Roman"/>
          <w:sz w:val="22"/>
        </w:rPr>
        <w:t xml:space="preserve">Three-dimensional disease network </w:t>
      </w:r>
      <w:r>
        <w:rPr>
          <w:rFonts w:ascii="Times New Roman" w:hAnsi="Times New Roman" w:cs="Times New Roman"/>
          <w:sz w:val="22"/>
        </w:rPr>
        <w:t xml:space="preserve">and </w:t>
      </w:r>
      <w:r w:rsidRPr="000F25F6">
        <w:rPr>
          <w:rFonts w:ascii="Times New Roman" w:hAnsi="Times New Roman" w:cs="Times New Roman"/>
          <w:sz w:val="22"/>
        </w:rPr>
        <w:t>the reliable disease clusters</w:t>
      </w:r>
      <w:r>
        <w:rPr>
          <w:rFonts w:ascii="Times New Roman" w:hAnsi="Times New Roman" w:cs="Times New Roman" w:hint="eastAsia"/>
          <w:sz w:val="22"/>
        </w:rPr>
        <w:t xml:space="preserve"> associated with </w:t>
      </w:r>
      <w:r w:rsidRPr="00D07FE8">
        <w:rPr>
          <w:rFonts w:ascii="Times New Roman" w:hAnsi="Times New Roman" w:cs="Times New Roman" w:hint="eastAsia"/>
          <w:sz w:val="22"/>
        </w:rPr>
        <w:t>short leukocyte telomere length</w:t>
      </w:r>
      <w:r>
        <w:rPr>
          <w:rFonts w:ascii="Times New Roman" w:hAnsi="Times New Roman" w:cs="Times New Roman" w:hint="eastAsia"/>
          <w:sz w:val="22"/>
        </w:rPr>
        <w:t xml:space="preserve"> (from </w:t>
      </w:r>
      <w:r w:rsidRPr="002009E2">
        <w:rPr>
          <w:rFonts w:ascii="Times New Roman" w:hAnsi="Times New Roman" w:cs="Times New Roman" w:hint="eastAsia"/>
          <w:sz w:val="22"/>
        </w:rPr>
        <w:t xml:space="preserve">PCA-based </w:t>
      </w:r>
      <w:r>
        <w:rPr>
          <w:rFonts w:ascii="Times New Roman" w:hAnsi="Times New Roman" w:cs="Times New Roman" w:hint="eastAsia"/>
          <w:sz w:val="22"/>
        </w:rPr>
        <w:t xml:space="preserve">approximation </w:t>
      </w:r>
      <w:r w:rsidRPr="002009E2">
        <w:rPr>
          <w:rFonts w:ascii="Times New Roman" w:hAnsi="Times New Roman" w:cs="Times New Roman" w:hint="eastAsia"/>
          <w:sz w:val="22"/>
        </w:rPr>
        <w:t>approach</w:t>
      </w:r>
      <w:r>
        <w:rPr>
          <w:rFonts w:ascii="Times New Roman" w:hAnsi="Times New Roman" w:cs="Times New Roman" w:hint="eastAsia"/>
          <w:sz w:val="22"/>
        </w:rPr>
        <w:t>)</w:t>
      </w:r>
      <w:r>
        <w:rPr>
          <w:rFonts w:ascii="Times New Roman" w:hAnsi="Times New Roman" w:cs="Times New Roman"/>
          <w:sz w:val="22"/>
        </w:rPr>
        <w:t>.</w:t>
      </w:r>
    </w:p>
    <w:p w14:paraId="3EDF21B5" w14:textId="248421BB" w:rsidR="00C230EA" w:rsidRPr="00C230EA" w:rsidRDefault="00F32EBF" w:rsidP="00F32EBF">
      <w:pPr>
        <w:spacing w:line="240" w:lineRule="atLeast"/>
        <w:rPr>
          <w:rFonts w:ascii="Times New Roman" w:hAnsi="Times New Roman" w:cs="Times New Roman"/>
          <w:sz w:val="24"/>
          <w:szCs w:val="24"/>
        </w:rPr>
      </w:pPr>
      <w:r>
        <w:rPr>
          <w:rFonts w:ascii="Times New Roman" w:hAnsi="Times New Roman" w:cs="Times New Roman" w:hint="eastAsia"/>
          <w:sz w:val="22"/>
        </w:rPr>
        <w:t>V</w:t>
      </w:r>
      <w:r w:rsidRPr="00D07FE8">
        <w:rPr>
          <w:rFonts w:ascii="Times New Roman" w:hAnsi="Times New Roman" w:cs="Times New Roman" w:hint="eastAsia"/>
          <w:sz w:val="22"/>
        </w:rPr>
        <w:t xml:space="preserve">isualization </w:t>
      </w:r>
      <w:r>
        <w:rPr>
          <w:rFonts w:ascii="Times New Roman" w:hAnsi="Times New Roman" w:cs="Times New Roman" w:hint="eastAsia"/>
          <w:sz w:val="22"/>
        </w:rPr>
        <w:t>of the disease network associated with short</w:t>
      </w:r>
      <w:r w:rsidRPr="00D07FE8">
        <w:rPr>
          <w:rFonts w:ascii="Times New Roman" w:hAnsi="Times New Roman" w:cs="Times New Roman" w:hint="eastAsia"/>
          <w:sz w:val="22"/>
        </w:rPr>
        <w:t xml:space="preserve"> leukocyte telomere length</w:t>
      </w:r>
      <w:r>
        <w:rPr>
          <w:rFonts w:ascii="Times New Roman" w:hAnsi="Times New Roman" w:cs="Times New Roman" w:hint="eastAsia"/>
          <w:sz w:val="22"/>
        </w:rPr>
        <w:t xml:space="preserve">. </w:t>
      </w:r>
      <w:r w:rsidRPr="00D07FE8">
        <w:rPr>
          <w:rFonts w:ascii="Times New Roman" w:hAnsi="Times New Roman" w:cs="Times New Roman" w:hint="eastAsia"/>
          <w:sz w:val="22"/>
        </w:rPr>
        <w:t>Nodes represent medical conditions</w:t>
      </w:r>
      <w:r>
        <w:rPr>
          <w:rFonts w:ascii="Times New Roman" w:hAnsi="Times New Roman" w:cs="Times New Roman" w:hint="eastAsia"/>
          <w:sz w:val="22"/>
        </w:rPr>
        <w:t xml:space="preserve"> defined by level 2 </w:t>
      </w:r>
      <w:r>
        <w:rPr>
          <w:rFonts w:ascii="Times New Roman" w:hAnsi="Times New Roman" w:cs="Times New Roman"/>
          <w:sz w:val="22"/>
        </w:rPr>
        <w:t>‘</w:t>
      </w:r>
      <w:r>
        <w:rPr>
          <w:rFonts w:ascii="Times New Roman" w:hAnsi="Times New Roman" w:cs="Times New Roman" w:hint="eastAsia"/>
          <w:sz w:val="22"/>
        </w:rPr>
        <w:t>phecodes</w:t>
      </w:r>
      <w:r>
        <w:rPr>
          <w:rFonts w:ascii="Times New Roman" w:hAnsi="Times New Roman" w:cs="Times New Roman"/>
          <w:sz w:val="22"/>
        </w:rPr>
        <w:t>’</w:t>
      </w:r>
      <w:r w:rsidRPr="00D07FE8">
        <w:rPr>
          <w:rFonts w:ascii="Times New Roman" w:hAnsi="Times New Roman" w:cs="Times New Roman" w:hint="eastAsia"/>
          <w:sz w:val="22"/>
        </w:rPr>
        <w:t xml:space="preserve">, sized by </w:t>
      </w:r>
      <w:r>
        <w:rPr>
          <w:rFonts w:ascii="Times New Roman" w:hAnsi="Times New Roman" w:cs="Times New Roman" w:hint="eastAsia"/>
          <w:sz w:val="22"/>
        </w:rPr>
        <w:t>incidence</w:t>
      </w:r>
      <w:r w:rsidRPr="00D07FE8">
        <w:rPr>
          <w:rFonts w:ascii="Times New Roman" w:hAnsi="Times New Roman" w:cs="Times New Roman" w:hint="eastAsia"/>
          <w:sz w:val="22"/>
        </w:rPr>
        <w:t xml:space="preserve"> and colored by disease category.</w:t>
      </w:r>
      <w:r w:rsidRPr="0047497C">
        <w:rPr>
          <w:rFonts w:ascii="Times New Roman" w:hAnsi="Times New Roman" w:cs="Times New Roman" w:hint="eastAsia"/>
          <w:sz w:val="22"/>
        </w:rPr>
        <w:t xml:space="preserve"> </w:t>
      </w:r>
      <w:r w:rsidRPr="00673DE7">
        <w:rPr>
          <w:rFonts w:ascii="Times New Roman" w:hAnsi="Times New Roman" w:cs="Times New Roman" w:hint="eastAsia"/>
          <w:sz w:val="22"/>
        </w:rPr>
        <w:t xml:space="preserve">(A) </w:t>
      </w:r>
      <w:r w:rsidRPr="00D07FE8">
        <w:rPr>
          <w:rFonts w:ascii="Times New Roman" w:hAnsi="Times New Roman" w:cs="Times New Roman" w:hint="eastAsia"/>
          <w:sz w:val="22"/>
        </w:rPr>
        <w:t xml:space="preserve">Integrated </w:t>
      </w:r>
      <w:r>
        <w:rPr>
          <w:rFonts w:ascii="Times New Roman" w:hAnsi="Times New Roman" w:cs="Times New Roman" w:hint="eastAsia"/>
          <w:sz w:val="22"/>
        </w:rPr>
        <w:t>t</w:t>
      </w:r>
      <w:r w:rsidRPr="00F15DA4">
        <w:rPr>
          <w:rFonts w:ascii="Times New Roman" w:hAnsi="Times New Roman" w:cs="Times New Roman" w:hint="eastAsia"/>
          <w:sz w:val="22"/>
        </w:rPr>
        <w:t>hree-dimensional</w:t>
      </w:r>
      <w:r w:rsidRPr="00D07FE8">
        <w:rPr>
          <w:rFonts w:ascii="Times New Roman" w:hAnsi="Times New Roman" w:cs="Times New Roman" w:hint="eastAsia"/>
          <w:sz w:val="22"/>
        </w:rPr>
        <w:t xml:space="preserve"> </w:t>
      </w:r>
      <w:r>
        <w:rPr>
          <w:rFonts w:ascii="Times New Roman" w:hAnsi="Times New Roman" w:cs="Times New Roman" w:hint="eastAsia"/>
          <w:sz w:val="22"/>
        </w:rPr>
        <w:t xml:space="preserve">network </w:t>
      </w:r>
      <w:r w:rsidRPr="00D07FE8">
        <w:rPr>
          <w:rFonts w:ascii="Times New Roman" w:hAnsi="Times New Roman" w:cs="Times New Roman" w:hint="eastAsia"/>
          <w:sz w:val="22"/>
        </w:rPr>
        <w:t xml:space="preserve">plot combining the comorbidity network (viewed from above) and temporal disease trajectory network (viewed from the side), </w:t>
      </w:r>
      <w:r w:rsidRPr="00C045BC">
        <w:rPr>
          <w:rFonts w:ascii="Times New Roman" w:hAnsi="Times New Roman" w:cs="Times New Roman" w:hint="eastAsia"/>
          <w:color w:val="000000" w:themeColor="text1"/>
          <w:sz w:val="22"/>
        </w:rPr>
        <w:t xml:space="preserve">interactive version at </w:t>
      </w:r>
      <w:hyperlink r:id="rId13" w:history="1">
        <w:r w:rsidRPr="00CC385B">
          <w:rPr>
            <w:rStyle w:val="a7"/>
            <w:rFonts w:ascii="Times New Roman" w:hAnsi="Times New Roman" w:cs="Times New Roman" w:hint="eastAsia"/>
            <w:sz w:val="22"/>
          </w:rPr>
          <w:t>https://hzcohort.github.io/DiNetxify/LTL_PCA.html</w:t>
        </w:r>
      </w:hyperlink>
      <w:r w:rsidRPr="00C045BC">
        <w:rPr>
          <w:rFonts w:ascii="Times New Roman" w:hAnsi="Times New Roman" w:cs="Times New Roman" w:hint="eastAsia"/>
          <w:color w:val="000000" w:themeColor="text1"/>
          <w:sz w:val="22"/>
        </w:rPr>
        <w:t xml:space="preserve">. </w:t>
      </w:r>
      <w:r>
        <w:rPr>
          <w:rFonts w:ascii="Times New Roman" w:hAnsi="Times New Roman" w:cs="Times New Roman"/>
          <w:sz w:val="22"/>
        </w:rPr>
        <w:t xml:space="preserve">(B) </w:t>
      </w:r>
      <w:r>
        <w:rPr>
          <w:rFonts w:ascii="Times New Roman" w:hAnsi="Times New Roman" w:cs="Times New Roman" w:hint="eastAsia"/>
          <w:sz w:val="22"/>
        </w:rPr>
        <w:t>Nine</w:t>
      </w:r>
      <w:r w:rsidRPr="00F15DA4">
        <w:rPr>
          <w:rFonts w:ascii="Times New Roman" w:hAnsi="Times New Roman" w:cs="Times New Roman" w:hint="eastAsia"/>
          <w:sz w:val="22"/>
        </w:rPr>
        <w:t xml:space="preserve"> robust disease clusters revealed through</w:t>
      </w:r>
      <w:r>
        <w:rPr>
          <w:rFonts w:ascii="Times New Roman" w:hAnsi="Times New Roman" w:cs="Times New Roman" w:hint="eastAsia"/>
          <w:sz w:val="22"/>
        </w:rPr>
        <w:t xml:space="preserve"> both comorbidity network and disease trajectory analyses.</w:t>
      </w:r>
      <w:r w:rsidRPr="00C230EA">
        <w:rPr>
          <w:rFonts w:ascii="Times New Roman" w:hAnsi="Times New Roman" w:cs="Times New Roman" w:hint="eastAsia"/>
          <w:sz w:val="24"/>
          <w:szCs w:val="24"/>
        </w:rPr>
        <w:t xml:space="preserve"> </w:t>
      </w:r>
    </w:p>
    <w:sectPr w:rsidR="00C230EA" w:rsidRPr="00C230EA" w:rsidSect="00F32EBF">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915A96" w14:textId="77777777" w:rsidR="006A2A21" w:rsidRDefault="006A2A21" w:rsidP="0011680C">
      <w:pPr>
        <w:rPr>
          <w:rFonts w:hint="eastAsia"/>
        </w:rPr>
      </w:pPr>
      <w:r>
        <w:separator/>
      </w:r>
    </w:p>
  </w:endnote>
  <w:endnote w:type="continuationSeparator" w:id="0">
    <w:p w14:paraId="6D9EF284" w14:textId="77777777" w:rsidR="006A2A21" w:rsidRDefault="006A2A21" w:rsidP="0011680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C98574" w14:textId="77777777" w:rsidR="006A2A21" w:rsidRDefault="006A2A21" w:rsidP="0011680C">
      <w:pPr>
        <w:rPr>
          <w:rFonts w:hint="eastAsia"/>
        </w:rPr>
      </w:pPr>
      <w:r>
        <w:separator/>
      </w:r>
    </w:p>
  </w:footnote>
  <w:footnote w:type="continuationSeparator" w:id="0">
    <w:p w14:paraId="170640B8" w14:textId="77777777" w:rsidR="006A2A21" w:rsidRDefault="006A2A21" w:rsidP="0011680C">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CF0"/>
    <w:rsid w:val="00012514"/>
    <w:rsid w:val="0002039A"/>
    <w:rsid w:val="0004005B"/>
    <w:rsid w:val="0009187F"/>
    <w:rsid w:val="000943A8"/>
    <w:rsid w:val="000B5A16"/>
    <w:rsid w:val="000D1F1B"/>
    <w:rsid w:val="00106AEA"/>
    <w:rsid w:val="00106D7B"/>
    <w:rsid w:val="0011680C"/>
    <w:rsid w:val="001227E3"/>
    <w:rsid w:val="00155F8B"/>
    <w:rsid w:val="00170E57"/>
    <w:rsid w:val="001920C8"/>
    <w:rsid w:val="001942F4"/>
    <w:rsid w:val="00194C06"/>
    <w:rsid w:val="001A0BA0"/>
    <w:rsid w:val="001B1110"/>
    <w:rsid w:val="001C70B0"/>
    <w:rsid w:val="001D52CF"/>
    <w:rsid w:val="001E2E4C"/>
    <w:rsid w:val="001F0132"/>
    <w:rsid w:val="001F409C"/>
    <w:rsid w:val="002009E2"/>
    <w:rsid w:val="002045B0"/>
    <w:rsid w:val="00206104"/>
    <w:rsid w:val="00212780"/>
    <w:rsid w:val="002167B8"/>
    <w:rsid w:val="00222FAD"/>
    <w:rsid w:val="00233A63"/>
    <w:rsid w:val="00250A70"/>
    <w:rsid w:val="00255EC4"/>
    <w:rsid w:val="00264087"/>
    <w:rsid w:val="00264258"/>
    <w:rsid w:val="00281041"/>
    <w:rsid w:val="00286B46"/>
    <w:rsid w:val="00291688"/>
    <w:rsid w:val="002B44AE"/>
    <w:rsid w:val="002C5D1F"/>
    <w:rsid w:val="002C69A8"/>
    <w:rsid w:val="002E5D12"/>
    <w:rsid w:val="002F0BA1"/>
    <w:rsid w:val="002F27C5"/>
    <w:rsid w:val="00307C09"/>
    <w:rsid w:val="00311EB8"/>
    <w:rsid w:val="00327E64"/>
    <w:rsid w:val="00363B80"/>
    <w:rsid w:val="00365BAB"/>
    <w:rsid w:val="00371674"/>
    <w:rsid w:val="00377F69"/>
    <w:rsid w:val="003830F3"/>
    <w:rsid w:val="00385D00"/>
    <w:rsid w:val="003941C9"/>
    <w:rsid w:val="003977C1"/>
    <w:rsid w:val="003C4AC2"/>
    <w:rsid w:val="003F42AE"/>
    <w:rsid w:val="004419D7"/>
    <w:rsid w:val="00442D44"/>
    <w:rsid w:val="00443640"/>
    <w:rsid w:val="0044676A"/>
    <w:rsid w:val="00461B7A"/>
    <w:rsid w:val="0046351A"/>
    <w:rsid w:val="00463CC6"/>
    <w:rsid w:val="00470481"/>
    <w:rsid w:val="004A136C"/>
    <w:rsid w:val="004B5A3E"/>
    <w:rsid w:val="004C3D93"/>
    <w:rsid w:val="00502C8F"/>
    <w:rsid w:val="00502E73"/>
    <w:rsid w:val="005037C4"/>
    <w:rsid w:val="00517177"/>
    <w:rsid w:val="00525FD0"/>
    <w:rsid w:val="0053205F"/>
    <w:rsid w:val="00534AB5"/>
    <w:rsid w:val="005616B9"/>
    <w:rsid w:val="00562D33"/>
    <w:rsid w:val="005953E5"/>
    <w:rsid w:val="005A0382"/>
    <w:rsid w:val="005A678B"/>
    <w:rsid w:val="005B6935"/>
    <w:rsid w:val="005D400A"/>
    <w:rsid w:val="005E2156"/>
    <w:rsid w:val="005F07C5"/>
    <w:rsid w:val="005F62E1"/>
    <w:rsid w:val="00601394"/>
    <w:rsid w:val="00603A86"/>
    <w:rsid w:val="00626B6C"/>
    <w:rsid w:val="00634ED2"/>
    <w:rsid w:val="00641956"/>
    <w:rsid w:val="00656DD0"/>
    <w:rsid w:val="00683039"/>
    <w:rsid w:val="006A2A21"/>
    <w:rsid w:val="006A329A"/>
    <w:rsid w:val="006A6F6C"/>
    <w:rsid w:val="006C3327"/>
    <w:rsid w:val="006D55A3"/>
    <w:rsid w:val="006E0D60"/>
    <w:rsid w:val="006F4D44"/>
    <w:rsid w:val="0070484D"/>
    <w:rsid w:val="00705300"/>
    <w:rsid w:val="007302AC"/>
    <w:rsid w:val="00766A5D"/>
    <w:rsid w:val="0078076C"/>
    <w:rsid w:val="007B16ED"/>
    <w:rsid w:val="007B691F"/>
    <w:rsid w:val="007F3DA2"/>
    <w:rsid w:val="00800592"/>
    <w:rsid w:val="00813325"/>
    <w:rsid w:val="0081679B"/>
    <w:rsid w:val="00832E53"/>
    <w:rsid w:val="00840DE2"/>
    <w:rsid w:val="00844485"/>
    <w:rsid w:val="00851982"/>
    <w:rsid w:val="008519F4"/>
    <w:rsid w:val="00854F13"/>
    <w:rsid w:val="00857958"/>
    <w:rsid w:val="008609AE"/>
    <w:rsid w:val="00861239"/>
    <w:rsid w:val="0087104D"/>
    <w:rsid w:val="00876BB7"/>
    <w:rsid w:val="00887AA7"/>
    <w:rsid w:val="0089103C"/>
    <w:rsid w:val="008B0522"/>
    <w:rsid w:val="008D2CF0"/>
    <w:rsid w:val="008E1FE3"/>
    <w:rsid w:val="009061E3"/>
    <w:rsid w:val="0091322C"/>
    <w:rsid w:val="00920A16"/>
    <w:rsid w:val="009260B0"/>
    <w:rsid w:val="009306D2"/>
    <w:rsid w:val="00930E86"/>
    <w:rsid w:val="00932747"/>
    <w:rsid w:val="009429F8"/>
    <w:rsid w:val="009441B5"/>
    <w:rsid w:val="00974B53"/>
    <w:rsid w:val="00982278"/>
    <w:rsid w:val="00985468"/>
    <w:rsid w:val="00985E74"/>
    <w:rsid w:val="00991A49"/>
    <w:rsid w:val="009D3021"/>
    <w:rsid w:val="009D5E73"/>
    <w:rsid w:val="00A16A4F"/>
    <w:rsid w:val="00A303D7"/>
    <w:rsid w:val="00A32FC5"/>
    <w:rsid w:val="00A410F5"/>
    <w:rsid w:val="00A91505"/>
    <w:rsid w:val="00AA6A63"/>
    <w:rsid w:val="00AC5493"/>
    <w:rsid w:val="00AD57B2"/>
    <w:rsid w:val="00AE58AA"/>
    <w:rsid w:val="00B2256E"/>
    <w:rsid w:val="00B226B2"/>
    <w:rsid w:val="00B347EA"/>
    <w:rsid w:val="00B52EDE"/>
    <w:rsid w:val="00B62A86"/>
    <w:rsid w:val="00B6491B"/>
    <w:rsid w:val="00B677AC"/>
    <w:rsid w:val="00B7627E"/>
    <w:rsid w:val="00B9339C"/>
    <w:rsid w:val="00BA0227"/>
    <w:rsid w:val="00BA0D66"/>
    <w:rsid w:val="00BA63FF"/>
    <w:rsid w:val="00BE11D4"/>
    <w:rsid w:val="00BE1582"/>
    <w:rsid w:val="00C01582"/>
    <w:rsid w:val="00C045BC"/>
    <w:rsid w:val="00C1119D"/>
    <w:rsid w:val="00C15776"/>
    <w:rsid w:val="00C223F3"/>
    <w:rsid w:val="00C230EA"/>
    <w:rsid w:val="00C366E4"/>
    <w:rsid w:val="00C427D8"/>
    <w:rsid w:val="00C57901"/>
    <w:rsid w:val="00C579C0"/>
    <w:rsid w:val="00C617D6"/>
    <w:rsid w:val="00C732D9"/>
    <w:rsid w:val="00C816A4"/>
    <w:rsid w:val="00C875EB"/>
    <w:rsid w:val="00C97B05"/>
    <w:rsid w:val="00CB2449"/>
    <w:rsid w:val="00CB3AAB"/>
    <w:rsid w:val="00CB76F6"/>
    <w:rsid w:val="00CC27C6"/>
    <w:rsid w:val="00CC5075"/>
    <w:rsid w:val="00CE1BDF"/>
    <w:rsid w:val="00CF5EDE"/>
    <w:rsid w:val="00D13A71"/>
    <w:rsid w:val="00D22546"/>
    <w:rsid w:val="00D26DF4"/>
    <w:rsid w:val="00D3166F"/>
    <w:rsid w:val="00D3235E"/>
    <w:rsid w:val="00D44C47"/>
    <w:rsid w:val="00D61809"/>
    <w:rsid w:val="00D6367C"/>
    <w:rsid w:val="00D64D38"/>
    <w:rsid w:val="00D66DB2"/>
    <w:rsid w:val="00D868A7"/>
    <w:rsid w:val="00DB0AFC"/>
    <w:rsid w:val="00DB376A"/>
    <w:rsid w:val="00DE10CD"/>
    <w:rsid w:val="00DE774F"/>
    <w:rsid w:val="00DF0C98"/>
    <w:rsid w:val="00E05EBA"/>
    <w:rsid w:val="00E116A9"/>
    <w:rsid w:val="00E119BC"/>
    <w:rsid w:val="00E1260C"/>
    <w:rsid w:val="00E61640"/>
    <w:rsid w:val="00E857EC"/>
    <w:rsid w:val="00E91540"/>
    <w:rsid w:val="00EB09F0"/>
    <w:rsid w:val="00EC496A"/>
    <w:rsid w:val="00ED1FDA"/>
    <w:rsid w:val="00ED6B96"/>
    <w:rsid w:val="00EE3151"/>
    <w:rsid w:val="00EF0552"/>
    <w:rsid w:val="00EF0601"/>
    <w:rsid w:val="00EF1428"/>
    <w:rsid w:val="00F021D2"/>
    <w:rsid w:val="00F15FE6"/>
    <w:rsid w:val="00F30CB8"/>
    <w:rsid w:val="00F32EBF"/>
    <w:rsid w:val="00F41D8C"/>
    <w:rsid w:val="00F45C35"/>
    <w:rsid w:val="00F54632"/>
    <w:rsid w:val="00F7539A"/>
    <w:rsid w:val="00F75CF0"/>
    <w:rsid w:val="00F820CA"/>
    <w:rsid w:val="00F82F0A"/>
    <w:rsid w:val="00F923A9"/>
    <w:rsid w:val="00F97790"/>
    <w:rsid w:val="00FC2F77"/>
    <w:rsid w:val="00FE1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06694E"/>
  <w14:defaultImageDpi w14:val="32767"/>
  <w15:chartTrackingRefBased/>
  <w15:docId w15:val="{4D898EB8-B952-4147-8023-A6FA621DC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1F1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680C"/>
    <w:pPr>
      <w:tabs>
        <w:tab w:val="center" w:pos="4153"/>
        <w:tab w:val="right" w:pos="8306"/>
      </w:tabs>
    </w:pPr>
  </w:style>
  <w:style w:type="character" w:customStyle="1" w:styleId="a4">
    <w:name w:val="页眉 字符"/>
    <w:basedOn w:val="a0"/>
    <w:link w:val="a3"/>
    <w:uiPriority w:val="99"/>
    <w:rsid w:val="0011680C"/>
  </w:style>
  <w:style w:type="paragraph" w:styleId="a5">
    <w:name w:val="footer"/>
    <w:basedOn w:val="a"/>
    <w:link w:val="a6"/>
    <w:uiPriority w:val="99"/>
    <w:unhideWhenUsed/>
    <w:rsid w:val="0011680C"/>
    <w:pPr>
      <w:tabs>
        <w:tab w:val="center" w:pos="4153"/>
        <w:tab w:val="right" w:pos="8306"/>
      </w:tabs>
    </w:pPr>
  </w:style>
  <w:style w:type="character" w:customStyle="1" w:styleId="a6">
    <w:name w:val="页脚 字符"/>
    <w:basedOn w:val="a0"/>
    <w:link w:val="a5"/>
    <w:uiPriority w:val="99"/>
    <w:rsid w:val="0011680C"/>
  </w:style>
  <w:style w:type="character" w:styleId="a7">
    <w:name w:val="Hyperlink"/>
    <w:basedOn w:val="a0"/>
    <w:uiPriority w:val="99"/>
    <w:unhideWhenUsed/>
    <w:rsid w:val="005037C4"/>
    <w:rPr>
      <w:color w:val="0563C1" w:themeColor="hyperlink"/>
      <w:u w:val="single"/>
    </w:rPr>
  </w:style>
  <w:style w:type="character" w:styleId="a8">
    <w:name w:val="Unresolved Mention"/>
    <w:basedOn w:val="a0"/>
    <w:uiPriority w:val="99"/>
    <w:semiHidden/>
    <w:unhideWhenUsed/>
    <w:rsid w:val="00C045BC"/>
    <w:rPr>
      <w:color w:val="605E5C"/>
      <w:shd w:val="clear" w:color="auto" w:fill="E1DFDD"/>
    </w:rPr>
  </w:style>
  <w:style w:type="character" w:styleId="a9">
    <w:name w:val="FollowedHyperlink"/>
    <w:basedOn w:val="a0"/>
    <w:uiPriority w:val="99"/>
    <w:semiHidden/>
    <w:unhideWhenUsed/>
    <w:rsid w:val="0029168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hzcohort.github.io/DiNetxify/LTL_PCA.html"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7944E-4CCF-4C49-84FD-100E3D721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851</TotalTime>
  <Pages>7</Pages>
  <Words>399</Words>
  <Characters>2277</Characters>
  <Application>Microsoft Office Word</Application>
  <DocSecurity>0</DocSecurity>
  <Lines>18</Lines>
  <Paragraphs>5</Paragraphs>
  <ScaleCrop>false</ScaleCrop>
  <Company/>
  <LinksUpToDate>false</LinksUpToDate>
  <CharactersWithSpaces>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HC CA</dc:creator>
  <cp:keywords/>
  <dc:description/>
  <cp:lastModifiedBy>Hou Can</cp:lastModifiedBy>
  <cp:revision>131</cp:revision>
  <dcterms:created xsi:type="dcterms:W3CDTF">2024-05-16T08:33:00Z</dcterms:created>
  <dcterms:modified xsi:type="dcterms:W3CDTF">2025-10-28T02:35:00Z</dcterms:modified>
</cp:coreProperties>
</file>