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6B2D68" w14:textId="7EF767EE" w:rsidR="00D24D0A" w:rsidRDefault="00D24D0A" w:rsidP="00A22683">
      <w:pPr>
        <w:spacing w:line="360" w:lineRule="auto"/>
        <w:jc w:val="both"/>
        <w:rPr>
          <w:rFonts w:ascii="Times New Roman" w:hAnsi="Times New Roman" w:cs="Times New Roman"/>
          <w:b/>
          <w:sz w:val="20"/>
          <w:szCs w:val="20"/>
          <w:lang w:val="en-US"/>
        </w:rPr>
      </w:pPr>
      <w:r>
        <w:rPr>
          <w:rFonts w:ascii="Times New Roman" w:hAnsi="Times New Roman" w:cs="Times New Roman"/>
          <w:b/>
          <w:sz w:val="20"/>
          <w:szCs w:val="20"/>
          <w:lang w:val="en-US"/>
        </w:rPr>
        <w:t>Supplementary text 1</w:t>
      </w:r>
      <w:bookmarkStart w:id="0" w:name="_GoBack"/>
      <w:bookmarkEnd w:id="0"/>
    </w:p>
    <w:p w14:paraId="43A309D2" w14:textId="77F54529" w:rsidR="000F659C" w:rsidRPr="00A22683" w:rsidRDefault="00AB371B" w:rsidP="00A22683">
      <w:pPr>
        <w:spacing w:line="360" w:lineRule="auto"/>
        <w:jc w:val="both"/>
        <w:rPr>
          <w:rFonts w:ascii="Times New Roman" w:hAnsi="Times New Roman" w:cs="Times New Roman"/>
          <w:b/>
          <w:sz w:val="20"/>
          <w:szCs w:val="20"/>
          <w:lang w:val="en-US"/>
        </w:rPr>
      </w:pPr>
      <w:r w:rsidRPr="00A22683">
        <w:rPr>
          <w:rFonts w:ascii="Times New Roman" w:hAnsi="Times New Roman" w:cs="Times New Roman"/>
          <w:b/>
          <w:sz w:val="20"/>
          <w:szCs w:val="20"/>
          <w:lang w:val="en-US"/>
        </w:rPr>
        <w:t>Exome Sequencing</w:t>
      </w:r>
    </w:p>
    <w:p w14:paraId="4D187173" w14:textId="701841AA" w:rsidR="00A2655E" w:rsidRPr="00A22683" w:rsidRDefault="000F659C" w:rsidP="00A22683">
      <w:pPr>
        <w:spacing w:line="360" w:lineRule="auto"/>
        <w:jc w:val="both"/>
        <w:rPr>
          <w:rFonts w:ascii="Times New Roman" w:hAnsi="Times New Roman" w:cs="Times New Roman"/>
          <w:sz w:val="20"/>
          <w:szCs w:val="20"/>
          <w:lang w:val="en-US"/>
        </w:rPr>
      </w:pPr>
      <w:r w:rsidRPr="00A22683">
        <w:rPr>
          <w:rFonts w:ascii="Times New Roman" w:hAnsi="Times New Roman" w:cs="Times New Roman"/>
          <w:color w:val="000000" w:themeColor="text1"/>
          <w:sz w:val="20"/>
          <w:szCs w:val="20"/>
          <w:shd w:val="clear" w:color="auto" w:fill="FFFFFF"/>
          <w:lang w:val="en-US"/>
        </w:rPr>
        <w:t xml:space="preserve">Clinical exome sequencing (CES) </w:t>
      </w:r>
      <w:r w:rsidRPr="00A22683">
        <w:rPr>
          <w:rFonts w:ascii="Times New Roman" w:hAnsi="Times New Roman" w:cs="Times New Roman"/>
          <w:color w:val="000000" w:themeColor="text1"/>
          <w:sz w:val="20"/>
          <w:szCs w:val="20"/>
          <w:lang w:val="en-US"/>
        </w:rPr>
        <w:t>investigation was conducted only on the genomic DNA from proband, in the absence of a positive family history.</w:t>
      </w:r>
      <w:r w:rsidR="00912FF6" w:rsidRPr="00A22683">
        <w:rPr>
          <w:rFonts w:ascii="Times New Roman" w:hAnsi="Times New Roman" w:cs="Times New Roman"/>
          <w:color w:val="000000" w:themeColor="text1"/>
          <w:sz w:val="20"/>
          <w:szCs w:val="20"/>
          <w:lang w:val="en-US"/>
        </w:rPr>
        <w:t xml:space="preserve"> Genomic DNA isolation from the whole blood of proband was </w:t>
      </w:r>
      <w:r w:rsidR="00034449" w:rsidRPr="00A22683">
        <w:rPr>
          <w:rFonts w:ascii="Times New Roman" w:hAnsi="Times New Roman" w:cs="Times New Roman"/>
          <w:color w:val="000000" w:themeColor="text1"/>
          <w:sz w:val="20"/>
          <w:szCs w:val="20"/>
          <w:lang w:val="en-US"/>
        </w:rPr>
        <w:t xml:space="preserve">extracted using </w:t>
      </w:r>
      <w:proofErr w:type="spellStart"/>
      <w:r w:rsidR="00034449" w:rsidRPr="00A22683">
        <w:rPr>
          <w:rFonts w:ascii="Times New Roman" w:hAnsi="Times New Roman" w:cs="Times New Roman"/>
          <w:color w:val="000000" w:themeColor="text1"/>
          <w:sz w:val="20"/>
          <w:szCs w:val="20"/>
          <w:lang w:val="en-US"/>
        </w:rPr>
        <w:t>MagCore</w:t>
      </w:r>
      <w:proofErr w:type="spellEnd"/>
      <w:r w:rsidR="00034449" w:rsidRPr="00A22683">
        <w:rPr>
          <w:rFonts w:ascii="Times New Roman" w:hAnsi="Times New Roman" w:cs="Times New Roman"/>
          <w:color w:val="000000" w:themeColor="text1"/>
          <w:sz w:val="20"/>
          <w:szCs w:val="20"/>
          <w:lang w:val="en-US"/>
        </w:rPr>
        <w:t>® Genomic DNA Whole Blood Kit (RBC Bioscience Corp.) according to manufacturer’s instructions</w:t>
      </w:r>
      <w:r w:rsidR="00912FF6" w:rsidRPr="00A22683">
        <w:rPr>
          <w:rFonts w:ascii="Times New Roman" w:hAnsi="Times New Roman" w:cs="Times New Roman"/>
          <w:color w:val="000000" w:themeColor="text1"/>
          <w:sz w:val="20"/>
          <w:szCs w:val="20"/>
          <w:lang w:val="en-US"/>
        </w:rPr>
        <w:t>.</w:t>
      </w:r>
      <w:r w:rsidR="000F4CCE" w:rsidRPr="00A22683">
        <w:rPr>
          <w:rFonts w:ascii="Times New Roman" w:hAnsi="Times New Roman" w:cs="Times New Roman"/>
          <w:color w:val="000000" w:themeColor="text1"/>
          <w:sz w:val="20"/>
          <w:szCs w:val="20"/>
          <w:lang w:val="en-US"/>
        </w:rPr>
        <w:t xml:space="preserve"> The Illumina DNA Prep with Enrichment protocol (San Diego, CA, USA) was used to prepare sample libraries from peripheral blood-purified genomic DNA. The Illumina DNA Prep with Enrichment protocol (San Diego, CA, USA) was </w:t>
      </w:r>
      <w:r w:rsidR="008954C8" w:rsidRPr="00A22683">
        <w:rPr>
          <w:rStyle w:val="Enfasicorsivo"/>
          <w:rFonts w:ascii="Times New Roman" w:hAnsi="Times New Roman" w:cs="Times New Roman"/>
          <w:bCs/>
          <w:i w:val="0"/>
          <w:iCs w:val="0"/>
          <w:color w:val="000000" w:themeColor="text1"/>
          <w:sz w:val="20"/>
          <w:szCs w:val="20"/>
          <w:shd w:val="clear" w:color="auto" w:fill="FFFFFF"/>
          <w:lang w:val="en-US"/>
        </w:rPr>
        <w:t>used</w:t>
      </w:r>
      <w:r w:rsidR="008954C8" w:rsidRPr="00A22683">
        <w:rPr>
          <w:rFonts w:ascii="Times New Roman" w:hAnsi="Times New Roman" w:cs="Times New Roman"/>
          <w:color w:val="000000" w:themeColor="text1"/>
          <w:sz w:val="20"/>
          <w:szCs w:val="20"/>
          <w:shd w:val="clear" w:color="auto" w:fill="FFFFFF"/>
          <w:lang w:val="en-US"/>
        </w:rPr>
        <w:t> to </w:t>
      </w:r>
      <w:r w:rsidR="008954C8" w:rsidRPr="00A22683">
        <w:rPr>
          <w:rStyle w:val="Enfasicorsivo"/>
          <w:rFonts w:ascii="Times New Roman" w:hAnsi="Times New Roman" w:cs="Times New Roman"/>
          <w:bCs/>
          <w:i w:val="0"/>
          <w:iCs w:val="0"/>
          <w:color w:val="000000" w:themeColor="text1"/>
          <w:sz w:val="20"/>
          <w:szCs w:val="20"/>
          <w:shd w:val="clear" w:color="auto" w:fill="FFFFFF"/>
          <w:lang w:val="en-US"/>
        </w:rPr>
        <w:t>construct</w:t>
      </w:r>
      <w:r w:rsidR="008954C8" w:rsidRPr="00A22683">
        <w:rPr>
          <w:rFonts w:ascii="Times New Roman" w:hAnsi="Times New Roman" w:cs="Times New Roman"/>
          <w:color w:val="000000" w:themeColor="text1"/>
          <w:sz w:val="20"/>
          <w:szCs w:val="20"/>
          <w:shd w:val="clear" w:color="auto" w:fill="FFFFFF"/>
          <w:lang w:val="en-US"/>
        </w:rPr>
        <w:t> sequencing </w:t>
      </w:r>
      <w:r w:rsidR="008954C8" w:rsidRPr="00A22683">
        <w:rPr>
          <w:rStyle w:val="Enfasicorsivo"/>
          <w:rFonts w:ascii="Times New Roman" w:hAnsi="Times New Roman" w:cs="Times New Roman"/>
          <w:bCs/>
          <w:i w:val="0"/>
          <w:iCs w:val="0"/>
          <w:color w:val="000000" w:themeColor="text1"/>
          <w:sz w:val="20"/>
          <w:szCs w:val="20"/>
          <w:shd w:val="clear" w:color="auto" w:fill="FFFFFF"/>
          <w:lang w:val="en-US"/>
        </w:rPr>
        <w:t>libraries</w:t>
      </w:r>
      <w:r w:rsidR="008954C8" w:rsidRPr="00A22683">
        <w:rPr>
          <w:rFonts w:ascii="Times New Roman" w:hAnsi="Times New Roman" w:cs="Times New Roman"/>
          <w:color w:val="000000" w:themeColor="text1"/>
          <w:sz w:val="20"/>
          <w:szCs w:val="20"/>
          <w:shd w:val="clear" w:color="auto" w:fill="FFFFFF"/>
          <w:lang w:val="en-US"/>
        </w:rPr>
        <w:t> from DNA </w:t>
      </w:r>
      <w:r w:rsidR="008954C8" w:rsidRPr="00A22683">
        <w:rPr>
          <w:rStyle w:val="Enfasicorsivo"/>
          <w:rFonts w:ascii="Times New Roman" w:hAnsi="Times New Roman" w:cs="Times New Roman"/>
          <w:bCs/>
          <w:i w:val="0"/>
          <w:iCs w:val="0"/>
          <w:color w:val="000000" w:themeColor="text1"/>
          <w:sz w:val="20"/>
          <w:szCs w:val="20"/>
          <w:shd w:val="clear" w:color="auto" w:fill="FFFFFF"/>
          <w:lang w:val="en-US"/>
        </w:rPr>
        <w:t>sample.</w:t>
      </w:r>
      <w:r w:rsidR="000F4CCE" w:rsidRPr="00A22683">
        <w:rPr>
          <w:rFonts w:ascii="Times New Roman" w:hAnsi="Times New Roman" w:cs="Times New Roman"/>
          <w:color w:val="000000" w:themeColor="text1"/>
          <w:sz w:val="20"/>
          <w:szCs w:val="20"/>
          <w:lang w:val="en-US"/>
        </w:rPr>
        <w:t xml:space="preserve"> </w:t>
      </w:r>
      <w:r w:rsidR="00A24202" w:rsidRPr="00A22683">
        <w:rPr>
          <w:rFonts w:ascii="Times New Roman" w:hAnsi="Times New Roman" w:cs="Times New Roman"/>
          <w:color w:val="000000" w:themeColor="text1"/>
          <w:sz w:val="20"/>
          <w:szCs w:val="20"/>
          <w:lang w:val="en-US"/>
        </w:rPr>
        <w:t>The library quality assessment was performed using the Agilent 2100 Bioanalyzer System-High Sensitivity DNA Kit (Santa Clara, CA, United States)</w:t>
      </w:r>
      <w:r w:rsidR="00A36A1C" w:rsidRPr="00A22683">
        <w:rPr>
          <w:rFonts w:ascii="Times New Roman" w:hAnsi="Times New Roman" w:cs="Times New Roman"/>
          <w:color w:val="000000" w:themeColor="text1"/>
          <w:sz w:val="20"/>
          <w:szCs w:val="20"/>
          <w:lang w:val="en-US"/>
        </w:rPr>
        <w:t xml:space="preserve"> and library sequencing was conducted</w:t>
      </w:r>
      <w:r w:rsidR="00285F11" w:rsidRPr="00A22683">
        <w:rPr>
          <w:rFonts w:ascii="Times New Roman" w:hAnsi="Times New Roman" w:cs="Times New Roman"/>
          <w:color w:val="000000" w:themeColor="text1"/>
          <w:sz w:val="20"/>
          <w:szCs w:val="20"/>
          <w:lang w:val="en-US"/>
        </w:rPr>
        <w:t xml:space="preserve"> </w:t>
      </w:r>
      <w:r w:rsidR="00A36A1C" w:rsidRPr="00A22683">
        <w:rPr>
          <w:rFonts w:ascii="Times New Roman" w:hAnsi="Times New Roman" w:cs="Times New Roman"/>
          <w:color w:val="000000" w:themeColor="text1"/>
          <w:sz w:val="20"/>
          <w:szCs w:val="20"/>
          <w:lang w:val="en-US"/>
        </w:rPr>
        <w:t>u</w:t>
      </w:r>
      <w:r w:rsidR="00285F11" w:rsidRPr="00A22683">
        <w:rPr>
          <w:rFonts w:ascii="Times New Roman" w:hAnsi="Times New Roman" w:cs="Times New Roman"/>
          <w:color w:val="000000" w:themeColor="text1"/>
          <w:sz w:val="20"/>
          <w:szCs w:val="20"/>
          <w:lang w:val="en-US"/>
        </w:rPr>
        <w:t xml:space="preserve">sing an Illumina </w:t>
      </w:r>
      <w:proofErr w:type="spellStart"/>
      <w:r w:rsidR="00285F11" w:rsidRPr="00A22683">
        <w:rPr>
          <w:rFonts w:ascii="Times New Roman" w:hAnsi="Times New Roman" w:cs="Times New Roman"/>
          <w:color w:val="000000" w:themeColor="text1"/>
          <w:sz w:val="20"/>
          <w:szCs w:val="20"/>
          <w:lang w:val="en-US"/>
        </w:rPr>
        <w:t>NextSeq</w:t>
      </w:r>
      <w:proofErr w:type="spellEnd"/>
      <w:r w:rsidR="00285F11" w:rsidRPr="00A22683">
        <w:rPr>
          <w:rFonts w:ascii="Times New Roman" w:hAnsi="Times New Roman" w:cs="Times New Roman"/>
          <w:color w:val="000000" w:themeColor="text1"/>
          <w:sz w:val="20"/>
          <w:szCs w:val="20"/>
          <w:lang w:val="en-US"/>
        </w:rPr>
        <w:t xml:space="preserve"> 550® Sequencing System (San Diego, CA, USA), all coding regions and exon–intron junctions were sequenced.</w:t>
      </w:r>
      <w:r w:rsidR="009C1325" w:rsidRPr="00A22683">
        <w:rPr>
          <w:rFonts w:ascii="Times New Roman" w:hAnsi="Times New Roman" w:cs="Times New Roman"/>
          <w:color w:val="000000" w:themeColor="text1"/>
          <w:sz w:val="20"/>
          <w:szCs w:val="20"/>
          <w:lang w:val="en-US"/>
        </w:rPr>
        <w:t xml:space="preserve"> </w:t>
      </w:r>
      <w:r w:rsidR="00A0106A" w:rsidRPr="00A22683">
        <w:rPr>
          <w:rFonts w:ascii="Times New Roman" w:hAnsi="Times New Roman" w:cs="Times New Roman"/>
          <w:color w:val="000000" w:themeColor="text1"/>
          <w:sz w:val="20"/>
          <w:szCs w:val="20"/>
          <w:lang w:val="en-US"/>
        </w:rPr>
        <w:t>Se</w:t>
      </w:r>
      <w:r w:rsidR="009C1325" w:rsidRPr="00A22683">
        <w:rPr>
          <w:rFonts w:ascii="Times New Roman" w:hAnsi="Times New Roman" w:cs="Times New Roman"/>
          <w:color w:val="000000" w:themeColor="text1"/>
          <w:sz w:val="20"/>
          <w:szCs w:val="20"/>
          <w:lang w:val="en-US"/>
        </w:rPr>
        <w:t xml:space="preserve">quence clean reads </w:t>
      </w:r>
      <w:r w:rsidR="00A0106A" w:rsidRPr="00A22683">
        <w:rPr>
          <w:rFonts w:ascii="Times New Roman" w:hAnsi="Times New Roman" w:cs="Times New Roman"/>
          <w:color w:val="000000" w:themeColor="text1"/>
          <w:sz w:val="20"/>
          <w:szCs w:val="20"/>
          <w:lang w:val="en-US"/>
        </w:rPr>
        <w:t xml:space="preserve">were </w:t>
      </w:r>
      <w:r w:rsidR="009C1325" w:rsidRPr="00A22683">
        <w:rPr>
          <w:rFonts w:ascii="Times New Roman" w:hAnsi="Times New Roman" w:cs="Times New Roman"/>
          <w:color w:val="000000" w:themeColor="text1"/>
          <w:sz w:val="20"/>
          <w:szCs w:val="20"/>
          <w:lang w:val="en-US"/>
        </w:rPr>
        <w:t xml:space="preserve">aligned </w:t>
      </w:r>
      <w:r w:rsidR="00A0106A" w:rsidRPr="00A22683">
        <w:rPr>
          <w:rFonts w:ascii="Times New Roman" w:hAnsi="Times New Roman" w:cs="Times New Roman"/>
          <w:color w:val="000000" w:themeColor="text1"/>
          <w:sz w:val="20"/>
          <w:szCs w:val="20"/>
          <w:lang w:val="en-US"/>
        </w:rPr>
        <w:t xml:space="preserve">used </w:t>
      </w:r>
      <w:r w:rsidR="009C1325" w:rsidRPr="00A22683">
        <w:rPr>
          <w:rFonts w:ascii="Times New Roman" w:hAnsi="Times New Roman" w:cs="Times New Roman"/>
          <w:color w:val="000000" w:themeColor="text1"/>
          <w:sz w:val="20"/>
          <w:szCs w:val="20"/>
          <w:lang w:val="en-US"/>
        </w:rPr>
        <w:t>to the human reference genome, GRCh37/hg19 with</w:t>
      </w:r>
      <w:r w:rsidR="00A0106A" w:rsidRPr="00A22683">
        <w:rPr>
          <w:rFonts w:ascii="Times New Roman" w:hAnsi="Times New Roman" w:cs="Times New Roman"/>
          <w:color w:val="000000" w:themeColor="text1"/>
          <w:sz w:val="20"/>
          <w:szCs w:val="20"/>
          <w:lang w:val="en-US"/>
        </w:rPr>
        <w:t xml:space="preserve"> Burrows–Wheeler Aligner</w:t>
      </w:r>
      <w:r w:rsidR="009C1325" w:rsidRPr="00A22683">
        <w:rPr>
          <w:rFonts w:ascii="Times New Roman" w:hAnsi="Times New Roman" w:cs="Times New Roman"/>
          <w:color w:val="000000" w:themeColor="text1"/>
          <w:sz w:val="20"/>
          <w:szCs w:val="20"/>
          <w:lang w:val="en-US"/>
        </w:rPr>
        <w:t xml:space="preserve"> software</w:t>
      </w:r>
      <w:r w:rsidR="00A0106A" w:rsidRPr="00A22683">
        <w:rPr>
          <w:rFonts w:ascii="Times New Roman" w:hAnsi="Times New Roman" w:cs="Times New Roman"/>
          <w:color w:val="000000" w:themeColor="text1"/>
          <w:sz w:val="20"/>
          <w:szCs w:val="20"/>
          <w:lang w:val="en-US"/>
        </w:rPr>
        <w:t xml:space="preserve"> (v.0.7.12)</w:t>
      </w:r>
      <w:r w:rsidR="009C1325" w:rsidRPr="00A22683">
        <w:rPr>
          <w:rFonts w:ascii="Times New Roman" w:hAnsi="Times New Roman" w:cs="Times New Roman"/>
          <w:color w:val="000000" w:themeColor="text1"/>
          <w:sz w:val="20"/>
          <w:szCs w:val="20"/>
          <w:lang w:val="en-US"/>
        </w:rPr>
        <w:t>.</w:t>
      </w:r>
      <w:r w:rsidR="00A0106A" w:rsidRPr="00A22683">
        <w:rPr>
          <w:rFonts w:ascii="Times New Roman" w:hAnsi="Times New Roman" w:cs="Times New Roman"/>
          <w:color w:val="000000" w:themeColor="text1"/>
          <w:sz w:val="20"/>
          <w:szCs w:val="20"/>
          <w:lang w:val="en-US"/>
        </w:rPr>
        <w:t xml:space="preserve"> </w:t>
      </w:r>
      <w:r w:rsidR="00CF7140" w:rsidRPr="00A22683">
        <w:rPr>
          <w:rFonts w:ascii="Times New Roman" w:hAnsi="Times New Roman" w:cs="Times New Roman"/>
          <w:color w:val="000000" w:themeColor="text1"/>
          <w:sz w:val="20"/>
          <w:szCs w:val="20"/>
          <w:lang w:val="en-US"/>
        </w:rPr>
        <w:t>Variant calling w</w:t>
      </w:r>
      <w:r w:rsidR="0044088D" w:rsidRPr="00A22683">
        <w:rPr>
          <w:rFonts w:ascii="Times New Roman" w:hAnsi="Times New Roman" w:cs="Times New Roman"/>
          <w:color w:val="000000" w:themeColor="text1"/>
          <w:sz w:val="20"/>
          <w:szCs w:val="20"/>
          <w:lang w:val="en-US"/>
        </w:rPr>
        <w:t>as</w:t>
      </w:r>
      <w:r w:rsidR="00CF7140" w:rsidRPr="00A22683">
        <w:rPr>
          <w:rFonts w:ascii="Times New Roman" w:hAnsi="Times New Roman" w:cs="Times New Roman"/>
          <w:color w:val="000000" w:themeColor="text1"/>
          <w:sz w:val="20"/>
          <w:szCs w:val="20"/>
          <w:lang w:val="en-US"/>
        </w:rPr>
        <w:t xml:space="preserve"> analyzed through The Genome Analysis Toolkit (GATK 1.6) and </w:t>
      </w:r>
      <w:r w:rsidR="00AB371B" w:rsidRPr="00A22683">
        <w:rPr>
          <w:rFonts w:ascii="Times New Roman" w:hAnsi="Times New Roman" w:cs="Times New Roman"/>
          <w:color w:val="000000" w:themeColor="text1"/>
          <w:sz w:val="20"/>
          <w:szCs w:val="20"/>
          <w:lang w:val="en-US"/>
        </w:rPr>
        <w:t xml:space="preserve">the </w:t>
      </w:r>
      <w:proofErr w:type="spellStart"/>
      <w:r w:rsidR="00AB371B" w:rsidRPr="00A22683">
        <w:rPr>
          <w:rFonts w:ascii="Times New Roman" w:hAnsi="Times New Roman" w:cs="Times New Roman"/>
          <w:color w:val="000000" w:themeColor="text1"/>
          <w:sz w:val="20"/>
          <w:szCs w:val="20"/>
          <w:lang w:val="en-US"/>
        </w:rPr>
        <w:t>BaseSpace</w:t>
      </w:r>
      <w:proofErr w:type="spellEnd"/>
      <w:r w:rsidR="00AB371B" w:rsidRPr="00A22683">
        <w:rPr>
          <w:rFonts w:ascii="Times New Roman" w:hAnsi="Times New Roman" w:cs="Times New Roman"/>
          <w:color w:val="000000" w:themeColor="text1"/>
          <w:sz w:val="20"/>
          <w:szCs w:val="20"/>
          <w:lang w:val="en-US"/>
        </w:rPr>
        <w:t xml:space="preserve"> Variant Interpreter Annotation Engine 3.15.0.0 (Illumina, San Diego, CA, USA) was utilized for annotation and analysis. </w:t>
      </w:r>
    </w:p>
    <w:p w14:paraId="16CAD0B6" w14:textId="122D1E90" w:rsidR="00174BFF" w:rsidRPr="00A22683" w:rsidRDefault="00174BFF" w:rsidP="00A22683">
      <w:pPr>
        <w:spacing w:line="360" w:lineRule="auto"/>
        <w:jc w:val="both"/>
        <w:rPr>
          <w:rFonts w:ascii="Times New Roman" w:hAnsi="Times New Roman" w:cs="Times New Roman"/>
          <w:color w:val="000000" w:themeColor="text1"/>
          <w:sz w:val="20"/>
          <w:szCs w:val="20"/>
          <w:lang w:val="en-US"/>
        </w:rPr>
      </w:pPr>
      <w:r w:rsidRPr="00A22683">
        <w:rPr>
          <w:rFonts w:ascii="Times New Roman" w:hAnsi="Times New Roman" w:cs="Times New Roman"/>
          <w:color w:val="000000" w:themeColor="text1"/>
          <w:sz w:val="20"/>
          <w:szCs w:val="20"/>
          <w:lang w:val="en-US"/>
        </w:rPr>
        <w:t xml:space="preserve">Variants was fully annotated with the open-source application </w:t>
      </w:r>
      <w:proofErr w:type="spellStart"/>
      <w:r w:rsidRPr="00A22683">
        <w:rPr>
          <w:rFonts w:ascii="Times New Roman" w:hAnsi="Times New Roman" w:cs="Times New Roman"/>
          <w:color w:val="000000" w:themeColor="text1"/>
          <w:sz w:val="20"/>
          <w:szCs w:val="20"/>
          <w:lang w:val="en-US"/>
        </w:rPr>
        <w:t>OpenCRAVAT</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Pagel</w:t>
      </w:r>
      <w:proofErr w:type="spellEnd"/>
      <w:r w:rsidRPr="00A22683">
        <w:rPr>
          <w:rFonts w:ascii="Times New Roman" w:hAnsi="Times New Roman" w:cs="Times New Roman"/>
          <w:color w:val="000000" w:themeColor="text1"/>
          <w:sz w:val="20"/>
          <w:szCs w:val="20"/>
          <w:lang w:val="en-US"/>
        </w:rPr>
        <w:t xml:space="preserve"> KA et al. Integrated Informatics Analysis of Cancer-Related Variants. JCO Clinical Cancer Informatics 2020 4, 310-317). The app includes both gene-level annotations (</w:t>
      </w:r>
      <w:proofErr w:type="spellStart"/>
      <w:r w:rsidRPr="00A22683">
        <w:rPr>
          <w:rFonts w:ascii="Times New Roman" w:hAnsi="Times New Roman" w:cs="Times New Roman"/>
          <w:color w:val="000000" w:themeColor="text1"/>
          <w:sz w:val="20"/>
          <w:szCs w:val="20"/>
          <w:lang w:val="en-US"/>
        </w:rPr>
        <w:t>BioGRID</w:t>
      </w:r>
      <w:proofErr w:type="spellEnd"/>
      <w:r w:rsidRPr="00A22683">
        <w:rPr>
          <w:rFonts w:ascii="Times New Roman" w:hAnsi="Times New Roman" w:cs="Times New Roman"/>
          <w:color w:val="000000" w:themeColor="text1"/>
          <w:sz w:val="20"/>
          <w:szCs w:val="20"/>
          <w:lang w:val="en-US"/>
        </w:rPr>
        <w:t xml:space="preserve">, Cancer Gene Census, Cancer Gene Landscape, </w:t>
      </w:r>
      <w:proofErr w:type="spellStart"/>
      <w:r w:rsidRPr="00A22683">
        <w:rPr>
          <w:rFonts w:ascii="Times New Roman" w:hAnsi="Times New Roman" w:cs="Times New Roman"/>
          <w:color w:val="000000" w:themeColor="text1"/>
          <w:sz w:val="20"/>
          <w:szCs w:val="20"/>
          <w:lang w:val="en-US"/>
        </w:rPr>
        <w:t>CIViC</w:t>
      </w:r>
      <w:proofErr w:type="spellEnd"/>
      <w:r w:rsidRPr="00A22683">
        <w:rPr>
          <w:rFonts w:ascii="Times New Roman" w:hAnsi="Times New Roman" w:cs="Times New Roman"/>
          <w:color w:val="000000" w:themeColor="text1"/>
          <w:sz w:val="20"/>
          <w:szCs w:val="20"/>
          <w:lang w:val="en-US"/>
        </w:rPr>
        <w:t xml:space="preserve"> Gene, </w:t>
      </w:r>
      <w:proofErr w:type="spellStart"/>
      <w:r w:rsidRPr="00A22683">
        <w:rPr>
          <w:rFonts w:ascii="Times New Roman" w:hAnsi="Times New Roman" w:cs="Times New Roman"/>
          <w:color w:val="000000" w:themeColor="text1"/>
          <w:sz w:val="20"/>
          <w:szCs w:val="20"/>
          <w:lang w:val="en-US"/>
        </w:rPr>
        <w:t>ClinGen</w:t>
      </w:r>
      <w:proofErr w:type="spellEnd"/>
      <w:r w:rsidRPr="00A22683">
        <w:rPr>
          <w:rFonts w:ascii="Times New Roman" w:hAnsi="Times New Roman" w:cs="Times New Roman"/>
          <w:color w:val="000000" w:themeColor="text1"/>
          <w:sz w:val="20"/>
          <w:szCs w:val="20"/>
          <w:lang w:val="en-US"/>
        </w:rPr>
        <w:t xml:space="preserve"> Gene, COSMIC Gene, Essential Genes, </w:t>
      </w:r>
      <w:proofErr w:type="spellStart"/>
      <w:r w:rsidRPr="00A22683">
        <w:rPr>
          <w:rFonts w:ascii="Times New Roman" w:hAnsi="Times New Roman" w:cs="Times New Roman"/>
          <w:color w:val="000000" w:themeColor="text1"/>
          <w:sz w:val="20"/>
          <w:szCs w:val="20"/>
          <w:lang w:val="en-US"/>
        </w:rPr>
        <w:t>ExAC</w:t>
      </w:r>
      <w:proofErr w:type="spellEnd"/>
      <w:r w:rsidRPr="00A22683">
        <w:rPr>
          <w:rFonts w:ascii="Times New Roman" w:hAnsi="Times New Roman" w:cs="Times New Roman"/>
          <w:color w:val="000000" w:themeColor="text1"/>
          <w:sz w:val="20"/>
          <w:szCs w:val="20"/>
          <w:lang w:val="en-US"/>
        </w:rPr>
        <w:t xml:space="preserve"> Gene and CNV, </w:t>
      </w:r>
      <w:proofErr w:type="spellStart"/>
      <w:r w:rsidRPr="00A22683">
        <w:rPr>
          <w:rFonts w:ascii="Times New Roman" w:hAnsi="Times New Roman" w:cs="Times New Roman"/>
          <w:color w:val="000000" w:themeColor="text1"/>
          <w:sz w:val="20"/>
          <w:szCs w:val="20"/>
          <w:lang w:val="en-US"/>
        </w:rPr>
        <w:t>gnomAD</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GTEx</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HaploReg</w:t>
      </w:r>
      <w:proofErr w:type="spellEnd"/>
      <w:r w:rsidRPr="00A22683">
        <w:rPr>
          <w:rFonts w:ascii="Times New Roman" w:hAnsi="Times New Roman" w:cs="Times New Roman"/>
          <w:color w:val="000000" w:themeColor="text1"/>
          <w:sz w:val="20"/>
          <w:szCs w:val="20"/>
          <w:lang w:val="en-US"/>
        </w:rPr>
        <w:t xml:space="preserve">, HGVS Format, </w:t>
      </w:r>
      <w:proofErr w:type="spellStart"/>
      <w:r w:rsidRPr="00A22683">
        <w:rPr>
          <w:rFonts w:ascii="Times New Roman" w:hAnsi="Times New Roman" w:cs="Times New Roman"/>
          <w:color w:val="000000" w:themeColor="text1"/>
          <w:sz w:val="20"/>
          <w:szCs w:val="20"/>
          <w:lang w:val="en-US"/>
        </w:rPr>
        <w:t>InterPro</w:t>
      </w:r>
      <w:proofErr w:type="spellEnd"/>
      <w:r w:rsidRPr="00A22683">
        <w:rPr>
          <w:rFonts w:ascii="Times New Roman" w:hAnsi="Times New Roman" w:cs="Times New Roman"/>
          <w:color w:val="000000" w:themeColor="text1"/>
          <w:sz w:val="20"/>
          <w:szCs w:val="20"/>
          <w:lang w:val="en-US"/>
        </w:rPr>
        <w:t xml:space="preserve">, LINSIGHT, </w:t>
      </w:r>
      <w:proofErr w:type="spellStart"/>
      <w:r w:rsidRPr="00A22683">
        <w:rPr>
          <w:rFonts w:ascii="Times New Roman" w:hAnsi="Times New Roman" w:cs="Times New Roman"/>
          <w:color w:val="000000" w:themeColor="text1"/>
          <w:sz w:val="20"/>
          <w:szCs w:val="20"/>
          <w:lang w:val="en-US"/>
        </w:rPr>
        <w:t>MuPIT</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gnomAD</w:t>
      </w:r>
      <w:proofErr w:type="spellEnd"/>
      <w:r w:rsidRPr="00A22683">
        <w:rPr>
          <w:rFonts w:ascii="Times New Roman" w:hAnsi="Times New Roman" w:cs="Times New Roman"/>
          <w:color w:val="000000" w:themeColor="text1"/>
          <w:sz w:val="20"/>
          <w:szCs w:val="20"/>
          <w:lang w:val="en-US"/>
        </w:rPr>
        <w:t xml:space="preserve"> Gene, Gene Ontology, HGDP, </w:t>
      </w:r>
      <w:proofErr w:type="spellStart"/>
      <w:r w:rsidRPr="00A22683">
        <w:rPr>
          <w:rFonts w:ascii="Times New Roman" w:hAnsi="Times New Roman" w:cs="Times New Roman"/>
          <w:color w:val="000000" w:themeColor="text1"/>
          <w:sz w:val="20"/>
          <w:szCs w:val="20"/>
          <w:lang w:val="en-US"/>
        </w:rPr>
        <w:t>IntAct</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LoFtool</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MuPIT</w:t>
      </w:r>
      <w:proofErr w:type="spellEnd"/>
      <w:r w:rsidRPr="00A22683">
        <w:rPr>
          <w:rFonts w:ascii="Times New Roman" w:hAnsi="Times New Roman" w:cs="Times New Roman"/>
          <w:color w:val="000000" w:themeColor="text1"/>
          <w:sz w:val="20"/>
          <w:szCs w:val="20"/>
          <w:lang w:val="en-US"/>
        </w:rPr>
        <w:t xml:space="preserve">, NCBI Gene, </w:t>
      </w:r>
      <w:proofErr w:type="spellStart"/>
      <w:r w:rsidRPr="00A22683">
        <w:rPr>
          <w:rFonts w:ascii="Times New Roman" w:hAnsi="Times New Roman" w:cs="Times New Roman"/>
          <w:color w:val="000000" w:themeColor="text1"/>
          <w:sz w:val="20"/>
          <w:szCs w:val="20"/>
          <w:lang w:val="en-US"/>
        </w:rPr>
        <w:t>NDEx</w:t>
      </w:r>
      <w:proofErr w:type="spellEnd"/>
      <w:r w:rsidRPr="00A22683">
        <w:rPr>
          <w:rFonts w:ascii="Times New Roman" w:hAnsi="Times New Roman" w:cs="Times New Roman"/>
          <w:color w:val="000000" w:themeColor="text1"/>
          <w:sz w:val="20"/>
          <w:szCs w:val="20"/>
          <w:lang w:val="en-US"/>
        </w:rPr>
        <w:t xml:space="preserve">, P(rec), p(HI), PubMed, RVIS, TARGET, </w:t>
      </w:r>
      <w:proofErr w:type="spellStart"/>
      <w:r w:rsidRPr="00A22683">
        <w:rPr>
          <w:rFonts w:ascii="Times New Roman" w:hAnsi="Times New Roman" w:cs="Times New Roman"/>
          <w:color w:val="000000" w:themeColor="text1"/>
          <w:sz w:val="20"/>
          <w:szCs w:val="20"/>
          <w:lang w:val="en-US"/>
        </w:rPr>
        <w:t>UniProt</w:t>
      </w:r>
      <w:proofErr w:type="spellEnd"/>
      <w:r w:rsidRPr="00A22683">
        <w:rPr>
          <w:rFonts w:ascii="Times New Roman" w:hAnsi="Times New Roman" w:cs="Times New Roman"/>
          <w:color w:val="000000" w:themeColor="text1"/>
          <w:sz w:val="20"/>
          <w:szCs w:val="20"/>
          <w:lang w:val="en-US"/>
        </w:rPr>
        <w:t>, VEST annotations) and variant-level ones (</w:t>
      </w:r>
      <w:proofErr w:type="spellStart"/>
      <w:r w:rsidRPr="00A22683">
        <w:rPr>
          <w:rFonts w:ascii="Times New Roman" w:hAnsi="Times New Roman" w:cs="Times New Roman"/>
          <w:color w:val="000000" w:themeColor="text1"/>
          <w:sz w:val="20"/>
          <w:szCs w:val="20"/>
          <w:lang w:val="en-US"/>
        </w:rPr>
        <w:t>ABraOM</w:t>
      </w:r>
      <w:proofErr w:type="spellEnd"/>
      <w:r w:rsidRPr="00A22683">
        <w:rPr>
          <w:rFonts w:ascii="Times New Roman" w:hAnsi="Times New Roman" w:cs="Times New Roman"/>
          <w:color w:val="000000" w:themeColor="text1"/>
          <w:sz w:val="20"/>
          <w:szCs w:val="20"/>
          <w:lang w:val="en-US"/>
        </w:rPr>
        <w:t xml:space="preserve">, ALFA, </w:t>
      </w:r>
      <w:proofErr w:type="spellStart"/>
      <w:r w:rsidRPr="00A22683">
        <w:rPr>
          <w:rFonts w:ascii="Times New Roman" w:hAnsi="Times New Roman" w:cs="Times New Roman"/>
          <w:color w:val="000000" w:themeColor="text1"/>
          <w:sz w:val="20"/>
          <w:szCs w:val="20"/>
          <w:lang w:val="en-US"/>
        </w:rPr>
        <w:t>ALoFT</w:t>
      </w:r>
      <w:proofErr w:type="spellEnd"/>
      <w:r w:rsidRPr="00A22683">
        <w:rPr>
          <w:rFonts w:ascii="Times New Roman" w:hAnsi="Times New Roman" w:cs="Times New Roman"/>
          <w:color w:val="000000" w:themeColor="text1"/>
          <w:sz w:val="20"/>
          <w:szCs w:val="20"/>
          <w:lang w:val="en-US"/>
        </w:rPr>
        <w:t xml:space="preserve">, Arrhythmia Channelopathy Variants, BRCA1 Multiplex Assay, CADD Exome, </w:t>
      </w:r>
      <w:proofErr w:type="spellStart"/>
      <w:r w:rsidRPr="00A22683">
        <w:rPr>
          <w:rFonts w:ascii="Times New Roman" w:hAnsi="Times New Roman" w:cs="Times New Roman"/>
          <w:color w:val="000000" w:themeColor="text1"/>
          <w:sz w:val="20"/>
          <w:szCs w:val="20"/>
          <w:lang w:val="en-US"/>
        </w:rPr>
        <w:t>CardioBoost</w:t>
      </w:r>
      <w:proofErr w:type="spellEnd"/>
      <w:r w:rsidRPr="00A22683">
        <w:rPr>
          <w:rFonts w:ascii="Times New Roman" w:hAnsi="Times New Roman" w:cs="Times New Roman"/>
          <w:color w:val="000000" w:themeColor="text1"/>
          <w:sz w:val="20"/>
          <w:szCs w:val="20"/>
          <w:lang w:val="en-US"/>
        </w:rPr>
        <w:t xml:space="preserve">, Cardiovascular Disease Knowledge Portal, Case-Control, </w:t>
      </w:r>
      <w:proofErr w:type="spellStart"/>
      <w:r w:rsidRPr="00A22683">
        <w:rPr>
          <w:rFonts w:ascii="Times New Roman" w:hAnsi="Times New Roman" w:cs="Times New Roman"/>
          <w:color w:val="000000" w:themeColor="text1"/>
          <w:sz w:val="20"/>
          <w:szCs w:val="20"/>
          <w:lang w:val="en-US"/>
        </w:rPr>
        <w:t>CHASMplus</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CHASMplus</w:t>
      </w:r>
      <w:proofErr w:type="spellEnd"/>
      <w:r w:rsidRPr="00A22683">
        <w:rPr>
          <w:rFonts w:ascii="Times New Roman" w:hAnsi="Times New Roman" w:cs="Times New Roman"/>
          <w:color w:val="000000" w:themeColor="text1"/>
          <w:sz w:val="20"/>
          <w:szCs w:val="20"/>
          <w:lang w:val="en-US"/>
        </w:rPr>
        <w:t xml:space="preserve"> MSK-IMPACT, </w:t>
      </w:r>
      <w:proofErr w:type="spellStart"/>
      <w:r w:rsidRPr="00A22683">
        <w:rPr>
          <w:rFonts w:ascii="Times New Roman" w:hAnsi="Times New Roman" w:cs="Times New Roman"/>
          <w:color w:val="000000" w:themeColor="text1"/>
          <w:sz w:val="20"/>
          <w:szCs w:val="20"/>
          <w:lang w:val="en-US"/>
        </w:rPr>
        <w:t>CIViC</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ClinPred</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ClinVar</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ClinVar</w:t>
      </w:r>
      <w:proofErr w:type="spellEnd"/>
      <w:r w:rsidRPr="00A22683">
        <w:rPr>
          <w:rFonts w:ascii="Times New Roman" w:hAnsi="Times New Roman" w:cs="Times New Roman"/>
          <w:color w:val="000000" w:themeColor="text1"/>
          <w:sz w:val="20"/>
          <w:szCs w:val="20"/>
          <w:lang w:val="en-US"/>
        </w:rPr>
        <w:t xml:space="preserve"> ACMG, Constrained Coding Regions, COSMIC, </w:t>
      </w:r>
      <w:proofErr w:type="spellStart"/>
      <w:r w:rsidRPr="00A22683">
        <w:rPr>
          <w:rFonts w:ascii="Times New Roman" w:hAnsi="Times New Roman" w:cs="Times New Roman"/>
          <w:color w:val="000000" w:themeColor="text1"/>
          <w:sz w:val="20"/>
          <w:szCs w:val="20"/>
          <w:lang w:val="en-US"/>
        </w:rPr>
        <w:t>CScape</w:t>
      </w:r>
      <w:proofErr w:type="spellEnd"/>
      <w:r w:rsidRPr="00A22683">
        <w:rPr>
          <w:rFonts w:ascii="Times New Roman" w:hAnsi="Times New Roman" w:cs="Times New Roman"/>
          <w:color w:val="000000" w:themeColor="text1"/>
          <w:sz w:val="20"/>
          <w:szCs w:val="20"/>
          <w:lang w:val="en-US"/>
        </w:rPr>
        <w:t xml:space="preserve">, CVDKP, DANN </w:t>
      </w:r>
      <w:proofErr w:type="spellStart"/>
      <w:r w:rsidRPr="00A22683">
        <w:rPr>
          <w:rFonts w:ascii="Times New Roman" w:hAnsi="Times New Roman" w:cs="Times New Roman"/>
          <w:color w:val="000000" w:themeColor="text1"/>
          <w:sz w:val="20"/>
          <w:szCs w:val="20"/>
          <w:lang w:val="en-US"/>
        </w:rPr>
        <w:t>Coding,dbCID</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dbscSNV</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dbSNP</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denovo</w:t>
      </w:r>
      <w:proofErr w:type="spellEnd"/>
      <w:r w:rsidRPr="00A22683">
        <w:rPr>
          <w:rFonts w:ascii="Times New Roman" w:hAnsi="Times New Roman" w:cs="Times New Roman"/>
          <w:color w:val="000000" w:themeColor="text1"/>
          <w:sz w:val="20"/>
          <w:szCs w:val="20"/>
          <w:lang w:val="en-US"/>
        </w:rPr>
        <w:t xml:space="preserve">-DB, DIDA, ENCODE TFBS, </w:t>
      </w:r>
      <w:proofErr w:type="spellStart"/>
      <w:r w:rsidRPr="00A22683">
        <w:rPr>
          <w:rFonts w:ascii="Times New Roman" w:hAnsi="Times New Roman" w:cs="Times New Roman"/>
          <w:color w:val="000000" w:themeColor="text1"/>
          <w:sz w:val="20"/>
          <w:szCs w:val="20"/>
          <w:lang w:val="en-US"/>
        </w:rPr>
        <w:t>Ensembl</w:t>
      </w:r>
      <w:proofErr w:type="spellEnd"/>
      <w:r w:rsidRPr="00A22683">
        <w:rPr>
          <w:rFonts w:ascii="Times New Roman" w:hAnsi="Times New Roman" w:cs="Times New Roman"/>
          <w:color w:val="000000" w:themeColor="text1"/>
          <w:sz w:val="20"/>
          <w:szCs w:val="20"/>
          <w:lang w:val="en-US"/>
        </w:rPr>
        <w:t xml:space="preserve"> Regulatory Build, ESP6500, FATHMM, FATHMM-MKL, FATHMM-XF Coding, </w:t>
      </w:r>
      <w:proofErr w:type="spellStart"/>
      <w:r w:rsidRPr="00A22683">
        <w:rPr>
          <w:rFonts w:ascii="Times New Roman" w:hAnsi="Times New Roman" w:cs="Times New Roman"/>
          <w:color w:val="000000" w:themeColor="text1"/>
          <w:sz w:val="20"/>
          <w:szCs w:val="20"/>
          <w:lang w:val="en-US"/>
        </w:rPr>
        <w:t>FitCons</w:t>
      </w:r>
      <w:proofErr w:type="spellEnd"/>
      <w:r w:rsidRPr="00A22683">
        <w:rPr>
          <w:rFonts w:ascii="Times New Roman" w:hAnsi="Times New Roman" w:cs="Times New Roman"/>
          <w:color w:val="000000" w:themeColor="text1"/>
          <w:sz w:val="20"/>
          <w:szCs w:val="20"/>
          <w:lang w:val="en-US"/>
        </w:rPr>
        <w:t xml:space="preserve">, Flanking Sequence, FunSeq2, </w:t>
      </w:r>
      <w:proofErr w:type="spellStart"/>
      <w:r w:rsidRPr="00A22683">
        <w:rPr>
          <w:rFonts w:ascii="Times New Roman" w:hAnsi="Times New Roman" w:cs="Times New Roman"/>
          <w:color w:val="000000" w:themeColor="text1"/>
          <w:sz w:val="20"/>
          <w:szCs w:val="20"/>
          <w:lang w:val="en-US"/>
        </w:rPr>
        <w:t>GeneHancer</w:t>
      </w:r>
      <w:proofErr w:type="spellEnd"/>
      <w:r w:rsidRPr="00A22683">
        <w:rPr>
          <w:rFonts w:ascii="Times New Roman" w:hAnsi="Times New Roman" w:cs="Times New Roman"/>
          <w:color w:val="000000" w:themeColor="text1"/>
          <w:sz w:val="20"/>
          <w:szCs w:val="20"/>
          <w:lang w:val="en-US"/>
        </w:rPr>
        <w:t xml:space="preserve">, GERP++, </w:t>
      </w:r>
      <w:proofErr w:type="spellStart"/>
      <w:r w:rsidRPr="00A22683">
        <w:rPr>
          <w:rFonts w:ascii="Times New Roman" w:hAnsi="Times New Roman" w:cs="Times New Roman"/>
          <w:color w:val="000000" w:themeColor="text1"/>
          <w:sz w:val="20"/>
          <w:szCs w:val="20"/>
          <w:lang w:val="en-US"/>
        </w:rPr>
        <w:t>Geuvadis</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eQTLs</w:t>
      </w:r>
      <w:proofErr w:type="spellEnd"/>
      <w:r w:rsidRPr="00A22683">
        <w:rPr>
          <w:rFonts w:ascii="Times New Roman" w:hAnsi="Times New Roman" w:cs="Times New Roman"/>
          <w:color w:val="000000" w:themeColor="text1"/>
          <w:sz w:val="20"/>
          <w:szCs w:val="20"/>
          <w:lang w:val="en-US"/>
        </w:rPr>
        <w:t xml:space="preserve">, GHIS, </w:t>
      </w:r>
      <w:proofErr w:type="spellStart"/>
      <w:r w:rsidRPr="00A22683">
        <w:rPr>
          <w:rFonts w:ascii="Times New Roman" w:hAnsi="Times New Roman" w:cs="Times New Roman"/>
          <w:color w:val="000000" w:themeColor="text1"/>
          <w:sz w:val="20"/>
          <w:szCs w:val="20"/>
          <w:lang w:val="en-US"/>
        </w:rPr>
        <w:t>gnomAD</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gnomAD</w:t>
      </w:r>
      <w:proofErr w:type="spellEnd"/>
      <w:r w:rsidRPr="00A22683">
        <w:rPr>
          <w:rFonts w:ascii="Times New Roman" w:hAnsi="Times New Roman" w:cs="Times New Roman"/>
          <w:color w:val="000000" w:themeColor="text1"/>
          <w:sz w:val="20"/>
          <w:szCs w:val="20"/>
          <w:lang w:val="en-US"/>
        </w:rPr>
        <w:t xml:space="preserve"> v3, GRASP, GWAS Catalog, Likelihood Ratio Test, </w:t>
      </w:r>
      <w:proofErr w:type="spellStart"/>
      <w:r w:rsidRPr="00A22683">
        <w:rPr>
          <w:rFonts w:ascii="Times New Roman" w:hAnsi="Times New Roman" w:cs="Times New Roman"/>
          <w:color w:val="000000" w:themeColor="text1"/>
          <w:sz w:val="20"/>
          <w:szCs w:val="20"/>
          <w:lang w:val="en-US"/>
        </w:rPr>
        <w:t>LitVar</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MaveDB</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MetaSVM</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MetaLR</w:t>
      </w:r>
      <w:proofErr w:type="spellEnd"/>
      <w:r w:rsidRPr="00A22683">
        <w:rPr>
          <w:rFonts w:ascii="Times New Roman" w:hAnsi="Times New Roman" w:cs="Times New Roman"/>
          <w:color w:val="000000" w:themeColor="text1"/>
          <w:sz w:val="20"/>
          <w:szCs w:val="20"/>
          <w:lang w:val="en-US"/>
        </w:rPr>
        <w:t xml:space="preserve">, Mutation Assessor, </w:t>
      </w:r>
      <w:proofErr w:type="spellStart"/>
      <w:r w:rsidRPr="00A22683">
        <w:rPr>
          <w:rFonts w:ascii="Times New Roman" w:hAnsi="Times New Roman" w:cs="Times New Roman"/>
          <w:color w:val="000000" w:themeColor="text1"/>
          <w:sz w:val="20"/>
          <w:szCs w:val="20"/>
          <w:lang w:val="en-US"/>
        </w:rPr>
        <w:t>MutationTaster</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Mutpanning</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MutPred</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MutPred-Indel</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ncRNA</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PangaloDB</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PharmGKB</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Phast</w:t>
      </w:r>
      <w:proofErr w:type="spellEnd"/>
      <w:r w:rsidRPr="00A22683">
        <w:rPr>
          <w:rFonts w:ascii="Times New Roman" w:hAnsi="Times New Roman" w:cs="Times New Roman"/>
          <w:color w:val="000000" w:themeColor="text1"/>
          <w:sz w:val="20"/>
          <w:szCs w:val="20"/>
          <w:lang w:val="en-US"/>
        </w:rPr>
        <w:t xml:space="preserve"> Cons, PhD-</w:t>
      </w:r>
      <w:proofErr w:type="spellStart"/>
      <w:r w:rsidRPr="00A22683">
        <w:rPr>
          <w:rFonts w:ascii="Times New Roman" w:hAnsi="Times New Roman" w:cs="Times New Roman"/>
          <w:color w:val="000000" w:themeColor="text1"/>
          <w:sz w:val="20"/>
          <w:szCs w:val="20"/>
          <w:lang w:val="en-US"/>
        </w:rPr>
        <w:t>SNPg</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PhyloP</w:t>
      </w:r>
      <w:proofErr w:type="spellEnd"/>
      <w:r w:rsidRPr="00A22683">
        <w:rPr>
          <w:rFonts w:ascii="Times New Roman" w:hAnsi="Times New Roman" w:cs="Times New Roman"/>
          <w:color w:val="000000" w:themeColor="text1"/>
          <w:sz w:val="20"/>
          <w:szCs w:val="20"/>
          <w:lang w:val="en-US"/>
        </w:rPr>
        <w:t xml:space="preserve">, PolyPhen2, Promoter IR, </w:t>
      </w:r>
      <w:proofErr w:type="spellStart"/>
      <w:r w:rsidRPr="00A22683">
        <w:rPr>
          <w:rFonts w:ascii="Times New Roman" w:hAnsi="Times New Roman" w:cs="Times New Roman"/>
          <w:color w:val="000000" w:themeColor="text1"/>
          <w:sz w:val="20"/>
          <w:szCs w:val="20"/>
          <w:lang w:val="en-US"/>
        </w:rPr>
        <w:t>Provean</w:t>
      </w:r>
      <w:proofErr w:type="spellEnd"/>
      <w:r w:rsidRPr="00A22683">
        <w:rPr>
          <w:rFonts w:ascii="Times New Roman" w:hAnsi="Times New Roman" w:cs="Times New Roman"/>
          <w:color w:val="000000" w:themeColor="text1"/>
          <w:sz w:val="20"/>
          <w:szCs w:val="20"/>
          <w:lang w:val="en-US"/>
        </w:rPr>
        <w:t xml:space="preserve">, Pseudogene, </w:t>
      </w:r>
      <w:proofErr w:type="spellStart"/>
      <w:r w:rsidRPr="00A22683">
        <w:rPr>
          <w:rFonts w:ascii="Times New Roman" w:hAnsi="Times New Roman" w:cs="Times New Roman"/>
          <w:color w:val="000000" w:themeColor="text1"/>
          <w:sz w:val="20"/>
          <w:szCs w:val="20"/>
          <w:lang w:val="en-US"/>
        </w:rPr>
        <w:t>RegulomeDB</w:t>
      </w:r>
      <w:proofErr w:type="spellEnd"/>
      <w:r w:rsidRPr="00A22683">
        <w:rPr>
          <w:rFonts w:ascii="Times New Roman" w:hAnsi="Times New Roman" w:cs="Times New Roman"/>
          <w:color w:val="000000" w:themeColor="text1"/>
          <w:sz w:val="20"/>
          <w:szCs w:val="20"/>
          <w:lang w:val="en-US"/>
        </w:rPr>
        <w:t xml:space="preserve">, Repeat Sequences, REVEL, SCREEN, Segway, Sift, </w:t>
      </w:r>
      <w:proofErr w:type="spellStart"/>
      <w:r w:rsidRPr="00A22683">
        <w:rPr>
          <w:rFonts w:ascii="Times New Roman" w:hAnsi="Times New Roman" w:cs="Times New Roman"/>
          <w:color w:val="000000" w:themeColor="text1"/>
          <w:sz w:val="20"/>
          <w:szCs w:val="20"/>
          <w:lang w:val="en-US"/>
        </w:rPr>
        <w:t>SiPhy</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SpliceAI</w:t>
      </w:r>
      <w:proofErr w:type="spellEnd"/>
      <w:r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SwissProt</w:t>
      </w:r>
      <w:proofErr w:type="spellEnd"/>
      <w:r w:rsidRPr="00A22683">
        <w:rPr>
          <w:rFonts w:ascii="Times New Roman" w:hAnsi="Times New Roman" w:cs="Times New Roman"/>
          <w:color w:val="000000" w:themeColor="text1"/>
          <w:sz w:val="20"/>
          <w:szCs w:val="20"/>
          <w:lang w:val="en-US"/>
        </w:rPr>
        <w:t xml:space="preserve"> PTMs, 1000 Genomes, 1000 Genomes-Ad Mixed American, 1000 Genomes-African, 1000 Genomes-East Asian, 1000 Genomes-European, 1000 Genomes-South Asian, Trinity CTAT, UK10k Cohorts, VEST, VISTA Enhancer Browser).</w:t>
      </w:r>
      <w:r w:rsidR="00787388"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All in silico predictions were embedded in ACMG (American College of American Genetics) classification for variant pathogenicity</w:t>
      </w:r>
      <w:r w:rsidR="002F04BE" w:rsidRPr="00A22683">
        <w:rPr>
          <w:rFonts w:ascii="Times New Roman" w:hAnsi="Times New Roman" w:cs="Times New Roman"/>
          <w:color w:val="000000" w:themeColor="text1"/>
          <w:sz w:val="20"/>
          <w:szCs w:val="20"/>
          <w:lang w:val="en-US"/>
        </w:rPr>
        <w:t xml:space="preserve"> </w:t>
      </w:r>
      <w:sdt>
        <w:sdtPr>
          <w:rPr>
            <w:rFonts w:ascii="Times New Roman" w:hAnsi="Times New Roman" w:cs="Times New Roman"/>
            <w:color w:val="000000"/>
            <w:sz w:val="20"/>
            <w:szCs w:val="20"/>
            <w:lang w:val="en-US"/>
          </w:rPr>
          <w:tag w:val="MENDELEY_CITATION_v3_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"/>
          <w:id w:val="-1201003010"/>
          <w:placeholder>
            <w:docPart w:val="DefaultPlaceholder_-1854013440"/>
          </w:placeholder>
        </w:sdtPr>
        <w:sdtEndPr/>
        <w:sdtContent>
          <w:r w:rsidR="00D96234" w:rsidRPr="00D96234">
            <w:rPr>
              <w:rFonts w:ascii="Times New Roman" w:hAnsi="Times New Roman" w:cs="Times New Roman"/>
              <w:color w:val="000000"/>
              <w:sz w:val="20"/>
              <w:szCs w:val="20"/>
              <w:lang w:val="en-US"/>
            </w:rPr>
            <w:t>[1]</w:t>
          </w:r>
        </w:sdtContent>
      </w:sdt>
      <w:r w:rsidRPr="00A22683">
        <w:rPr>
          <w:rFonts w:ascii="Times New Roman" w:hAnsi="Times New Roman" w:cs="Times New Roman"/>
          <w:color w:val="000000" w:themeColor="text1"/>
          <w:sz w:val="20"/>
          <w:szCs w:val="20"/>
          <w:lang w:val="en-US"/>
        </w:rPr>
        <w:t>.</w:t>
      </w:r>
    </w:p>
    <w:p w14:paraId="4A5BF35B" w14:textId="1B9DB98F" w:rsidR="00BD6C8B" w:rsidRPr="00A22683" w:rsidRDefault="00BD6C8B" w:rsidP="00A22683">
      <w:pPr>
        <w:spacing w:line="360" w:lineRule="auto"/>
        <w:jc w:val="both"/>
        <w:rPr>
          <w:rFonts w:ascii="Times New Roman" w:hAnsi="Times New Roman" w:cs="Times New Roman"/>
          <w:b/>
          <w:sz w:val="20"/>
          <w:szCs w:val="20"/>
          <w:lang w:val="en-US"/>
        </w:rPr>
      </w:pPr>
      <w:r w:rsidRPr="00A22683">
        <w:rPr>
          <w:rFonts w:ascii="Times New Roman" w:hAnsi="Times New Roman" w:cs="Times New Roman"/>
          <w:b/>
          <w:sz w:val="20"/>
          <w:szCs w:val="20"/>
          <w:lang w:val="en-US"/>
        </w:rPr>
        <w:t>Sanger sequencing</w:t>
      </w:r>
    </w:p>
    <w:p w14:paraId="27D751A2" w14:textId="20FE5A5F" w:rsidR="00BD6C8B" w:rsidRDefault="00BD6C8B" w:rsidP="00A22683">
      <w:pPr>
        <w:spacing w:line="360" w:lineRule="auto"/>
        <w:jc w:val="both"/>
        <w:rPr>
          <w:rFonts w:ascii="Times New Roman" w:hAnsi="Times New Roman" w:cs="Times New Roman"/>
          <w:color w:val="000000" w:themeColor="text1"/>
          <w:sz w:val="20"/>
          <w:szCs w:val="20"/>
          <w:lang w:val="en-US"/>
        </w:rPr>
      </w:pPr>
      <w:r w:rsidRPr="00A22683">
        <w:rPr>
          <w:rFonts w:ascii="Times New Roman" w:hAnsi="Times New Roman" w:cs="Times New Roman"/>
          <w:color w:val="000000" w:themeColor="text1"/>
          <w:sz w:val="20"/>
          <w:szCs w:val="20"/>
          <w:lang w:val="en-US"/>
        </w:rPr>
        <w:t>Only candidate variant associated with the clinical features w</w:t>
      </w:r>
      <w:r w:rsidR="00C95874" w:rsidRPr="00A22683">
        <w:rPr>
          <w:rFonts w:ascii="Times New Roman" w:hAnsi="Times New Roman" w:cs="Times New Roman"/>
          <w:color w:val="000000" w:themeColor="text1"/>
          <w:sz w:val="20"/>
          <w:szCs w:val="20"/>
          <w:lang w:val="en-US"/>
        </w:rPr>
        <w:t>as</w:t>
      </w:r>
      <w:r w:rsidRPr="00A22683">
        <w:rPr>
          <w:rFonts w:ascii="Times New Roman" w:hAnsi="Times New Roman" w:cs="Times New Roman"/>
          <w:color w:val="000000" w:themeColor="text1"/>
          <w:sz w:val="20"/>
          <w:szCs w:val="20"/>
          <w:lang w:val="en-US"/>
        </w:rPr>
        <w:t xml:space="preserve"> retained for inheritance analysis in the patient and the available family members using Sanger sequencing, for which the primers were designed using Primer3 algorithm (</w:t>
      </w:r>
      <w:hyperlink r:id="rId6" w:history="1">
        <w:r w:rsidRPr="00A22683">
          <w:rPr>
            <w:rFonts w:ascii="Times New Roman" w:hAnsi="Times New Roman" w:cs="Times New Roman"/>
            <w:color w:val="000000" w:themeColor="text1"/>
            <w:sz w:val="20"/>
            <w:szCs w:val="20"/>
            <w:lang w:val="en-US"/>
          </w:rPr>
          <w:t>https://primer3.ut.ee/</w:t>
        </w:r>
      </w:hyperlink>
      <w:r w:rsidRPr="00A22683">
        <w:rPr>
          <w:rFonts w:ascii="Times New Roman" w:hAnsi="Times New Roman" w:cs="Times New Roman"/>
          <w:color w:val="000000" w:themeColor="text1"/>
          <w:sz w:val="20"/>
          <w:szCs w:val="20"/>
          <w:lang w:val="en-US"/>
        </w:rPr>
        <w:t>)</w:t>
      </w:r>
      <w:r w:rsidR="00526FDB" w:rsidRPr="00A22683">
        <w:rPr>
          <w:rFonts w:ascii="Times New Roman" w:hAnsi="Times New Roman" w:cs="Times New Roman"/>
          <w:color w:val="000000" w:themeColor="text1"/>
          <w:sz w:val="20"/>
          <w:szCs w:val="20"/>
          <w:lang w:val="en-US"/>
        </w:rPr>
        <w:t>.</w:t>
      </w:r>
      <w:r w:rsidR="00392AC4" w:rsidRPr="00A22683">
        <w:rPr>
          <w:rFonts w:ascii="Times New Roman" w:hAnsi="Times New Roman" w:cs="Times New Roman"/>
          <w:color w:val="000000" w:themeColor="text1"/>
          <w:sz w:val="20"/>
          <w:szCs w:val="20"/>
          <w:lang w:val="en-US"/>
        </w:rPr>
        <w:t xml:space="preserve"> </w:t>
      </w:r>
      <w:r w:rsidR="00C95874" w:rsidRPr="00A22683">
        <w:rPr>
          <w:rFonts w:ascii="Times New Roman" w:hAnsi="Times New Roman" w:cs="Times New Roman"/>
          <w:color w:val="000000" w:themeColor="text1"/>
          <w:sz w:val="20"/>
          <w:szCs w:val="20"/>
          <w:lang w:val="en-US"/>
        </w:rPr>
        <w:t>T</w:t>
      </w:r>
      <w:r w:rsidR="00267805" w:rsidRPr="00A22683">
        <w:rPr>
          <w:rFonts w:ascii="Times New Roman" w:hAnsi="Times New Roman" w:cs="Times New Roman"/>
          <w:color w:val="000000" w:themeColor="text1"/>
          <w:sz w:val="20"/>
          <w:szCs w:val="20"/>
          <w:lang w:val="en-US"/>
        </w:rPr>
        <w:t>arget region w</w:t>
      </w:r>
      <w:r w:rsidR="00C95874" w:rsidRPr="00A22683">
        <w:rPr>
          <w:rFonts w:ascii="Times New Roman" w:hAnsi="Times New Roman" w:cs="Times New Roman"/>
          <w:color w:val="000000" w:themeColor="text1"/>
          <w:sz w:val="20"/>
          <w:szCs w:val="20"/>
          <w:lang w:val="en-US"/>
        </w:rPr>
        <w:t>as</w:t>
      </w:r>
      <w:r w:rsidR="00267805" w:rsidRPr="00A22683">
        <w:rPr>
          <w:rFonts w:ascii="Times New Roman" w:hAnsi="Times New Roman" w:cs="Times New Roman"/>
          <w:color w:val="000000" w:themeColor="text1"/>
          <w:sz w:val="20"/>
          <w:szCs w:val="20"/>
          <w:lang w:val="en-US"/>
        </w:rPr>
        <w:t xml:space="preserve"> amplified in duplicate from genomic DNA of the patient and available family members using </w:t>
      </w:r>
      <w:r w:rsidR="00EA3AF4" w:rsidRPr="00A22683">
        <w:rPr>
          <w:rFonts w:ascii="Times New Roman" w:hAnsi="Times New Roman" w:cs="Times New Roman"/>
          <w:color w:val="000000" w:themeColor="text1"/>
          <w:sz w:val="20"/>
          <w:szCs w:val="20"/>
          <w:lang w:val="en-US"/>
        </w:rPr>
        <w:t>Wonder Taq</w:t>
      </w:r>
      <w:r w:rsidR="00267805" w:rsidRPr="00A22683">
        <w:rPr>
          <w:rFonts w:ascii="Times New Roman" w:hAnsi="Times New Roman" w:cs="Times New Roman"/>
          <w:color w:val="000000" w:themeColor="text1"/>
          <w:sz w:val="20"/>
          <w:szCs w:val="20"/>
          <w:lang w:val="en-US"/>
        </w:rPr>
        <w:t xml:space="preserve"> DNA Polymerase (</w:t>
      </w:r>
      <w:proofErr w:type="spellStart"/>
      <w:r w:rsidR="00EA3AF4" w:rsidRPr="00A22683">
        <w:rPr>
          <w:rFonts w:ascii="Times New Roman" w:hAnsi="Times New Roman" w:cs="Times New Roman"/>
          <w:color w:val="000000" w:themeColor="text1"/>
          <w:sz w:val="20"/>
          <w:szCs w:val="20"/>
          <w:lang w:val="en-US"/>
        </w:rPr>
        <w:t>EuroClone</w:t>
      </w:r>
      <w:proofErr w:type="spellEnd"/>
      <w:r w:rsidR="00EA3AF4" w:rsidRPr="00A22683">
        <w:rPr>
          <w:rFonts w:ascii="Times New Roman" w:hAnsi="Times New Roman" w:cs="Times New Roman"/>
          <w:color w:val="000000" w:themeColor="text1"/>
          <w:sz w:val="20"/>
          <w:szCs w:val="20"/>
          <w:lang w:val="en-US"/>
        </w:rPr>
        <w:t>,</w:t>
      </w:r>
      <w:r w:rsidR="00D143E9" w:rsidRPr="00A22683">
        <w:rPr>
          <w:rFonts w:ascii="Times New Roman" w:hAnsi="Times New Roman" w:cs="Times New Roman"/>
          <w:color w:val="000000" w:themeColor="text1"/>
          <w:sz w:val="20"/>
          <w:szCs w:val="20"/>
          <w:lang w:val="en-US"/>
        </w:rPr>
        <w:t xml:space="preserve"> S.p.A.</w:t>
      </w:r>
      <w:r w:rsidR="00EA3AF4" w:rsidRPr="00A22683">
        <w:rPr>
          <w:rFonts w:ascii="Times New Roman" w:hAnsi="Times New Roman" w:cs="Times New Roman"/>
          <w:color w:val="000000" w:themeColor="text1"/>
          <w:sz w:val="20"/>
          <w:szCs w:val="20"/>
          <w:lang w:val="en-US"/>
        </w:rPr>
        <w:t xml:space="preserve"> Italy</w:t>
      </w:r>
      <w:r w:rsidR="00267805" w:rsidRPr="00A22683">
        <w:rPr>
          <w:rFonts w:ascii="Times New Roman" w:hAnsi="Times New Roman" w:cs="Times New Roman"/>
          <w:color w:val="000000" w:themeColor="text1"/>
          <w:sz w:val="20"/>
          <w:szCs w:val="20"/>
          <w:lang w:val="en-US"/>
        </w:rPr>
        <w:t>).</w:t>
      </w:r>
      <w:r w:rsidR="00392AC4"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 xml:space="preserve">PCR product </w:t>
      </w:r>
      <w:r w:rsidR="00C95874" w:rsidRPr="00A22683">
        <w:rPr>
          <w:rFonts w:ascii="Times New Roman" w:hAnsi="Times New Roman" w:cs="Times New Roman"/>
          <w:color w:val="000000" w:themeColor="text1"/>
          <w:sz w:val="20"/>
          <w:szCs w:val="20"/>
          <w:lang w:val="en-US"/>
        </w:rPr>
        <w:t>was</w:t>
      </w:r>
      <w:r w:rsidRPr="00A22683">
        <w:rPr>
          <w:rFonts w:ascii="Times New Roman" w:hAnsi="Times New Roman" w:cs="Times New Roman"/>
          <w:color w:val="000000" w:themeColor="text1"/>
          <w:sz w:val="20"/>
          <w:szCs w:val="20"/>
          <w:lang w:val="en-US"/>
        </w:rPr>
        <w:t xml:space="preserve"> purified by treating them with</w:t>
      </w:r>
      <w:r w:rsidR="00267805" w:rsidRPr="00A22683">
        <w:rPr>
          <w:rFonts w:ascii="Times New Roman" w:hAnsi="Times New Roman" w:cs="Times New Roman"/>
          <w:color w:val="000000" w:themeColor="text1"/>
          <w:sz w:val="20"/>
          <w:szCs w:val="20"/>
          <w:lang w:val="en-US"/>
        </w:rPr>
        <w:t xml:space="preserve"> </w:t>
      </w:r>
      <w:proofErr w:type="spellStart"/>
      <w:r w:rsidRPr="00A22683">
        <w:rPr>
          <w:rFonts w:ascii="Times New Roman" w:hAnsi="Times New Roman" w:cs="Times New Roman"/>
          <w:color w:val="000000" w:themeColor="text1"/>
          <w:sz w:val="20"/>
          <w:szCs w:val="20"/>
          <w:lang w:val="en-US"/>
        </w:rPr>
        <w:t>ExoSAP</w:t>
      </w:r>
      <w:proofErr w:type="spellEnd"/>
      <w:r w:rsidRPr="00A22683">
        <w:rPr>
          <w:rFonts w:ascii="Times New Roman" w:hAnsi="Times New Roman" w:cs="Times New Roman"/>
          <w:color w:val="000000" w:themeColor="text1"/>
          <w:sz w:val="20"/>
          <w:szCs w:val="20"/>
          <w:lang w:val="en-US"/>
        </w:rPr>
        <w:t xml:space="preserve"> reagent (</w:t>
      </w:r>
      <w:proofErr w:type="spellStart"/>
      <w:r w:rsidRPr="00A22683">
        <w:rPr>
          <w:rFonts w:ascii="Times New Roman" w:hAnsi="Times New Roman" w:cs="Times New Roman"/>
          <w:color w:val="000000" w:themeColor="text1"/>
          <w:sz w:val="20"/>
          <w:szCs w:val="20"/>
          <w:lang w:val="en-US"/>
        </w:rPr>
        <w:t>Affymetrix</w:t>
      </w:r>
      <w:proofErr w:type="spellEnd"/>
      <w:r w:rsidRPr="00A22683">
        <w:rPr>
          <w:rFonts w:ascii="Times New Roman" w:hAnsi="Times New Roman" w:cs="Times New Roman"/>
          <w:color w:val="000000" w:themeColor="text1"/>
          <w:sz w:val="20"/>
          <w:szCs w:val="20"/>
          <w:lang w:val="en-US"/>
        </w:rPr>
        <w:t>, Santa Clara, CA) and sequenced using the Big Dye Terminator</w:t>
      </w:r>
      <w:r w:rsidR="00392AC4"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Cycle v</w:t>
      </w:r>
      <w:r w:rsidR="00267805" w:rsidRPr="00A22683">
        <w:rPr>
          <w:rFonts w:ascii="Times New Roman" w:hAnsi="Times New Roman" w:cs="Times New Roman"/>
          <w:color w:val="000000" w:themeColor="text1"/>
          <w:sz w:val="20"/>
          <w:szCs w:val="20"/>
          <w:lang w:val="en-US"/>
        </w:rPr>
        <w:t>3</w:t>
      </w:r>
      <w:r w:rsidRPr="00A22683">
        <w:rPr>
          <w:rFonts w:ascii="Times New Roman" w:hAnsi="Times New Roman" w:cs="Times New Roman"/>
          <w:color w:val="000000" w:themeColor="text1"/>
          <w:sz w:val="20"/>
          <w:szCs w:val="20"/>
          <w:lang w:val="en-US"/>
        </w:rPr>
        <w:t xml:space="preserve">.1 Sequencing Kit (Applied Biosystems, Carlsbad, California, USA) </w:t>
      </w:r>
      <w:r w:rsidR="004E52B4" w:rsidRPr="00A22683">
        <w:rPr>
          <w:rFonts w:ascii="Times New Roman" w:hAnsi="Times New Roman" w:cs="Times New Roman"/>
          <w:sz w:val="20"/>
          <w:szCs w:val="20"/>
          <w:lang w:val="en-US"/>
        </w:rPr>
        <w:t xml:space="preserve">on </w:t>
      </w:r>
      <w:proofErr w:type="spellStart"/>
      <w:r w:rsidR="004E52B4" w:rsidRPr="00A22683">
        <w:rPr>
          <w:rFonts w:ascii="Times New Roman" w:hAnsi="Times New Roman" w:cs="Times New Roman"/>
          <w:sz w:val="20"/>
          <w:szCs w:val="20"/>
          <w:lang w:val="en-US"/>
        </w:rPr>
        <w:t>SeqStudio</w:t>
      </w:r>
      <w:proofErr w:type="spellEnd"/>
      <w:r w:rsidR="004E52B4" w:rsidRPr="00A22683">
        <w:rPr>
          <w:rFonts w:ascii="Times New Roman" w:hAnsi="Times New Roman" w:cs="Times New Roman"/>
          <w:sz w:val="20"/>
          <w:szCs w:val="20"/>
          <w:lang w:val="en-US"/>
        </w:rPr>
        <w:t xml:space="preserve">™ Genetic Analyzer System Applied Biosystems™ </w:t>
      </w:r>
      <w:r w:rsidR="004E52B4" w:rsidRPr="00A22683">
        <w:rPr>
          <w:rFonts w:ascii="Times New Roman" w:hAnsi="Times New Roman" w:cs="Times New Roman"/>
          <w:sz w:val="20"/>
          <w:szCs w:val="20"/>
          <w:lang w:val="en-US"/>
        </w:rPr>
        <w:lastRenderedPageBreak/>
        <w:t>(Waltham, MA, USA)</w:t>
      </w:r>
      <w:r w:rsidR="00701076" w:rsidRPr="00A22683">
        <w:rPr>
          <w:rFonts w:ascii="Times New Roman" w:hAnsi="Times New Roman" w:cs="Times New Roman"/>
          <w:sz w:val="20"/>
          <w:szCs w:val="20"/>
          <w:lang w:val="en-US"/>
        </w:rPr>
        <w:t xml:space="preserve">. </w:t>
      </w:r>
      <w:r w:rsidRPr="00A22683">
        <w:rPr>
          <w:rFonts w:ascii="Times New Roman" w:hAnsi="Times New Roman" w:cs="Times New Roman"/>
          <w:color w:val="000000" w:themeColor="text1"/>
          <w:sz w:val="20"/>
          <w:szCs w:val="20"/>
          <w:lang w:val="en-US"/>
        </w:rPr>
        <w:t>Sanger sequencing</w:t>
      </w:r>
      <w:r w:rsidR="00392AC4"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 xml:space="preserve">data analysis was performed using the Sequencing Analysis Software v5.4, </w:t>
      </w:r>
      <w:proofErr w:type="spellStart"/>
      <w:r w:rsidRPr="00A22683">
        <w:rPr>
          <w:rFonts w:ascii="Times New Roman" w:hAnsi="Times New Roman" w:cs="Times New Roman"/>
          <w:color w:val="000000" w:themeColor="text1"/>
          <w:sz w:val="20"/>
          <w:szCs w:val="20"/>
          <w:lang w:val="en-US"/>
        </w:rPr>
        <w:t>SeqScape</w:t>
      </w:r>
      <w:proofErr w:type="spellEnd"/>
      <w:r w:rsidRPr="00A22683">
        <w:rPr>
          <w:rFonts w:ascii="Times New Roman" w:hAnsi="Times New Roman" w:cs="Times New Roman"/>
          <w:color w:val="000000" w:themeColor="text1"/>
          <w:sz w:val="20"/>
          <w:szCs w:val="20"/>
          <w:lang w:val="en-US"/>
        </w:rPr>
        <w:t xml:space="preserve"> v2.6</w:t>
      </w:r>
      <w:r w:rsidR="00392AC4"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 xml:space="preserve">(Applied </w:t>
      </w:r>
      <w:proofErr w:type="spellStart"/>
      <w:r w:rsidRPr="00A22683">
        <w:rPr>
          <w:rFonts w:ascii="Times New Roman" w:hAnsi="Times New Roman" w:cs="Times New Roman"/>
          <w:color w:val="000000" w:themeColor="text1"/>
          <w:sz w:val="20"/>
          <w:szCs w:val="20"/>
          <w:lang w:val="en-US"/>
        </w:rPr>
        <w:t>Biosystems</w:t>
      </w:r>
      <w:proofErr w:type="spellEnd"/>
      <w:r w:rsidRPr="00A22683">
        <w:rPr>
          <w:rFonts w:ascii="Times New Roman" w:hAnsi="Times New Roman" w:cs="Times New Roman"/>
          <w:color w:val="000000" w:themeColor="text1"/>
          <w:sz w:val="20"/>
          <w:szCs w:val="20"/>
          <w:lang w:val="en-US"/>
        </w:rPr>
        <w:t>, Carlsbad, California, USA), to identify the</w:t>
      </w:r>
      <w:r w:rsidR="00C42454" w:rsidRPr="00A22683">
        <w:rPr>
          <w:rFonts w:ascii="Times New Roman" w:hAnsi="Times New Roman" w:cs="Times New Roman"/>
          <w:color w:val="000000" w:themeColor="text1"/>
          <w:sz w:val="20"/>
          <w:szCs w:val="20"/>
          <w:lang w:val="en-US"/>
        </w:rPr>
        <w:t xml:space="preserve"> </w:t>
      </w:r>
      <w:r w:rsidRPr="00A22683">
        <w:rPr>
          <w:rFonts w:ascii="Times New Roman" w:hAnsi="Times New Roman" w:cs="Times New Roman"/>
          <w:color w:val="000000" w:themeColor="text1"/>
          <w:sz w:val="20"/>
          <w:szCs w:val="20"/>
          <w:lang w:val="en-US"/>
        </w:rPr>
        <w:t xml:space="preserve">likely disease causing mutation. </w:t>
      </w:r>
    </w:p>
    <w:p w14:paraId="58DDC31B" w14:textId="57D46F3C" w:rsidR="00502EDE" w:rsidRPr="008F3738" w:rsidRDefault="00502EDE" w:rsidP="00502EDE">
      <w:pPr>
        <w:spacing w:line="360" w:lineRule="auto"/>
        <w:jc w:val="both"/>
        <w:rPr>
          <w:rFonts w:ascii="Times New Roman" w:hAnsi="Times New Roman" w:cs="Times New Roman"/>
          <w:b/>
          <w:iCs/>
          <w:sz w:val="20"/>
          <w:szCs w:val="20"/>
          <w:lang w:val="en-US"/>
        </w:rPr>
      </w:pPr>
      <w:r w:rsidRPr="008F3738">
        <w:rPr>
          <w:rFonts w:ascii="Times New Roman" w:hAnsi="Times New Roman" w:cs="Times New Roman"/>
          <w:b/>
          <w:i/>
          <w:iCs/>
          <w:sz w:val="20"/>
          <w:szCs w:val="20"/>
          <w:lang w:val="en-US"/>
        </w:rPr>
        <w:t>SLC52A1</w:t>
      </w:r>
      <w:r w:rsidRPr="008F3738">
        <w:rPr>
          <w:rFonts w:ascii="Times New Roman" w:hAnsi="Times New Roman" w:cs="Times New Roman"/>
          <w:b/>
          <w:sz w:val="20"/>
          <w:szCs w:val="20"/>
          <w:lang w:val="en-US"/>
        </w:rPr>
        <w:t xml:space="preserve">, </w:t>
      </w:r>
      <w:r w:rsidRPr="008F3738">
        <w:rPr>
          <w:rFonts w:ascii="Times New Roman" w:hAnsi="Times New Roman" w:cs="Times New Roman"/>
          <w:b/>
          <w:i/>
          <w:iCs/>
          <w:sz w:val="20"/>
          <w:szCs w:val="20"/>
          <w:lang w:val="en-US"/>
        </w:rPr>
        <w:t>SLC52A2</w:t>
      </w:r>
      <w:r w:rsidRPr="008F3738">
        <w:rPr>
          <w:rFonts w:ascii="Times New Roman" w:hAnsi="Times New Roman" w:cs="Times New Roman"/>
          <w:b/>
          <w:sz w:val="20"/>
          <w:szCs w:val="20"/>
          <w:lang w:val="en-US"/>
        </w:rPr>
        <w:t xml:space="preserve"> and </w:t>
      </w:r>
      <w:r w:rsidRPr="008F3738">
        <w:rPr>
          <w:rFonts w:ascii="Times New Roman" w:hAnsi="Times New Roman" w:cs="Times New Roman"/>
          <w:b/>
          <w:i/>
          <w:iCs/>
          <w:sz w:val="20"/>
          <w:szCs w:val="20"/>
          <w:lang w:val="en-US"/>
        </w:rPr>
        <w:t xml:space="preserve">SLC52A3 </w:t>
      </w:r>
      <w:r w:rsidRPr="008F3738">
        <w:rPr>
          <w:rFonts w:ascii="Times New Roman" w:hAnsi="Times New Roman" w:cs="Times New Roman"/>
          <w:b/>
          <w:iCs/>
          <w:sz w:val="20"/>
          <w:szCs w:val="20"/>
          <w:lang w:val="en-US"/>
        </w:rPr>
        <w:t>target reanalysis</w:t>
      </w:r>
    </w:p>
    <w:p w14:paraId="220AA2A1" w14:textId="4D19F904" w:rsidR="00502EDE" w:rsidRPr="00502EDE" w:rsidRDefault="00502EDE" w:rsidP="00502EDE">
      <w:pPr>
        <w:spacing w:line="360" w:lineRule="auto"/>
        <w:jc w:val="both"/>
        <w:rPr>
          <w:rFonts w:ascii="Times New Roman" w:hAnsi="Times New Roman" w:cs="Times New Roman"/>
          <w:b/>
          <w:iCs/>
          <w:sz w:val="20"/>
          <w:szCs w:val="20"/>
          <w:lang w:val="en-US"/>
        </w:rPr>
      </w:pPr>
      <w:r w:rsidRPr="008F3738">
        <w:rPr>
          <w:rFonts w:ascii="Times New Roman" w:hAnsi="Times New Roman" w:cs="Times New Roman"/>
          <w:lang w:val="en-US"/>
        </w:rPr>
        <w:t xml:space="preserve">The </w:t>
      </w:r>
      <w:r w:rsidRPr="008F3738">
        <w:rPr>
          <w:rStyle w:val="Enfasicorsivo"/>
          <w:rFonts w:ascii="Times New Roman" w:hAnsi="Times New Roman" w:cs="Times New Roman"/>
          <w:lang w:val="en-US"/>
        </w:rPr>
        <w:t>SLC52A1</w:t>
      </w:r>
      <w:r w:rsidRPr="008F3738">
        <w:rPr>
          <w:rFonts w:ascii="Times New Roman" w:hAnsi="Times New Roman" w:cs="Times New Roman"/>
          <w:lang w:val="en-US"/>
        </w:rPr>
        <w:t xml:space="preserve">, </w:t>
      </w:r>
      <w:r w:rsidRPr="008F3738">
        <w:rPr>
          <w:rStyle w:val="Enfasicorsivo"/>
          <w:rFonts w:ascii="Times New Roman" w:hAnsi="Times New Roman" w:cs="Times New Roman"/>
          <w:lang w:val="en-US"/>
        </w:rPr>
        <w:t>SLC52A2</w:t>
      </w:r>
      <w:r w:rsidRPr="008F3738">
        <w:rPr>
          <w:rFonts w:ascii="Times New Roman" w:hAnsi="Times New Roman" w:cs="Times New Roman"/>
          <w:lang w:val="en-US"/>
        </w:rPr>
        <w:t xml:space="preserve">, and </w:t>
      </w:r>
      <w:r w:rsidRPr="008F3738">
        <w:rPr>
          <w:rStyle w:val="Enfasicorsivo"/>
          <w:rFonts w:ascii="Times New Roman" w:hAnsi="Times New Roman" w:cs="Times New Roman"/>
          <w:lang w:val="en-US"/>
        </w:rPr>
        <w:t>SLC52A3</w:t>
      </w:r>
      <w:r w:rsidRPr="008F3738">
        <w:rPr>
          <w:rFonts w:ascii="Times New Roman" w:hAnsi="Times New Roman" w:cs="Times New Roman"/>
          <w:lang w:val="en-US"/>
        </w:rPr>
        <w:t xml:space="preserve"> genes were </w:t>
      </w:r>
      <w:proofErr w:type="spellStart"/>
      <w:r w:rsidRPr="008F3738">
        <w:rPr>
          <w:rFonts w:ascii="Times New Roman" w:hAnsi="Times New Roman" w:cs="Times New Roman"/>
          <w:lang w:val="en-US"/>
        </w:rPr>
        <w:t>resequenced</w:t>
      </w:r>
      <w:proofErr w:type="spellEnd"/>
      <w:r w:rsidRPr="008F3738">
        <w:rPr>
          <w:rFonts w:ascii="Times New Roman" w:hAnsi="Times New Roman" w:cs="Times New Roman"/>
          <w:lang w:val="en-US"/>
        </w:rPr>
        <w:t xml:space="preserve"> using an amplicon-based next-generation NGS approach using </w:t>
      </w:r>
      <w:proofErr w:type="spellStart"/>
      <w:r w:rsidRPr="008F3738">
        <w:rPr>
          <w:rFonts w:ascii="Times New Roman" w:hAnsi="Times New Roman" w:cs="Times New Roman"/>
          <w:lang w:val="en-US"/>
        </w:rPr>
        <w:t>SureSelect</w:t>
      </w:r>
      <w:proofErr w:type="spellEnd"/>
      <w:r w:rsidRPr="008F3738">
        <w:rPr>
          <w:rFonts w:ascii="Times New Roman" w:hAnsi="Times New Roman" w:cs="Times New Roman"/>
          <w:lang w:val="en-US"/>
        </w:rPr>
        <w:t xml:space="preserve"> QXT sequencing kit on </w:t>
      </w:r>
      <w:proofErr w:type="spellStart"/>
      <w:r w:rsidRPr="008F3738">
        <w:rPr>
          <w:rFonts w:ascii="Times New Roman" w:hAnsi="Times New Roman" w:cs="Times New Roman"/>
          <w:lang w:val="en-US"/>
        </w:rPr>
        <w:t>MiSeq</w:t>
      </w:r>
      <w:proofErr w:type="spellEnd"/>
      <w:r w:rsidRPr="008F3738">
        <w:rPr>
          <w:rFonts w:ascii="Times New Roman" w:hAnsi="Times New Roman" w:cs="Times New Roman"/>
          <w:lang w:val="en-US"/>
        </w:rPr>
        <w:t xml:space="preserve"> Illumina platform. In addition, the entire </w:t>
      </w:r>
      <w:r w:rsidRPr="008F3738">
        <w:rPr>
          <w:rStyle w:val="Enfasicorsivo"/>
          <w:rFonts w:ascii="Times New Roman" w:hAnsi="Times New Roman" w:cs="Times New Roman"/>
          <w:lang w:val="en-US"/>
        </w:rPr>
        <w:t>SLC52A3</w:t>
      </w:r>
      <w:r w:rsidRPr="008F3738">
        <w:rPr>
          <w:rFonts w:ascii="Times New Roman" w:hAnsi="Times New Roman" w:cs="Times New Roman"/>
          <w:lang w:val="en-US"/>
        </w:rPr>
        <w:t xml:space="preserve"> gene, including intronic regions and alternative exons, was comprehensively analyzed. To exclude the presence of copy number variations (CNVs), such as deletions or duplications affecting </w:t>
      </w:r>
      <w:r w:rsidRPr="008F3738">
        <w:rPr>
          <w:rStyle w:val="Enfasicorsivo"/>
          <w:rFonts w:ascii="Times New Roman" w:hAnsi="Times New Roman" w:cs="Times New Roman"/>
          <w:lang w:val="en-US"/>
        </w:rPr>
        <w:t>SLC52A3</w:t>
      </w:r>
      <w:r w:rsidRPr="008F3738">
        <w:rPr>
          <w:rFonts w:ascii="Times New Roman" w:hAnsi="Times New Roman" w:cs="Times New Roman"/>
          <w:lang w:val="en-US"/>
        </w:rPr>
        <w:t>, gene dosage analysis was performed.</w:t>
      </w:r>
    </w:p>
    <w:p w14:paraId="494326B1" w14:textId="77777777" w:rsidR="00502EDE" w:rsidRPr="00502EDE" w:rsidRDefault="00502EDE" w:rsidP="00502EDE">
      <w:pPr>
        <w:spacing w:line="360" w:lineRule="auto"/>
        <w:jc w:val="both"/>
        <w:rPr>
          <w:rFonts w:ascii="Times New Roman" w:hAnsi="Times New Roman" w:cs="Times New Roman"/>
          <w:color w:val="000000" w:themeColor="text1"/>
          <w:sz w:val="20"/>
          <w:szCs w:val="20"/>
          <w:lang w:val="en-US"/>
        </w:rPr>
      </w:pPr>
    </w:p>
    <w:p w14:paraId="13EE9959" w14:textId="76F4A9C5" w:rsidR="00CF7140" w:rsidRPr="00A22683" w:rsidRDefault="00D96234" w:rsidP="00141666">
      <w:pPr>
        <w:spacing w:line="480" w:lineRule="auto"/>
        <w:rPr>
          <w:rFonts w:ascii="Times New Roman" w:hAnsi="Times New Roman" w:cs="Times New Roman"/>
          <w:b/>
          <w:bCs/>
          <w:color w:val="000000" w:themeColor="text1"/>
          <w:sz w:val="20"/>
          <w:szCs w:val="20"/>
          <w:lang w:val="en-US"/>
        </w:rPr>
      </w:pPr>
      <w:r w:rsidRPr="00A22683">
        <w:rPr>
          <w:rFonts w:ascii="Times New Roman" w:hAnsi="Times New Roman" w:cs="Times New Roman"/>
          <w:b/>
          <w:bCs/>
          <w:color w:val="000000" w:themeColor="text1"/>
          <w:sz w:val="20"/>
          <w:szCs w:val="20"/>
          <w:lang w:val="en-US"/>
        </w:rPr>
        <w:t>References</w:t>
      </w:r>
    </w:p>
    <w:p w14:paraId="387951C6" w14:textId="3760FB1C" w:rsidR="00CF7140" w:rsidRPr="00A22683" w:rsidRDefault="00D96234" w:rsidP="00141666">
      <w:pPr>
        <w:spacing w:line="480" w:lineRule="auto"/>
        <w:rPr>
          <w:color w:val="000000" w:themeColor="text1"/>
          <w:lang w:val="en-US"/>
        </w:rPr>
      </w:pPr>
      <w:r w:rsidRPr="00A22683">
        <w:rPr>
          <w:rFonts w:ascii="Times New Roman" w:hAnsi="Times New Roman" w:cs="Times New Roman"/>
          <w:color w:val="000000" w:themeColor="text1"/>
          <w:sz w:val="20"/>
          <w:szCs w:val="20"/>
          <w:shd w:val="clear" w:color="auto" w:fill="FFFFFF"/>
          <w:lang w:val="en-US"/>
        </w:rPr>
        <w:t>1.</w:t>
      </w:r>
      <w:r w:rsidR="00D7545C" w:rsidRPr="00A22683">
        <w:rPr>
          <w:rFonts w:ascii="Times New Roman" w:hAnsi="Times New Roman" w:cs="Times New Roman"/>
          <w:color w:val="000000" w:themeColor="text1"/>
          <w:sz w:val="20"/>
          <w:szCs w:val="20"/>
          <w:shd w:val="clear" w:color="auto" w:fill="FFFFFF"/>
          <w:lang w:val="en-US"/>
        </w:rPr>
        <w:t xml:space="preserve"> </w:t>
      </w:r>
      <w:r w:rsidRPr="00A22683">
        <w:rPr>
          <w:rFonts w:ascii="Times New Roman" w:hAnsi="Times New Roman" w:cs="Times New Roman"/>
          <w:color w:val="000000" w:themeColor="text1"/>
          <w:sz w:val="20"/>
          <w:szCs w:val="20"/>
          <w:shd w:val="clear" w:color="auto" w:fill="FFFFFF"/>
          <w:lang w:val="en-US"/>
        </w:rPr>
        <w:t>Richards S, Aziz N, Bale S, et al (2015) Standards and guidelines for the interpretation of sequence variants: a joint consensus recommendation of the American College of Medical Genetics and Genomics and the Association for Molecular Pathology. Genet Med 17:405–424</w:t>
      </w:r>
      <w:r w:rsidRPr="00A22683" w:rsidDel="00D96234">
        <w:rPr>
          <w:rFonts w:ascii="Times New Roman" w:hAnsi="Times New Roman" w:cs="Times New Roman"/>
          <w:color w:val="000000" w:themeColor="text1"/>
          <w:sz w:val="20"/>
          <w:szCs w:val="20"/>
          <w:shd w:val="clear" w:color="auto" w:fill="FFFFFF"/>
          <w:lang w:val="en-US"/>
        </w:rPr>
        <w:t xml:space="preserve"> </w:t>
      </w:r>
    </w:p>
    <w:p w14:paraId="578B3149" w14:textId="77777777" w:rsidR="00AB371B" w:rsidRPr="00A2655E" w:rsidRDefault="00AB371B" w:rsidP="00A22683">
      <w:pPr>
        <w:spacing w:line="360" w:lineRule="auto"/>
        <w:jc w:val="both"/>
        <w:rPr>
          <w:lang w:val="en-US"/>
        </w:rPr>
      </w:pPr>
    </w:p>
    <w:p w14:paraId="09317619" w14:textId="77777777" w:rsidR="00AB371B" w:rsidRPr="00A2655E" w:rsidRDefault="00AB371B" w:rsidP="00A22683">
      <w:pPr>
        <w:spacing w:line="360" w:lineRule="auto"/>
        <w:jc w:val="both"/>
        <w:rPr>
          <w:lang w:val="en-US"/>
        </w:rPr>
      </w:pPr>
    </w:p>
    <w:p w14:paraId="26EA1066" w14:textId="77777777" w:rsidR="00AB371B" w:rsidRPr="00A2655E" w:rsidRDefault="00AB371B" w:rsidP="00A22683">
      <w:pPr>
        <w:spacing w:line="360" w:lineRule="auto"/>
        <w:jc w:val="both"/>
        <w:rPr>
          <w:lang w:val="en-US"/>
        </w:rPr>
      </w:pPr>
    </w:p>
    <w:p w14:paraId="6AEDA52D" w14:textId="77777777" w:rsidR="00AB371B" w:rsidRPr="00A2655E" w:rsidRDefault="00AB371B" w:rsidP="00A22683">
      <w:pPr>
        <w:spacing w:line="360" w:lineRule="auto"/>
        <w:jc w:val="both"/>
        <w:rPr>
          <w:lang w:val="en-US"/>
        </w:rPr>
      </w:pPr>
    </w:p>
    <w:p w14:paraId="5D3DBBC4" w14:textId="77777777" w:rsidR="00AB371B" w:rsidRPr="00A2655E" w:rsidRDefault="00AB371B" w:rsidP="00355F6C">
      <w:pPr>
        <w:jc w:val="both"/>
        <w:rPr>
          <w:lang w:val="en-US"/>
        </w:rPr>
      </w:pPr>
    </w:p>
    <w:p w14:paraId="104FE6E6" w14:textId="77777777" w:rsidR="00AB371B" w:rsidRPr="00A2655E" w:rsidRDefault="00AB371B" w:rsidP="00355F6C">
      <w:pPr>
        <w:jc w:val="both"/>
        <w:rPr>
          <w:lang w:val="en-US"/>
        </w:rPr>
      </w:pPr>
    </w:p>
    <w:p w14:paraId="1D5D8913" w14:textId="6840A4FA" w:rsidR="00630EF1" w:rsidRPr="00A2655E" w:rsidRDefault="00630EF1" w:rsidP="00355F6C">
      <w:pPr>
        <w:jc w:val="both"/>
        <w:rPr>
          <w:lang w:val="en-US"/>
        </w:rPr>
      </w:pPr>
    </w:p>
    <w:sectPr w:rsidR="00630EF1" w:rsidRPr="00A2655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7EA6"/>
    <w:multiLevelType w:val="hybridMultilevel"/>
    <w:tmpl w:val="C6BA570E"/>
    <w:lvl w:ilvl="0" w:tplc="23746E0C">
      <w:start w:val="1"/>
      <w:numFmt w:val="decimal"/>
      <w:lvlText w:val="%1."/>
      <w:lvlJc w:val="left"/>
      <w:pPr>
        <w:ind w:left="720" w:hanging="360"/>
      </w:pPr>
      <w:rPr>
        <w:rFonts w:ascii="Times New Roman" w:hAnsi="Times New Roman" w:cs="Times New Roman" w:hint="default"/>
        <w:color w:val="37393C"/>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15A59D3"/>
    <w:multiLevelType w:val="hybridMultilevel"/>
    <w:tmpl w:val="5218CB78"/>
    <w:lvl w:ilvl="0" w:tplc="B204F08E">
      <w:start w:val="1"/>
      <w:numFmt w:val="bullet"/>
      <w:lvlText w:val=""/>
      <w:lvlJc w:val="left"/>
      <w:pPr>
        <w:ind w:left="1440" w:hanging="360"/>
      </w:pPr>
      <w:rPr>
        <w:rFonts w:ascii="Symbol" w:hAnsi="Symbol" w:hint="default"/>
        <w:color w:val="auto"/>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n-US" w:vendorID="64" w:dllVersion="131078" w:nlCheck="1" w:checkStyle="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2D5"/>
    <w:rsid w:val="00034449"/>
    <w:rsid w:val="00060F95"/>
    <w:rsid w:val="000F4CCE"/>
    <w:rsid w:val="000F659C"/>
    <w:rsid w:val="001311BA"/>
    <w:rsid w:val="00141666"/>
    <w:rsid w:val="00174BFF"/>
    <w:rsid w:val="001C635E"/>
    <w:rsid w:val="002467F4"/>
    <w:rsid w:val="00267805"/>
    <w:rsid w:val="0027036B"/>
    <w:rsid w:val="00285F11"/>
    <w:rsid w:val="002D41FD"/>
    <w:rsid w:val="002D7A20"/>
    <w:rsid w:val="002F04BE"/>
    <w:rsid w:val="00355F6C"/>
    <w:rsid w:val="00392AC4"/>
    <w:rsid w:val="003A71C6"/>
    <w:rsid w:val="003B5047"/>
    <w:rsid w:val="0044088D"/>
    <w:rsid w:val="004E52B4"/>
    <w:rsid w:val="00502EDE"/>
    <w:rsid w:val="00526FDB"/>
    <w:rsid w:val="00535AF3"/>
    <w:rsid w:val="00570BD2"/>
    <w:rsid w:val="005D0D60"/>
    <w:rsid w:val="005D4AC0"/>
    <w:rsid w:val="00630EF1"/>
    <w:rsid w:val="00701076"/>
    <w:rsid w:val="0078304D"/>
    <w:rsid w:val="00787388"/>
    <w:rsid w:val="00795AE9"/>
    <w:rsid w:val="007B1B7C"/>
    <w:rsid w:val="007B2FEE"/>
    <w:rsid w:val="007D3CB5"/>
    <w:rsid w:val="008728CC"/>
    <w:rsid w:val="008850A6"/>
    <w:rsid w:val="00885A4E"/>
    <w:rsid w:val="008954C8"/>
    <w:rsid w:val="008C7950"/>
    <w:rsid w:val="008F3738"/>
    <w:rsid w:val="00912FF6"/>
    <w:rsid w:val="0094302E"/>
    <w:rsid w:val="009C1325"/>
    <w:rsid w:val="00A0106A"/>
    <w:rsid w:val="00A22683"/>
    <w:rsid w:val="00A24202"/>
    <w:rsid w:val="00A2655E"/>
    <w:rsid w:val="00A36A1C"/>
    <w:rsid w:val="00A4304C"/>
    <w:rsid w:val="00AB371B"/>
    <w:rsid w:val="00AB62D5"/>
    <w:rsid w:val="00AD1436"/>
    <w:rsid w:val="00B25AB5"/>
    <w:rsid w:val="00B64043"/>
    <w:rsid w:val="00B8492F"/>
    <w:rsid w:val="00BD6C8B"/>
    <w:rsid w:val="00BD7E78"/>
    <w:rsid w:val="00C42454"/>
    <w:rsid w:val="00C62B04"/>
    <w:rsid w:val="00C95874"/>
    <w:rsid w:val="00CB4D38"/>
    <w:rsid w:val="00CD3893"/>
    <w:rsid w:val="00CF7140"/>
    <w:rsid w:val="00D143E9"/>
    <w:rsid w:val="00D24D0A"/>
    <w:rsid w:val="00D3133A"/>
    <w:rsid w:val="00D7545C"/>
    <w:rsid w:val="00D96234"/>
    <w:rsid w:val="00E310F6"/>
    <w:rsid w:val="00E63A52"/>
    <w:rsid w:val="00EA3AF4"/>
    <w:rsid w:val="00F07031"/>
    <w:rsid w:val="00F169FF"/>
    <w:rsid w:val="00FB52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44628"/>
  <w15:chartTrackingRefBased/>
  <w15:docId w15:val="{67D34354-DCD8-4966-A54F-24F2B89DC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8954C8"/>
    <w:rPr>
      <w:i/>
      <w:iCs/>
    </w:rPr>
  </w:style>
  <w:style w:type="character" w:styleId="Collegamentoipertestuale">
    <w:name w:val="Hyperlink"/>
    <w:basedOn w:val="Carpredefinitoparagrafo"/>
    <w:uiPriority w:val="99"/>
    <w:unhideWhenUsed/>
    <w:rsid w:val="00BD6C8B"/>
    <w:rPr>
      <w:color w:val="0563C1" w:themeColor="hyperlink"/>
      <w:u w:val="single"/>
    </w:rPr>
  </w:style>
  <w:style w:type="character" w:customStyle="1" w:styleId="Menzionenonrisolta1">
    <w:name w:val="Menzione non risolta1"/>
    <w:basedOn w:val="Carpredefinitoparagrafo"/>
    <w:uiPriority w:val="99"/>
    <w:semiHidden/>
    <w:unhideWhenUsed/>
    <w:rsid w:val="00BD6C8B"/>
    <w:rPr>
      <w:color w:val="605E5C"/>
      <w:shd w:val="clear" w:color="auto" w:fill="E1DFDD"/>
    </w:rPr>
  </w:style>
  <w:style w:type="paragraph" w:styleId="Revisione">
    <w:name w:val="Revision"/>
    <w:hidden/>
    <w:uiPriority w:val="99"/>
    <w:semiHidden/>
    <w:rsid w:val="00174BFF"/>
    <w:pPr>
      <w:spacing w:after="0" w:line="240" w:lineRule="auto"/>
    </w:pPr>
  </w:style>
  <w:style w:type="paragraph" w:styleId="Testofumetto">
    <w:name w:val="Balloon Text"/>
    <w:basedOn w:val="Normale"/>
    <w:link w:val="TestofumettoCarattere"/>
    <w:uiPriority w:val="99"/>
    <w:semiHidden/>
    <w:unhideWhenUsed/>
    <w:rsid w:val="00A2655E"/>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2655E"/>
    <w:rPr>
      <w:rFonts w:ascii="Segoe UI" w:hAnsi="Segoe UI" w:cs="Segoe UI"/>
      <w:sz w:val="18"/>
      <w:szCs w:val="18"/>
    </w:rPr>
  </w:style>
  <w:style w:type="character" w:styleId="Testosegnaposto">
    <w:name w:val="Placeholder Text"/>
    <w:basedOn w:val="Carpredefinitoparagrafo"/>
    <w:uiPriority w:val="99"/>
    <w:semiHidden/>
    <w:rsid w:val="00D96234"/>
    <w:rPr>
      <w:color w:val="808080"/>
    </w:rPr>
  </w:style>
  <w:style w:type="paragraph" w:styleId="Paragrafoelenco">
    <w:name w:val="List Paragraph"/>
    <w:basedOn w:val="Normale"/>
    <w:uiPriority w:val="34"/>
    <w:qFormat/>
    <w:rsid w:val="00D962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7335659">
      <w:bodyDiv w:val="1"/>
      <w:marLeft w:val="0"/>
      <w:marRight w:val="0"/>
      <w:marTop w:val="0"/>
      <w:marBottom w:val="0"/>
      <w:divBdr>
        <w:top w:val="none" w:sz="0" w:space="0" w:color="auto"/>
        <w:left w:val="none" w:sz="0" w:space="0" w:color="auto"/>
        <w:bottom w:val="none" w:sz="0" w:space="0" w:color="auto"/>
        <w:right w:val="none" w:sz="0" w:space="0" w:color="auto"/>
      </w:divBdr>
    </w:div>
    <w:div w:id="89018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rimer3.ut.e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e"/>
          <w:gallery w:val="placeholder"/>
        </w:category>
        <w:types>
          <w:type w:val="bbPlcHdr"/>
        </w:types>
        <w:behaviors>
          <w:behavior w:val="content"/>
        </w:behaviors>
        <w:guid w:val="{7BC38448-1728-6F49-AFD0-596CE8CF4317}"/>
      </w:docPartPr>
      <w:docPartBody>
        <w:p w:rsidR="0001546F" w:rsidRDefault="00F13AAD">
          <w:r w:rsidRPr="00D3142C">
            <w:rPr>
              <w:rStyle w:val="Testosegnaposto"/>
            </w:rPr>
            <w:t>Fare clic o toccare qui per immettere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AAD"/>
    <w:rsid w:val="0001546F"/>
    <w:rsid w:val="00393F25"/>
    <w:rsid w:val="003E08C6"/>
    <w:rsid w:val="004F596E"/>
    <w:rsid w:val="005658ED"/>
    <w:rsid w:val="007D0E2F"/>
    <w:rsid w:val="007F4EF1"/>
    <w:rsid w:val="00822C2F"/>
    <w:rsid w:val="00C66F70"/>
    <w:rsid w:val="00ED5C6A"/>
    <w:rsid w:val="00F13AAD"/>
    <w:rsid w:val="00FD1B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it-IT" w:eastAsia="it-IT"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F13AA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5BCECB3-3046-5E4E-9D9C-395CEE19A9BC}">
  <we:reference id="f78a3046-9e99-4300-aa2b-5814002b01a2" version="1.55.1.0" store="EXCatalog" storeType="EXCatalog"/>
  <we:alternateReferences>
    <we:reference id="WA104382081" version="1.55.1.0" store="it-IT" storeType="OMEX"/>
  </we:alternateReferences>
  <we:properties>
    <we:property name="MENDELEY_CITATIONS" value="[{&quot;citationID&quot;:&quot;MENDELEY_CITATION_f1e9b19c-5695-4f6a-9aec-f06f75885dc9&quot;,&quot;properties&quot;:{&quot;noteIndex&quot;:0},&quot;isEdited&quot;:false,&quot;manualOverride&quot;:{&quot;isManuallyOverridden&quot;:false,&quot;citeprocText&quot;:&quot;[1]&quot;,&quot;manualOverrideText&quot;:&quot;&quot;},&quot;citationTag&quot;:&quot;MENDELEY_CITATION_v3_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&quot;,&quot;citationItems&quot;:[{&quot;id&quot;:&quot;a48c162f-87f5-3031-b0ec-7e47c3d1cf75&quot;,&quot;itemData&quot;:{&quot;type&quot;:&quot;article-journal&quot;,&quot;id&quot;:&quot;a48c162f-87f5-3031-b0ec-7e47c3d1cf75&quot;,&quot;title&quot;:&quot;Standards and guidelines for the interpretation of sequence variants: A joint consensus recommendation of the American College of Medical Genetics and Genomics and the Association for Molecular Pathology&quot;,&quot;author&quot;:[{&quot;family&quot;:&quot;Richards&quot;,&quot;given&quot;:&quot;Sue&quot;,&quot;parse-names&quot;:false,&quot;dropping-particle&quot;:&quot;&quot;,&quot;non-dropping-particle&quot;:&quot;&quot;},{&quot;family&quot;:&quot;Aziz&quot;,&quot;given&quot;:&quot;Nazneen&quot;,&quot;parse-names&quot;:false,&quot;dropping-particle&quot;:&quot;&quot;,&quot;non-dropping-particle&quot;:&quot;&quot;},{&quot;family&quot;:&quot;Bale&quot;,&quot;given&quot;:&quot;Sherri&quot;,&quot;parse-names&quot;:false,&quot;dropping-particle&quot;:&quot;&quot;,&quot;non-dropping-particle&quot;:&quot;&quot;},{&quot;family&quot;:&quot;Bick&quot;,&quot;given&quot;:&quot;David&quot;,&quot;parse-names&quot;:false,&quot;dropping-particle&quot;:&quot;&quot;,&quot;non-dropping-particle&quot;:&quot;&quot;},{&quot;family&quot;:&quot;Das&quot;,&quot;given&quot;:&quot;Soma&quot;,&quot;parse-names&quot;:false,&quot;dropping-particle&quot;:&quot;&quot;,&quot;non-dropping-particle&quot;:&quot;&quot;},{&quot;family&quot;:&quot;Gastier-Foster&quot;,&quot;given&quot;:&quot;Julie&quot;,&quot;parse-names&quot;:false,&quot;dropping-particle&quot;:&quot;&quot;,&quot;non-dropping-particle&quot;:&quot;&quot;},{&quot;family&quot;:&quot;Grody&quot;,&quot;given&quot;:&quot;Wayne W.&quot;,&quot;parse-names&quot;:false,&quot;dropping-particle&quot;:&quot;&quot;,&quot;non-dropping-particle&quot;:&quot;&quot;},{&quot;family&quot;:&quot;Hegde&quot;,&quot;given&quot;:&quot;Madhuri&quot;,&quot;parse-names&quot;:false,&quot;dropping-particle&quot;:&quot;&quot;,&quot;non-dropping-particle&quot;:&quot;&quot;},{&quot;family&quot;:&quot;Lyon&quot;,&quot;given&quot;:&quot;Elaine&quot;,&quot;parse-names&quot;:false,&quot;dropping-particle&quot;:&quot;&quot;,&quot;non-dropping-particle&quot;:&quot;&quot;},{&quot;family&quot;:&quot;Spector&quot;,&quot;given&quot;:&quot;Elaine&quot;,&quot;parse-names&quot;:false,&quot;dropping-particle&quot;:&quot;&quot;,&quot;non-dropping-particle&quot;:&quot;&quot;},{&quot;family&quot;:&quot;Voelkerding&quot;,&quot;given&quot;:&quot;Karl&quot;,&quot;parse-names&quot;:false,&quot;dropping-particle&quot;:&quot;&quot;,&quot;non-dropping-particle&quot;:&quot;&quot;},{&quot;family&quot;:&quot;Rehm&quot;,&quot;given&quot;:&quot;Heidi L.&quot;,&quot;parse-names&quot;:false,&quot;dropping-particle&quot;:&quot;&quot;,&quot;non-dropping-particle&quot;:&quot;&quot;}],&quot;container-title&quot;:&quot;Genetics in Medicine&quot;,&quot;DOI&quot;:&quot;10.1038/gim.2015.30&quot;,&quot;ISSN&quot;:&quot;15300366&quot;,&quot;PMID&quot;:&quot;25741868&quot;,&quot;issued&quot;:{&quot;date-parts&quot;:[[2015,5,8]]},&quot;page&quot;:&quot;405-424&quot;,&quot;abstract&quot;:&quot;The American College of Medical Genetics and Genomics (ACMG) previously developed guidance for the interpretation of sequence variants.1 In the past decade, sequencing technology has evolved rapidly with the advent of high-throughput next-generation sequencing. By adopting and leveraging next-generation sequencing, clinical laboratories are now performing an ever-increasing catalogue of genetic testing spanning genotyping, single genes, gene panels, exomes, genomes, transcriptomes, and epigenetic assays for genetic disorders. By virtue of increased complexity, this shift in genetic testing has been accompanied by new challenges in sequence interpretation. In this context the ACMG convened a workgroup in 2013 comprising representatives from the ACMG, the Association for Molecular Pathology (AMP), and the College of American Pathologists to revisit and revise the standards and guidelines for the interpretation of sequence variants. The group consisted of clinical laboratory directors and clinicians. This report represents expert opinion of the workgroup with input from ACMG, AMP, and College of American Pathologists stakeholders. These recommendations primarily apply to the breadth of genetic tests used in clinical laboratories, including genotyping, single genes, panels, exomes, and genomes. This report recommends the use of specific standard terminology-\&quot;pathogenic,\&quot; \&quot;likely pathogenic,\&quot; \&quot;uncertain significance,\&quot; \&quot;likely benign,\&quot; and \&quot;benign\&quot;-to describe variants identified in genes that cause Mendelian disorders. Moreover, this recommendation describes a process for classifying variants into these five categories based on criteria using typical types of variant evidence (e.g., population data, computational data, functional data, segregation data). Because of the increased complexity of analysis and interpretation of clinical genetic testing described in this report, the ACMG strongly recommends that clinical molecular genetic testing should be performed in a Clinical Laboratory Improvement Amendments-approved laboratory, with results interpreted by a board-certified clinical molecular geneticist or molecular genetic pathologist or the equivalent.&quot;,&quot;publisher&quot;:&quot;Nature Publishing Group&quot;,&quot;issue&quot;:&quot;5&quot;,&quot;volume&quot;:&quot;17&quot;,&quot;container-title-short&quot;:&quot;&quot;},&quot;isTemporary&quot;:false}]}]"/>
    <we:property name="MENDELEY_CITATIONS_LOCALE_CODE" value="&quot;en-US&quot;"/>
    <we:property name="MENDELEY_CITATIONS_STYLE" value="{&quot;id&quot;:&quot;https://www.zotero.org/styles/springer-vancouver&quot;,&quot;title&quot;:&quot;Springer - Vancouver&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2705A-5D8D-47FF-9946-1E7B046EC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4116</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Maurizio Margaglione</dc:creator>
  <cp:keywords/>
  <dc:description/>
  <cp:lastModifiedBy>Ferrera Giulia</cp:lastModifiedBy>
  <cp:revision>2</cp:revision>
  <dcterms:created xsi:type="dcterms:W3CDTF">2025-10-09T09:37:00Z</dcterms:created>
  <dcterms:modified xsi:type="dcterms:W3CDTF">2025-10-09T09:37:00Z</dcterms:modified>
</cp:coreProperties>
</file>