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A2B78A" w14:textId="77777777" w:rsidR="0010000F" w:rsidRDefault="0010000F" w:rsidP="0010000F">
      <w:pPr>
        <w:pStyle w:val="Heading2"/>
        <w:jc w:val="both"/>
        <w:rPr>
          <w:rFonts w:ascii="Times New Roman" w:hAnsi="Times New Roman"/>
          <w:i/>
          <w:iCs/>
          <w:sz w:val="24"/>
          <w:szCs w:val="24"/>
        </w:rPr>
      </w:pPr>
      <w:r>
        <w:rPr>
          <w:rFonts w:ascii="Times New Roman" w:hAnsi="Times New Roman"/>
          <w:sz w:val="24"/>
          <w:szCs w:val="24"/>
        </w:rPr>
        <w:t>APPENDIX: TYPICAL CLINICAL SCENARIOS</w:t>
      </w:r>
    </w:p>
    <w:p w14:paraId="4C67EFCA" w14:textId="77777777" w:rsidR="0010000F" w:rsidRDefault="0010000F" w:rsidP="0010000F">
      <w:pPr>
        <w:jc w:val="both"/>
        <w:rPr>
          <w:rFonts w:ascii="Times New Roman" w:eastAsia="SimSun" w:hAnsi="Times New Roman"/>
          <w:color w:val="222222"/>
          <w:sz w:val="24"/>
          <w:szCs w:val="24"/>
          <w:shd w:val="clear" w:color="auto" w:fill="FFFFFF"/>
        </w:rPr>
      </w:pPr>
      <w:r>
        <w:rPr>
          <w:rFonts w:ascii="Times New Roman" w:eastAsia="SimSun" w:hAnsi="Times New Roman"/>
          <w:color w:val="222222"/>
          <w:sz w:val="24"/>
          <w:szCs w:val="24"/>
          <w:shd w:val="clear" w:color="auto" w:fill="FFFFFF"/>
        </w:rPr>
        <w:t xml:space="preserve">Representative clinical scenarios illustrate how therapeutic principles are applied across </w:t>
      </w:r>
      <w:proofErr w:type="spellStart"/>
      <w:r>
        <w:rPr>
          <w:rFonts w:ascii="Times New Roman" w:eastAsia="SimSun" w:hAnsi="Times New Roman"/>
          <w:color w:val="222222"/>
          <w:sz w:val="24"/>
          <w:szCs w:val="24"/>
          <w:shd w:val="clear" w:color="auto" w:fill="FFFFFF"/>
        </w:rPr>
        <w:t>tumour</w:t>
      </w:r>
      <w:proofErr w:type="spellEnd"/>
      <w:r>
        <w:rPr>
          <w:rFonts w:ascii="Times New Roman" w:eastAsia="SimSun" w:hAnsi="Times New Roman"/>
          <w:color w:val="222222"/>
          <w:sz w:val="24"/>
          <w:szCs w:val="24"/>
          <w:shd w:val="clear" w:color="auto" w:fill="FFFFFF"/>
        </w:rPr>
        <w:t xml:space="preserve"> types:</w:t>
      </w:r>
    </w:p>
    <w:p w14:paraId="4A66FD3C" w14:textId="77777777" w:rsidR="0010000F" w:rsidRDefault="0010000F" w:rsidP="0010000F">
      <w:pPr>
        <w:jc w:val="both"/>
        <w:rPr>
          <w:rFonts w:ascii="Times New Roman" w:eastAsia="SimSun" w:hAnsi="Times New Roman"/>
          <w:color w:val="222222"/>
          <w:sz w:val="24"/>
          <w:szCs w:val="24"/>
          <w:shd w:val="clear" w:color="auto" w:fill="FFFFFF"/>
        </w:rPr>
      </w:pPr>
    </w:p>
    <w:p w14:paraId="6C0DD35E" w14:textId="77777777" w:rsidR="0010000F" w:rsidRDefault="0010000F" w:rsidP="0010000F">
      <w:pPr>
        <w:numPr>
          <w:ilvl w:val="0"/>
          <w:numId w:val="1"/>
        </w:numPr>
        <w:jc w:val="both"/>
        <w:rPr>
          <w:rFonts w:ascii="Times New Roman" w:eastAsia="SimSun" w:hAnsi="Times New Roman"/>
          <w:i/>
          <w:iCs/>
          <w:color w:val="222222"/>
          <w:sz w:val="24"/>
          <w:szCs w:val="24"/>
          <w:shd w:val="clear" w:color="auto" w:fill="FFFFFF"/>
        </w:rPr>
      </w:pPr>
      <w:r>
        <w:rPr>
          <w:rFonts w:ascii="Times New Roman" w:eastAsia="SimSun" w:hAnsi="Times New Roman"/>
          <w:i/>
          <w:iCs/>
          <w:color w:val="222222"/>
          <w:sz w:val="24"/>
          <w:szCs w:val="24"/>
          <w:shd w:val="clear" w:color="auto" w:fill="FFFFFF"/>
        </w:rPr>
        <w:t>Non</w:t>
      </w:r>
      <w:r>
        <w:rPr>
          <w:rFonts w:ascii="Times New Roman" w:eastAsia="SimSun" w:hAnsi="Times New Roman"/>
          <w:i/>
          <w:iCs/>
          <w:color w:val="222222"/>
          <w:sz w:val="24"/>
          <w:szCs w:val="24"/>
          <w:shd w:val="clear" w:color="auto" w:fill="FFFFFF"/>
          <w:lang w:val="ru-RU"/>
        </w:rPr>
        <w:t>-</w:t>
      </w:r>
      <w:r>
        <w:rPr>
          <w:rFonts w:ascii="Times New Roman" w:eastAsia="SimSun" w:hAnsi="Times New Roman"/>
          <w:i/>
          <w:iCs/>
          <w:color w:val="222222"/>
          <w:sz w:val="24"/>
          <w:szCs w:val="24"/>
          <w:shd w:val="clear" w:color="auto" w:fill="FFFFFF"/>
        </w:rPr>
        <w:t>small cell lung cancer (NSCLC)</w:t>
      </w:r>
    </w:p>
    <w:p w14:paraId="69729E8E" w14:textId="77777777" w:rsidR="0010000F" w:rsidRDefault="0010000F" w:rsidP="0010000F">
      <w:pPr>
        <w:ind w:firstLine="708"/>
        <w:jc w:val="both"/>
        <w:rPr>
          <w:rFonts w:ascii="Times New Roman" w:eastAsia="SimSun" w:hAnsi="Times New Roman"/>
          <w:color w:val="222222"/>
          <w:sz w:val="24"/>
          <w:szCs w:val="24"/>
          <w:shd w:val="clear" w:color="auto" w:fill="FFFFFF"/>
        </w:rPr>
      </w:pPr>
      <w:r>
        <w:rPr>
          <w:rFonts w:ascii="Times New Roman" w:eastAsia="SimSun" w:hAnsi="Times New Roman"/>
          <w:color w:val="222222"/>
          <w:sz w:val="24"/>
          <w:szCs w:val="24"/>
          <w:shd w:val="clear" w:color="auto" w:fill="FFFFFF"/>
        </w:rPr>
        <w:t xml:space="preserve">- </w:t>
      </w:r>
      <w:proofErr w:type="spellStart"/>
      <w:r>
        <w:rPr>
          <w:rFonts w:ascii="Times New Roman" w:eastAsia="SimSun" w:hAnsi="Times New Roman"/>
          <w:color w:val="222222"/>
          <w:sz w:val="24"/>
          <w:szCs w:val="24"/>
          <w:shd w:val="clear" w:color="auto" w:fill="FFFFFF"/>
        </w:rPr>
        <w:t>Resectable</w:t>
      </w:r>
      <w:proofErr w:type="spellEnd"/>
      <w:r>
        <w:rPr>
          <w:rFonts w:ascii="Times New Roman" w:eastAsia="SimSun" w:hAnsi="Times New Roman"/>
          <w:color w:val="222222"/>
          <w:sz w:val="24"/>
          <w:szCs w:val="24"/>
          <w:shd w:val="clear" w:color="auto" w:fill="FFFFFF"/>
        </w:rPr>
        <w:t xml:space="preserve"> EGFR‑mutant disease: surgical resection followed by adjuvant </w:t>
      </w:r>
      <w:proofErr w:type="spellStart"/>
      <w:r>
        <w:rPr>
          <w:rFonts w:ascii="Times New Roman" w:eastAsia="SimSun" w:hAnsi="Times New Roman"/>
          <w:color w:val="222222"/>
          <w:sz w:val="24"/>
          <w:szCs w:val="24"/>
          <w:shd w:val="clear" w:color="auto" w:fill="FFFFFF"/>
        </w:rPr>
        <w:t>osimertinib</w:t>
      </w:r>
      <w:proofErr w:type="spellEnd"/>
      <w:r>
        <w:rPr>
          <w:rFonts w:ascii="Times New Roman" w:eastAsia="SimSun" w:hAnsi="Times New Roman"/>
          <w:color w:val="222222"/>
          <w:sz w:val="24"/>
          <w:szCs w:val="24"/>
          <w:shd w:val="clear" w:color="auto" w:fill="FFFFFF"/>
        </w:rPr>
        <w:t xml:space="preserve"> [16</w:t>
      </w:r>
      <w:r>
        <w:rPr>
          <w:rFonts w:ascii="Times New Roman" w:eastAsia="SimSun" w:hAnsi="Times New Roman"/>
          <w:color w:val="222222"/>
          <w:sz w:val="24"/>
          <w:szCs w:val="24"/>
          <w:shd w:val="clear" w:color="auto" w:fill="FFFFFF"/>
          <w:lang w:val="ru-RU"/>
        </w:rPr>
        <w:t>-</w:t>
      </w:r>
      <w:r>
        <w:rPr>
          <w:rFonts w:ascii="Times New Roman" w:eastAsia="SimSun" w:hAnsi="Times New Roman"/>
          <w:color w:val="222222"/>
          <w:sz w:val="24"/>
          <w:szCs w:val="24"/>
          <w:shd w:val="clear" w:color="auto" w:fill="FFFFFF"/>
        </w:rPr>
        <w:t>18].</w:t>
      </w:r>
    </w:p>
    <w:p w14:paraId="6D398C85" w14:textId="77777777" w:rsidR="0010000F" w:rsidRDefault="0010000F" w:rsidP="0010000F">
      <w:pPr>
        <w:ind w:firstLine="708"/>
        <w:jc w:val="both"/>
        <w:rPr>
          <w:rFonts w:ascii="Times New Roman" w:eastAsia="SimSun" w:hAnsi="Times New Roman"/>
          <w:color w:val="222222"/>
          <w:sz w:val="24"/>
          <w:szCs w:val="24"/>
          <w:shd w:val="clear" w:color="auto" w:fill="FFFFFF"/>
        </w:rPr>
      </w:pPr>
      <w:r>
        <w:rPr>
          <w:rFonts w:ascii="Times New Roman" w:eastAsia="SimSun" w:hAnsi="Times New Roman"/>
          <w:color w:val="222222"/>
          <w:sz w:val="24"/>
          <w:szCs w:val="24"/>
          <w:shd w:val="clear" w:color="auto" w:fill="FFFFFF"/>
        </w:rPr>
        <w:t xml:space="preserve">- Metastatic </w:t>
      </w:r>
      <w:proofErr w:type="spellStart"/>
      <w:r>
        <w:rPr>
          <w:rFonts w:ascii="Times New Roman" w:eastAsia="SimSun" w:hAnsi="Times New Roman"/>
          <w:color w:val="222222"/>
          <w:sz w:val="24"/>
          <w:szCs w:val="24"/>
          <w:shd w:val="clear" w:color="auto" w:fill="FFFFFF"/>
        </w:rPr>
        <w:t>nonsquamous</w:t>
      </w:r>
      <w:proofErr w:type="spellEnd"/>
      <w:r>
        <w:rPr>
          <w:rFonts w:ascii="Times New Roman" w:eastAsia="SimSun" w:hAnsi="Times New Roman"/>
          <w:color w:val="222222"/>
          <w:sz w:val="24"/>
          <w:szCs w:val="24"/>
          <w:shd w:val="clear" w:color="auto" w:fill="FFFFFF"/>
        </w:rPr>
        <w:t xml:space="preserve"> NSCLC: platinum</w:t>
      </w:r>
      <w:r>
        <w:rPr>
          <w:rFonts w:ascii="Times New Roman" w:eastAsia="SimSun" w:hAnsi="Times New Roman"/>
          <w:color w:val="222222"/>
          <w:sz w:val="24"/>
          <w:szCs w:val="24"/>
          <w:shd w:val="clear" w:color="auto" w:fill="FFFFFF"/>
          <w:lang w:val="ru-RU"/>
        </w:rPr>
        <w:t>-</w:t>
      </w:r>
      <w:r>
        <w:rPr>
          <w:rFonts w:ascii="Times New Roman" w:eastAsia="SimSun" w:hAnsi="Times New Roman"/>
          <w:color w:val="222222"/>
          <w:sz w:val="24"/>
          <w:szCs w:val="24"/>
          <w:shd w:val="clear" w:color="auto" w:fill="FFFFFF"/>
        </w:rPr>
        <w:t>pemetrexed plus pembrolizumab as first‑line standard [3].</w:t>
      </w:r>
    </w:p>
    <w:p w14:paraId="53D0A979" w14:textId="77777777" w:rsidR="0010000F" w:rsidRDefault="0010000F" w:rsidP="0010000F">
      <w:pPr>
        <w:ind w:firstLine="708"/>
        <w:jc w:val="both"/>
        <w:rPr>
          <w:rFonts w:ascii="Times New Roman" w:eastAsia="SimSun" w:hAnsi="Times New Roman"/>
          <w:color w:val="222222"/>
          <w:sz w:val="24"/>
          <w:szCs w:val="24"/>
          <w:shd w:val="clear" w:color="auto" w:fill="FFFFFF"/>
        </w:rPr>
      </w:pPr>
      <w:r>
        <w:rPr>
          <w:rFonts w:ascii="Times New Roman" w:eastAsia="SimSun" w:hAnsi="Times New Roman"/>
          <w:color w:val="222222"/>
          <w:sz w:val="24"/>
          <w:szCs w:val="24"/>
          <w:shd w:val="clear" w:color="auto" w:fill="FFFFFF"/>
        </w:rPr>
        <w:t>- Squamous NSCLC: platinum</w:t>
      </w:r>
      <w:r>
        <w:rPr>
          <w:rFonts w:ascii="Times New Roman" w:eastAsia="SimSun" w:hAnsi="Times New Roman"/>
          <w:color w:val="222222"/>
          <w:sz w:val="24"/>
          <w:szCs w:val="24"/>
          <w:shd w:val="clear" w:color="auto" w:fill="FFFFFF"/>
          <w:lang w:val="ru-RU"/>
        </w:rPr>
        <w:t>-</w:t>
      </w:r>
      <w:r>
        <w:rPr>
          <w:rFonts w:ascii="Times New Roman" w:eastAsia="SimSun" w:hAnsi="Times New Roman"/>
          <w:color w:val="222222"/>
          <w:sz w:val="24"/>
          <w:szCs w:val="24"/>
          <w:shd w:val="clear" w:color="auto" w:fill="FFFFFF"/>
        </w:rPr>
        <w:t>paclitaxel plus pembrolizumab in the first‑line setting [4].</w:t>
      </w:r>
    </w:p>
    <w:p w14:paraId="07027B2D" w14:textId="77777777" w:rsidR="0010000F" w:rsidRDefault="0010000F" w:rsidP="0010000F">
      <w:pPr>
        <w:ind w:firstLine="708"/>
        <w:jc w:val="both"/>
        <w:rPr>
          <w:rFonts w:ascii="Times New Roman" w:eastAsia="SimSun" w:hAnsi="Times New Roman"/>
          <w:color w:val="222222"/>
          <w:sz w:val="24"/>
          <w:szCs w:val="24"/>
          <w:shd w:val="clear" w:color="auto" w:fill="FFFFFF"/>
        </w:rPr>
      </w:pPr>
      <w:r>
        <w:rPr>
          <w:rFonts w:ascii="Times New Roman" w:eastAsia="SimSun" w:hAnsi="Times New Roman"/>
          <w:color w:val="222222"/>
          <w:sz w:val="24"/>
          <w:szCs w:val="24"/>
          <w:shd w:val="clear" w:color="auto" w:fill="FFFFFF"/>
        </w:rPr>
        <w:t>- Biomarker‑agnostic systemic NSCLC: atezolizumab + bevacizumab + chemotherapy [5].</w:t>
      </w:r>
    </w:p>
    <w:p w14:paraId="053C1643" w14:textId="77777777" w:rsidR="0010000F" w:rsidRDefault="0010000F" w:rsidP="0010000F">
      <w:pPr>
        <w:numPr>
          <w:ilvl w:val="0"/>
          <w:numId w:val="1"/>
        </w:numPr>
        <w:jc w:val="both"/>
        <w:rPr>
          <w:rFonts w:ascii="Times New Roman" w:eastAsia="SimSun" w:hAnsi="Times New Roman"/>
          <w:i/>
          <w:iCs/>
          <w:color w:val="222222"/>
          <w:sz w:val="24"/>
          <w:szCs w:val="24"/>
          <w:shd w:val="clear" w:color="auto" w:fill="FFFFFF"/>
        </w:rPr>
      </w:pPr>
      <w:r>
        <w:rPr>
          <w:rFonts w:ascii="Times New Roman" w:eastAsia="SimSun" w:hAnsi="Times New Roman"/>
          <w:i/>
          <w:iCs/>
          <w:color w:val="222222"/>
          <w:sz w:val="24"/>
          <w:szCs w:val="24"/>
          <w:shd w:val="clear" w:color="auto" w:fill="FFFFFF"/>
        </w:rPr>
        <w:t xml:space="preserve"> Melanoma</w:t>
      </w:r>
    </w:p>
    <w:p w14:paraId="6D2EC28F" w14:textId="77777777" w:rsidR="0010000F" w:rsidRDefault="0010000F" w:rsidP="0010000F">
      <w:pPr>
        <w:ind w:firstLine="708"/>
        <w:jc w:val="both"/>
        <w:rPr>
          <w:rFonts w:ascii="Times New Roman" w:eastAsia="SimSun" w:hAnsi="Times New Roman"/>
          <w:color w:val="222222"/>
          <w:sz w:val="24"/>
          <w:szCs w:val="24"/>
          <w:shd w:val="clear" w:color="auto" w:fill="FFFFFF"/>
        </w:rPr>
      </w:pPr>
      <w:r>
        <w:rPr>
          <w:rFonts w:ascii="Times New Roman" w:eastAsia="SimSun" w:hAnsi="Times New Roman"/>
          <w:color w:val="222222"/>
          <w:sz w:val="24"/>
          <w:szCs w:val="24"/>
          <w:shd w:val="clear" w:color="auto" w:fill="FFFFFF"/>
        </w:rPr>
        <w:t>- First‑line nivolumab plus ipilimumab combination [6].</w:t>
      </w:r>
    </w:p>
    <w:p w14:paraId="35EAC6F6" w14:textId="77777777" w:rsidR="0010000F" w:rsidRDefault="0010000F" w:rsidP="0010000F">
      <w:pPr>
        <w:numPr>
          <w:ilvl w:val="0"/>
          <w:numId w:val="1"/>
        </w:numPr>
        <w:jc w:val="both"/>
        <w:rPr>
          <w:rFonts w:ascii="Times New Roman" w:eastAsia="SimSun" w:hAnsi="Times New Roman"/>
          <w:i/>
          <w:iCs/>
          <w:color w:val="222222"/>
          <w:sz w:val="24"/>
          <w:szCs w:val="24"/>
          <w:shd w:val="clear" w:color="auto" w:fill="FFFFFF"/>
        </w:rPr>
      </w:pPr>
      <w:r>
        <w:rPr>
          <w:rFonts w:ascii="Times New Roman" w:eastAsia="SimSun" w:hAnsi="Times New Roman"/>
          <w:i/>
          <w:iCs/>
          <w:color w:val="222222"/>
          <w:sz w:val="24"/>
          <w:szCs w:val="24"/>
          <w:shd w:val="clear" w:color="auto" w:fill="FFFFFF"/>
        </w:rPr>
        <w:t>- Triple‑negative breast cancer (TNBC)</w:t>
      </w:r>
    </w:p>
    <w:p w14:paraId="0ADF8B22" w14:textId="77777777" w:rsidR="0010000F" w:rsidRDefault="0010000F" w:rsidP="0010000F">
      <w:pPr>
        <w:ind w:firstLine="708"/>
        <w:jc w:val="both"/>
        <w:rPr>
          <w:rFonts w:ascii="Times New Roman" w:eastAsia="SimSun" w:hAnsi="Times New Roman"/>
          <w:color w:val="222222"/>
          <w:sz w:val="24"/>
          <w:szCs w:val="24"/>
          <w:shd w:val="clear" w:color="auto" w:fill="FFFFFF"/>
        </w:rPr>
      </w:pPr>
      <w:r>
        <w:rPr>
          <w:rFonts w:ascii="Times New Roman" w:eastAsia="SimSun" w:hAnsi="Times New Roman"/>
          <w:color w:val="222222"/>
          <w:sz w:val="24"/>
          <w:szCs w:val="24"/>
          <w:shd w:val="clear" w:color="auto" w:fill="FFFFFF"/>
        </w:rPr>
        <w:t>- Early stage: neoadjuvant pembrolizumab plus chemotherapy [47</w:t>
      </w:r>
      <w:r>
        <w:rPr>
          <w:rFonts w:ascii="Times New Roman" w:eastAsia="SimSun" w:hAnsi="Times New Roman"/>
          <w:color w:val="222222"/>
          <w:sz w:val="24"/>
          <w:szCs w:val="24"/>
          <w:shd w:val="clear" w:color="auto" w:fill="FFFFFF"/>
          <w:lang w:val="ru-RU"/>
        </w:rPr>
        <w:t>-</w:t>
      </w:r>
      <w:r>
        <w:rPr>
          <w:rFonts w:ascii="Times New Roman" w:eastAsia="SimSun" w:hAnsi="Times New Roman"/>
          <w:color w:val="222222"/>
          <w:sz w:val="24"/>
          <w:szCs w:val="24"/>
          <w:shd w:val="clear" w:color="auto" w:fill="FFFFFF"/>
        </w:rPr>
        <w:t>48].</w:t>
      </w:r>
    </w:p>
    <w:p w14:paraId="3CE960EF" w14:textId="77777777" w:rsidR="0010000F" w:rsidRDefault="0010000F" w:rsidP="0010000F">
      <w:pPr>
        <w:numPr>
          <w:ilvl w:val="0"/>
          <w:numId w:val="1"/>
        </w:numPr>
        <w:jc w:val="both"/>
        <w:rPr>
          <w:rFonts w:ascii="Times New Roman" w:eastAsia="SimSun" w:hAnsi="Times New Roman"/>
          <w:i/>
          <w:iCs/>
          <w:color w:val="222222"/>
          <w:sz w:val="24"/>
          <w:szCs w:val="24"/>
          <w:shd w:val="clear" w:color="auto" w:fill="FFFFFF"/>
        </w:rPr>
      </w:pPr>
      <w:r>
        <w:rPr>
          <w:rFonts w:ascii="Times New Roman" w:eastAsia="SimSun" w:hAnsi="Times New Roman"/>
          <w:i/>
          <w:iCs/>
          <w:color w:val="222222"/>
          <w:sz w:val="24"/>
          <w:szCs w:val="24"/>
          <w:shd w:val="clear" w:color="auto" w:fill="FFFFFF"/>
        </w:rPr>
        <w:t xml:space="preserve"> HER2‑positive breast cancer</w:t>
      </w:r>
    </w:p>
    <w:p w14:paraId="60387289" w14:textId="77777777" w:rsidR="0010000F" w:rsidRDefault="0010000F" w:rsidP="0010000F">
      <w:pPr>
        <w:ind w:firstLine="708"/>
        <w:jc w:val="both"/>
        <w:rPr>
          <w:rFonts w:ascii="Times New Roman" w:eastAsia="SimSun" w:hAnsi="Times New Roman"/>
          <w:color w:val="222222"/>
          <w:sz w:val="24"/>
          <w:szCs w:val="24"/>
          <w:shd w:val="clear" w:color="auto" w:fill="FFFFFF"/>
        </w:rPr>
      </w:pPr>
      <w:r>
        <w:rPr>
          <w:rFonts w:ascii="Times New Roman" w:eastAsia="SimSun" w:hAnsi="Times New Roman"/>
          <w:color w:val="222222"/>
          <w:sz w:val="24"/>
          <w:szCs w:val="24"/>
          <w:shd w:val="clear" w:color="auto" w:fill="FFFFFF"/>
        </w:rPr>
        <w:t>- Sequential strategy: trastuzumab + pertuzumab + docetaxel → T‑DM1 → trastuzumab deruxtecan (T‑</w:t>
      </w:r>
      <w:proofErr w:type="spellStart"/>
      <w:r>
        <w:rPr>
          <w:rFonts w:ascii="Times New Roman" w:eastAsia="SimSun" w:hAnsi="Times New Roman"/>
          <w:color w:val="222222"/>
          <w:sz w:val="24"/>
          <w:szCs w:val="24"/>
          <w:shd w:val="clear" w:color="auto" w:fill="FFFFFF"/>
        </w:rPr>
        <w:t>DXd</w:t>
      </w:r>
      <w:proofErr w:type="spellEnd"/>
      <w:r>
        <w:rPr>
          <w:rFonts w:ascii="Times New Roman" w:eastAsia="SimSun" w:hAnsi="Times New Roman"/>
          <w:color w:val="222222"/>
          <w:sz w:val="24"/>
          <w:szCs w:val="24"/>
          <w:shd w:val="clear" w:color="auto" w:fill="FFFFFF"/>
        </w:rPr>
        <w:t>) [12</w:t>
      </w:r>
      <w:r>
        <w:rPr>
          <w:rFonts w:ascii="Times New Roman" w:eastAsia="SimSun" w:hAnsi="Times New Roman"/>
          <w:color w:val="222222"/>
          <w:sz w:val="24"/>
          <w:szCs w:val="24"/>
          <w:shd w:val="clear" w:color="auto" w:fill="FFFFFF"/>
          <w:lang w:val="ru-RU"/>
        </w:rPr>
        <w:t>-</w:t>
      </w:r>
      <w:r>
        <w:rPr>
          <w:rFonts w:ascii="Times New Roman" w:eastAsia="SimSun" w:hAnsi="Times New Roman"/>
          <w:color w:val="222222"/>
          <w:sz w:val="24"/>
          <w:szCs w:val="24"/>
          <w:shd w:val="clear" w:color="auto" w:fill="FFFFFF"/>
        </w:rPr>
        <w:t>13,39</w:t>
      </w:r>
      <w:r>
        <w:rPr>
          <w:rFonts w:ascii="Times New Roman" w:eastAsia="SimSun" w:hAnsi="Times New Roman"/>
          <w:color w:val="222222"/>
          <w:sz w:val="24"/>
          <w:szCs w:val="24"/>
          <w:shd w:val="clear" w:color="auto" w:fill="FFFFFF"/>
          <w:lang w:val="ru-RU"/>
        </w:rPr>
        <w:t>-</w:t>
      </w:r>
      <w:r>
        <w:rPr>
          <w:rFonts w:ascii="Times New Roman" w:eastAsia="SimSun" w:hAnsi="Times New Roman"/>
          <w:color w:val="222222"/>
          <w:sz w:val="24"/>
          <w:szCs w:val="24"/>
          <w:shd w:val="clear" w:color="auto" w:fill="FFFFFF"/>
        </w:rPr>
        <w:t>41].</w:t>
      </w:r>
    </w:p>
    <w:p w14:paraId="708ED712" w14:textId="77777777" w:rsidR="0010000F" w:rsidRDefault="0010000F" w:rsidP="0010000F">
      <w:pPr>
        <w:numPr>
          <w:ilvl w:val="0"/>
          <w:numId w:val="1"/>
        </w:numPr>
        <w:jc w:val="both"/>
        <w:rPr>
          <w:rFonts w:ascii="Times New Roman" w:eastAsia="SimSun" w:hAnsi="Times New Roman"/>
          <w:i/>
          <w:iCs/>
          <w:color w:val="222222"/>
          <w:sz w:val="24"/>
          <w:szCs w:val="24"/>
          <w:shd w:val="clear" w:color="auto" w:fill="FFFFFF"/>
        </w:rPr>
      </w:pPr>
      <w:r>
        <w:rPr>
          <w:rFonts w:ascii="Times New Roman" w:eastAsia="SimSun" w:hAnsi="Times New Roman"/>
          <w:i/>
          <w:iCs/>
          <w:color w:val="222222"/>
          <w:sz w:val="24"/>
          <w:szCs w:val="24"/>
          <w:shd w:val="clear" w:color="auto" w:fill="FFFFFF"/>
        </w:rPr>
        <w:t>Metastatic colorectal cancer (mCRC)</w:t>
      </w:r>
    </w:p>
    <w:p w14:paraId="32DDBD8F" w14:textId="77777777" w:rsidR="0010000F" w:rsidRDefault="0010000F" w:rsidP="0010000F">
      <w:pPr>
        <w:ind w:firstLine="708"/>
        <w:jc w:val="both"/>
        <w:rPr>
          <w:rFonts w:ascii="Times New Roman" w:eastAsia="SimSun" w:hAnsi="Times New Roman"/>
          <w:color w:val="222222"/>
          <w:sz w:val="24"/>
          <w:szCs w:val="24"/>
          <w:shd w:val="clear" w:color="auto" w:fill="FFFFFF"/>
        </w:rPr>
      </w:pPr>
      <w:r>
        <w:rPr>
          <w:rFonts w:ascii="Times New Roman" w:eastAsia="SimSun" w:hAnsi="Times New Roman"/>
          <w:color w:val="222222"/>
          <w:sz w:val="24"/>
          <w:szCs w:val="24"/>
          <w:shd w:val="clear" w:color="auto" w:fill="FFFFFF"/>
        </w:rPr>
        <w:t xml:space="preserve">- FOLFOX or FOLFIRI plus bevacizumab, or cetuximab in KRAS/NRAS wild‑type </w:t>
      </w:r>
      <w:proofErr w:type="spellStart"/>
      <w:r>
        <w:rPr>
          <w:rFonts w:ascii="Times New Roman" w:eastAsia="SimSun" w:hAnsi="Times New Roman"/>
          <w:color w:val="222222"/>
          <w:sz w:val="24"/>
          <w:szCs w:val="24"/>
          <w:shd w:val="clear" w:color="auto" w:fill="FFFFFF"/>
        </w:rPr>
        <w:t>tumours</w:t>
      </w:r>
      <w:proofErr w:type="spellEnd"/>
      <w:r>
        <w:rPr>
          <w:rFonts w:ascii="Times New Roman" w:eastAsia="SimSun" w:hAnsi="Times New Roman"/>
          <w:color w:val="222222"/>
          <w:sz w:val="24"/>
          <w:szCs w:val="24"/>
          <w:shd w:val="clear" w:color="auto" w:fill="FFFFFF"/>
        </w:rPr>
        <w:t xml:space="preserve"> with </w:t>
      </w:r>
      <w:r>
        <w:rPr>
          <w:rFonts w:ascii="Times New Roman" w:eastAsia="SimSun" w:hAnsi="Times New Roman"/>
          <w:color w:val="222222"/>
          <w:sz w:val="24"/>
          <w:szCs w:val="24"/>
          <w:shd w:val="clear" w:color="auto" w:fill="FFFFFF"/>
        </w:rPr>
        <w:tab/>
        <w:t>sidedness consideration [31].</w:t>
      </w:r>
    </w:p>
    <w:p w14:paraId="7FBDDFB3" w14:textId="77777777" w:rsidR="0010000F" w:rsidRDefault="0010000F" w:rsidP="0010000F">
      <w:pPr>
        <w:numPr>
          <w:ilvl w:val="0"/>
          <w:numId w:val="1"/>
        </w:numPr>
        <w:jc w:val="both"/>
        <w:rPr>
          <w:rFonts w:ascii="Times New Roman" w:eastAsia="SimSun" w:hAnsi="Times New Roman"/>
          <w:i/>
          <w:iCs/>
          <w:color w:val="222222"/>
          <w:sz w:val="24"/>
          <w:szCs w:val="24"/>
          <w:shd w:val="clear" w:color="auto" w:fill="FFFFFF"/>
        </w:rPr>
      </w:pPr>
      <w:r>
        <w:rPr>
          <w:rFonts w:ascii="Times New Roman" w:eastAsia="SimSun" w:hAnsi="Times New Roman"/>
          <w:i/>
          <w:iCs/>
          <w:color w:val="222222"/>
          <w:sz w:val="24"/>
          <w:szCs w:val="24"/>
          <w:shd w:val="clear" w:color="auto" w:fill="FFFFFF"/>
        </w:rPr>
        <w:t>Diffuse large B‑cell lymphoma (DLBCL)</w:t>
      </w:r>
    </w:p>
    <w:p w14:paraId="323BE48B" w14:textId="77777777" w:rsidR="0010000F" w:rsidRDefault="0010000F" w:rsidP="0010000F">
      <w:pPr>
        <w:ind w:firstLine="708"/>
        <w:jc w:val="both"/>
        <w:rPr>
          <w:rFonts w:ascii="Times New Roman" w:eastAsia="SimSun" w:hAnsi="Times New Roman"/>
          <w:color w:val="222222"/>
          <w:sz w:val="24"/>
          <w:szCs w:val="24"/>
          <w:shd w:val="clear" w:color="auto" w:fill="FFFFFF"/>
        </w:rPr>
      </w:pPr>
      <w:r>
        <w:rPr>
          <w:rFonts w:ascii="Times New Roman" w:eastAsia="SimSun" w:hAnsi="Times New Roman"/>
          <w:color w:val="222222"/>
          <w:sz w:val="24"/>
          <w:szCs w:val="24"/>
          <w:shd w:val="clear" w:color="auto" w:fill="FFFFFF"/>
        </w:rPr>
        <w:t xml:space="preserve">- Refractory disease: </w:t>
      </w:r>
      <w:proofErr w:type="spellStart"/>
      <w:r>
        <w:rPr>
          <w:rFonts w:ascii="Times New Roman" w:eastAsia="SimSun" w:hAnsi="Times New Roman"/>
          <w:color w:val="222222"/>
          <w:sz w:val="24"/>
          <w:szCs w:val="24"/>
          <w:shd w:val="clear" w:color="auto" w:fill="FFFFFF"/>
        </w:rPr>
        <w:t>axi</w:t>
      </w:r>
      <w:proofErr w:type="spellEnd"/>
      <w:r>
        <w:rPr>
          <w:rFonts w:ascii="Times New Roman" w:eastAsia="SimSun" w:hAnsi="Times New Roman"/>
          <w:color w:val="222222"/>
          <w:sz w:val="24"/>
          <w:szCs w:val="24"/>
          <w:shd w:val="clear" w:color="auto" w:fill="FFFFFF"/>
        </w:rPr>
        <w:t>‑cel (ZUMA‑1 trial) [49].</w:t>
      </w:r>
    </w:p>
    <w:p w14:paraId="3EBB6E8E" w14:textId="77777777" w:rsidR="0010000F" w:rsidRDefault="0010000F" w:rsidP="0010000F">
      <w:pPr>
        <w:numPr>
          <w:ilvl w:val="0"/>
          <w:numId w:val="1"/>
        </w:numPr>
        <w:jc w:val="both"/>
        <w:rPr>
          <w:rFonts w:ascii="Times New Roman" w:eastAsia="SimSun" w:hAnsi="Times New Roman"/>
          <w:i/>
          <w:iCs/>
          <w:color w:val="222222"/>
          <w:sz w:val="24"/>
          <w:szCs w:val="24"/>
          <w:shd w:val="clear" w:color="auto" w:fill="FFFFFF"/>
        </w:rPr>
      </w:pPr>
      <w:r>
        <w:rPr>
          <w:rFonts w:ascii="Times New Roman" w:eastAsia="SimSun" w:hAnsi="Times New Roman"/>
          <w:i/>
          <w:iCs/>
          <w:color w:val="222222"/>
          <w:sz w:val="24"/>
          <w:szCs w:val="24"/>
          <w:shd w:val="clear" w:color="auto" w:fill="FFFFFF"/>
        </w:rPr>
        <w:t>Pancreatic ductal adenocarcinoma (PDAC)</w:t>
      </w:r>
    </w:p>
    <w:p w14:paraId="378D110F" w14:textId="77777777" w:rsidR="0010000F" w:rsidRDefault="0010000F" w:rsidP="0010000F">
      <w:pPr>
        <w:ind w:firstLine="708"/>
        <w:jc w:val="both"/>
        <w:rPr>
          <w:rFonts w:ascii="Times New Roman" w:eastAsia="SimSun" w:hAnsi="Times New Roman"/>
          <w:color w:val="222222"/>
          <w:sz w:val="24"/>
          <w:szCs w:val="24"/>
          <w:shd w:val="clear" w:color="auto" w:fill="FFFFFF"/>
        </w:rPr>
      </w:pPr>
      <w:r>
        <w:rPr>
          <w:rFonts w:ascii="Times New Roman" w:eastAsia="SimSun" w:hAnsi="Times New Roman"/>
          <w:color w:val="222222"/>
          <w:sz w:val="24"/>
          <w:szCs w:val="24"/>
          <w:shd w:val="clear" w:color="auto" w:fill="FFFFFF"/>
        </w:rPr>
        <w:t>- Metastatic: FOLFIRINOX vs gemcitabine [28,32].</w:t>
      </w:r>
    </w:p>
    <w:p w14:paraId="39D42D43" w14:textId="77777777" w:rsidR="0010000F" w:rsidRDefault="0010000F" w:rsidP="0010000F">
      <w:pPr>
        <w:ind w:firstLine="708"/>
        <w:jc w:val="both"/>
        <w:rPr>
          <w:rFonts w:ascii="Times New Roman" w:eastAsia="SimSun" w:hAnsi="Times New Roman"/>
          <w:color w:val="222222"/>
          <w:sz w:val="24"/>
          <w:szCs w:val="24"/>
          <w:shd w:val="clear" w:color="auto" w:fill="FFFFFF"/>
        </w:rPr>
      </w:pPr>
      <w:r>
        <w:rPr>
          <w:rFonts w:ascii="Times New Roman" w:eastAsia="SimSun" w:hAnsi="Times New Roman"/>
          <w:color w:val="222222"/>
          <w:sz w:val="24"/>
          <w:szCs w:val="24"/>
          <w:shd w:val="clear" w:color="auto" w:fill="FFFFFF"/>
        </w:rPr>
        <w:t>- Adjuvant: PRODIGE‑24 regimen [30].</w:t>
      </w:r>
    </w:p>
    <w:p w14:paraId="1BD941C1" w14:textId="77777777" w:rsidR="0010000F" w:rsidRDefault="0010000F" w:rsidP="0010000F">
      <w:pPr>
        <w:jc w:val="both"/>
        <w:rPr>
          <w:rFonts w:ascii="Times New Roman" w:eastAsia="SimSun" w:hAnsi="Times New Roman" w:cs="Times New Roman"/>
          <w:b/>
          <w:bCs/>
          <w:color w:val="222222"/>
          <w:sz w:val="24"/>
          <w:szCs w:val="24"/>
          <w:shd w:val="clear" w:color="auto" w:fill="FFFFFF"/>
        </w:rPr>
      </w:pPr>
    </w:p>
    <w:p w14:paraId="78BC377E" w14:textId="77777777" w:rsidR="0010000F" w:rsidRDefault="0010000F" w:rsidP="0010000F">
      <w:pPr>
        <w:jc w:val="both"/>
        <w:rPr>
          <w:rFonts w:ascii="Times New Roman" w:eastAsia="SimSun" w:hAnsi="Times New Roman"/>
          <w:color w:val="222222"/>
          <w:sz w:val="24"/>
          <w:szCs w:val="24"/>
          <w:shd w:val="clear" w:color="auto" w:fill="FFFFFF"/>
        </w:rPr>
      </w:pPr>
      <w:r>
        <w:rPr>
          <w:rFonts w:ascii="Times New Roman" w:eastAsia="SimSun" w:hAnsi="Times New Roman"/>
          <w:color w:val="222222"/>
          <w:sz w:val="24"/>
          <w:szCs w:val="24"/>
          <w:shd w:val="clear" w:color="auto" w:fill="FFFFFF"/>
        </w:rPr>
        <w:t>The examples show how treatment ideas are used daily when caring for different cancers. They point out how important choosing treatments based on biomarkers is, how helpful smart drug combinations and treatment sequences can be, and how vital it is to change treatments slowly as resistance develops. As a whole, they show how local and systemic treatments are coming together. They also show how using molecular testing and focusing on what matters to patients are key parts of cancer care today.</w:t>
      </w:r>
    </w:p>
    <w:p w14:paraId="67A9C752" w14:textId="77777777" w:rsidR="0010000F" w:rsidRDefault="0010000F" w:rsidP="0010000F">
      <w:pPr>
        <w:jc w:val="both"/>
        <w:rPr>
          <w:rFonts w:ascii="Times New Roman" w:eastAsia="SimSun" w:hAnsi="Times New Roman" w:cs="Times New Roman"/>
          <w:b/>
          <w:bCs/>
          <w:color w:val="222222"/>
          <w:sz w:val="24"/>
          <w:szCs w:val="24"/>
          <w:shd w:val="clear" w:color="auto" w:fill="FFFFFF"/>
        </w:rPr>
      </w:pPr>
    </w:p>
    <w:p w14:paraId="77507A04" w14:textId="77777777" w:rsidR="0010000F" w:rsidRDefault="0010000F" w:rsidP="0010000F">
      <w:pPr>
        <w:jc w:val="both"/>
        <w:rPr>
          <w:rFonts w:ascii="Times New Roman" w:eastAsia="SimSun" w:hAnsi="Times New Roman" w:cs="Times New Roman"/>
          <w:b/>
          <w:bCs/>
          <w:color w:val="222222"/>
          <w:sz w:val="24"/>
          <w:szCs w:val="24"/>
          <w:shd w:val="clear" w:color="auto" w:fill="FFFFFF"/>
        </w:rPr>
      </w:pPr>
    </w:p>
    <w:p w14:paraId="6942FC1A" w14:textId="77777777" w:rsidR="008B07A6" w:rsidRDefault="008B07A6"/>
    <w:sectPr w:rsidR="008B0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D19E52D"/>
    <w:multiLevelType w:val="singleLevel"/>
    <w:tmpl w:val="ED19E52D"/>
    <w:lvl w:ilvl="0">
      <w:start w:val="1"/>
      <w:numFmt w:val="decimal"/>
      <w:lvlText w:val="%1."/>
      <w:lvlJc w:val="left"/>
      <w:pPr>
        <w:tabs>
          <w:tab w:val="left" w:pos="425"/>
        </w:tabs>
        <w:ind w:left="425" w:hanging="425"/>
      </w:pPr>
      <w:rPr>
        <w:rFonts w:hint="default"/>
        <w:b/>
        <w:bCs/>
      </w:rPr>
    </w:lvl>
  </w:abstractNum>
  <w:num w:numId="1" w16cid:durableId="2653151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000F"/>
    <w:rsid w:val="00066677"/>
    <w:rsid w:val="000F230D"/>
    <w:rsid w:val="0010000F"/>
    <w:rsid w:val="003A4E89"/>
    <w:rsid w:val="00556784"/>
    <w:rsid w:val="008B07A6"/>
    <w:rsid w:val="00987B63"/>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2AFCE1"/>
  <w15:chartTrackingRefBased/>
  <w15:docId w15:val="{1CB722D5-3243-4632-A8D3-4C8B27EDC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000F"/>
    <w:pPr>
      <w:spacing w:after="0" w:line="240" w:lineRule="auto"/>
    </w:pPr>
    <w:rPr>
      <w:rFonts w:eastAsiaTheme="minorEastAsia"/>
      <w:kern w:val="0"/>
      <w:sz w:val="20"/>
      <w:szCs w:val="20"/>
      <w:lang w:eastAsia="zh-CN"/>
      <w14:ligatures w14:val="none"/>
    </w:rPr>
  </w:style>
  <w:style w:type="paragraph" w:styleId="Heading1">
    <w:name w:val="heading 1"/>
    <w:basedOn w:val="Normal"/>
    <w:next w:val="Normal"/>
    <w:link w:val="Heading1Char"/>
    <w:uiPriority w:val="9"/>
    <w:qFormat/>
    <w:rsid w:val="001000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1000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0000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0000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0000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0000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000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000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000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00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000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000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00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00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00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00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00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000F"/>
    <w:rPr>
      <w:rFonts w:eastAsiaTheme="majorEastAsia" w:cstheme="majorBidi"/>
      <w:color w:val="272727" w:themeColor="text1" w:themeTint="D8"/>
    </w:rPr>
  </w:style>
  <w:style w:type="paragraph" w:styleId="Title">
    <w:name w:val="Title"/>
    <w:basedOn w:val="Normal"/>
    <w:next w:val="Normal"/>
    <w:link w:val="TitleChar"/>
    <w:uiPriority w:val="10"/>
    <w:qFormat/>
    <w:rsid w:val="0010000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00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000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00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000F"/>
    <w:pPr>
      <w:spacing w:before="160"/>
      <w:jc w:val="center"/>
    </w:pPr>
    <w:rPr>
      <w:i/>
      <w:iCs/>
      <w:color w:val="404040" w:themeColor="text1" w:themeTint="BF"/>
    </w:rPr>
  </w:style>
  <w:style w:type="character" w:customStyle="1" w:styleId="QuoteChar">
    <w:name w:val="Quote Char"/>
    <w:basedOn w:val="DefaultParagraphFont"/>
    <w:link w:val="Quote"/>
    <w:uiPriority w:val="29"/>
    <w:rsid w:val="0010000F"/>
    <w:rPr>
      <w:i/>
      <w:iCs/>
      <w:color w:val="404040" w:themeColor="text1" w:themeTint="BF"/>
    </w:rPr>
  </w:style>
  <w:style w:type="paragraph" w:styleId="ListParagraph">
    <w:name w:val="List Paragraph"/>
    <w:basedOn w:val="Normal"/>
    <w:uiPriority w:val="34"/>
    <w:qFormat/>
    <w:rsid w:val="0010000F"/>
    <w:pPr>
      <w:ind w:left="720"/>
      <w:contextualSpacing/>
    </w:pPr>
  </w:style>
  <w:style w:type="character" w:styleId="IntenseEmphasis">
    <w:name w:val="Intense Emphasis"/>
    <w:basedOn w:val="DefaultParagraphFont"/>
    <w:uiPriority w:val="21"/>
    <w:qFormat/>
    <w:rsid w:val="0010000F"/>
    <w:rPr>
      <w:i/>
      <w:iCs/>
      <w:color w:val="0F4761" w:themeColor="accent1" w:themeShade="BF"/>
    </w:rPr>
  </w:style>
  <w:style w:type="paragraph" w:styleId="IntenseQuote">
    <w:name w:val="Intense Quote"/>
    <w:basedOn w:val="Normal"/>
    <w:next w:val="Normal"/>
    <w:link w:val="IntenseQuoteChar"/>
    <w:uiPriority w:val="30"/>
    <w:qFormat/>
    <w:rsid w:val="001000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0000F"/>
    <w:rPr>
      <w:i/>
      <w:iCs/>
      <w:color w:val="0F4761" w:themeColor="accent1" w:themeShade="BF"/>
    </w:rPr>
  </w:style>
  <w:style w:type="character" w:styleId="IntenseReference">
    <w:name w:val="Intense Reference"/>
    <w:basedOn w:val="DefaultParagraphFont"/>
    <w:uiPriority w:val="32"/>
    <w:qFormat/>
    <w:rsid w:val="0010000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258</Words>
  <Characters>1475</Characters>
  <Application>Microsoft Office Word</Application>
  <DocSecurity>0</DocSecurity>
  <Lines>12</Lines>
  <Paragraphs>3</Paragraphs>
  <ScaleCrop>false</ScaleCrop>
  <Company/>
  <LinksUpToDate>false</LinksUpToDate>
  <CharactersWithSpaces>1730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2025-12-11T04:04:00Z</dcterms:created>
  <dcterms:modified xsi:type="dcterms:W3CDTF">2025-12-11T04:04:00Z</dcterms:modified>
</cp:coreProperties>
</file>