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628A8" w14:textId="77777777" w:rsidR="00DF1AD1" w:rsidRPr="0000078C" w:rsidRDefault="00DF1AD1" w:rsidP="00DF1AD1">
      <w:pPr>
        <w:spacing w:after="0" w:line="360" w:lineRule="auto"/>
        <w:ind w:left="567" w:hanging="567"/>
        <w:jc w:val="both"/>
        <w:rPr>
          <w:rFonts w:ascii="Times New Roman" w:hAnsi="Times New Roman" w:cs="Times New Roman"/>
          <w:b/>
          <w:bCs/>
        </w:rPr>
      </w:pPr>
      <w:r w:rsidRPr="0000078C">
        <w:rPr>
          <w:rFonts w:ascii="Times New Roman" w:hAnsi="Times New Roman" w:cs="Times New Roman"/>
          <w:b/>
          <w:bCs/>
        </w:rPr>
        <w:t>Appendix A. Search Strategy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91"/>
        <w:gridCol w:w="923"/>
        <w:gridCol w:w="1057"/>
        <w:gridCol w:w="1281"/>
        <w:gridCol w:w="4131"/>
        <w:gridCol w:w="1176"/>
        <w:gridCol w:w="1385"/>
        <w:gridCol w:w="1450"/>
        <w:gridCol w:w="1021"/>
        <w:gridCol w:w="1465"/>
        <w:gridCol w:w="1120"/>
      </w:tblGrid>
      <w:tr w:rsidR="00DF1AD1" w:rsidRPr="00F21F7A" w14:paraId="19F16815" w14:textId="77777777" w:rsidTr="00371E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</w:tcPr>
          <w:p w14:paraId="2772AEDE" w14:textId="77777777" w:rsidR="00DF1AD1" w:rsidRPr="00F21F7A" w:rsidRDefault="00DF1AD1" w:rsidP="00371E75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</w:t>
            </w:r>
          </w:p>
        </w:tc>
        <w:tc>
          <w:tcPr>
            <w:tcW w:w="552" w:type="dxa"/>
          </w:tcPr>
          <w:p w14:paraId="75AB3B75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Author &amp; Year</w:t>
            </w:r>
          </w:p>
        </w:tc>
        <w:tc>
          <w:tcPr>
            <w:tcW w:w="772" w:type="dxa"/>
          </w:tcPr>
          <w:p w14:paraId="4514FC47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Title</w:t>
            </w:r>
          </w:p>
        </w:tc>
        <w:tc>
          <w:tcPr>
            <w:tcW w:w="1437" w:type="dxa"/>
          </w:tcPr>
          <w:p w14:paraId="511F0489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Journal</w:t>
            </w:r>
          </w:p>
        </w:tc>
        <w:tc>
          <w:tcPr>
            <w:tcW w:w="2652" w:type="dxa"/>
          </w:tcPr>
          <w:p w14:paraId="2DFDE652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DOI</w:t>
            </w:r>
          </w:p>
        </w:tc>
        <w:tc>
          <w:tcPr>
            <w:tcW w:w="847" w:type="dxa"/>
          </w:tcPr>
          <w:p w14:paraId="00799682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Study Design</w:t>
            </w:r>
          </w:p>
        </w:tc>
        <w:tc>
          <w:tcPr>
            <w:tcW w:w="0" w:type="auto"/>
          </w:tcPr>
          <w:p w14:paraId="538FADFA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Population/Sample</w:t>
            </w:r>
          </w:p>
        </w:tc>
        <w:tc>
          <w:tcPr>
            <w:tcW w:w="0" w:type="auto"/>
          </w:tcPr>
          <w:p w14:paraId="4A1224DD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Biomechanical Measures</w:t>
            </w:r>
          </w:p>
        </w:tc>
        <w:tc>
          <w:tcPr>
            <w:tcW w:w="0" w:type="auto"/>
          </w:tcPr>
          <w:p w14:paraId="351D1DCF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Kinesthetic Measures</w:t>
            </w:r>
          </w:p>
        </w:tc>
        <w:tc>
          <w:tcPr>
            <w:tcW w:w="0" w:type="auto"/>
          </w:tcPr>
          <w:p w14:paraId="390D5AC7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Key Findings</w:t>
            </w:r>
          </w:p>
        </w:tc>
        <w:tc>
          <w:tcPr>
            <w:tcW w:w="0" w:type="auto"/>
          </w:tcPr>
          <w:p w14:paraId="50605032" w14:textId="77777777" w:rsidR="00DF1AD1" w:rsidRPr="00F21F7A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Quality Assessment</w:t>
            </w:r>
          </w:p>
        </w:tc>
      </w:tr>
      <w:tr w:rsidR="00DF1AD1" w:rsidRPr="00F21F7A" w14:paraId="1B6C3D53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5D329FE8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</w:t>
            </w:r>
          </w:p>
        </w:tc>
        <w:tc>
          <w:tcPr>
            <w:tcW w:w="552" w:type="dxa"/>
            <w:hideMark/>
          </w:tcPr>
          <w:p w14:paraId="7A2D5C8C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Häger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et al., 2021</w:t>
            </w:r>
          </w:p>
        </w:tc>
        <w:tc>
          <w:tcPr>
            <w:tcW w:w="772" w:type="dxa"/>
            <w:hideMark/>
          </w:tcPr>
          <w:p w14:paraId="39445BD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Effect of robotic-assisted gait training on objective biomechanical outcomes</w:t>
            </w:r>
          </w:p>
        </w:tc>
        <w:tc>
          <w:tcPr>
            <w:tcW w:w="1437" w:type="dxa"/>
            <w:hideMark/>
          </w:tcPr>
          <w:p w14:paraId="0E8375F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Journal of </w:t>
            </w: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NeuroEngineering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and Rehabilitation (Springer Nature)</w:t>
            </w:r>
          </w:p>
        </w:tc>
        <w:tc>
          <w:tcPr>
            <w:tcW w:w="2652" w:type="dxa"/>
            <w:hideMark/>
          </w:tcPr>
          <w:p w14:paraId="64511CB5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4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https://jneuroengrehab.biomedcentral.com/articles/10.1186/s12984-021-00857-9</w:t>
              </w:r>
            </w:hyperlink>
          </w:p>
          <w:p w14:paraId="16C72A64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71B2019C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Systematic review of RCTs</w:t>
            </w:r>
          </w:p>
        </w:tc>
        <w:tc>
          <w:tcPr>
            <w:tcW w:w="0" w:type="auto"/>
            <w:hideMark/>
          </w:tcPr>
          <w:p w14:paraId="54F4C238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412 stroke survivors, aged 52-69 years</w:t>
            </w:r>
          </w:p>
        </w:tc>
        <w:tc>
          <w:tcPr>
            <w:tcW w:w="0" w:type="auto"/>
            <w:hideMark/>
          </w:tcPr>
          <w:p w14:paraId="4CCBC49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Objective gait biomechanics, joint kinematics</w:t>
            </w:r>
          </w:p>
        </w:tc>
        <w:tc>
          <w:tcPr>
            <w:tcW w:w="0" w:type="auto"/>
            <w:hideMark/>
          </w:tcPr>
          <w:p w14:paraId="4042DF47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Walking stability and control</w:t>
            </w:r>
          </w:p>
        </w:tc>
        <w:tc>
          <w:tcPr>
            <w:tcW w:w="0" w:type="auto"/>
            <w:hideMark/>
          </w:tcPr>
          <w:p w14:paraId="607C86A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Robot-assisted training enables intensive biomechanical improvement</w:t>
            </w:r>
          </w:p>
        </w:tc>
        <w:tc>
          <w:tcPr>
            <w:tcW w:w="0" w:type="auto"/>
            <w:hideMark/>
          </w:tcPr>
          <w:p w14:paraId="24458E2E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Moderate quality</w:t>
            </w:r>
          </w:p>
        </w:tc>
      </w:tr>
      <w:tr w:rsidR="00DF1AD1" w:rsidRPr="00F21F7A" w14:paraId="1E43F3DB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22795EFD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2</w:t>
            </w:r>
          </w:p>
        </w:tc>
        <w:tc>
          <w:tcPr>
            <w:tcW w:w="552" w:type="dxa"/>
            <w:hideMark/>
          </w:tcPr>
          <w:p w14:paraId="253DCE7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Delp et al., 2021</w:t>
            </w:r>
          </w:p>
        </w:tc>
        <w:tc>
          <w:tcPr>
            <w:tcW w:w="772" w:type="dxa"/>
            <w:hideMark/>
          </w:tcPr>
          <w:p w14:paraId="4F26EB7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Deep reinforcement learning for modeling human locomotion control</w:t>
            </w:r>
          </w:p>
        </w:tc>
        <w:tc>
          <w:tcPr>
            <w:tcW w:w="1437" w:type="dxa"/>
            <w:hideMark/>
          </w:tcPr>
          <w:p w14:paraId="2325446D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Journal of </w:t>
            </w: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NeuroEngineering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and Rehabilitation (Springer Nature)</w:t>
            </w:r>
          </w:p>
        </w:tc>
        <w:tc>
          <w:tcPr>
            <w:tcW w:w="2652" w:type="dxa"/>
            <w:hideMark/>
          </w:tcPr>
          <w:p w14:paraId="67BEC28B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5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https://jneuroengrehab.biomedcentral.com/articles/10.1186/s12984-021-00919-y</w:t>
              </w:r>
            </w:hyperlink>
          </w:p>
          <w:p w14:paraId="1C3A2A23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7E6F39C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Computational modeling study</w:t>
            </w:r>
          </w:p>
        </w:tc>
        <w:tc>
          <w:tcPr>
            <w:tcW w:w="0" w:type="auto"/>
            <w:hideMark/>
          </w:tcPr>
          <w:p w14:paraId="0C09A3C7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Musculoskeletal simulation models</w:t>
            </w:r>
          </w:p>
        </w:tc>
        <w:tc>
          <w:tcPr>
            <w:tcW w:w="0" w:type="auto"/>
            <w:hideMark/>
          </w:tcPr>
          <w:p w14:paraId="68DCBA3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Reinforcement learning control models</w:t>
            </w:r>
          </w:p>
        </w:tc>
        <w:tc>
          <w:tcPr>
            <w:tcW w:w="0" w:type="auto"/>
            <w:hideMark/>
          </w:tcPr>
          <w:p w14:paraId="76E0E7A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Neural control of movement</w:t>
            </w:r>
          </w:p>
        </w:tc>
        <w:tc>
          <w:tcPr>
            <w:tcW w:w="0" w:type="auto"/>
            <w:hideMark/>
          </w:tcPr>
          <w:p w14:paraId="2D232445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RL models generate realistic musculoskeletal movement patterns</w:t>
            </w:r>
          </w:p>
        </w:tc>
        <w:tc>
          <w:tcPr>
            <w:tcW w:w="0" w:type="auto"/>
            <w:hideMark/>
          </w:tcPr>
          <w:p w14:paraId="38332CA1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methodology</w:t>
            </w:r>
          </w:p>
        </w:tc>
      </w:tr>
      <w:tr w:rsidR="00DF1AD1" w:rsidRPr="00F21F7A" w14:paraId="3086DF9D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2FEEEA75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3</w:t>
            </w:r>
          </w:p>
        </w:tc>
        <w:tc>
          <w:tcPr>
            <w:tcW w:w="552" w:type="dxa"/>
            <w:hideMark/>
          </w:tcPr>
          <w:p w14:paraId="7BA5526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Baud et al., 2021</w:t>
            </w:r>
          </w:p>
        </w:tc>
        <w:tc>
          <w:tcPr>
            <w:tcW w:w="772" w:type="dxa"/>
            <w:hideMark/>
          </w:tcPr>
          <w:p w14:paraId="1058548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Review of control strategies for lower-limb exoskeletons to assist gait</w:t>
            </w:r>
          </w:p>
        </w:tc>
        <w:tc>
          <w:tcPr>
            <w:tcW w:w="1437" w:type="dxa"/>
            <w:hideMark/>
          </w:tcPr>
          <w:p w14:paraId="27B0722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Journal of </w:t>
            </w: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NeuroEngineering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and Rehabilitation</w:t>
            </w:r>
          </w:p>
        </w:tc>
        <w:tc>
          <w:tcPr>
            <w:tcW w:w="2652" w:type="dxa"/>
            <w:hideMark/>
          </w:tcPr>
          <w:p w14:paraId="3718F0BB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6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https://jneuroengrehab.biomedcentral.com/articles/10.1186/s12984-021-00906-3</w:t>
              </w:r>
            </w:hyperlink>
          </w:p>
          <w:p w14:paraId="52D7FB3E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42CE5409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Literature review</w:t>
            </w:r>
          </w:p>
        </w:tc>
        <w:tc>
          <w:tcPr>
            <w:tcW w:w="0" w:type="auto"/>
            <w:hideMark/>
          </w:tcPr>
          <w:p w14:paraId="007AC74C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Exoskeleton control studies</w:t>
            </w:r>
          </w:p>
        </w:tc>
        <w:tc>
          <w:tcPr>
            <w:tcW w:w="0" w:type="auto"/>
            <w:hideMark/>
          </w:tcPr>
          <w:p w14:paraId="013C62E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Control strategies independent of hardware</w:t>
            </w:r>
          </w:p>
        </w:tc>
        <w:tc>
          <w:tcPr>
            <w:tcW w:w="0" w:type="auto"/>
            <w:hideMark/>
          </w:tcPr>
          <w:p w14:paraId="04AB563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Not assessed</w:t>
            </w:r>
          </w:p>
        </w:tc>
        <w:tc>
          <w:tcPr>
            <w:tcW w:w="0" w:type="auto"/>
            <w:hideMark/>
          </w:tcPr>
          <w:p w14:paraId="3C186672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Classifies control strategies for walking assistance</w:t>
            </w:r>
          </w:p>
        </w:tc>
        <w:tc>
          <w:tcPr>
            <w:tcW w:w="0" w:type="auto"/>
            <w:hideMark/>
          </w:tcPr>
          <w:p w14:paraId="0F1EED6B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quality</w:t>
            </w:r>
          </w:p>
        </w:tc>
      </w:tr>
      <w:tr w:rsidR="00DF1AD1" w:rsidRPr="00F21F7A" w14:paraId="24B174C0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413D5749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4</w:t>
            </w:r>
          </w:p>
        </w:tc>
        <w:tc>
          <w:tcPr>
            <w:tcW w:w="552" w:type="dxa"/>
            <w:hideMark/>
          </w:tcPr>
          <w:p w14:paraId="694A6FC5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Wu et al., 2020</w:t>
            </w:r>
          </w:p>
        </w:tc>
        <w:tc>
          <w:tcPr>
            <w:tcW w:w="772" w:type="dxa"/>
            <w:hideMark/>
          </w:tcPr>
          <w:p w14:paraId="67AEDA1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The effect of walking speed on gait biomechanics</w:t>
            </w:r>
          </w:p>
        </w:tc>
        <w:tc>
          <w:tcPr>
            <w:tcW w:w="1437" w:type="dxa"/>
            <w:hideMark/>
          </w:tcPr>
          <w:p w14:paraId="39F28CE9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Gait &amp; Posture (Elsevier)</w:t>
            </w:r>
          </w:p>
        </w:tc>
        <w:tc>
          <w:tcPr>
            <w:tcW w:w="2652" w:type="dxa"/>
          </w:tcPr>
          <w:p w14:paraId="2914A295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7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https://doi.org/10.1016/j.clinbiomech.2025.106538</w:t>
              </w:r>
            </w:hyperlink>
          </w:p>
          <w:p w14:paraId="17AE031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09B9AF2D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Experimental gait analysis</w:t>
            </w:r>
          </w:p>
        </w:tc>
        <w:tc>
          <w:tcPr>
            <w:tcW w:w="0" w:type="auto"/>
            <w:hideMark/>
          </w:tcPr>
          <w:p w14:paraId="338203B3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20 healthy adults</w:t>
            </w:r>
          </w:p>
        </w:tc>
        <w:tc>
          <w:tcPr>
            <w:tcW w:w="0" w:type="auto"/>
            <w:hideMark/>
          </w:tcPr>
          <w:p w14:paraId="1DD4C644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Joint angles and ground reaction forces</w:t>
            </w:r>
          </w:p>
        </w:tc>
        <w:tc>
          <w:tcPr>
            <w:tcW w:w="0" w:type="auto"/>
            <w:hideMark/>
          </w:tcPr>
          <w:p w14:paraId="06C6E930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Not assessed</w:t>
            </w:r>
          </w:p>
        </w:tc>
        <w:tc>
          <w:tcPr>
            <w:tcW w:w="0" w:type="auto"/>
            <w:hideMark/>
          </w:tcPr>
          <w:p w14:paraId="17EC78A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Walking speed affects joint angles and force distribution</w:t>
            </w:r>
          </w:p>
        </w:tc>
        <w:tc>
          <w:tcPr>
            <w:tcW w:w="0" w:type="auto"/>
            <w:hideMark/>
          </w:tcPr>
          <w:p w14:paraId="65DE856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design</w:t>
            </w:r>
          </w:p>
        </w:tc>
      </w:tr>
      <w:tr w:rsidR="00DF1AD1" w:rsidRPr="00F21F7A" w14:paraId="2CF59C7E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46D8AE89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5</w:t>
            </w:r>
          </w:p>
        </w:tc>
        <w:tc>
          <w:tcPr>
            <w:tcW w:w="552" w:type="dxa"/>
            <w:hideMark/>
          </w:tcPr>
          <w:p w14:paraId="01AC8DD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Andrada et al., 2020</w:t>
            </w:r>
          </w:p>
        </w:tc>
        <w:tc>
          <w:tcPr>
            <w:tcW w:w="772" w:type="dxa"/>
            <w:hideMark/>
          </w:tcPr>
          <w:p w14:paraId="53CB5E28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Biomechanics of quadrupedal locomotion</w:t>
            </w:r>
          </w:p>
        </w:tc>
        <w:tc>
          <w:tcPr>
            <w:tcW w:w="1437" w:type="dxa"/>
            <w:hideMark/>
          </w:tcPr>
          <w:p w14:paraId="3BE7FC9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Frontiers in Bioengineering and Biotechnology</w:t>
            </w:r>
          </w:p>
        </w:tc>
        <w:tc>
          <w:tcPr>
            <w:tcW w:w="2652" w:type="dxa"/>
            <w:hideMark/>
          </w:tcPr>
          <w:p w14:paraId="4DD16E4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8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https://doi.org/10.3389/fbioe.2023.1193177</w:t>
              </w:r>
            </w:hyperlink>
          </w:p>
          <w:p w14:paraId="7680F362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4C05E30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Comparative literature review</w:t>
            </w:r>
          </w:p>
        </w:tc>
        <w:tc>
          <w:tcPr>
            <w:tcW w:w="0" w:type="auto"/>
            <w:hideMark/>
          </w:tcPr>
          <w:p w14:paraId="18E330B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Animal locomotion data</w:t>
            </w:r>
          </w:p>
        </w:tc>
        <w:tc>
          <w:tcPr>
            <w:tcW w:w="0" w:type="auto"/>
            <w:hideMark/>
          </w:tcPr>
          <w:p w14:paraId="5ED1175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Ground reaction force patterns</w:t>
            </w:r>
          </w:p>
        </w:tc>
        <w:tc>
          <w:tcPr>
            <w:tcW w:w="0" w:type="auto"/>
            <w:hideMark/>
          </w:tcPr>
          <w:p w14:paraId="1679B1F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Not assessed</w:t>
            </w:r>
          </w:p>
        </w:tc>
        <w:tc>
          <w:tcPr>
            <w:tcW w:w="0" w:type="auto"/>
            <w:hideMark/>
          </w:tcPr>
          <w:p w14:paraId="55ADE5A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Force patterns show different efficiency across species</w:t>
            </w:r>
          </w:p>
        </w:tc>
        <w:tc>
          <w:tcPr>
            <w:tcW w:w="0" w:type="auto"/>
            <w:hideMark/>
          </w:tcPr>
          <w:p w14:paraId="0B5091C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review</w:t>
            </w:r>
          </w:p>
        </w:tc>
      </w:tr>
      <w:tr w:rsidR="00DF1AD1" w:rsidRPr="00F21F7A" w14:paraId="0C2EA0A4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65816AC2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6</w:t>
            </w:r>
          </w:p>
        </w:tc>
        <w:tc>
          <w:tcPr>
            <w:tcW w:w="552" w:type="dxa"/>
            <w:hideMark/>
          </w:tcPr>
          <w:p w14:paraId="30E97E47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Faccioruso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., 2024</w:t>
            </w:r>
          </w:p>
        </w:tc>
        <w:tc>
          <w:tcPr>
            <w:tcW w:w="772" w:type="dxa"/>
            <w:hideMark/>
          </w:tcPr>
          <w:p w14:paraId="089E2F8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Muscle synergy analysis in post stroke patients</w:t>
            </w:r>
          </w:p>
        </w:tc>
        <w:tc>
          <w:tcPr>
            <w:tcW w:w="1437" w:type="dxa"/>
            <w:hideMark/>
          </w:tcPr>
          <w:p w14:paraId="3793122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Pmc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</w:t>
            </w:r>
          </w:p>
        </w:tc>
        <w:tc>
          <w:tcPr>
            <w:tcW w:w="2652" w:type="dxa"/>
            <w:hideMark/>
          </w:tcPr>
          <w:p w14:paraId="202D6660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9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https://doi.org/10.23736/S1973-9087.24.08438-7</w:t>
              </w:r>
            </w:hyperlink>
          </w:p>
          <w:p w14:paraId="08BD276D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5B9E3D10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Experimental EMG analysis</w:t>
            </w:r>
          </w:p>
        </w:tc>
        <w:tc>
          <w:tcPr>
            <w:tcW w:w="0" w:type="auto"/>
            <w:hideMark/>
          </w:tcPr>
          <w:p w14:paraId="60997F0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30 post-stroke patients</w:t>
            </w:r>
          </w:p>
        </w:tc>
        <w:tc>
          <w:tcPr>
            <w:tcW w:w="0" w:type="auto"/>
            <w:hideMark/>
          </w:tcPr>
          <w:p w14:paraId="7BAC19AB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EMG muscle synergy patterns</w:t>
            </w:r>
          </w:p>
        </w:tc>
        <w:tc>
          <w:tcPr>
            <w:tcW w:w="0" w:type="auto"/>
            <w:hideMark/>
          </w:tcPr>
          <w:p w14:paraId="1461B04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Motor control and coordination</w:t>
            </w:r>
          </w:p>
        </w:tc>
        <w:tc>
          <w:tcPr>
            <w:tcW w:w="0" w:type="auto"/>
            <w:hideMark/>
          </w:tcPr>
          <w:p w14:paraId="02B56B7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Abnormal muscle synergies affect walking stability</w:t>
            </w:r>
          </w:p>
        </w:tc>
        <w:tc>
          <w:tcPr>
            <w:tcW w:w="0" w:type="auto"/>
            <w:hideMark/>
          </w:tcPr>
          <w:p w14:paraId="04E97B5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experimental</w:t>
            </w:r>
          </w:p>
        </w:tc>
      </w:tr>
      <w:tr w:rsidR="00DF1AD1" w:rsidRPr="00F21F7A" w14:paraId="66B3A650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73D575BA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7</w:t>
            </w:r>
          </w:p>
        </w:tc>
        <w:tc>
          <w:tcPr>
            <w:tcW w:w="552" w:type="dxa"/>
            <w:hideMark/>
          </w:tcPr>
          <w:p w14:paraId="5F12606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Zhang et al., 2022</w:t>
            </w:r>
          </w:p>
        </w:tc>
        <w:tc>
          <w:tcPr>
            <w:tcW w:w="772" w:type="dxa"/>
            <w:hideMark/>
          </w:tcPr>
          <w:p w14:paraId="5F0A1248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Biomechanics of knee osteoarthri</w:t>
            </w: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tis during stair climbing</w:t>
            </w:r>
          </w:p>
        </w:tc>
        <w:tc>
          <w:tcPr>
            <w:tcW w:w="1437" w:type="dxa"/>
            <w:hideMark/>
          </w:tcPr>
          <w:p w14:paraId="206C4872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 xml:space="preserve">Frontiers in Bioengineering and </w:t>
            </w: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Biotechnology</w:t>
            </w:r>
          </w:p>
        </w:tc>
        <w:tc>
          <w:tcPr>
            <w:tcW w:w="2652" w:type="dxa"/>
            <w:hideMark/>
          </w:tcPr>
          <w:p w14:paraId="752413A7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0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https://doi.org/10.3389/fbioe.2025.1617823</w:t>
              </w:r>
            </w:hyperlink>
          </w:p>
          <w:p w14:paraId="0412F07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65A0F14E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Observational 3D gait analysis</w:t>
            </w:r>
          </w:p>
        </w:tc>
        <w:tc>
          <w:tcPr>
            <w:tcW w:w="0" w:type="auto"/>
            <w:hideMark/>
          </w:tcPr>
          <w:p w14:paraId="6A562DE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25 OA patients, 25 controls</w:t>
            </w:r>
          </w:p>
        </w:tc>
        <w:tc>
          <w:tcPr>
            <w:tcW w:w="0" w:type="auto"/>
            <w:hideMark/>
          </w:tcPr>
          <w:p w14:paraId="072AE3D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3D gait analysis, knee joint torques</w:t>
            </w:r>
          </w:p>
        </w:tc>
        <w:tc>
          <w:tcPr>
            <w:tcW w:w="0" w:type="auto"/>
            <w:hideMark/>
          </w:tcPr>
          <w:p w14:paraId="13734D14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Movement quality </w:t>
            </w: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and gait patterns</w:t>
            </w:r>
          </w:p>
        </w:tc>
        <w:tc>
          <w:tcPr>
            <w:tcW w:w="0" w:type="auto"/>
            <w:hideMark/>
          </w:tcPr>
          <w:p w14:paraId="4960C4EB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 xml:space="preserve">OA patients show greater knee torques </w:t>
            </w: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and altered force patterns</w:t>
            </w:r>
          </w:p>
        </w:tc>
        <w:tc>
          <w:tcPr>
            <w:tcW w:w="0" w:type="auto"/>
            <w:hideMark/>
          </w:tcPr>
          <w:p w14:paraId="206F3E3E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Good design</w:t>
            </w:r>
          </w:p>
        </w:tc>
      </w:tr>
      <w:tr w:rsidR="00DF1AD1" w:rsidRPr="00F21F7A" w14:paraId="6F140B9C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15004A72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8</w:t>
            </w:r>
          </w:p>
        </w:tc>
        <w:tc>
          <w:tcPr>
            <w:tcW w:w="552" w:type="dxa"/>
            <w:hideMark/>
          </w:tcPr>
          <w:p w14:paraId="4734A2C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Li et al., 2023</w:t>
            </w:r>
          </w:p>
        </w:tc>
        <w:tc>
          <w:tcPr>
            <w:tcW w:w="772" w:type="dxa"/>
            <w:hideMark/>
          </w:tcPr>
          <w:p w14:paraId="49564C7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Wearable sensors for gait biomechanics</w:t>
            </w:r>
          </w:p>
        </w:tc>
        <w:tc>
          <w:tcPr>
            <w:tcW w:w="1437" w:type="dxa"/>
            <w:hideMark/>
          </w:tcPr>
          <w:p w14:paraId="0EC061B3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Sensors (MDPI)</w:t>
            </w:r>
          </w:p>
        </w:tc>
        <w:tc>
          <w:tcPr>
            <w:tcW w:w="2652" w:type="dxa"/>
            <w:hideMark/>
          </w:tcPr>
          <w:p w14:paraId="0570DC29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1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https://doi.org/10.3390/s23010045</w:t>
              </w:r>
            </w:hyperlink>
          </w:p>
          <w:p w14:paraId="55BAB2F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7671602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Literature review of wearable sensors</w:t>
            </w:r>
          </w:p>
        </w:tc>
        <w:tc>
          <w:tcPr>
            <w:tcW w:w="0" w:type="auto"/>
            <w:hideMark/>
          </w:tcPr>
          <w:p w14:paraId="7683E7D4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IMU and plantar pressure sensor studies</w:t>
            </w:r>
          </w:p>
        </w:tc>
        <w:tc>
          <w:tcPr>
            <w:tcW w:w="0" w:type="auto"/>
            <w:hideMark/>
          </w:tcPr>
          <w:p w14:paraId="3D619A7D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Real-time biomechanics measurements</w:t>
            </w:r>
          </w:p>
        </w:tc>
        <w:tc>
          <w:tcPr>
            <w:tcW w:w="0" w:type="auto"/>
            <w:hideMark/>
          </w:tcPr>
          <w:p w14:paraId="64708B9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Not assessed</w:t>
            </w:r>
          </w:p>
        </w:tc>
        <w:tc>
          <w:tcPr>
            <w:tcW w:w="0" w:type="auto"/>
            <w:hideMark/>
          </w:tcPr>
          <w:p w14:paraId="4CA82C6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Sensors enable real-time gait biomechanics measurements</w:t>
            </w:r>
          </w:p>
        </w:tc>
        <w:tc>
          <w:tcPr>
            <w:tcW w:w="0" w:type="auto"/>
            <w:hideMark/>
          </w:tcPr>
          <w:p w14:paraId="6ABCFBC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review</w:t>
            </w:r>
          </w:p>
        </w:tc>
      </w:tr>
      <w:tr w:rsidR="00DF1AD1" w:rsidRPr="00F21F7A" w14:paraId="2A82D8D1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6F0E4559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9</w:t>
            </w:r>
          </w:p>
        </w:tc>
        <w:tc>
          <w:tcPr>
            <w:tcW w:w="552" w:type="dxa"/>
            <w:hideMark/>
          </w:tcPr>
          <w:p w14:paraId="118753E8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Stenum et al., 2021</w:t>
            </w:r>
          </w:p>
        </w:tc>
        <w:tc>
          <w:tcPr>
            <w:tcW w:w="772" w:type="dxa"/>
            <w:hideMark/>
          </w:tcPr>
          <w:p w14:paraId="0FAAA667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Two-dimensional video-based analysis of human gait using pose estimation</w:t>
            </w:r>
          </w:p>
        </w:tc>
        <w:tc>
          <w:tcPr>
            <w:tcW w:w="1437" w:type="dxa"/>
            <w:hideMark/>
          </w:tcPr>
          <w:p w14:paraId="20BE7CF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PLOS Computational Biology</w:t>
            </w:r>
          </w:p>
        </w:tc>
        <w:tc>
          <w:tcPr>
            <w:tcW w:w="2652" w:type="dxa"/>
            <w:hideMark/>
          </w:tcPr>
          <w:p w14:paraId="46CC9E0B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2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https://doi.org/10.1371/journal.pcbi.1008935</w:t>
              </w:r>
            </w:hyperlink>
          </w:p>
          <w:p w14:paraId="32D7DA1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1DD5C8B8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Experimental comparison</w:t>
            </w:r>
          </w:p>
        </w:tc>
        <w:tc>
          <w:tcPr>
            <w:tcW w:w="0" w:type="auto"/>
            <w:hideMark/>
          </w:tcPr>
          <w:p w14:paraId="2D820F11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Healthy adults, overground walking</w:t>
            </w:r>
          </w:p>
        </w:tc>
        <w:tc>
          <w:tcPr>
            <w:tcW w:w="0" w:type="auto"/>
            <w:hideMark/>
          </w:tcPr>
          <w:p w14:paraId="7188B8F1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OpenPose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vs motion capture accuracy</w:t>
            </w:r>
          </w:p>
        </w:tc>
        <w:tc>
          <w:tcPr>
            <w:tcW w:w="0" w:type="auto"/>
            <w:hideMark/>
          </w:tcPr>
          <w:p w14:paraId="252BF77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Gait analysis</w:t>
            </w:r>
          </w:p>
        </w:tc>
        <w:tc>
          <w:tcPr>
            <w:tcW w:w="0" w:type="auto"/>
            <w:hideMark/>
          </w:tcPr>
          <w:p w14:paraId="22C1DBF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OpenPose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accurate for spatiotemporal gait parameters</w:t>
            </w:r>
          </w:p>
        </w:tc>
        <w:tc>
          <w:tcPr>
            <w:tcW w:w="0" w:type="auto"/>
            <w:hideMark/>
          </w:tcPr>
          <w:p w14:paraId="022041A4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methodology</w:t>
            </w:r>
          </w:p>
        </w:tc>
      </w:tr>
      <w:tr w:rsidR="00DF1AD1" w:rsidRPr="00F21F7A" w14:paraId="115D7333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78C49228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10</w:t>
            </w:r>
          </w:p>
        </w:tc>
        <w:tc>
          <w:tcPr>
            <w:tcW w:w="552" w:type="dxa"/>
            <w:hideMark/>
          </w:tcPr>
          <w:p w14:paraId="2827FD45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D'Hondt et al., 2024</w:t>
            </w:r>
          </w:p>
        </w:tc>
        <w:tc>
          <w:tcPr>
            <w:tcW w:w="772" w:type="dxa"/>
            <w:hideMark/>
          </w:tcPr>
          <w:p w14:paraId="212C19E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A dynamic foot model for predictive simulations of human gait</w:t>
            </w:r>
          </w:p>
        </w:tc>
        <w:tc>
          <w:tcPr>
            <w:tcW w:w="1437" w:type="dxa"/>
            <w:hideMark/>
          </w:tcPr>
          <w:p w14:paraId="33EAAAF4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PLOS Computational Biology</w:t>
            </w:r>
          </w:p>
        </w:tc>
        <w:tc>
          <w:tcPr>
            <w:tcW w:w="2652" w:type="dxa"/>
            <w:hideMark/>
          </w:tcPr>
          <w:p w14:paraId="4CAD2C0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3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https://doi.org/10.1371/journal.pcbi.1012219</w:t>
              </w:r>
            </w:hyperlink>
          </w:p>
          <w:p w14:paraId="2A7EFD2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64C1CD1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Musculoskeletal simulation</w:t>
            </w:r>
          </w:p>
        </w:tc>
        <w:tc>
          <w:tcPr>
            <w:tcW w:w="0" w:type="auto"/>
            <w:hideMark/>
          </w:tcPr>
          <w:p w14:paraId="79E650C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Healthy adult data (calibrated simulation)</w:t>
            </w:r>
          </w:p>
        </w:tc>
        <w:tc>
          <w:tcPr>
            <w:tcW w:w="0" w:type="auto"/>
            <w:hideMark/>
          </w:tcPr>
          <w:p w14:paraId="13B60FE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4-segment foot model stiffness analysis</w:t>
            </w:r>
          </w:p>
        </w:tc>
        <w:tc>
          <w:tcPr>
            <w:tcW w:w="0" w:type="auto"/>
            <w:hideMark/>
          </w:tcPr>
          <w:p w14:paraId="4A8CE583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Not assessed</w:t>
            </w:r>
          </w:p>
        </w:tc>
        <w:tc>
          <w:tcPr>
            <w:tcW w:w="0" w:type="auto"/>
            <w:hideMark/>
          </w:tcPr>
          <w:p w14:paraId="1A4DAF34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Foot stiffness affects ankle and knee kinematics</w:t>
            </w:r>
          </w:p>
        </w:tc>
        <w:tc>
          <w:tcPr>
            <w:tcW w:w="0" w:type="auto"/>
            <w:hideMark/>
          </w:tcPr>
          <w:p w14:paraId="314724D9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simulation</w:t>
            </w:r>
          </w:p>
        </w:tc>
      </w:tr>
      <w:tr w:rsidR="00DF1AD1" w:rsidRPr="00F21F7A" w14:paraId="6ABDB110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49192140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11</w:t>
            </w:r>
          </w:p>
        </w:tc>
        <w:tc>
          <w:tcPr>
            <w:tcW w:w="552" w:type="dxa"/>
            <w:hideMark/>
          </w:tcPr>
          <w:p w14:paraId="641D7727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Cruz-Jentoft et al., 2020</w:t>
            </w:r>
          </w:p>
        </w:tc>
        <w:tc>
          <w:tcPr>
            <w:tcW w:w="772" w:type="dxa"/>
            <w:hideMark/>
          </w:tcPr>
          <w:p w14:paraId="59710A61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Sarcopenia: Revised European consensus on definition and diagnosis</w:t>
            </w:r>
          </w:p>
        </w:tc>
        <w:tc>
          <w:tcPr>
            <w:tcW w:w="1437" w:type="dxa"/>
            <w:hideMark/>
          </w:tcPr>
          <w:p w14:paraId="60A804B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Journal of Cachexia, Sarcopenia and Muscle</w:t>
            </w:r>
          </w:p>
        </w:tc>
        <w:tc>
          <w:tcPr>
            <w:tcW w:w="2652" w:type="dxa"/>
            <w:hideMark/>
          </w:tcPr>
          <w:p w14:paraId="28C9429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4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https://doi.org/10.1093/ageing/afy169</w:t>
              </w:r>
            </w:hyperlink>
          </w:p>
          <w:p w14:paraId="4C0C3C2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0C6B63FB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Consensus statement</w:t>
            </w:r>
          </w:p>
        </w:tc>
        <w:tc>
          <w:tcPr>
            <w:tcW w:w="0" w:type="auto"/>
            <w:hideMark/>
          </w:tcPr>
          <w:p w14:paraId="0EE74B2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Older adults with sarcopenia</w:t>
            </w:r>
          </w:p>
        </w:tc>
        <w:tc>
          <w:tcPr>
            <w:tcW w:w="0" w:type="auto"/>
            <w:hideMark/>
          </w:tcPr>
          <w:p w14:paraId="5A3C09F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Muscle mass, strength, physical performance</w:t>
            </w:r>
          </w:p>
        </w:tc>
        <w:tc>
          <w:tcPr>
            <w:tcW w:w="0" w:type="auto"/>
            <w:hideMark/>
          </w:tcPr>
          <w:p w14:paraId="4C58066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Not assessed</w:t>
            </w:r>
          </w:p>
        </w:tc>
        <w:tc>
          <w:tcPr>
            <w:tcW w:w="0" w:type="auto"/>
            <w:hideMark/>
          </w:tcPr>
          <w:p w14:paraId="67FB636E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New </w:t>
            </w:r>
            <w:proofErr w:type="gram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sarcopenia</w:t>
            </w:r>
            <w:proofErr w:type="gram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criteria link mass, strength, and mobility function</w:t>
            </w:r>
          </w:p>
        </w:tc>
        <w:tc>
          <w:tcPr>
            <w:tcW w:w="0" w:type="auto"/>
            <w:hideMark/>
          </w:tcPr>
          <w:p w14:paraId="32225904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Expert consensus</w:t>
            </w:r>
          </w:p>
        </w:tc>
      </w:tr>
      <w:tr w:rsidR="00DF1AD1" w:rsidRPr="00F21F7A" w14:paraId="21A222A2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0A3E9F03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12</w:t>
            </w:r>
          </w:p>
        </w:tc>
        <w:tc>
          <w:tcPr>
            <w:tcW w:w="552" w:type="dxa"/>
            <w:hideMark/>
          </w:tcPr>
          <w:p w14:paraId="1F66F4A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Wang et al, 2025</w:t>
            </w:r>
          </w:p>
        </w:tc>
        <w:tc>
          <w:tcPr>
            <w:tcW w:w="772" w:type="dxa"/>
            <w:hideMark/>
          </w:tcPr>
          <w:p w14:paraId="4BC49E35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Cell biomechanics on muscle atrophy: from intricate mechanisms to therapeutic frontiers</w:t>
            </w:r>
          </w:p>
        </w:tc>
        <w:tc>
          <w:tcPr>
            <w:tcW w:w="1437" w:type="dxa"/>
            <w:hideMark/>
          </w:tcPr>
          <w:p w14:paraId="50F6348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Skeletal Muscle (BMC)</w:t>
            </w:r>
          </w:p>
        </w:tc>
        <w:tc>
          <w:tcPr>
            <w:tcW w:w="2652" w:type="dxa"/>
            <w:hideMark/>
          </w:tcPr>
          <w:p w14:paraId="104A717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5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https://doi.org/10.1080/07853890.2025.2540598</w:t>
              </w:r>
            </w:hyperlink>
          </w:p>
          <w:p w14:paraId="12EED7B1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6FD55A65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Literature review of mechanobiology</w:t>
            </w:r>
          </w:p>
        </w:tc>
        <w:tc>
          <w:tcPr>
            <w:tcW w:w="0" w:type="auto"/>
            <w:hideMark/>
          </w:tcPr>
          <w:p w14:paraId="66F9BE43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Cell and animal studies on muscle aging</w:t>
            </w:r>
          </w:p>
        </w:tc>
        <w:tc>
          <w:tcPr>
            <w:tcW w:w="0" w:type="auto"/>
            <w:hideMark/>
          </w:tcPr>
          <w:p w14:paraId="16050DF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Cell </w:t>
            </w: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mechanotransduction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pathways</w:t>
            </w:r>
          </w:p>
        </w:tc>
        <w:tc>
          <w:tcPr>
            <w:tcW w:w="0" w:type="auto"/>
            <w:hideMark/>
          </w:tcPr>
          <w:p w14:paraId="5AF6BA90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Not assessed</w:t>
            </w:r>
          </w:p>
        </w:tc>
        <w:tc>
          <w:tcPr>
            <w:tcW w:w="0" w:type="auto"/>
            <w:hideMark/>
          </w:tcPr>
          <w:p w14:paraId="466018B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proofErr w:type="spell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Mechanotransduction</w:t>
            </w:r>
            <w:proofErr w:type="spell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plays a major role in muscle atrophy</w:t>
            </w:r>
          </w:p>
        </w:tc>
        <w:tc>
          <w:tcPr>
            <w:tcW w:w="0" w:type="auto"/>
            <w:hideMark/>
          </w:tcPr>
          <w:p w14:paraId="6FA17F6B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Comprehensive review</w:t>
            </w:r>
          </w:p>
        </w:tc>
      </w:tr>
      <w:tr w:rsidR="00DF1AD1" w:rsidRPr="00F21F7A" w14:paraId="27518ED1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641776F1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13</w:t>
            </w:r>
          </w:p>
        </w:tc>
        <w:tc>
          <w:tcPr>
            <w:tcW w:w="552" w:type="dxa"/>
            <w:hideMark/>
          </w:tcPr>
          <w:p w14:paraId="733AF07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Liu et al., 2020</w:t>
            </w:r>
          </w:p>
        </w:tc>
        <w:tc>
          <w:tcPr>
            <w:tcW w:w="772" w:type="dxa"/>
            <w:hideMark/>
          </w:tcPr>
          <w:p w14:paraId="3726E05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Dance intervention effects on physical function in healthy older </w:t>
            </w: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adults (meta-analysis)</w:t>
            </w:r>
          </w:p>
        </w:tc>
        <w:tc>
          <w:tcPr>
            <w:tcW w:w="1437" w:type="dxa"/>
            <w:hideMark/>
          </w:tcPr>
          <w:p w14:paraId="69783EFE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Systematic Review Meta-analysis</w:t>
            </w:r>
          </w:p>
        </w:tc>
        <w:tc>
          <w:tcPr>
            <w:tcW w:w="2652" w:type="dxa"/>
            <w:hideMark/>
          </w:tcPr>
          <w:p w14:paraId="45157F9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6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https://doi.org/10.1007/s40520-019-01440-y</w:t>
              </w:r>
            </w:hyperlink>
          </w:p>
          <w:p w14:paraId="64CDDF6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49019C0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Meta-analysis</w:t>
            </w:r>
          </w:p>
        </w:tc>
        <w:tc>
          <w:tcPr>
            <w:tcW w:w="0" w:type="auto"/>
            <w:hideMark/>
          </w:tcPr>
          <w:p w14:paraId="5DCAEE2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Healthy older adults from multiple RCTs</w:t>
            </w:r>
          </w:p>
        </w:tc>
        <w:tc>
          <w:tcPr>
            <w:tcW w:w="0" w:type="auto"/>
            <w:hideMark/>
          </w:tcPr>
          <w:p w14:paraId="4D1EA6C1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Physical function, balance outcomes</w:t>
            </w:r>
          </w:p>
        </w:tc>
        <w:tc>
          <w:tcPr>
            <w:tcW w:w="0" w:type="auto"/>
            <w:hideMark/>
          </w:tcPr>
          <w:p w14:paraId="2BF0257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Balance, mobility, functional performance</w:t>
            </w:r>
          </w:p>
        </w:tc>
        <w:tc>
          <w:tcPr>
            <w:tcW w:w="0" w:type="auto"/>
            <w:hideMark/>
          </w:tcPr>
          <w:p w14:paraId="36DAEB0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Dance interventions improve physical function vs controls</w:t>
            </w:r>
          </w:p>
        </w:tc>
        <w:tc>
          <w:tcPr>
            <w:tcW w:w="0" w:type="auto"/>
            <w:hideMark/>
          </w:tcPr>
          <w:p w14:paraId="077825D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High quality meta-analysis</w:t>
            </w:r>
          </w:p>
        </w:tc>
      </w:tr>
      <w:tr w:rsidR="00DF1AD1" w:rsidRPr="00F21F7A" w14:paraId="6F08D115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7EE0A13E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14</w:t>
            </w:r>
          </w:p>
        </w:tc>
        <w:tc>
          <w:tcPr>
            <w:tcW w:w="552" w:type="dxa"/>
            <w:hideMark/>
          </w:tcPr>
          <w:p w14:paraId="0A96C60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Yoong et al., 2024</w:t>
            </w:r>
          </w:p>
        </w:tc>
        <w:tc>
          <w:tcPr>
            <w:tcW w:w="772" w:type="dxa"/>
            <w:hideMark/>
          </w:tcPr>
          <w:p w14:paraId="5536DF37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Experiences of older adults participating in dance exergames (systematic review)</w:t>
            </w:r>
          </w:p>
        </w:tc>
        <w:tc>
          <w:tcPr>
            <w:tcW w:w="1437" w:type="dxa"/>
            <w:hideMark/>
          </w:tcPr>
          <w:p w14:paraId="351E2C6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ScienceDirect Review</w:t>
            </w:r>
          </w:p>
        </w:tc>
        <w:tc>
          <w:tcPr>
            <w:tcW w:w="2652" w:type="dxa"/>
            <w:hideMark/>
          </w:tcPr>
          <w:p w14:paraId="619B3D91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7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https://doi.org/10.1016/j.ijnurstu.2024.104696</w:t>
              </w:r>
            </w:hyperlink>
          </w:p>
          <w:p w14:paraId="1B95DA11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5EDB715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Systematic review &amp; meta-synthesis</w:t>
            </w:r>
          </w:p>
        </w:tc>
        <w:tc>
          <w:tcPr>
            <w:tcW w:w="0" w:type="auto"/>
            <w:hideMark/>
          </w:tcPr>
          <w:p w14:paraId="239865D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Older adults use dance exergames</w:t>
            </w:r>
          </w:p>
        </w:tc>
        <w:tc>
          <w:tcPr>
            <w:tcW w:w="0" w:type="auto"/>
            <w:hideMark/>
          </w:tcPr>
          <w:p w14:paraId="28886C6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Physical function measures</w:t>
            </w:r>
          </w:p>
        </w:tc>
        <w:tc>
          <w:tcPr>
            <w:tcW w:w="0" w:type="auto"/>
            <w:hideMark/>
          </w:tcPr>
          <w:p w14:paraId="14B4AB0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Body awareness, movement quality</w:t>
            </w:r>
          </w:p>
        </w:tc>
        <w:tc>
          <w:tcPr>
            <w:tcW w:w="0" w:type="auto"/>
            <w:hideMark/>
          </w:tcPr>
          <w:p w14:paraId="7212EB8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Participants appreciate physical, cognitive, psychological benefits</w:t>
            </w:r>
          </w:p>
        </w:tc>
        <w:tc>
          <w:tcPr>
            <w:tcW w:w="0" w:type="auto"/>
            <w:hideMark/>
          </w:tcPr>
          <w:p w14:paraId="5AE3C4F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quality</w:t>
            </w:r>
          </w:p>
        </w:tc>
      </w:tr>
      <w:tr w:rsidR="00DF1AD1" w:rsidRPr="00F21F7A" w14:paraId="5C67AE25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404A1528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15</w:t>
            </w:r>
          </w:p>
        </w:tc>
        <w:tc>
          <w:tcPr>
            <w:tcW w:w="552" w:type="dxa"/>
            <w:hideMark/>
          </w:tcPr>
          <w:p w14:paraId="751A633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Krampe et al., 2013</w:t>
            </w:r>
          </w:p>
        </w:tc>
        <w:tc>
          <w:tcPr>
            <w:tcW w:w="772" w:type="dxa"/>
            <w:hideMark/>
          </w:tcPr>
          <w:p w14:paraId="105C2978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Exploring the effects of dance-based therapy on balance (pilot RCT)</w:t>
            </w:r>
          </w:p>
        </w:tc>
        <w:tc>
          <w:tcPr>
            <w:tcW w:w="1437" w:type="dxa"/>
            <w:hideMark/>
          </w:tcPr>
          <w:p w14:paraId="3AAF8BF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PubMed indexed pilot RCT</w:t>
            </w:r>
          </w:p>
        </w:tc>
        <w:tc>
          <w:tcPr>
            <w:tcW w:w="2652" w:type="dxa"/>
            <w:hideMark/>
          </w:tcPr>
          <w:p w14:paraId="7B99D62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8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https://doi.org/10.1177/0193945911423266</w:t>
              </w:r>
            </w:hyperlink>
          </w:p>
          <w:p w14:paraId="57BA6CD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25ED5A21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Pilot randomized controlled trial</w:t>
            </w:r>
          </w:p>
        </w:tc>
        <w:tc>
          <w:tcPr>
            <w:tcW w:w="0" w:type="auto"/>
            <w:hideMark/>
          </w:tcPr>
          <w:p w14:paraId="1DA7736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27 older adults, mean age 85 years</w:t>
            </w:r>
          </w:p>
        </w:tc>
        <w:tc>
          <w:tcPr>
            <w:tcW w:w="0" w:type="auto"/>
            <w:hideMark/>
          </w:tcPr>
          <w:p w14:paraId="3C0371A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Balance and mobility measures</w:t>
            </w:r>
          </w:p>
        </w:tc>
        <w:tc>
          <w:tcPr>
            <w:tcW w:w="0" w:type="auto"/>
            <w:hideMark/>
          </w:tcPr>
          <w:p w14:paraId="6B2C5D8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Balance improvement, movement stability</w:t>
            </w:r>
          </w:p>
        </w:tc>
        <w:tc>
          <w:tcPr>
            <w:tcW w:w="0" w:type="auto"/>
            <w:hideMark/>
          </w:tcPr>
          <w:p w14:paraId="200CC48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Improvement in balance and mobility after low-impact dance therapy</w:t>
            </w:r>
          </w:p>
        </w:tc>
        <w:tc>
          <w:tcPr>
            <w:tcW w:w="0" w:type="auto"/>
            <w:hideMark/>
          </w:tcPr>
          <w:p w14:paraId="24DD649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pilot design</w:t>
            </w:r>
          </w:p>
        </w:tc>
      </w:tr>
      <w:tr w:rsidR="00DF1AD1" w:rsidRPr="00F21F7A" w14:paraId="3FB9BF1C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1090A65F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16</w:t>
            </w:r>
          </w:p>
        </w:tc>
        <w:tc>
          <w:tcPr>
            <w:tcW w:w="552" w:type="dxa"/>
            <w:hideMark/>
          </w:tcPr>
          <w:p w14:paraId="184B57B1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Franco et al., 2016</w:t>
            </w:r>
          </w:p>
        </w:tc>
        <w:tc>
          <w:tcPr>
            <w:tcW w:w="772" w:type="dxa"/>
            <w:hideMark/>
          </w:tcPr>
          <w:p w14:paraId="1D6FD83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Effectiveness of Senior Dance on risk factors for falls (randomized clinical trial)</w:t>
            </w:r>
          </w:p>
        </w:tc>
        <w:tc>
          <w:tcPr>
            <w:tcW w:w="1437" w:type="dxa"/>
            <w:hideMark/>
          </w:tcPr>
          <w:p w14:paraId="66C6E204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Journal RCT / PMC</w:t>
            </w:r>
          </w:p>
        </w:tc>
        <w:tc>
          <w:tcPr>
            <w:tcW w:w="2652" w:type="dxa"/>
            <w:hideMark/>
          </w:tcPr>
          <w:p w14:paraId="76D98F16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19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https://doi.org/10.1136/bmjopen-2016-013995</w:t>
              </w:r>
            </w:hyperlink>
          </w:p>
          <w:p w14:paraId="135344D1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7C83C94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Randomized clinical trial</w:t>
            </w:r>
          </w:p>
        </w:tc>
        <w:tc>
          <w:tcPr>
            <w:tcW w:w="0" w:type="auto"/>
            <w:hideMark/>
          </w:tcPr>
          <w:p w14:paraId="66CDDAA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Community-dwelling older adults</w:t>
            </w:r>
          </w:p>
        </w:tc>
        <w:tc>
          <w:tcPr>
            <w:tcW w:w="0" w:type="auto"/>
            <w:hideMark/>
          </w:tcPr>
          <w:p w14:paraId="024ADAB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Fall risk factors, balance assessments</w:t>
            </w:r>
          </w:p>
        </w:tc>
        <w:tc>
          <w:tcPr>
            <w:tcW w:w="0" w:type="auto"/>
            <w:hideMark/>
          </w:tcPr>
          <w:p w14:paraId="0CB57D5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Balance, fall prevention</w:t>
            </w:r>
          </w:p>
        </w:tc>
        <w:tc>
          <w:tcPr>
            <w:tcW w:w="0" w:type="auto"/>
            <w:hideMark/>
          </w:tcPr>
          <w:p w14:paraId="29964ACD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Senior Dance reduces several fall risk factors and improves balance</w:t>
            </w:r>
          </w:p>
        </w:tc>
        <w:tc>
          <w:tcPr>
            <w:tcW w:w="0" w:type="auto"/>
            <w:hideMark/>
          </w:tcPr>
          <w:p w14:paraId="05C05CE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RCT design</w:t>
            </w:r>
          </w:p>
        </w:tc>
      </w:tr>
      <w:tr w:rsidR="00DF1AD1" w:rsidRPr="00F21F7A" w14:paraId="70CCF0F5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53E5708C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17</w:t>
            </w:r>
          </w:p>
        </w:tc>
        <w:tc>
          <w:tcPr>
            <w:tcW w:w="552" w:type="dxa"/>
            <w:hideMark/>
          </w:tcPr>
          <w:p w14:paraId="241B851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Mattle et al., 2020</w:t>
            </w:r>
          </w:p>
        </w:tc>
        <w:tc>
          <w:tcPr>
            <w:tcW w:w="772" w:type="dxa"/>
            <w:hideMark/>
          </w:tcPr>
          <w:p w14:paraId="4ECCF80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Association of Dance-Based Mind-Motor Activities </w:t>
            </w:r>
            <w:proofErr w:type="gram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With</w:t>
            </w:r>
            <w:proofErr w:type="gram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Falls and Physical Function</w:t>
            </w:r>
          </w:p>
        </w:tc>
        <w:tc>
          <w:tcPr>
            <w:tcW w:w="1437" w:type="dxa"/>
            <w:hideMark/>
          </w:tcPr>
          <w:p w14:paraId="2854F5D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JAMA Network Open</w:t>
            </w:r>
          </w:p>
        </w:tc>
        <w:tc>
          <w:tcPr>
            <w:tcW w:w="2652" w:type="dxa"/>
          </w:tcPr>
          <w:p w14:paraId="5E693C1C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20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https://doi.org/10.1001/jamanetworkopen.2020.17688</w:t>
              </w:r>
            </w:hyperlink>
          </w:p>
          <w:p w14:paraId="0633DEAF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0EF29141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Observational meta-analysis</w:t>
            </w:r>
          </w:p>
        </w:tc>
        <w:tc>
          <w:tcPr>
            <w:tcW w:w="0" w:type="auto"/>
            <w:hideMark/>
          </w:tcPr>
          <w:p w14:paraId="0ABB2E80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Healthy older adults from various studies</w:t>
            </w:r>
          </w:p>
        </w:tc>
        <w:tc>
          <w:tcPr>
            <w:tcW w:w="0" w:type="auto"/>
            <w:hideMark/>
          </w:tcPr>
          <w:p w14:paraId="49F3ADB4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Fall risk assessment, physical performance</w:t>
            </w:r>
          </w:p>
        </w:tc>
        <w:tc>
          <w:tcPr>
            <w:tcW w:w="0" w:type="auto"/>
            <w:hideMark/>
          </w:tcPr>
          <w:p w14:paraId="245BBDFD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Balance improvement, fall prevention</w:t>
            </w:r>
          </w:p>
        </w:tc>
        <w:tc>
          <w:tcPr>
            <w:tcW w:w="0" w:type="auto"/>
            <w:hideMark/>
          </w:tcPr>
          <w:p w14:paraId="6E946674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Dance-based mind-motor activities reduce fall risk</w:t>
            </w:r>
          </w:p>
        </w:tc>
        <w:tc>
          <w:tcPr>
            <w:tcW w:w="0" w:type="auto"/>
            <w:hideMark/>
          </w:tcPr>
          <w:p w14:paraId="4E2B5E49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Moderate quality</w:t>
            </w:r>
          </w:p>
        </w:tc>
      </w:tr>
      <w:tr w:rsidR="00DF1AD1" w:rsidRPr="00F21F7A" w14:paraId="2BD2515C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0144CA10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18</w:t>
            </w:r>
          </w:p>
        </w:tc>
        <w:tc>
          <w:tcPr>
            <w:tcW w:w="552" w:type="dxa"/>
            <w:hideMark/>
          </w:tcPr>
          <w:p w14:paraId="4708806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Waugh et al., 2024</w:t>
            </w:r>
          </w:p>
        </w:tc>
        <w:tc>
          <w:tcPr>
            <w:tcW w:w="772" w:type="dxa"/>
            <w:hideMark/>
          </w:tcPr>
          <w:p w14:paraId="2C320EC3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The use of dance to improve health and wellbeing of older adults: global scoping review</w:t>
            </w:r>
          </w:p>
        </w:tc>
        <w:tc>
          <w:tcPr>
            <w:tcW w:w="1437" w:type="dxa"/>
            <w:hideMark/>
          </w:tcPr>
          <w:p w14:paraId="176D280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PLOS ONE</w:t>
            </w:r>
          </w:p>
        </w:tc>
        <w:tc>
          <w:tcPr>
            <w:tcW w:w="2652" w:type="dxa"/>
            <w:hideMark/>
          </w:tcPr>
          <w:p w14:paraId="51A48E0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21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https://doi.org/10.1371/journal.pone.0311889</w:t>
              </w:r>
            </w:hyperlink>
          </w:p>
          <w:p w14:paraId="30EA3A7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24D2252D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Scoping review</w:t>
            </w:r>
          </w:p>
        </w:tc>
        <w:tc>
          <w:tcPr>
            <w:tcW w:w="0" w:type="auto"/>
            <w:hideMark/>
          </w:tcPr>
          <w:p w14:paraId="2CE8F46F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Older adults from various dance programs globally</w:t>
            </w:r>
          </w:p>
        </w:tc>
        <w:tc>
          <w:tcPr>
            <w:tcW w:w="0" w:type="auto"/>
            <w:hideMark/>
          </w:tcPr>
          <w:p w14:paraId="7FF60BE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Physical function measures, balance assessments</w:t>
            </w:r>
          </w:p>
        </w:tc>
        <w:tc>
          <w:tcPr>
            <w:tcW w:w="0" w:type="auto"/>
            <w:hideMark/>
          </w:tcPr>
          <w:p w14:paraId="1D349FD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Body awareness, movement quality</w:t>
            </w:r>
          </w:p>
        </w:tc>
        <w:tc>
          <w:tcPr>
            <w:tcW w:w="0" w:type="auto"/>
            <w:hideMark/>
          </w:tcPr>
          <w:p w14:paraId="06E52160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Dance shows benefits across physical, cognitive, and social domains</w:t>
            </w:r>
          </w:p>
        </w:tc>
        <w:tc>
          <w:tcPr>
            <w:tcW w:w="0" w:type="auto"/>
            <w:hideMark/>
          </w:tcPr>
          <w:p w14:paraId="1F3E15AD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methodology</w:t>
            </w:r>
          </w:p>
        </w:tc>
      </w:tr>
      <w:tr w:rsidR="00DF1AD1" w:rsidRPr="00F21F7A" w14:paraId="44292856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3E880326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lastRenderedPageBreak/>
              <w:t>19</w:t>
            </w:r>
          </w:p>
        </w:tc>
        <w:tc>
          <w:tcPr>
            <w:tcW w:w="552" w:type="dxa"/>
            <w:hideMark/>
          </w:tcPr>
          <w:p w14:paraId="02EDA2A6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Green et al., 2024</w:t>
            </w:r>
          </w:p>
        </w:tc>
        <w:tc>
          <w:tcPr>
            <w:tcW w:w="772" w:type="dxa"/>
            <w:hideMark/>
          </w:tcPr>
          <w:p w14:paraId="7185659C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Effectiveness of dance interventions for falls prevention: systematic review</w:t>
            </w:r>
          </w:p>
        </w:tc>
        <w:tc>
          <w:tcPr>
            <w:tcW w:w="1437" w:type="dxa"/>
            <w:hideMark/>
          </w:tcPr>
          <w:p w14:paraId="2598116E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Age and Aging</w:t>
            </w:r>
          </w:p>
        </w:tc>
        <w:tc>
          <w:tcPr>
            <w:tcW w:w="2652" w:type="dxa"/>
            <w:hideMark/>
          </w:tcPr>
          <w:p w14:paraId="55E167D3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22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https://doi.org/10.1093/ageing/afae104</w:t>
              </w:r>
            </w:hyperlink>
          </w:p>
          <w:p w14:paraId="4358F2B4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4663B031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Systematic review</w:t>
            </w:r>
          </w:p>
        </w:tc>
        <w:tc>
          <w:tcPr>
            <w:tcW w:w="0" w:type="auto"/>
            <w:hideMark/>
          </w:tcPr>
          <w:p w14:paraId="796B289B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Older adults at risk of falls</w:t>
            </w:r>
          </w:p>
        </w:tc>
        <w:tc>
          <w:tcPr>
            <w:tcW w:w="0" w:type="auto"/>
            <w:hideMark/>
          </w:tcPr>
          <w:p w14:paraId="1F01B63A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Fall risk measures, balance assessments</w:t>
            </w:r>
          </w:p>
        </w:tc>
        <w:tc>
          <w:tcPr>
            <w:tcW w:w="0" w:type="auto"/>
            <w:hideMark/>
          </w:tcPr>
          <w:p w14:paraId="1FB8828C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Movement stability, spatial orientation</w:t>
            </w:r>
          </w:p>
        </w:tc>
        <w:tc>
          <w:tcPr>
            <w:tcW w:w="0" w:type="auto"/>
            <w:hideMark/>
          </w:tcPr>
          <w:p w14:paraId="04750689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Some dance interventions reduce fall </w:t>
            </w:r>
            <w:proofErr w:type="gram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risk,</w:t>
            </w:r>
            <w:proofErr w:type="gram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effectiveness varies by style</w:t>
            </w:r>
          </w:p>
        </w:tc>
        <w:tc>
          <w:tcPr>
            <w:tcW w:w="0" w:type="auto"/>
            <w:hideMark/>
          </w:tcPr>
          <w:p w14:paraId="188868CC" w14:textId="77777777" w:rsidR="00DF1AD1" w:rsidRPr="00F21F7A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Moderate quality</w:t>
            </w:r>
          </w:p>
        </w:tc>
      </w:tr>
      <w:tr w:rsidR="00DF1AD1" w:rsidRPr="00F21F7A" w14:paraId="4195AAF0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" w:type="dxa"/>
            <w:hideMark/>
          </w:tcPr>
          <w:p w14:paraId="79FD36FE" w14:textId="77777777" w:rsidR="00DF1AD1" w:rsidRPr="00F21F7A" w:rsidRDefault="00DF1AD1" w:rsidP="00371E75">
            <w:pPr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20</w:t>
            </w:r>
          </w:p>
        </w:tc>
        <w:tc>
          <w:tcPr>
            <w:tcW w:w="552" w:type="dxa"/>
            <w:hideMark/>
          </w:tcPr>
          <w:p w14:paraId="0233A09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Fonseca et al., 2025</w:t>
            </w:r>
          </w:p>
        </w:tc>
        <w:tc>
          <w:tcPr>
            <w:tcW w:w="772" w:type="dxa"/>
            <w:hideMark/>
          </w:tcPr>
          <w:p w14:paraId="11A5881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Effect of dance interventions on well-being dimensions in older adults: systematic review</w:t>
            </w:r>
          </w:p>
        </w:tc>
        <w:tc>
          <w:tcPr>
            <w:tcW w:w="1437" w:type="dxa"/>
            <w:hideMark/>
          </w:tcPr>
          <w:p w14:paraId="1661D6A3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Frontiers in Sports and Active Living</w:t>
            </w:r>
          </w:p>
        </w:tc>
        <w:tc>
          <w:tcPr>
            <w:tcW w:w="2652" w:type="dxa"/>
            <w:hideMark/>
          </w:tcPr>
          <w:p w14:paraId="4273E941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hyperlink r:id="rId23" w:history="1">
              <w:r w:rsidRPr="00F21F7A">
                <w:rPr>
                  <w:rFonts w:ascii="Times New Roman" w:eastAsia="Calibri" w:hAnsi="Times New Roman" w:cs="Times New Roman"/>
                  <w:color w:val="0000FF"/>
                  <w:spacing w:val="2"/>
                  <w:sz w:val="18"/>
                  <w:szCs w:val="18"/>
                  <w:u w:val="single"/>
                </w:rPr>
                <w:t>https://doi.org/10.3389/fspor.2025.1594754</w:t>
              </w:r>
            </w:hyperlink>
          </w:p>
          <w:p w14:paraId="73C84BB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</w:p>
        </w:tc>
        <w:tc>
          <w:tcPr>
            <w:tcW w:w="847" w:type="dxa"/>
            <w:hideMark/>
          </w:tcPr>
          <w:p w14:paraId="660E656E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Systematic review</w:t>
            </w:r>
          </w:p>
        </w:tc>
        <w:tc>
          <w:tcPr>
            <w:tcW w:w="0" w:type="auto"/>
            <w:hideMark/>
          </w:tcPr>
          <w:p w14:paraId="515609CC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Older adults from various programs</w:t>
            </w:r>
          </w:p>
        </w:tc>
        <w:tc>
          <w:tcPr>
            <w:tcW w:w="0" w:type="auto"/>
            <w:hideMark/>
          </w:tcPr>
          <w:p w14:paraId="6CC2B2F8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Well-being measures, physical assessments</w:t>
            </w:r>
          </w:p>
        </w:tc>
        <w:tc>
          <w:tcPr>
            <w:tcW w:w="0" w:type="auto"/>
            <w:hideMark/>
          </w:tcPr>
          <w:p w14:paraId="0458C876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Body perception, movement awareness</w:t>
            </w:r>
          </w:p>
        </w:tc>
        <w:tc>
          <w:tcPr>
            <w:tcW w:w="0" w:type="auto"/>
            <w:hideMark/>
          </w:tcPr>
          <w:p w14:paraId="5D0F0DCA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Dance provides benefits </w:t>
            </w:r>
            <w:proofErr w:type="gramStart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across</w:t>
            </w:r>
            <w:proofErr w:type="gramEnd"/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 xml:space="preserve"> physical, emotional, cognitive, social well-being</w:t>
            </w:r>
          </w:p>
        </w:tc>
        <w:tc>
          <w:tcPr>
            <w:tcW w:w="0" w:type="auto"/>
            <w:hideMark/>
          </w:tcPr>
          <w:p w14:paraId="2590DDB2" w14:textId="77777777" w:rsidR="00DF1AD1" w:rsidRPr="00F21F7A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</w:pPr>
            <w:r w:rsidRPr="00F21F7A">
              <w:rPr>
                <w:rFonts w:ascii="Times New Roman" w:eastAsia="Calibri" w:hAnsi="Times New Roman" w:cs="Times New Roman"/>
                <w:spacing w:val="2"/>
                <w:sz w:val="18"/>
                <w:szCs w:val="18"/>
              </w:rPr>
              <w:t>Good quality</w:t>
            </w:r>
          </w:p>
        </w:tc>
      </w:tr>
    </w:tbl>
    <w:p w14:paraId="25CB98A6" w14:textId="77777777" w:rsidR="00DF1AD1" w:rsidRPr="0000078C" w:rsidRDefault="00DF1AD1" w:rsidP="00DF1AD1">
      <w:pPr>
        <w:spacing w:after="0" w:line="360" w:lineRule="auto"/>
        <w:jc w:val="both"/>
        <w:rPr>
          <w:rFonts w:ascii="Times New Roman" w:hAnsi="Times New Roman" w:cs="Times New Roman"/>
        </w:rPr>
        <w:sectPr w:rsidR="00DF1AD1" w:rsidRPr="0000078C" w:rsidSect="00DF1AD1">
          <w:pgSz w:w="16840" w:h="11907" w:orient="landscape" w:code="9"/>
          <w:pgMar w:top="720" w:right="720" w:bottom="720" w:left="720" w:header="720" w:footer="720" w:gutter="0"/>
          <w:cols w:space="708"/>
          <w:docGrid w:linePitch="360"/>
        </w:sectPr>
      </w:pPr>
    </w:p>
    <w:p w14:paraId="0EABDB85" w14:textId="77777777" w:rsidR="00DF1AD1" w:rsidRPr="0000078C" w:rsidRDefault="00DF1AD1" w:rsidP="00DF1AD1">
      <w:pPr>
        <w:spacing w:after="0" w:line="360" w:lineRule="auto"/>
        <w:ind w:left="567" w:hanging="567"/>
        <w:jc w:val="both"/>
        <w:rPr>
          <w:rFonts w:ascii="Times New Roman" w:hAnsi="Times New Roman" w:cs="Times New Roman"/>
          <w:b/>
          <w:bCs/>
        </w:rPr>
      </w:pPr>
      <w:r w:rsidRPr="0000078C">
        <w:rPr>
          <w:rFonts w:ascii="Times New Roman" w:hAnsi="Times New Roman" w:cs="Times New Roman"/>
          <w:b/>
          <w:bCs/>
        </w:rPr>
        <w:lastRenderedPageBreak/>
        <w:t>Appendix B RISMA-</w:t>
      </w:r>
      <w:proofErr w:type="spellStart"/>
      <w:r w:rsidRPr="0000078C">
        <w:rPr>
          <w:rFonts w:ascii="Times New Roman" w:hAnsi="Times New Roman" w:cs="Times New Roman"/>
          <w:b/>
          <w:bCs/>
        </w:rPr>
        <w:t>ScR</w:t>
      </w:r>
      <w:proofErr w:type="spellEnd"/>
      <w:r w:rsidRPr="0000078C">
        <w:rPr>
          <w:rFonts w:ascii="Times New Roman" w:hAnsi="Times New Roman" w:cs="Times New Roman"/>
          <w:b/>
          <w:bCs/>
        </w:rPr>
        <w:t xml:space="preserve"> Compliance Checklist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704"/>
        <w:gridCol w:w="4293"/>
        <w:gridCol w:w="2386"/>
        <w:gridCol w:w="3084"/>
      </w:tblGrid>
      <w:tr w:rsidR="00DF1AD1" w:rsidRPr="0000078C" w14:paraId="3827C968" w14:textId="77777777" w:rsidTr="00371E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112E2B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Item</w:t>
            </w:r>
          </w:p>
        </w:tc>
        <w:tc>
          <w:tcPr>
            <w:tcW w:w="4293" w:type="dxa"/>
            <w:hideMark/>
          </w:tcPr>
          <w:p w14:paraId="182511F2" w14:textId="77777777" w:rsidR="00DF1AD1" w:rsidRPr="0000078C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PRISMA-</w:t>
            </w:r>
            <w:proofErr w:type="spellStart"/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ScR</w:t>
            </w:r>
            <w:proofErr w:type="spellEnd"/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 xml:space="preserve"> Item</w:t>
            </w:r>
          </w:p>
        </w:tc>
        <w:tc>
          <w:tcPr>
            <w:tcW w:w="2386" w:type="dxa"/>
            <w:hideMark/>
          </w:tcPr>
          <w:p w14:paraId="612E4129" w14:textId="77777777" w:rsidR="00DF1AD1" w:rsidRPr="0000078C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Compliance Status</w:t>
            </w:r>
          </w:p>
        </w:tc>
        <w:tc>
          <w:tcPr>
            <w:tcW w:w="0" w:type="auto"/>
            <w:hideMark/>
          </w:tcPr>
          <w:p w14:paraId="4686B057" w14:textId="77777777" w:rsidR="00DF1AD1" w:rsidRPr="0000078C" w:rsidRDefault="00DF1AD1" w:rsidP="00371E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Location in Manuscript</w:t>
            </w:r>
          </w:p>
        </w:tc>
      </w:tr>
      <w:tr w:rsidR="00DF1AD1" w:rsidRPr="0000078C" w14:paraId="5D776827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665F6A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</w:t>
            </w:r>
          </w:p>
        </w:tc>
        <w:tc>
          <w:tcPr>
            <w:tcW w:w="4293" w:type="dxa"/>
            <w:hideMark/>
          </w:tcPr>
          <w:p w14:paraId="17674E09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Title</w:t>
            </w:r>
          </w:p>
        </w:tc>
        <w:tc>
          <w:tcPr>
            <w:tcW w:w="2386" w:type="dxa"/>
            <w:hideMark/>
          </w:tcPr>
          <w:p w14:paraId="712971A7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5DFA1152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Title page</w:t>
            </w:r>
          </w:p>
        </w:tc>
      </w:tr>
      <w:tr w:rsidR="00DF1AD1" w:rsidRPr="0000078C" w14:paraId="7FE3E6C0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8E3998D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2</w:t>
            </w:r>
          </w:p>
        </w:tc>
        <w:tc>
          <w:tcPr>
            <w:tcW w:w="4293" w:type="dxa"/>
            <w:hideMark/>
          </w:tcPr>
          <w:p w14:paraId="5E8699F3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Structured summary (abstract)</w:t>
            </w:r>
          </w:p>
        </w:tc>
        <w:tc>
          <w:tcPr>
            <w:tcW w:w="2386" w:type="dxa"/>
            <w:hideMark/>
          </w:tcPr>
          <w:p w14:paraId="6CCCF669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0E161302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Abstract</w:t>
            </w:r>
          </w:p>
        </w:tc>
      </w:tr>
      <w:tr w:rsidR="00DF1AD1" w:rsidRPr="0000078C" w14:paraId="481B5E73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184856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3</w:t>
            </w:r>
          </w:p>
        </w:tc>
        <w:tc>
          <w:tcPr>
            <w:tcW w:w="4293" w:type="dxa"/>
            <w:hideMark/>
          </w:tcPr>
          <w:p w14:paraId="6F9BFD5B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Rationale</w:t>
            </w:r>
          </w:p>
        </w:tc>
        <w:tc>
          <w:tcPr>
            <w:tcW w:w="2386" w:type="dxa"/>
            <w:hideMark/>
          </w:tcPr>
          <w:p w14:paraId="4E537E66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7424F015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Introduction, 1–2</w:t>
            </w:r>
          </w:p>
        </w:tc>
      </w:tr>
      <w:tr w:rsidR="00DF1AD1" w:rsidRPr="0000078C" w14:paraId="30AA942D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032F54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4</w:t>
            </w:r>
          </w:p>
        </w:tc>
        <w:tc>
          <w:tcPr>
            <w:tcW w:w="4293" w:type="dxa"/>
            <w:hideMark/>
          </w:tcPr>
          <w:p w14:paraId="5E3B8347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Objectives</w:t>
            </w:r>
          </w:p>
        </w:tc>
        <w:tc>
          <w:tcPr>
            <w:tcW w:w="2386" w:type="dxa"/>
            <w:hideMark/>
          </w:tcPr>
          <w:p w14:paraId="2C282BDC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1C27746F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Introduction, 3</w:t>
            </w:r>
          </w:p>
        </w:tc>
      </w:tr>
      <w:tr w:rsidR="00DF1AD1" w:rsidRPr="0000078C" w14:paraId="7F9342DB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0351A0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5</w:t>
            </w:r>
          </w:p>
        </w:tc>
        <w:tc>
          <w:tcPr>
            <w:tcW w:w="4293" w:type="dxa"/>
            <w:hideMark/>
          </w:tcPr>
          <w:p w14:paraId="695F2158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Protocol and registration</w:t>
            </w:r>
          </w:p>
        </w:tc>
        <w:tc>
          <w:tcPr>
            <w:tcW w:w="2386" w:type="dxa"/>
            <w:hideMark/>
          </w:tcPr>
          <w:p w14:paraId="018F0BFB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(OSF registration)</w:t>
            </w:r>
          </w:p>
        </w:tc>
        <w:tc>
          <w:tcPr>
            <w:tcW w:w="0" w:type="auto"/>
            <w:hideMark/>
          </w:tcPr>
          <w:p w14:paraId="67CB5BF2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“Protocol and Registration”</w:t>
            </w:r>
          </w:p>
        </w:tc>
      </w:tr>
      <w:tr w:rsidR="00DF1AD1" w:rsidRPr="0000078C" w14:paraId="64389104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78BF19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6</w:t>
            </w:r>
          </w:p>
        </w:tc>
        <w:tc>
          <w:tcPr>
            <w:tcW w:w="4293" w:type="dxa"/>
            <w:hideMark/>
          </w:tcPr>
          <w:p w14:paraId="6647FF84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Eligibility criteria</w:t>
            </w:r>
          </w:p>
        </w:tc>
        <w:tc>
          <w:tcPr>
            <w:tcW w:w="2386" w:type="dxa"/>
            <w:hideMark/>
          </w:tcPr>
          <w:p w14:paraId="73225832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(Table 1)</w:t>
            </w:r>
          </w:p>
        </w:tc>
        <w:tc>
          <w:tcPr>
            <w:tcW w:w="0" w:type="auto"/>
            <w:hideMark/>
          </w:tcPr>
          <w:p w14:paraId="079E6FED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“Inclusion and Exclusion Criteria”</w:t>
            </w:r>
          </w:p>
        </w:tc>
      </w:tr>
      <w:tr w:rsidR="00DF1AD1" w:rsidRPr="0000078C" w14:paraId="00BCAD0D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202FF3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7</w:t>
            </w:r>
          </w:p>
        </w:tc>
        <w:tc>
          <w:tcPr>
            <w:tcW w:w="4293" w:type="dxa"/>
            <w:hideMark/>
          </w:tcPr>
          <w:p w14:paraId="12DC73E4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Information sources</w:t>
            </w:r>
          </w:p>
        </w:tc>
        <w:tc>
          <w:tcPr>
            <w:tcW w:w="2386" w:type="dxa"/>
            <w:hideMark/>
          </w:tcPr>
          <w:p w14:paraId="2E56B9E9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5026EF71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“Literacy Search Strategy”</w:t>
            </w:r>
          </w:p>
        </w:tc>
      </w:tr>
      <w:tr w:rsidR="00DF1AD1" w:rsidRPr="0000078C" w14:paraId="12FAD9EF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478DE2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8</w:t>
            </w:r>
          </w:p>
        </w:tc>
        <w:tc>
          <w:tcPr>
            <w:tcW w:w="4293" w:type="dxa"/>
            <w:hideMark/>
          </w:tcPr>
          <w:p w14:paraId="111AFFDB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Search</w:t>
            </w:r>
          </w:p>
        </w:tc>
        <w:tc>
          <w:tcPr>
            <w:tcW w:w="2386" w:type="dxa"/>
            <w:hideMark/>
          </w:tcPr>
          <w:p w14:paraId="53D630F3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(Appendix A)</w:t>
            </w:r>
          </w:p>
        </w:tc>
        <w:tc>
          <w:tcPr>
            <w:tcW w:w="0" w:type="auto"/>
            <w:hideMark/>
          </w:tcPr>
          <w:p w14:paraId="5B20C38D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“Literature Search Strategy”</w:t>
            </w:r>
          </w:p>
        </w:tc>
      </w:tr>
      <w:tr w:rsidR="00DF1AD1" w:rsidRPr="0000078C" w14:paraId="2AA59EFF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8753E8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9</w:t>
            </w:r>
          </w:p>
        </w:tc>
        <w:tc>
          <w:tcPr>
            <w:tcW w:w="4293" w:type="dxa"/>
            <w:hideMark/>
          </w:tcPr>
          <w:p w14:paraId="2EAAB9F5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Selection of sources of evidence</w:t>
            </w:r>
          </w:p>
        </w:tc>
        <w:tc>
          <w:tcPr>
            <w:tcW w:w="2386" w:type="dxa"/>
            <w:hideMark/>
          </w:tcPr>
          <w:p w14:paraId="66ACBB33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(Figure 3)</w:t>
            </w:r>
          </w:p>
        </w:tc>
        <w:tc>
          <w:tcPr>
            <w:tcW w:w="0" w:type="auto"/>
            <w:hideMark/>
          </w:tcPr>
          <w:p w14:paraId="0B969382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Results, “Study Selection Process”</w:t>
            </w:r>
          </w:p>
        </w:tc>
      </w:tr>
      <w:tr w:rsidR="00DF1AD1" w:rsidRPr="0000078C" w14:paraId="7878251E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D15C07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10</w:t>
            </w:r>
          </w:p>
        </w:tc>
        <w:tc>
          <w:tcPr>
            <w:tcW w:w="4293" w:type="dxa"/>
            <w:hideMark/>
          </w:tcPr>
          <w:p w14:paraId="30C445A5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Data charting process</w:t>
            </w:r>
          </w:p>
        </w:tc>
        <w:tc>
          <w:tcPr>
            <w:tcW w:w="2386" w:type="dxa"/>
            <w:hideMark/>
          </w:tcPr>
          <w:p w14:paraId="74B0A142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(Appendix B)</w:t>
            </w:r>
          </w:p>
        </w:tc>
        <w:tc>
          <w:tcPr>
            <w:tcW w:w="0" w:type="auto"/>
            <w:hideMark/>
          </w:tcPr>
          <w:p w14:paraId="37274468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“Data Extraction”</w:t>
            </w:r>
          </w:p>
        </w:tc>
      </w:tr>
      <w:tr w:rsidR="00DF1AD1" w:rsidRPr="0000078C" w14:paraId="62658DBD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34D9D9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11</w:t>
            </w:r>
          </w:p>
        </w:tc>
        <w:tc>
          <w:tcPr>
            <w:tcW w:w="4293" w:type="dxa"/>
            <w:hideMark/>
          </w:tcPr>
          <w:p w14:paraId="6A962DAD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Data items</w:t>
            </w:r>
          </w:p>
        </w:tc>
        <w:tc>
          <w:tcPr>
            <w:tcW w:w="2386" w:type="dxa"/>
            <w:hideMark/>
          </w:tcPr>
          <w:p w14:paraId="1E632981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5D3C03AB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“Data Extraction”</w:t>
            </w:r>
          </w:p>
        </w:tc>
      </w:tr>
      <w:tr w:rsidR="00DF1AD1" w:rsidRPr="0000078C" w14:paraId="3C6B7E8E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FB6499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12</w:t>
            </w:r>
          </w:p>
        </w:tc>
        <w:tc>
          <w:tcPr>
            <w:tcW w:w="4293" w:type="dxa"/>
            <w:hideMark/>
          </w:tcPr>
          <w:p w14:paraId="034F32BA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Critical appraisal of individual sources of evidence</w:t>
            </w:r>
          </w:p>
        </w:tc>
        <w:tc>
          <w:tcPr>
            <w:tcW w:w="2386" w:type="dxa"/>
            <w:hideMark/>
          </w:tcPr>
          <w:p w14:paraId="1059C7D7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(Table 3)</w:t>
            </w:r>
          </w:p>
        </w:tc>
        <w:tc>
          <w:tcPr>
            <w:tcW w:w="0" w:type="auto"/>
            <w:hideMark/>
          </w:tcPr>
          <w:p w14:paraId="5F543469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“Quality Assessment”</w:t>
            </w:r>
          </w:p>
        </w:tc>
      </w:tr>
      <w:tr w:rsidR="00DF1AD1" w:rsidRPr="0000078C" w14:paraId="63895CE4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E2E255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13</w:t>
            </w:r>
          </w:p>
        </w:tc>
        <w:tc>
          <w:tcPr>
            <w:tcW w:w="4293" w:type="dxa"/>
            <w:hideMark/>
          </w:tcPr>
          <w:p w14:paraId="55119B10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Synthesis of results</w:t>
            </w:r>
          </w:p>
        </w:tc>
        <w:tc>
          <w:tcPr>
            <w:tcW w:w="2386" w:type="dxa"/>
            <w:hideMark/>
          </w:tcPr>
          <w:p w14:paraId="1F7699E5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23FAB1F2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Methods, “Data Synthesis”</w:t>
            </w:r>
          </w:p>
        </w:tc>
      </w:tr>
      <w:tr w:rsidR="00DF1AD1" w:rsidRPr="0000078C" w14:paraId="2C412BFE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BD77B6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14</w:t>
            </w:r>
          </w:p>
        </w:tc>
        <w:tc>
          <w:tcPr>
            <w:tcW w:w="4293" w:type="dxa"/>
            <w:hideMark/>
          </w:tcPr>
          <w:p w14:paraId="2AA655A3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Selection of sources of evidence (results)</w:t>
            </w:r>
          </w:p>
        </w:tc>
        <w:tc>
          <w:tcPr>
            <w:tcW w:w="2386" w:type="dxa"/>
            <w:hideMark/>
          </w:tcPr>
          <w:p w14:paraId="4A3023DC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(Figure 3)</w:t>
            </w:r>
          </w:p>
        </w:tc>
        <w:tc>
          <w:tcPr>
            <w:tcW w:w="0" w:type="auto"/>
            <w:hideMark/>
          </w:tcPr>
          <w:p w14:paraId="33DC7A00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Results, “Study Selection Process”</w:t>
            </w:r>
          </w:p>
        </w:tc>
      </w:tr>
      <w:tr w:rsidR="00DF1AD1" w:rsidRPr="0000078C" w14:paraId="25D7B49B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416884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15</w:t>
            </w:r>
          </w:p>
        </w:tc>
        <w:tc>
          <w:tcPr>
            <w:tcW w:w="4293" w:type="dxa"/>
            <w:hideMark/>
          </w:tcPr>
          <w:p w14:paraId="77538776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Characteristics of sources of evidence</w:t>
            </w:r>
          </w:p>
        </w:tc>
        <w:tc>
          <w:tcPr>
            <w:tcW w:w="2386" w:type="dxa"/>
            <w:hideMark/>
          </w:tcPr>
          <w:p w14:paraId="5A80AF34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(Table 6)</w:t>
            </w:r>
          </w:p>
        </w:tc>
        <w:tc>
          <w:tcPr>
            <w:tcW w:w="0" w:type="auto"/>
            <w:hideMark/>
          </w:tcPr>
          <w:p w14:paraId="15CE491E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Results, “Characteristics of Included Studies”</w:t>
            </w:r>
          </w:p>
        </w:tc>
      </w:tr>
      <w:tr w:rsidR="00DF1AD1" w:rsidRPr="0000078C" w14:paraId="5D338D57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385455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16</w:t>
            </w:r>
          </w:p>
        </w:tc>
        <w:tc>
          <w:tcPr>
            <w:tcW w:w="4293" w:type="dxa"/>
            <w:hideMark/>
          </w:tcPr>
          <w:p w14:paraId="0F08194C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Critical appraisal within sources of evidence</w:t>
            </w:r>
          </w:p>
        </w:tc>
        <w:tc>
          <w:tcPr>
            <w:tcW w:w="2386" w:type="dxa"/>
            <w:hideMark/>
          </w:tcPr>
          <w:p w14:paraId="44BF38F9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(Table 3)</w:t>
            </w:r>
          </w:p>
        </w:tc>
        <w:tc>
          <w:tcPr>
            <w:tcW w:w="0" w:type="auto"/>
            <w:hideMark/>
          </w:tcPr>
          <w:p w14:paraId="76F9836B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Results, “Characteristics of Included Studies”</w:t>
            </w:r>
          </w:p>
        </w:tc>
      </w:tr>
      <w:tr w:rsidR="00DF1AD1" w:rsidRPr="0000078C" w14:paraId="02629B5B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C22AFC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17</w:t>
            </w:r>
          </w:p>
        </w:tc>
        <w:tc>
          <w:tcPr>
            <w:tcW w:w="4293" w:type="dxa"/>
            <w:hideMark/>
          </w:tcPr>
          <w:p w14:paraId="3CF7B9FF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Results of individual sources of evidence</w:t>
            </w:r>
          </w:p>
        </w:tc>
        <w:tc>
          <w:tcPr>
            <w:tcW w:w="2386" w:type="dxa"/>
            <w:hideMark/>
          </w:tcPr>
          <w:p w14:paraId="06A74B2D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(Table 9)</w:t>
            </w:r>
          </w:p>
        </w:tc>
        <w:tc>
          <w:tcPr>
            <w:tcW w:w="0" w:type="auto"/>
            <w:hideMark/>
          </w:tcPr>
          <w:p w14:paraId="5AFBA129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Results, “Summary of Individual Study Results”</w:t>
            </w:r>
          </w:p>
        </w:tc>
      </w:tr>
      <w:tr w:rsidR="00DF1AD1" w:rsidRPr="0000078C" w14:paraId="5231D901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EEB665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18</w:t>
            </w:r>
          </w:p>
        </w:tc>
        <w:tc>
          <w:tcPr>
            <w:tcW w:w="4293" w:type="dxa"/>
            <w:hideMark/>
          </w:tcPr>
          <w:p w14:paraId="2FD80D59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Synthesis of results (results)</w:t>
            </w:r>
          </w:p>
        </w:tc>
        <w:tc>
          <w:tcPr>
            <w:tcW w:w="2386" w:type="dxa"/>
            <w:hideMark/>
          </w:tcPr>
          <w:p w14:paraId="0E84D2D9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(Table 8; thematic narrative)</w:t>
            </w:r>
          </w:p>
        </w:tc>
        <w:tc>
          <w:tcPr>
            <w:tcW w:w="0" w:type="auto"/>
            <w:hideMark/>
          </w:tcPr>
          <w:p w14:paraId="18997533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Results, “Main Thematic Findings”</w:t>
            </w:r>
          </w:p>
        </w:tc>
      </w:tr>
      <w:tr w:rsidR="00DF1AD1" w:rsidRPr="0000078C" w14:paraId="508C96EE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5ECD09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19</w:t>
            </w:r>
          </w:p>
        </w:tc>
        <w:tc>
          <w:tcPr>
            <w:tcW w:w="4293" w:type="dxa"/>
            <w:hideMark/>
          </w:tcPr>
          <w:p w14:paraId="18ECABA9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Reporting bias assessment</w:t>
            </w:r>
          </w:p>
        </w:tc>
        <w:tc>
          <w:tcPr>
            <w:tcW w:w="2386" w:type="dxa"/>
            <w:hideMark/>
          </w:tcPr>
          <w:p w14:paraId="4A82409F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Segoe UI Emoji" w:eastAsia="Times New Roman" w:hAnsi="Segoe UI Emoji" w:cs="Segoe UI Emoji"/>
                <w:spacing w:val="2"/>
                <w:kern w:val="0"/>
                <w14:ligatures w14:val="none"/>
              </w:rPr>
              <w:t>⚠️</w:t>
            </w: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Partially addressed (Limitations)</w:t>
            </w:r>
          </w:p>
        </w:tc>
        <w:tc>
          <w:tcPr>
            <w:tcW w:w="0" w:type="auto"/>
            <w:hideMark/>
          </w:tcPr>
          <w:p w14:paraId="01F5DF85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Discussion, “Limitations”</w:t>
            </w:r>
          </w:p>
        </w:tc>
      </w:tr>
      <w:tr w:rsidR="00DF1AD1" w:rsidRPr="0000078C" w14:paraId="682D6D7E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870959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20</w:t>
            </w:r>
          </w:p>
        </w:tc>
        <w:tc>
          <w:tcPr>
            <w:tcW w:w="4293" w:type="dxa"/>
            <w:hideMark/>
          </w:tcPr>
          <w:p w14:paraId="237E607E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Summary of evidence</w:t>
            </w:r>
          </w:p>
        </w:tc>
        <w:tc>
          <w:tcPr>
            <w:tcW w:w="2386" w:type="dxa"/>
            <w:hideMark/>
          </w:tcPr>
          <w:p w14:paraId="42488E5A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7489DE98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Discussion,</w:t>
            </w:r>
          </w:p>
        </w:tc>
      </w:tr>
      <w:tr w:rsidR="00DF1AD1" w:rsidRPr="0000078C" w14:paraId="3F93D4E5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CE79C7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21</w:t>
            </w:r>
          </w:p>
        </w:tc>
        <w:tc>
          <w:tcPr>
            <w:tcW w:w="4293" w:type="dxa"/>
            <w:hideMark/>
          </w:tcPr>
          <w:p w14:paraId="59229C8F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Limitations</w:t>
            </w:r>
          </w:p>
        </w:tc>
        <w:tc>
          <w:tcPr>
            <w:tcW w:w="2386" w:type="dxa"/>
            <w:hideMark/>
          </w:tcPr>
          <w:p w14:paraId="1FDD0EEA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7E91EF3C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Discussion, “Limitations”</w:t>
            </w:r>
          </w:p>
        </w:tc>
      </w:tr>
      <w:tr w:rsidR="00DF1AD1" w:rsidRPr="0000078C" w14:paraId="1016E083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5B3806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22</w:t>
            </w:r>
          </w:p>
        </w:tc>
        <w:tc>
          <w:tcPr>
            <w:tcW w:w="4293" w:type="dxa"/>
            <w:hideMark/>
          </w:tcPr>
          <w:p w14:paraId="3781080F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Conclusions and implications</w:t>
            </w:r>
          </w:p>
        </w:tc>
        <w:tc>
          <w:tcPr>
            <w:tcW w:w="2386" w:type="dxa"/>
            <w:hideMark/>
          </w:tcPr>
          <w:p w14:paraId="6C1F0508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7D10FF16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Conclusion</w:t>
            </w:r>
          </w:p>
        </w:tc>
      </w:tr>
      <w:tr w:rsidR="00DF1AD1" w:rsidRPr="0000078C" w14:paraId="7891BBFF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AFBC42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23</w:t>
            </w:r>
          </w:p>
        </w:tc>
        <w:tc>
          <w:tcPr>
            <w:tcW w:w="4293" w:type="dxa"/>
            <w:hideMark/>
          </w:tcPr>
          <w:p w14:paraId="68D6126E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Funding</w:t>
            </w:r>
          </w:p>
        </w:tc>
        <w:tc>
          <w:tcPr>
            <w:tcW w:w="2386" w:type="dxa"/>
            <w:hideMark/>
          </w:tcPr>
          <w:p w14:paraId="778DF9B9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1CB22066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Declarations</w:t>
            </w:r>
          </w:p>
        </w:tc>
      </w:tr>
      <w:tr w:rsidR="00DF1AD1" w:rsidRPr="0000078C" w14:paraId="25EC2406" w14:textId="77777777" w:rsidTr="00371E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628C4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24</w:t>
            </w:r>
          </w:p>
        </w:tc>
        <w:tc>
          <w:tcPr>
            <w:tcW w:w="4293" w:type="dxa"/>
            <w:hideMark/>
          </w:tcPr>
          <w:p w14:paraId="5DB695E2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Conflicts of interest</w:t>
            </w:r>
          </w:p>
        </w:tc>
        <w:tc>
          <w:tcPr>
            <w:tcW w:w="2386" w:type="dxa"/>
            <w:hideMark/>
          </w:tcPr>
          <w:p w14:paraId="40A0DF29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</w:t>
            </w:r>
          </w:p>
        </w:tc>
        <w:tc>
          <w:tcPr>
            <w:tcW w:w="0" w:type="auto"/>
            <w:hideMark/>
          </w:tcPr>
          <w:p w14:paraId="769DFC7C" w14:textId="77777777" w:rsidR="00DF1AD1" w:rsidRPr="0000078C" w:rsidRDefault="00DF1AD1" w:rsidP="00371E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Declarations</w:t>
            </w:r>
          </w:p>
        </w:tc>
      </w:tr>
      <w:tr w:rsidR="00DF1AD1" w:rsidRPr="0000078C" w14:paraId="0E391C86" w14:textId="77777777" w:rsidTr="00371E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2EC122" w14:textId="77777777" w:rsidR="00DF1AD1" w:rsidRPr="0000078C" w:rsidRDefault="00DF1AD1" w:rsidP="00371E75">
            <w:pPr>
              <w:jc w:val="center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25</w:t>
            </w:r>
          </w:p>
        </w:tc>
        <w:tc>
          <w:tcPr>
            <w:tcW w:w="4293" w:type="dxa"/>
            <w:hideMark/>
          </w:tcPr>
          <w:p w14:paraId="6FB43613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Availability of data and materials</w:t>
            </w:r>
          </w:p>
        </w:tc>
        <w:tc>
          <w:tcPr>
            <w:tcW w:w="2386" w:type="dxa"/>
            <w:hideMark/>
          </w:tcPr>
          <w:p w14:paraId="6F8B7980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Included (Appendix A–B; supplementary files)</w:t>
            </w:r>
          </w:p>
        </w:tc>
        <w:tc>
          <w:tcPr>
            <w:tcW w:w="0" w:type="auto"/>
            <w:hideMark/>
          </w:tcPr>
          <w:p w14:paraId="54C1146A" w14:textId="77777777" w:rsidR="00DF1AD1" w:rsidRPr="0000078C" w:rsidRDefault="00DF1AD1" w:rsidP="00371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</w:pPr>
            <w:r w:rsidRPr="0000078C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>Methods; Data Availability Statement</w:t>
            </w:r>
          </w:p>
        </w:tc>
      </w:tr>
    </w:tbl>
    <w:p w14:paraId="4007F761" w14:textId="77777777" w:rsidR="00DF1AD1" w:rsidRPr="0000078C" w:rsidRDefault="00DF1AD1" w:rsidP="00DF1AD1">
      <w:pPr>
        <w:spacing w:after="0" w:line="360" w:lineRule="auto"/>
        <w:ind w:left="567" w:hanging="567"/>
        <w:jc w:val="both"/>
        <w:rPr>
          <w:rFonts w:ascii="Times New Roman" w:hAnsi="Times New Roman" w:cs="Times New Roman"/>
        </w:rPr>
      </w:pPr>
    </w:p>
    <w:p w14:paraId="715E4208" w14:textId="77777777" w:rsidR="008B07A6" w:rsidRDefault="008B07A6"/>
    <w:sectPr w:rsidR="008B07A6" w:rsidSect="00DF1AD1">
      <w:pgSz w:w="11907" w:h="16840" w:code="9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AD1"/>
    <w:rsid w:val="00066677"/>
    <w:rsid w:val="0024447C"/>
    <w:rsid w:val="003A4E89"/>
    <w:rsid w:val="00556784"/>
    <w:rsid w:val="008B07A6"/>
    <w:rsid w:val="00987B63"/>
    <w:rsid w:val="00BC341B"/>
    <w:rsid w:val="00D31E7D"/>
    <w:rsid w:val="00DF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E944F"/>
  <w15:chartTrackingRefBased/>
  <w15:docId w15:val="{D129A79F-62CC-4812-B753-AE456E75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AD1"/>
  </w:style>
  <w:style w:type="paragraph" w:styleId="Heading1">
    <w:name w:val="heading 1"/>
    <w:basedOn w:val="Normal"/>
    <w:next w:val="Normal"/>
    <w:link w:val="Heading1Char"/>
    <w:uiPriority w:val="9"/>
    <w:qFormat/>
    <w:rsid w:val="00DF1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A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A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A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A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A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A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A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A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A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A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A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A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A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A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A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A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AD1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DF1A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89/fbioe.2023.1193177" TargetMode="External"/><Relationship Id="rId13" Type="http://schemas.openxmlformats.org/officeDocument/2006/relationships/hyperlink" Target="https://doi.org/10.1371/journal.pcbi.1012219" TargetMode="External"/><Relationship Id="rId18" Type="http://schemas.openxmlformats.org/officeDocument/2006/relationships/hyperlink" Target="https://doi.org/10.1177/0193945911423266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i.org/10.1371/journal.pone.0311889" TargetMode="External"/><Relationship Id="rId7" Type="http://schemas.openxmlformats.org/officeDocument/2006/relationships/hyperlink" Target="https://doi.org/10.1016/j.clinbiomech.2025.106538" TargetMode="External"/><Relationship Id="rId12" Type="http://schemas.openxmlformats.org/officeDocument/2006/relationships/hyperlink" Target="https://doi.org/10.1371/journal.pcbi.1008935" TargetMode="External"/><Relationship Id="rId17" Type="http://schemas.openxmlformats.org/officeDocument/2006/relationships/hyperlink" Target="https://doi.org/10.1016/j.ijnurstu.2024.104696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doi.org/10.1007/s40520-019-01440-y" TargetMode="External"/><Relationship Id="rId20" Type="http://schemas.openxmlformats.org/officeDocument/2006/relationships/hyperlink" Target="https://doi.org/10.1001/jamanetworkopen.2020.17688" TargetMode="External"/><Relationship Id="rId1" Type="http://schemas.openxmlformats.org/officeDocument/2006/relationships/styles" Target="styles.xml"/><Relationship Id="rId6" Type="http://schemas.openxmlformats.org/officeDocument/2006/relationships/hyperlink" Target="https://jneuroengrehab.biomedcentral.com/articles/10.1186/s12984-021-00906-3" TargetMode="External"/><Relationship Id="rId11" Type="http://schemas.openxmlformats.org/officeDocument/2006/relationships/hyperlink" Target="https://doi.org/10.3390/s23010045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jneuroengrehab.biomedcentral.com/articles/10.1186/s12984-021-00919-y" TargetMode="External"/><Relationship Id="rId15" Type="http://schemas.openxmlformats.org/officeDocument/2006/relationships/hyperlink" Target="https://doi.org/10.1080/07853890.2025.2540598" TargetMode="External"/><Relationship Id="rId23" Type="http://schemas.openxmlformats.org/officeDocument/2006/relationships/hyperlink" Target="https://doi.org/10.3389/fspor.2025.1594754" TargetMode="External"/><Relationship Id="rId10" Type="http://schemas.openxmlformats.org/officeDocument/2006/relationships/hyperlink" Target="https://doi.org/10.3389/fbioe.2025.1617823" TargetMode="External"/><Relationship Id="rId19" Type="http://schemas.openxmlformats.org/officeDocument/2006/relationships/hyperlink" Target="https://doi.org/10.1136/bmjopen-2016-013995" TargetMode="External"/><Relationship Id="rId4" Type="http://schemas.openxmlformats.org/officeDocument/2006/relationships/hyperlink" Target="https://jneuroengrehab.biomedcentral.com/articles/10.1186/s12984-021-00857-9" TargetMode="External"/><Relationship Id="rId9" Type="http://schemas.openxmlformats.org/officeDocument/2006/relationships/hyperlink" Target="https://doi.org/10.23736/S1973-9087.24.08438-7" TargetMode="External"/><Relationship Id="rId14" Type="http://schemas.openxmlformats.org/officeDocument/2006/relationships/hyperlink" Target="https://doi.org/10.1093/ageing/afy169" TargetMode="External"/><Relationship Id="rId22" Type="http://schemas.openxmlformats.org/officeDocument/2006/relationships/hyperlink" Target="https://doi.org/10.1093/ageing/afae10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1157</Words>
  <Characters>8381</Characters>
  <Application>Microsoft Office Word</Application>
  <DocSecurity>0</DocSecurity>
  <Lines>886</Lines>
  <Paragraphs>337</Paragraphs>
  <ScaleCrop>false</ScaleCrop>
  <Company/>
  <LinksUpToDate>false</LinksUpToDate>
  <CharactersWithSpaces>9199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2025-10-28T08:31:00Z</dcterms:created>
  <dcterms:modified xsi:type="dcterms:W3CDTF">2025-10-28T08:33:00Z</dcterms:modified>
</cp:coreProperties>
</file>