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D94AD" w14:textId="5AF69DEF" w:rsidR="00D70444" w:rsidRPr="000F62FA" w:rsidRDefault="00C16495" w:rsidP="004E1832">
      <w:pPr>
        <w:rPr>
          <w:rFonts w:ascii="Times New Roman" w:eastAsiaTheme="minorEastAsia" w:hAnsi="Times New Roman" w:cs="Times New Roman"/>
          <w:b/>
          <w:bCs/>
        </w:rPr>
      </w:pPr>
      <w:r w:rsidRPr="000F62FA">
        <w:rPr>
          <w:rFonts w:ascii="Times New Roman" w:eastAsia="DengXian" w:hAnsi="Times New Roman" w:cs="Times New Roman"/>
          <w:b/>
          <w:bCs/>
          <w:lang w:eastAsia="zh-CN"/>
        </w:rPr>
        <w:t xml:space="preserve">Supplementary </w:t>
      </w:r>
      <w:r w:rsidR="006A5030" w:rsidRPr="000F62FA">
        <w:rPr>
          <w:rFonts w:ascii="Times New Roman" w:eastAsiaTheme="minorEastAsia" w:hAnsi="Times New Roman" w:cs="Times New Roman"/>
          <w:b/>
          <w:bCs/>
        </w:rPr>
        <w:t>document</w:t>
      </w:r>
    </w:p>
    <w:p w14:paraId="30FFB682" w14:textId="77777777" w:rsidR="006C1A91" w:rsidRPr="000F62FA" w:rsidRDefault="006C1A91" w:rsidP="006C1A91">
      <w:pPr>
        <w:spacing w:line="276" w:lineRule="auto"/>
        <w:rPr>
          <w:rFonts w:ascii="Times New Roman" w:hAnsi="Times New Roman" w:cs="Times New Roman"/>
          <w:b/>
          <w:szCs w:val="21"/>
        </w:rPr>
      </w:pPr>
    </w:p>
    <w:p w14:paraId="5591F2C1" w14:textId="07A5AFAD" w:rsidR="002148F6" w:rsidRPr="000F62FA" w:rsidRDefault="00637437" w:rsidP="00637437">
      <w:pPr>
        <w:spacing w:line="276" w:lineRule="auto"/>
        <w:jc w:val="center"/>
        <w:rPr>
          <w:rFonts w:ascii="Times New Roman" w:hAnsi="Times New Roman" w:cs="Times New Roman"/>
          <w:b/>
          <w:szCs w:val="21"/>
        </w:rPr>
      </w:pPr>
      <w:r w:rsidRPr="00637437">
        <w:rPr>
          <w:rFonts w:ascii="Times New Roman" w:hAnsi="Times New Roman" w:cs="Times New Roman"/>
          <w:b/>
          <w:szCs w:val="21"/>
        </w:rPr>
        <w:t>From Demand to Circularity: Rethinking National Strategy on Automobile Battery Supply Chain for Sustainability</w:t>
      </w:r>
    </w:p>
    <w:p w14:paraId="5B272907" w14:textId="085DDE6B" w:rsidR="00C16495" w:rsidRPr="000F62FA" w:rsidRDefault="00C16495" w:rsidP="00693795">
      <w:pPr>
        <w:jc w:val="center"/>
        <w:rPr>
          <w:rFonts w:ascii="Times New Roman" w:eastAsia="DengXian" w:hAnsi="Times New Roman" w:cs="Times New Roman"/>
          <w:b/>
          <w:bCs/>
          <w:lang w:eastAsia="zh-CN"/>
        </w:rPr>
      </w:pPr>
    </w:p>
    <w:p w14:paraId="1E2A8473" w14:textId="0CFF098D" w:rsidR="00170744" w:rsidRPr="000F62FA" w:rsidRDefault="00170744" w:rsidP="00170744">
      <w:pPr>
        <w:spacing w:line="360" w:lineRule="auto"/>
        <w:jc w:val="center"/>
        <w:rPr>
          <w:rFonts w:ascii="Times New Roman" w:eastAsiaTheme="minorEastAsia" w:hAnsi="Times New Roman" w:cs="Times New Roman"/>
          <w:szCs w:val="21"/>
        </w:rPr>
      </w:pPr>
      <w:r w:rsidRPr="000F62FA">
        <w:rPr>
          <w:rFonts w:ascii="Times New Roman" w:hAnsi="Times New Roman" w:cs="Times New Roman"/>
          <w:szCs w:val="21"/>
        </w:rPr>
        <w:t>Yi Dou</w:t>
      </w:r>
      <w:r w:rsidRPr="000F62FA">
        <w:rPr>
          <w:rFonts w:ascii="Times New Roman" w:hAnsi="Times New Roman" w:cs="Times New Roman"/>
          <w:szCs w:val="21"/>
          <w:vertAlign w:val="superscript"/>
        </w:rPr>
        <w:t>1</w:t>
      </w:r>
      <w:r w:rsidRPr="000F62FA">
        <w:rPr>
          <w:rFonts w:ascii="Times New Roman" w:hAnsi="Times New Roman" w:cs="Times New Roman"/>
          <w:szCs w:val="21"/>
        </w:rPr>
        <w:t>, Aya Heiho</w:t>
      </w:r>
      <w:r w:rsidRPr="000F62FA">
        <w:rPr>
          <w:rFonts w:ascii="Times New Roman" w:hAnsi="Times New Roman" w:cs="Times New Roman"/>
          <w:szCs w:val="21"/>
          <w:vertAlign w:val="superscript"/>
        </w:rPr>
        <w:t>2</w:t>
      </w:r>
      <w:r w:rsidRPr="000F62FA">
        <w:rPr>
          <w:rFonts w:ascii="Times New Roman" w:hAnsi="Times New Roman" w:cs="Times New Roman"/>
          <w:szCs w:val="21"/>
        </w:rPr>
        <w:t>, Yasunori Kikuchi</w:t>
      </w:r>
      <w:r w:rsidRPr="000F62FA">
        <w:rPr>
          <w:rFonts w:ascii="Times New Roman" w:hAnsi="Times New Roman" w:cs="Times New Roman"/>
          <w:szCs w:val="21"/>
          <w:vertAlign w:val="superscript"/>
        </w:rPr>
        <w:t>1,</w:t>
      </w:r>
      <w:r w:rsidR="00374DA0" w:rsidRPr="000F62FA">
        <w:rPr>
          <w:rFonts w:ascii="Times New Roman" w:hAnsi="Times New Roman" w:cs="Times New Roman"/>
          <w:szCs w:val="21"/>
          <w:vertAlign w:val="superscript"/>
        </w:rPr>
        <w:t>3</w:t>
      </w:r>
      <w:r w:rsidRPr="000F62FA">
        <w:rPr>
          <w:rFonts w:ascii="Times New Roman" w:hAnsi="Times New Roman" w:cs="Times New Roman"/>
          <w:szCs w:val="21"/>
          <w:vertAlign w:val="superscript"/>
        </w:rPr>
        <w:t>,</w:t>
      </w:r>
      <w:r w:rsidR="00374DA0" w:rsidRPr="000F62FA">
        <w:rPr>
          <w:rFonts w:ascii="Times New Roman" w:hAnsi="Times New Roman" w:cs="Times New Roman"/>
          <w:szCs w:val="21"/>
          <w:vertAlign w:val="superscript"/>
        </w:rPr>
        <w:t>4</w:t>
      </w:r>
    </w:p>
    <w:p w14:paraId="60280319" w14:textId="77777777" w:rsidR="00170744" w:rsidRPr="000F62FA" w:rsidRDefault="00170744" w:rsidP="00170744">
      <w:pPr>
        <w:spacing w:line="360" w:lineRule="auto"/>
        <w:jc w:val="center"/>
        <w:rPr>
          <w:rFonts w:ascii="Times New Roman" w:eastAsia="DengXian" w:hAnsi="Times New Roman" w:cs="Times New Roman"/>
          <w:szCs w:val="21"/>
        </w:rPr>
      </w:pPr>
    </w:p>
    <w:p w14:paraId="7A0BAF52" w14:textId="77777777" w:rsidR="00170744" w:rsidRPr="000F62FA" w:rsidRDefault="00170744" w:rsidP="00170744">
      <w:pPr>
        <w:spacing w:line="360" w:lineRule="auto"/>
        <w:rPr>
          <w:rFonts w:ascii="Times New Roman" w:hAnsi="Times New Roman" w:cs="Times New Roman"/>
          <w:color w:val="000000" w:themeColor="text1"/>
          <w:szCs w:val="21"/>
        </w:rPr>
      </w:pPr>
      <w:r w:rsidRPr="000F62FA">
        <w:rPr>
          <w:rFonts w:ascii="Times New Roman" w:hAnsi="Times New Roman" w:cs="Times New Roman"/>
          <w:color w:val="000000" w:themeColor="text1"/>
          <w:szCs w:val="21"/>
          <w:vertAlign w:val="superscript"/>
        </w:rPr>
        <w:t>1</w:t>
      </w:r>
      <w:r w:rsidRPr="000F62FA">
        <w:rPr>
          <w:rFonts w:ascii="Times New Roman" w:hAnsi="Times New Roman" w:cs="Times New Roman"/>
          <w:color w:val="000000" w:themeColor="text1"/>
          <w:szCs w:val="21"/>
        </w:rPr>
        <w:t xml:space="preserve"> Institute for Future Initiatives, The University of Tokyo, 7-3-1 Hongo Bunkyo-ku, Tokyo 113-8654, Japan</w:t>
      </w:r>
    </w:p>
    <w:p w14:paraId="2D51C371" w14:textId="20F1409D" w:rsidR="00170744" w:rsidRPr="000F62FA" w:rsidRDefault="00170744" w:rsidP="00170744">
      <w:pPr>
        <w:spacing w:line="360" w:lineRule="auto"/>
        <w:rPr>
          <w:rFonts w:ascii="Times New Roman" w:eastAsiaTheme="minorEastAsia" w:hAnsi="Times New Roman" w:cs="Times New Roman"/>
          <w:color w:val="000000" w:themeColor="text1"/>
          <w:szCs w:val="21"/>
        </w:rPr>
      </w:pPr>
      <w:r w:rsidRPr="000F62FA">
        <w:rPr>
          <w:rFonts w:ascii="Times New Roman" w:hAnsi="Times New Roman" w:cs="Times New Roman"/>
          <w:color w:val="000000" w:themeColor="text1"/>
          <w:szCs w:val="21"/>
          <w:vertAlign w:val="superscript"/>
        </w:rPr>
        <w:t>2</w:t>
      </w:r>
      <w:r w:rsidRPr="000F62FA">
        <w:rPr>
          <w:rFonts w:ascii="Times New Roman" w:hAnsi="Times New Roman" w:cs="Times New Roman"/>
          <w:color w:val="000000" w:themeColor="text1"/>
          <w:szCs w:val="21"/>
        </w:rPr>
        <w:t xml:space="preserve"> </w:t>
      </w:r>
      <w:r w:rsidR="007469FA" w:rsidRPr="000F62FA">
        <w:rPr>
          <w:rFonts w:ascii="Times New Roman" w:eastAsia="DengXian" w:hAnsi="Times New Roman" w:cs="Times New Roman"/>
          <w:color w:val="000000" w:themeColor="text1"/>
          <w:szCs w:val="21"/>
          <w:lang w:eastAsia="zh-CN"/>
        </w:rPr>
        <w:t xml:space="preserve">Faculty of Environmental Studies, </w:t>
      </w:r>
      <w:r w:rsidR="00511F9F" w:rsidRPr="000F62FA">
        <w:rPr>
          <w:rFonts w:ascii="Times New Roman" w:eastAsiaTheme="minorEastAsia" w:hAnsi="Times New Roman" w:cs="Times New Roman"/>
          <w:color w:val="000000" w:themeColor="text1"/>
          <w:szCs w:val="21"/>
        </w:rPr>
        <w:t>Tokyo City University</w:t>
      </w:r>
      <w:r w:rsidR="00511F9F" w:rsidRPr="000F62FA">
        <w:rPr>
          <w:rFonts w:ascii="Times New Roman" w:hAnsi="Times New Roman" w:cs="Times New Roman"/>
          <w:color w:val="000000" w:themeColor="text1"/>
        </w:rPr>
        <w:t>, 3-3-1 Ushikubo-Nishi, Tsuzuki-Ku, Yokohama, Kanagawa 224-8551 ,Japan</w:t>
      </w:r>
    </w:p>
    <w:p w14:paraId="4EFF4954" w14:textId="40A26FF8" w:rsidR="00170744" w:rsidRPr="000F62FA" w:rsidRDefault="0011045E" w:rsidP="00170744">
      <w:pPr>
        <w:spacing w:line="360" w:lineRule="auto"/>
        <w:rPr>
          <w:rFonts w:ascii="Times New Roman" w:hAnsi="Times New Roman" w:cs="Times New Roman"/>
          <w:color w:val="000000" w:themeColor="text1"/>
          <w:szCs w:val="21"/>
        </w:rPr>
      </w:pPr>
      <w:r w:rsidRPr="000F62FA">
        <w:rPr>
          <w:rFonts w:ascii="Times New Roman" w:hAnsi="Times New Roman" w:cs="Times New Roman"/>
          <w:color w:val="000000" w:themeColor="text1"/>
          <w:szCs w:val="21"/>
          <w:vertAlign w:val="superscript"/>
        </w:rPr>
        <w:t>3</w:t>
      </w:r>
      <w:r w:rsidR="00170744" w:rsidRPr="000F62FA">
        <w:rPr>
          <w:rFonts w:ascii="Times New Roman" w:hAnsi="Times New Roman" w:cs="Times New Roman"/>
          <w:color w:val="000000" w:themeColor="text1"/>
          <w:szCs w:val="21"/>
        </w:rPr>
        <w:t xml:space="preserve"> Presidential Endowed Chair for “Platinum Society”, Organization for Interdisciplinary Research Project, The University of Tokyo, 7-3-1 Hongo, Bunkyo-ku, Tokyo 113-8656, Japan</w:t>
      </w:r>
    </w:p>
    <w:p w14:paraId="32ACFB33" w14:textId="63A9133F" w:rsidR="00170744" w:rsidRPr="000F62FA" w:rsidRDefault="0011045E" w:rsidP="00170744">
      <w:pPr>
        <w:spacing w:line="360" w:lineRule="auto"/>
        <w:rPr>
          <w:rFonts w:ascii="Times New Roman" w:hAnsi="Times New Roman" w:cs="Times New Roman"/>
          <w:color w:val="000000" w:themeColor="text1"/>
          <w:szCs w:val="21"/>
        </w:rPr>
      </w:pPr>
      <w:r w:rsidRPr="000F62FA">
        <w:rPr>
          <w:rFonts w:ascii="Times New Roman" w:hAnsi="Times New Roman" w:cs="Times New Roman"/>
          <w:color w:val="000000" w:themeColor="text1"/>
          <w:szCs w:val="21"/>
          <w:vertAlign w:val="superscript"/>
        </w:rPr>
        <w:t>4</w:t>
      </w:r>
      <w:r w:rsidR="00170744" w:rsidRPr="000F62FA">
        <w:rPr>
          <w:rFonts w:ascii="Times New Roman" w:hAnsi="Times New Roman" w:cs="Times New Roman"/>
          <w:color w:val="000000" w:themeColor="text1"/>
          <w:szCs w:val="21"/>
        </w:rPr>
        <w:t xml:space="preserve"> Department of Chemical System Engineering, The University of Tokyo, 7-3-1 Hongo, Bunkyo-ku, Tokyo 113-8654, Japan</w:t>
      </w:r>
    </w:p>
    <w:p w14:paraId="312DABA5" w14:textId="77777777" w:rsidR="00170744" w:rsidRPr="000F62FA" w:rsidRDefault="00170744" w:rsidP="00170744">
      <w:pPr>
        <w:spacing w:line="360" w:lineRule="auto"/>
        <w:rPr>
          <w:rFonts w:ascii="Times New Roman" w:eastAsiaTheme="minorEastAsia" w:hAnsi="Times New Roman" w:cs="Times New Roman"/>
          <w:szCs w:val="21"/>
        </w:rPr>
      </w:pPr>
    </w:p>
    <w:p w14:paraId="628076AA" w14:textId="553D1BE3" w:rsidR="00EC6D82" w:rsidRPr="000F62FA" w:rsidRDefault="00EC6D82">
      <w:pPr>
        <w:rPr>
          <w:rFonts w:ascii="Times New Roman" w:eastAsia="DengXian" w:hAnsi="Times New Roman" w:cs="Times New Roman"/>
          <w:b/>
          <w:bCs/>
          <w:lang w:eastAsia="zh-CN"/>
        </w:rPr>
      </w:pPr>
    </w:p>
    <w:p w14:paraId="19E6F5A6" w14:textId="09B932A1" w:rsidR="00170744" w:rsidRPr="000F62FA" w:rsidRDefault="00170744">
      <w:pPr>
        <w:rPr>
          <w:rFonts w:ascii="Times New Roman" w:eastAsia="DengXian" w:hAnsi="Times New Roman" w:cs="Times New Roman"/>
          <w:b/>
          <w:bCs/>
          <w:lang w:eastAsia="zh-CN"/>
        </w:rPr>
      </w:pPr>
      <w:r w:rsidRPr="000F62FA">
        <w:rPr>
          <w:rFonts w:ascii="Times New Roman" w:eastAsia="DengXian" w:hAnsi="Times New Roman" w:cs="Times New Roman"/>
          <w:b/>
          <w:bCs/>
          <w:lang w:eastAsia="zh-CN"/>
        </w:rPr>
        <w:br w:type="page"/>
      </w:r>
    </w:p>
    <w:p w14:paraId="20D7F98C" w14:textId="1F2F10C8" w:rsidR="009B3482" w:rsidRPr="000F62FA" w:rsidRDefault="000B330D" w:rsidP="00693795">
      <w:pPr>
        <w:jc w:val="center"/>
        <w:rPr>
          <w:rFonts w:ascii="Times New Roman" w:eastAsia="DengXian" w:hAnsi="Times New Roman" w:cs="Times New Roman"/>
          <w:b/>
          <w:bCs/>
          <w:lang w:eastAsia="zh-CN"/>
        </w:rPr>
      </w:pPr>
      <w:r w:rsidRPr="000F62FA">
        <w:rPr>
          <w:rFonts w:ascii="Times New Roman" w:eastAsia="DengXian" w:hAnsi="Times New Roman" w:cs="Times New Roman"/>
          <w:b/>
          <w:bCs/>
          <w:lang w:eastAsia="zh-CN"/>
        </w:rPr>
        <w:lastRenderedPageBreak/>
        <w:t>CONTENTS</w:t>
      </w:r>
    </w:p>
    <w:p w14:paraId="7DCC08C2" w14:textId="77777777" w:rsidR="000B330D" w:rsidRPr="00072B89" w:rsidRDefault="000B330D" w:rsidP="00693795">
      <w:pPr>
        <w:jc w:val="center"/>
        <w:rPr>
          <w:rFonts w:ascii="Times New Roman" w:eastAsiaTheme="minorEastAsia" w:hAnsi="Times New Roman" w:cs="Times New Roman"/>
          <w:b/>
          <w:bCs/>
        </w:rPr>
      </w:pPr>
    </w:p>
    <w:p w14:paraId="77B5955F" w14:textId="6693DDF3" w:rsidR="00C2539B" w:rsidRPr="00C2539B" w:rsidRDefault="0078313A">
      <w:pPr>
        <w:pStyle w:val="11"/>
        <w:tabs>
          <w:tab w:val="right" w:leader="dot" w:pos="8494"/>
        </w:tabs>
        <w:rPr>
          <w:rFonts w:eastAsiaTheme="minorEastAsia" w:cs="Times New Roman"/>
          <w:noProof/>
          <w:kern w:val="2"/>
          <w:szCs w:val="21"/>
          <w14:ligatures w14:val="standardContextual"/>
        </w:rPr>
      </w:pPr>
      <w:r w:rsidRPr="00C2539B">
        <w:rPr>
          <w:rFonts w:eastAsia="DengXian" w:cs="Times New Roman"/>
          <w:b/>
          <w:bCs/>
          <w:szCs w:val="21"/>
          <w:lang w:eastAsia="zh-CN"/>
        </w:rPr>
        <w:fldChar w:fldCharType="begin"/>
      </w:r>
      <w:r w:rsidRPr="00C2539B">
        <w:rPr>
          <w:rFonts w:eastAsia="DengXian" w:cs="Times New Roman"/>
          <w:b/>
          <w:bCs/>
          <w:szCs w:val="21"/>
          <w:lang w:eastAsia="zh-CN"/>
        </w:rPr>
        <w:instrText xml:space="preserve"> TOC \o "1-3" \h \z \u </w:instrText>
      </w:r>
      <w:r w:rsidRPr="00C2539B">
        <w:rPr>
          <w:rFonts w:eastAsia="DengXian" w:cs="Times New Roman"/>
          <w:b/>
          <w:bCs/>
          <w:szCs w:val="21"/>
          <w:lang w:eastAsia="zh-CN"/>
        </w:rPr>
        <w:fldChar w:fldCharType="separate"/>
      </w:r>
      <w:hyperlink w:anchor="_Toc199865008" w:history="1">
        <w:r w:rsidR="00C2539B" w:rsidRPr="00C2539B">
          <w:rPr>
            <w:rStyle w:val="aa"/>
            <w:rFonts w:cs="Times New Roman"/>
            <w:noProof/>
            <w:szCs w:val="21"/>
            <w:lang w:eastAsia="zh-CN"/>
          </w:rPr>
          <w:t>Acronyms and abbreviations</w:t>
        </w:r>
        <w:r w:rsidR="00C2539B" w:rsidRPr="00C2539B">
          <w:rPr>
            <w:rFonts w:cs="Times New Roman"/>
            <w:noProof/>
            <w:webHidden/>
            <w:szCs w:val="21"/>
          </w:rPr>
          <w:tab/>
        </w:r>
        <w:r w:rsidR="00C2539B" w:rsidRPr="00C2539B">
          <w:rPr>
            <w:rFonts w:cs="Times New Roman"/>
            <w:noProof/>
            <w:webHidden/>
            <w:szCs w:val="21"/>
          </w:rPr>
          <w:fldChar w:fldCharType="begin"/>
        </w:r>
        <w:r w:rsidR="00C2539B" w:rsidRPr="00C2539B">
          <w:rPr>
            <w:rFonts w:cs="Times New Roman"/>
            <w:noProof/>
            <w:webHidden/>
            <w:szCs w:val="21"/>
          </w:rPr>
          <w:instrText xml:space="preserve"> PAGEREF _Toc199865008 \h </w:instrText>
        </w:r>
        <w:r w:rsidR="00C2539B" w:rsidRPr="00C2539B">
          <w:rPr>
            <w:rFonts w:cs="Times New Roman"/>
            <w:noProof/>
            <w:webHidden/>
            <w:szCs w:val="21"/>
          </w:rPr>
        </w:r>
        <w:r w:rsidR="00C2539B" w:rsidRPr="00C2539B">
          <w:rPr>
            <w:rFonts w:cs="Times New Roman"/>
            <w:noProof/>
            <w:webHidden/>
            <w:szCs w:val="21"/>
          </w:rPr>
          <w:fldChar w:fldCharType="separate"/>
        </w:r>
        <w:r w:rsidR="00C2539B" w:rsidRPr="00C2539B">
          <w:rPr>
            <w:rFonts w:cs="Times New Roman"/>
            <w:noProof/>
            <w:webHidden/>
            <w:szCs w:val="21"/>
          </w:rPr>
          <w:t>6</w:t>
        </w:r>
        <w:r w:rsidR="00C2539B" w:rsidRPr="00C2539B">
          <w:rPr>
            <w:rFonts w:cs="Times New Roman"/>
            <w:noProof/>
            <w:webHidden/>
            <w:szCs w:val="21"/>
          </w:rPr>
          <w:fldChar w:fldCharType="end"/>
        </w:r>
      </w:hyperlink>
    </w:p>
    <w:p w14:paraId="0C304BBC" w14:textId="46EF716F" w:rsidR="00C2539B" w:rsidRPr="00C2539B" w:rsidRDefault="00C2539B">
      <w:pPr>
        <w:pStyle w:val="11"/>
        <w:tabs>
          <w:tab w:val="right" w:leader="dot" w:pos="8494"/>
        </w:tabs>
        <w:rPr>
          <w:rFonts w:eastAsiaTheme="minorEastAsia" w:cs="Times New Roman"/>
          <w:noProof/>
          <w:kern w:val="2"/>
          <w:szCs w:val="21"/>
          <w14:ligatures w14:val="standardContextual"/>
        </w:rPr>
      </w:pPr>
      <w:hyperlink w:anchor="_Toc199865009" w:history="1">
        <w:r w:rsidRPr="00C2539B">
          <w:rPr>
            <w:rStyle w:val="aa"/>
            <w:rFonts w:eastAsia="DengXian" w:cs="Times New Roman"/>
            <w:noProof/>
            <w:szCs w:val="21"/>
            <w:lang w:eastAsia="zh-CN"/>
          </w:rPr>
          <w:t>1. Model Overview</w:t>
        </w:r>
        <w:r w:rsidRPr="00C2539B">
          <w:rPr>
            <w:rFonts w:cs="Times New Roman"/>
            <w:noProof/>
            <w:webHidden/>
            <w:szCs w:val="21"/>
          </w:rPr>
          <w:tab/>
        </w:r>
        <w:r w:rsidRPr="00C2539B">
          <w:rPr>
            <w:rFonts w:cs="Times New Roman"/>
            <w:noProof/>
            <w:webHidden/>
            <w:szCs w:val="21"/>
          </w:rPr>
          <w:fldChar w:fldCharType="begin"/>
        </w:r>
        <w:r w:rsidRPr="00C2539B">
          <w:rPr>
            <w:rFonts w:cs="Times New Roman"/>
            <w:noProof/>
            <w:webHidden/>
            <w:szCs w:val="21"/>
          </w:rPr>
          <w:instrText xml:space="preserve"> PAGEREF _Toc199865009 \h </w:instrText>
        </w:r>
        <w:r w:rsidRPr="00C2539B">
          <w:rPr>
            <w:rFonts w:cs="Times New Roman"/>
            <w:noProof/>
            <w:webHidden/>
            <w:szCs w:val="21"/>
          </w:rPr>
        </w:r>
        <w:r w:rsidRPr="00C2539B">
          <w:rPr>
            <w:rFonts w:cs="Times New Roman"/>
            <w:noProof/>
            <w:webHidden/>
            <w:szCs w:val="21"/>
          </w:rPr>
          <w:fldChar w:fldCharType="separate"/>
        </w:r>
        <w:r w:rsidRPr="00C2539B">
          <w:rPr>
            <w:rFonts w:cs="Times New Roman"/>
            <w:noProof/>
            <w:webHidden/>
            <w:szCs w:val="21"/>
          </w:rPr>
          <w:t>7</w:t>
        </w:r>
        <w:r w:rsidRPr="00C2539B">
          <w:rPr>
            <w:rFonts w:cs="Times New Roman"/>
            <w:noProof/>
            <w:webHidden/>
            <w:szCs w:val="21"/>
          </w:rPr>
          <w:fldChar w:fldCharType="end"/>
        </w:r>
      </w:hyperlink>
    </w:p>
    <w:p w14:paraId="33D62644" w14:textId="4E8415E0"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10" w:history="1">
        <w:r w:rsidRPr="00C2539B">
          <w:rPr>
            <w:rStyle w:val="aa"/>
            <w:rFonts w:ascii="Times New Roman" w:hAnsi="Times New Roman" w:cs="Times New Roman"/>
            <w:noProof/>
            <w:sz w:val="21"/>
            <w:szCs w:val="21"/>
          </w:rPr>
          <w:t xml:space="preserve">1.1 Goal and </w:t>
        </w:r>
        <w:r w:rsidRPr="00C2539B">
          <w:rPr>
            <w:rStyle w:val="aa"/>
            <w:rFonts w:ascii="Times New Roman" w:eastAsia="DengXian" w:hAnsi="Times New Roman" w:cs="Times New Roman"/>
            <w:noProof/>
            <w:sz w:val="21"/>
            <w:szCs w:val="21"/>
          </w:rPr>
          <w:t>S</w:t>
        </w:r>
        <w:r w:rsidRPr="00C2539B">
          <w:rPr>
            <w:rStyle w:val="aa"/>
            <w:rFonts w:ascii="Times New Roman" w:hAnsi="Times New Roman" w:cs="Times New Roman"/>
            <w:noProof/>
            <w:sz w:val="21"/>
            <w:szCs w:val="21"/>
          </w:rPr>
          <w:t>cope</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_Toc199865010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7</w:t>
        </w:r>
        <w:r w:rsidRPr="00C2539B">
          <w:rPr>
            <w:rFonts w:ascii="Times New Roman" w:hAnsi="Times New Roman" w:cs="Times New Roman"/>
            <w:noProof/>
            <w:webHidden/>
            <w:sz w:val="21"/>
            <w:szCs w:val="21"/>
          </w:rPr>
          <w:fldChar w:fldCharType="end"/>
        </w:r>
      </w:hyperlink>
    </w:p>
    <w:p w14:paraId="3986D6AB" w14:textId="3C180A9E"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11" w:history="1">
        <w:r w:rsidRPr="00C2539B">
          <w:rPr>
            <w:rStyle w:val="aa"/>
            <w:rFonts w:ascii="Times New Roman" w:hAnsi="Times New Roman" w:cs="Times New Roman"/>
            <w:noProof/>
            <w:sz w:val="21"/>
            <w:szCs w:val="21"/>
          </w:rPr>
          <w:t xml:space="preserve">1.2 Model </w:t>
        </w:r>
        <w:r w:rsidRPr="00C2539B">
          <w:rPr>
            <w:rStyle w:val="aa"/>
            <w:rFonts w:ascii="Times New Roman" w:eastAsia="DengXian" w:hAnsi="Times New Roman" w:cs="Times New Roman"/>
            <w:noProof/>
            <w:sz w:val="21"/>
            <w:szCs w:val="21"/>
          </w:rPr>
          <w:t>F</w:t>
        </w:r>
        <w:r w:rsidRPr="00C2539B">
          <w:rPr>
            <w:rStyle w:val="aa"/>
            <w:rFonts w:ascii="Times New Roman" w:hAnsi="Times New Roman" w:cs="Times New Roman"/>
            <w:noProof/>
            <w:sz w:val="21"/>
            <w:szCs w:val="21"/>
          </w:rPr>
          <w:t>ramework</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_Toc199865011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7</w:t>
        </w:r>
        <w:r w:rsidRPr="00C2539B">
          <w:rPr>
            <w:rFonts w:ascii="Times New Roman" w:hAnsi="Times New Roman" w:cs="Times New Roman"/>
            <w:noProof/>
            <w:webHidden/>
            <w:sz w:val="21"/>
            <w:szCs w:val="21"/>
          </w:rPr>
          <w:fldChar w:fldCharType="end"/>
        </w:r>
      </w:hyperlink>
    </w:p>
    <w:p w14:paraId="04E64168" w14:textId="6F3DFB73"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12" w:history="1">
        <w:r w:rsidRPr="00C2539B">
          <w:rPr>
            <w:rStyle w:val="aa"/>
            <w:rFonts w:ascii="Times New Roman" w:hAnsi="Times New Roman" w:cs="Times New Roman"/>
            <w:noProof/>
            <w:sz w:val="21"/>
            <w:szCs w:val="21"/>
          </w:rPr>
          <w:t xml:space="preserve">1.3 Indicator </w:t>
        </w:r>
        <w:r w:rsidRPr="00C2539B">
          <w:rPr>
            <w:rStyle w:val="aa"/>
            <w:rFonts w:ascii="Times New Roman" w:eastAsia="DengXian" w:hAnsi="Times New Roman" w:cs="Times New Roman"/>
            <w:noProof/>
            <w:sz w:val="21"/>
            <w:szCs w:val="21"/>
          </w:rPr>
          <w:t>S</w:t>
        </w:r>
        <w:r w:rsidRPr="00C2539B">
          <w:rPr>
            <w:rStyle w:val="aa"/>
            <w:rFonts w:ascii="Times New Roman" w:hAnsi="Times New Roman" w:cs="Times New Roman"/>
            <w:noProof/>
            <w:sz w:val="21"/>
            <w:szCs w:val="21"/>
          </w:rPr>
          <w:t>election</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_Toc199865012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11</w:t>
        </w:r>
        <w:r w:rsidRPr="00C2539B">
          <w:rPr>
            <w:rFonts w:ascii="Times New Roman" w:hAnsi="Times New Roman" w:cs="Times New Roman"/>
            <w:noProof/>
            <w:webHidden/>
            <w:sz w:val="21"/>
            <w:szCs w:val="21"/>
          </w:rPr>
          <w:fldChar w:fldCharType="end"/>
        </w:r>
      </w:hyperlink>
    </w:p>
    <w:p w14:paraId="1067D9BF" w14:textId="6C2EC678"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13" w:history="1">
        <w:r w:rsidRPr="00C2539B">
          <w:rPr>
            <w:rStyle w:val="aa"/>
            <w:rFonts w:ascii="Times New Roman" w:hAnsi="Times New Roman" w:cs="Times New Roman"/>
            <w:noProof/>
            <w:sz w:val="21"/>
            <w:szCs w:val="21"/>
          </w:rPr>
          <w:t xml:space="preserve">1.4 </w:t>
        </w:r>
        <w:r w:rsidRPr="00C2539B">
          <w:rPr>
            <w:rStyle w:val="aa"/>
            <w:rFonts w:ascii="Times New Roman" w:eastAsia="DengXian" w:hAnsi="Times New Roman" w:cs="Times New Roman"/>
            <w:noProof/>
            <w:sz w:val="21"/>
            <w:szCs w:val="21"/>
          </w:rPr>
          <w:t>Overall A</w:t>
        </w:r>
        <w:r w:rsidRPr="00C2539B">
          <w:rPr>
            <w:rStyle w:val="aa"/>
            <w:rFonts w:ascii="Times New Roman" w:hAnsi="Times New Roman" w:cs="Times New Roman"/>
            <w:noProof/>
            <w:sz w:val="21"/>
            <w:szCs w:val="21"/>
          </w:rPr>
          <w:t>ssumptions</w:t>
        </w:r>
        <w:r w:rsidRPr="00C2539B">
          <w:rPr>
            <w:rStyle w:val="aa"/>
            <w:rFonts w:ascii="Times New Roman" w:eastAsia="DengXian" w:hAnsi="Times New Roman" w:cs="Times New Roman"/>
            <w:noProof/>
            <w:sz w:val="21"/>
            <w:szCs w:val="21"/>
          </w:rPr>
          <w:t xml:space="preserve"> and Parameter Settings</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_Toc199865013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12</w:t>
        </w:r>
        <w:r w:rsidRPr="00C2539B">
          <w:rPr>
            <w:rFonts w:ascii="Times New Roman" w:hAnsi="Times New Roman" w:cs="Times New Roman"/>
            <w:noProof/>
            <w:webHidden/>
            <w:sz w:val="21"/>
            <w:szCs w:val="21"/>
          </w:rPr>
          <w:fldChar w:fldCharType="end"/>
        </w:r>
      </w:hyperlink>
    </w:p>
    <w:p w14:paraId="7B19393E" w14:textId="06AABF2B" w:rsidR="00C2539B" w:rsidRPr="00C2539B" w:rsidRDefault="00C2539B">
      <w:pPr>
        <w:pStyle w:val="11"/>
        <w:tabs>
          <w:tab w:val="right" w:leader="dot" w:pos="8494"/>
        </w:tabs>
        <w:rPr>
          <w:rFonts w:eastAsiaTheme="minorEastAsia" w:cs="Times New Roman"/>
          <w:noProof/>
          <w:kern w:val="2"/>
          <w:szCs w:val="21"/>
          <w14:ligatures w14:val="standardContextual"/>
        </w:rPr>
      </w:pPr>
      <w:hyperlink w:anchor="_Toc199865014" w:history="1">
        <w:r w:rsidRPr="00C2539B">
          <w:rPr>
            <w:rStyle w:val="aa"/>
            <w:rFonts w:eastAsia="DengXian" w:cs="Times New Roman"/>
            <w:noProof/>
            <w:szCs w:val="21"/>
            <w:lang w:eastAsia="zh-CN"/>
          </w:rPr>
          <w:t>2. Submodules and Intermediate Calculations</w:t>
        </w:r>
        <w:r w:rsidRPr="00C2539B">
          <w:rPr>
            <w:rFonts w:cs="Times New Roman"/>
            <w:noProof/>
            <w:webHidden/>
            <w:szCs w:val="21"/>
          </w:rPr>
          <w:tab/>
        </w:r>
        <w:r w:rsidRPr="00C2539B">
          <w:rPr>
            <w:rFonts w:cs="Times New Roman"/>
            <w:noProof/>
            <w:webHidden/>
            <w:szCs w:val="21"/>
          </w:rPr>
          <w:fldChar w:fldCharType="begin"/>
        </w:r>
        <w:r w:rsidRPr="00C2539B">
          <w:rPr>
            <w:rFonts w:cs="Times New Roman"/>
            <w:noProof/>
            <w:webHidden/>
            <w:szCs w:val="21"/>
          </w:rPr>
          <w:instrText xml:space="preserve"> PAGEREF _Toc199865014 \h </w:instrText>
        </w:r>
        <w:r w:rsidRPr="00C2539B">
          <w:rPr>
            <w:rFonts w:cs="Times New Roman"/>
            <w:noProof/>
            <w:webHidden/>
            <w:szCs w:val="21"/>
          </w:rPr>
        </w:r>
        <w:r w:rsidRPr="00C2539B">
          <w:rPr>
            <w:rFonts w:cs="Times New Roman"/>
            <w:noProof/>
            <w:webHidden/>
            <w:szCs w:val="21"/>
          </w:rPr>
          <w:fldChar w:fldCharType="separate"/>
        </w:r>
        <w:r w:rsidRPr="00C2539B">
          <w:rPr>
            <w:rFonts w:cs="Times New Roman"/>
            <w:noProof/>
            <w:webHidden/>
            <w:szCs w:val="21"/>
          </w:rPr>
          <w:t>18</w:t>
        </w:r>
        <w:r w:rsidRPr="00C2539B">
          <w:rPr>
            <w:rFonts w:cs="Times New Roman"/>
            <w:noProof/>
            <w:webHidden/>
            <w:szCs w:val="21"/>
          </w:rPr>
          <w:fldChar w:fldCharType="end"/>
        </w:r>
      </w:hyperlink>
    </w:p>
    <w:p w14:paraId="11B5FCF5" w14:textId="0D8282BA"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15" w:history="1">
        <w:r w:rsidRPr="00C2539B">
          <w:rPr>
            <w:rStyle w:val="aa"/>
            <w:rFonts w:ascii="Times New Roman" w:eastAsia="DengXian" w:hAnsi="Times New Roman" w:cs="Times New Roman"/>
            <w:noProof/>
            <w:sz w:val="21"/>
            <w:szCs w:val="21"/>
          </w:rPr>
          <w:t>2</w:t>
        </w:r>
        <w:r w:rsidRPr="00C2539B">
          <w:rPr>
            <w:rStyle w:val="aa"/>
            <w:rFonts w:ascii="Times New Roman" w:hAnsi="Times New Roman" w:cs="Times New Roman"/>
            <w:noProof/>
            <w:sz w:val="21"/>
            <w:szCs w:val="21"/>
          </w:rPr>
          <w:t xml:space="preserve">.1 </w:t>
        </w:r>
        <w:r w:rsidRPr="00C2539B">
          <w:rPr>
            <w:rStyle w:val="aa"/>
            <w:rFonts w:ascii="Times New Roman" w:eastAsia="DengXian" w:hAnsi="Times New Roman" w:cs="Times New Roman"/>
            <w:noProof/>
            <w:sz w:val="21"/>
            <w:szCs w:val="21"/>
          </w:rPr>
          <w:t>Passenger Car Ownership</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_Toc199865015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18</w:t>
        </w:r>
        <w:r w:rsidRPr="00C2539B">
          <w:rPr>
            <w:rFonts w:ascii="Times New Roman" w:hAnsi="Times New Roman" w:cs="Times New Roman"/>
            <w:noProof/>
            <w:webHidden/>
            <w:sz w:val="21"/>
            <w:szCs w:val="21"/>
          </w:rPr>
          <w:fldChar w:fldCharType="end"/>
        </w:r>
      </w:hyperlink>
    </w:p>
    <w:p w14:paraId="0DB5F92E" w14:textId="32F2845A"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16" w:history="1">
        <w:r w:rsidRPr="00C2539B">
          <w:rPr>
            <w:rStyle w:val="aa"/>
            <w:rFonts w:ascii="Times New Roman" w:eastAsia="DengXian" w:hAnsi="Times New Roman" w:cs="Times New Roman"/>
            <w:noProof/>
            <w:sz w:val="21"/>
            <w:szCs w:val="21"/>
          </w:rPr>
          <w:t>2</w:t>
        </w:r>
        <w:r w:rsidRPr="00C2539B">
          <w:rPr>
            <w:rStyle w:val="aa"/>
            <w:rFonts w:ascii="Times New Roman" w:hAnsi="Times New Roman" w:cs="Times New Roman"/>
            <w:noProof/>
            <w:sz w:val="21"/>
            <w:szCs w:val="21"/>
          </w:rPr>
          <w:t>.</w:t>
        </w:r>
        <w:r w:rsidRPr="00C2539B">
          <w:rPr>
            <w:rStyle w:val="aa"/>
            <w:rFonts w:ascii="Times New Roman" w:eastAsia="DengXian" w:hAnsi="Times New Roman" w:cs="Times New Roman"/>
            <w:noProof/>
            <w:sz w:val="21"/>
            <w:szCs w:val="21"/>
          </w:rPr>
          <w:t>2</w:t>
        </w:r>
        <w:r w:rsidRPr="00C2539B">
          <w:rPr>
            <w:rStyle w:val="aa"/>
            <w:rFonts w:ascii="Times New Roman" w:hAnsi="Times New Roman" w:cs="Times New Roman"/>
            <w:noProof/>
            <w:sz w:val="21"/>
            <w:szCs w:val="21"/>
          </w:rPr>
          <w:t xml:space="preserve"> Inflow, </w:t>
        </w:r>
        <w:r w:rsidRPr="00C2539B">
          <w:rPr>
            <w:rStyle w:val="aa"/>
            <w:rFonts w:ascii="Times New Roman" w:eastAsia="DengXian" w:hAnsi="Times New Roman" w:cs="Times New Roman"/>
            <w:noProof/>
            <w:sz w:val="21"/>
            <w:szCs w:val="21"/>
          </w:rPr>
          <w:t>O</w:t>
        </w:r>
        <w:r w:rsidRPr="00C2539B">
          <w:rPr>
            <w:rStyle w:val="aa"/>
            <w:rFonts w:ascii="Times New Roman" w:hAnsi="Times New Roman" w:cs="Times New Roman"/>
            <w:noProof/>
            <w:sz w:val="21"/>
            <w:szCs w:val="21"/>
          </w:rPr>
          <w:t>utflow</w:t>
        </w:r>
        <w:r w:rsidRPr="00C2539B">
          <w:rPr>
            <w:rStyle w:val="aa"/>
            <w:rFonts w:ascii="Times New Roman" w:eastAsia="DengXian" w:hAnsi="Times New Roman" w:cs="Times New Roman"/>
            <w:noProof/>
            <w:sz w:val="21"/>
            <w:szCs w:val="21"/>
          </w:rPr>
          <w:t>,</w:t>
        </w:r>
        <w:r w:rsidRPr="00C2539B">
          <w:rPr>
            <w:rStyle w:val="aa"/>
            <w:rFonts w:ascii="Times New Roman" w:hAnsi="Times New Roman" w:cs="Times New Roman"/>
            <w:noProof/>
            <w:sz w:val="21"/>
            <w:szCs w:val="21"/>
          </w:rPr>
          <w:t xml:space="preserve"> and </w:t>
        </w:r>
        <w:r w:rsidRPr="00C2539B">
          <w:rPr>
            <w:rStyle w:val="aa"/>
            <w:rFonts w:ascii="Times New Roman" w:eastAsia="DengXian" w:hAnsi="Times New Roman" w:cs="Times New Roman"/>
            <w:noProof/>
            <w:sz w:val="21"/>
            <w:szCs w:val="21"/>
          </w:rPr>
          <w:t>I</w:t>
        </w:r>
        <w:r w:rsidRPr="00C2539B">
          <w:rPr>
            <w:rStyle w:val="aa"/>
            <w:rFonts w:ascii="Times New Roman" w:hAnsi="Times New Roman" w:cs="Times New Roman"/>
            <w:noProof/>
            <w:sz w:val="21"/>
            <w:szCs w:val="21"/>
          </w:rPr>
          <w:t>n-</w:t>
        </w:r>
        <w:r w:rsidRPr="00C2539B">
          <w:rPr>
            <w:rStyle w:val="aa"/>
            <w:rFonts w:ascii="Times New Roman" w:eastAsia="DengXian" w:hAnsi="Times New Roman" w:cs="Times New Roman"/>
            <w:noProof/>
            <w:sz w:val="21"/>
            <w:szCs w:val="21"/>
          </w:rPr>
          <w:t>U</w:t>
        </w:r>
        <w:r w:rsidRPr="00C2539B">
          <w:rPr>
            <w:rStyle w:val="aa"/>
            <w:rFonts w:ascii="Times New Roman" w:hAnsi="Times New Roman" w:cs="Times New Roman"/>
            <w:noProof/>
            <w:sz w:val="21"/>
            <w:szCs w:val="21"/>
          </w:rPr>
          <w:t xml:space="preserve">se </w:t>
        </w:r>
        <w:r w:rsidRPr="00C2539B">
          <w:rPr>
            <w:rStyle w:val="aa"/>
            <w:rFonts w:ascii="Times New Roman" w:eastAsia="DengXian" w:hAnsi="Times New Roman" w:cs="Times New Roman"/>
            <w:noProof/>
            <w:sz w:val="21"/>
            <w:szCs w:val="21"/>
          </w:rPr>
          <w:t>S</w:t>
        </w:r>
        <w:r w:rsidRPr="00C2539B">
          <w:rPr>
            <w:rStyle w:val="aa"/>
            <w:rFonts w:ascii="Times New Roman" w:hAnsi="Times New Roman" w:cs="Times New Roman"/>
            <w:noProof/>
            <w:sz w:val="21"/>
            <w:szCs w:val="21"/>
          </w:rPr>
          <w:t>tock</w:t>
        </w:r>
        <w:r w:rsidRPr="00C2539B">
          <w:rPr>
            <w:rStyle w:val="aa"/>
            <w:rFonts w:ascii="Times New Roman" w:eastAsia="DengXian" w:hAnsi="Times New Roman" w:cs="Times New Roman"/>
            <w:noProof/>
            <w:sz w:val="21"/>
            <w:szCs w:val="21"/>
          </w:rPr>
          <w:t xml:space="preserve"> </w:t>
        </w:r>
        <w:r w:rsidRPr="00C2539B">
          <w:rPr>
            <w:rStyle w:val="aa"/>
            <w:rFonts w:ascii="Times New Roman" w:hAnsi="Times New Roman" w:cs="Times New Roman"/>
            <w:noProof/>
            <w:sz w:val="21"/>
            <w:szCs w:val="21"/>
          </w:rPr>
          <w:t>in</w:t>
        </w:r>
        <w:r w:rsidRPr="00C2539B">
          <w:rPr>
            <w:rStyle w:val="aa"/>
            <w:rFonts w:ascii="Times New Roman" w:eastAsia="DengXian" w:hAnsi="Times New Roman" w:cs="Times New Roman"/>
            <w:noProof/>
            <w:sz w:val="21"/>
            <w:szCs w:val="21"/>
          </w:rPr>
          <w:t xml:space="preserve"> the Passenger Car</w:t>
        </w:r>
        <w:r w:rsidRPr="00C2539B">
          <w:rPr>
            <w:rStyle w:val="aa"/>
            <w:rFonts w:ascii="Times New Roman" w:hAnsi="Times New Roman" w:cs="Times New Roman"/>
            <w:noProof/>
            <w:sz w:val="21"/>
            <w:szCs w:val="21"/>
          </w:rPr>
          <w:t xml:space="preserve"> </w:t>
        </w:r>
        <w:r w:rsidRPr="00C2539B">
          <w:rPr>
            <w:rStyle w:val="aa"/>
            <w:rFonts w:ascii="Times New Roman" w:eastAsia="DengXian" w:hAnsi="Times New Roman" w:cs="Times New Roman"/>
            <w:noProof/>
            <w:sz w:val="21"/>
            <w:szCs w:val="21"/>
          </w:rPr>
          <w:t>M</w:t>
        </w:r>
        <w:r w:rsidRPr="00C2539B">
          <w:rPr>
            <w:rStyle w:val="aa"/>
            <w:rFonts w:ascii="Times New Roman" w:hAnsi="Times New Roman" w:cs="Times New Roman"/>
            <w:noProof/>
            <w:sz w:val="21"/>
            <w:szCs w:val="21"/>
          </w:rPr>
          <w:t>arket</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_Toc199865016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25</w:t>
        </w:r>
        <w:r w:rsidRPr="00C2539B">
          <w:rPr>
            <w:rFonts w:ascii="Times New Roman" w:hAnsi="Times New Roman" w:cs="Times New Roman"/>
            <w:noProof/>
            <w:webHidden/>
            <w:sz w:val="21"/>
            <w:szCs w:val="21"/>
          </w:rPr>
          <w:fldChar w:fldCharType="end"/>
        </w:r>
      </w:hyperlink>
    </w:p>
    <w:p w14:paraId="192519B4" w14:textId="075A1B9E"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17" w:history="1">
        <w:r w:rsidRPr="00C2539B">
          <w:rPr>
            <w:rStyle w:val="aa"/>
            <w:rFonts w:ascii="Times New Roman" w:eastAsia="DengXian" w:hAnsi="Times New Roman" w:cs="Times New Roman"/>
            <w:noProof/>
            <w:sz w:val="21"/>
            <w:szCs w:val="21"/>
          </w:rPr>
          <w:t>2</w:t>
        </w:r>
        <w:r w:rsidRPr="00C2539B">
          <w:rPr>
            <w:rStyle w:val="aa"/>
            <w:rFonts w:ascii="Times New Roman" w:hAnsi="Times New Roman" w:cs="Times New Roman"/>
            <w:noProof/>
            <w:sz w:val="21"/>
            <w:szCs w:val="21"/>
          </w:rPr>
          <w:t>.</w:t>
        </w:r>
        <w:r w:rsidRPr="00C2539B">
          <w:rPr>
            <w:rStyle w:val="aa"/>
            <w:rFonts w:ascii="Times New Roman" w:eastAsia="DengXian" w:hAnsi="Times New Roman" w:cs="Times New Roman"/>
            <w:noProof/>
            <w:sz w:val="21"/>
            <w:szCs w:val="21"/>
          </w:rPr>
          <w:t>3</w:t>
        </w:r>
        <w:r w:rsidRPr="00C2539B">
          <w:rPr>
            <w:rStyle w:val="aa"/>
            <w:rFonts w:ascii="Times New Roman" w:hAnsi="Times New Roman" w:cs="Times New Roman"/>
            <w:noProof/>
            <w:sz w:val="21"/>
            <w:szCs w:val="21"/>
          </w:rPr>
          <w:t xml:space="preserve"> </w:t>
        </w:r>
        <w:r w:rsidRPr="00C2539B">
          <w:rPr>
            <w:rStyle w:val="aa"/>
            <w:rFonts w:ascii="Times New Roman" w:eastAsia="DengXian" w:hAnsi="Times New Roman" w:cs="Times New Roman"/>
            <w:noProof/>
            <w:sz w:val="21"/>
            <w:szCs w:val="21"/>
          </w:rPr>
          <w:t>EV Penetration in the Passenger Car Market</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_Toc199865017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31</w:t>
        </w:r>
        <w:r w:rsidRPr="00C2539B">
          <w:rPr>
            <w:rFonts w:ascii="Times New Roman" w:hAnsi="Times New Roman" w:cs="Times New Roman"/>
            <w:noProof/>
            <w:webHidden/>
            <w:sz w:val="21"/>
            <w:szCs w:val="21"/>
          </w:rPr>
          <w:fldChar w:fldCharType="end"/>
        </w:r>
      </w:hyperlink>
    </w:p>
    <w:p w14:paraId="3F57C683" w14:textId="3DF5FBA3"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18" w:history="1">
        <w:r w:rsidRPr="00C2539B">
          <w:rPr>
            <w:rStyle w:val="aa"/>
            <w:rFonts w:ascii="Times New Roman" w:eastAsia="DengXian" w:hAnsi="Times New Roman" w:cs="Times New Roman"/>
            <w:noProof/>
            <w:sz w:val="21"/>
            <w:szCs w:val="21"/>
          </w:rPr>
          <w:t>2</w:t>
        </w:r>
        <w:r w:rsidRPr="00C2539B">
          <w:rPr>
            <w:rStyle w:val="aa"/>
            <w:rFonts w:ascii="Times New Roman" w:hAnsi="Times New Roman" w:cs="Times New Roman"/>
            <w:noProof/>
            <w:sz w:val="21"/>
            <w:szCs w:val="21"/>
          </w:rPr>
          <w:t xml:space="preserve">.4 </w:t>
        </w:r>
        <w:r w:rsidRPr="00C2539B">
          <w:rPr>
            <w:rStyle w:val="aa"/>
            <w:rFonts w:ascii="Times New Roman" w:eastAsia="DengXian" w:hAnsi="Times New Roman" w:cs="Times New Roman"/>
            <w:noProof/>
            <w:sz w:val="21"/>
            <w:szCs w:val="21"/>
          </w:rPr>
          <w:t>Battery Chemistry</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_Toc199865018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35</w:t>
        </w:r>
        <w:r w:rsidRPr="00C2539B">
          <w:rPr>
            <w:rFonts w:ascii="Times New Roman" w:hAnsi="Times New Roman" w:cs="Times New Roman"/>
            <w:noProof/>
            <w:webHidden/>
            <w:sz w:val="21"/>
            <w:szCs w:val="21"/>
          </w:rPr>
          <w:fldChar w:fldCharType="end"/>
        </w:r>
      </w:hyperlink>
    </w:p>
    <w:p w14:paraId="25676B4E" w14:textId="776F9642"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19" w:history="1">
        <w:r w:rsidRPr="00C2539B">
          <w:rPr>
            <w:rStyle w:val="aa"/>
            <w:rFonts w:ascii="Times New Roman" w:eastAsia="DengXian" w:hAnsi="Times New Roman" w:cs="Times New Roman"/>
            <w:noProof/>
            <w:sz w:val="21"/>
            <w:szCs w:val="21"/>
          </w:rPr>
          <w:t>2</w:t>
        </w:r>
        <w:r w:rsidRPr="00C2539B">
          <w:rPr>
            <w:rStyle w:val="aa"/>
            <w:rFonts w:ascii="Times New Roman" w:hAnsi="Times New Roman" w:cs="Times New Roman"/>
            <w:noProof/>
            <w:sz w:val="21"/>
            <w:szCs w:val="21"/>
          </w:rPr>
          <w:t xml:space="preserve">.5 </w:t>
        </w:r>
        <w:r w:rsidRPr="00C2539B">
          <w:rPr>
            <w:rStyle w:val="aa"/>
            <w:rFonts w:ascii="Times New Roman" w:eastAsia="DengXian" w:hAnsi="Times New Roman" w:cs="Times New Roman"/>
            <w:noProof/>
            <w:sz w:val="21"/>
            <w:szCs w:val="21"/>
          </w:rPr>
          <w:t>Collection and Secondary Use of Spent Batteries</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_Toc199865019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39</w:t>
        </w:r>
        <w:r w:rsidRPr="00C2539B">
          <w:rPr>
            <w:rFonts w:ascii="Times New Roman" w:hAnsi="Times New Roman" w:cs="Times New Roman"/>
            <w:noProof/>
            <w:webHidden/>
            <w:sz w:val="21"/>
            <w:szCs w:val="21"/>
          </w:rPr>
          <w:fldChar w:fldCharType="end"/>
        </w:r>
      </w:hyperlink>
    </w:p>
    <w:p w14:paraId="0B8C4F67" w14:textId="6CEF3824"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20" w:history="1">
        <w:r w:rsidRPr="00C2539B">
          <w:rPr>
            <w:rStyle w:val="aa"/>
            <w:rFonts w:ascii="Times New Roman" w:eastAsia="DengXian" w:hAnsi="Times New Roman" w:cs="Times New Roman"/>
            <w:noProof/>
            <w:sz w:val="21"/>
            <w:szCs w:val="21"/>
          </w:rPr>
          <w:t>2</w:t>
        </w:r>
        <w:r w:rsidRPr="00C2539B">
          <w:rPr>
            <w:rStyle w:val="aa"/>
            <w:rFonts w:ascii="Times New Roman" w:hAnsi="Times New Roman" w:cs="Times New Roman"/>
            <w:noProof/>
            <w:sz w:val="21"/>
            <w:szCs w:val="21"/>
          </w:rPr>
          <w:t xml:space="preserve">.6 </w:t>
        </w:r>
        <w:r w:rsidRPr="00C2539B">
          <w:rPr>
            <w:rStyle w:val="aa"/>
            <w:rFonts w:ascii="Times New Roman" w:eastAsia="DengXian" w:hAnsi="Times New Roman" w:cs="Times New Roman"/>
            <w:noProof/>
            <w:sz w:val="21"/>
            <w:szCs w:val="21"/>
          </w:rPr>
          <w:t>Recycling of Spent Batteries</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_Toc199865020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41</w:t>
        </w:r>
        <w:r w:rsidRPr="00C2539B">
          <w:rPr>
            <w:rFonts w:ascii="Times New Roman" w:hAnsi="Times New Roman" w:cs="Times New Roman"/>
            <w:noProof/>
            <w:webHidden/>
            <w:sz w:val="21"/>
            <w:szCs w:val="21"/>
          </w:rPr>
          <w:fldChar w:fldCharType="end"/>
        </w:r>
      </w:hyperlink>
    </w:p>
    <w:p w14:paraId="20CEE183" w14:textId="361644F4"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21" w:history="1">
        <w:r w:rsidRPr="00C2539B">
          <w:rPr>
            <w:rStyle w:val="aa"/>
            <w:rFonts w:ascii="Times New Roman" w:eastAsia="DengXian" w:hAnsi="Times New Roman" w:cs="Times New Roman"/>
            <w:noProof/>
            <w:sz w:val="21"/>
            <w:szCs w:val="21"/>
          </w:rPr>
          <w:t>2</w:t>
        </w:r>
        <w:r w:rsidRPr="00C2539B">
          <w:rPr>
            <w:rStyle w:val="aa"/>
            <w:rFonts w:ascii="Times New Roman" w:hAnsi="Times New Roman" w:cs="Times New Roman"/>
            <w:noProof/>
            <w:sz w:val="21"/>
            <w:szCs w:val="21"/>
          </w:rPr>
          <w:t>.</w:t>
        </w:r>
        <w:r w:rsidRPr="00C2539B">
          <w:rPr>
            <w:rStyle w:val="aa"/>
            <w:rFonts w:ascii="Times New Roman" w:eastAsia="DengXian" w:hAnsi="Times New Roman" w:cs="Times New Roman"/>
            <w:noProof/>
            <w:sz w:val="21"/>
            <w:szCs w:val="21"/>
          </w:rPr>
          <w:t>7</w:t>
        </w:r>
        <w:r w:rsidRPr="00C2539B">
          <w:rPr>
            <w:rStyle w:val="aa"/>
            <w:rFonts w:ascii="Times New Roman" w:hAnsi="Times New Roman" w:cs="Times New Roman"/>
            <w:noProof/>
            <w:sz w:val="21"/>
            <w:szCs w:val="21"/>
          </w:rPr>
          <w:t xml:space="preserve"> </w:t>
        </w:r>
        <w:r w:rsidRPr="00C2539B">
          <w:rPr>
            <w:rStyle w:val="aa"/>
            <w:rFonts w:ascii="Times New Roman" w:eastAsia="DengXian" w:hAnsi="Times New Roman" w:cs="Times New Roman"/>
            <w:noProof/>
            <w:sz w:val="21"/>
            <w:szCs w:val="21"/>
          </w:rPr>
          <w:t>Tracking and Mandatory Collection</w:t>
        </w:r>
        <w:r w:rsidRPr="00C2539B">
          <w:rPr>
            <w:rStyle w:val="aa"/>
            <w:rFonts w:ascii="Times New Roman" w:hAnsi="Times New Roman" w:cs="Times New Roman"/>
            <w:noProof/>
            <w:sz w:val="21"/>
            <w:szCs w:val="21"/>
          </w:rPr>
          <w:t xml:space="preserve"> of Batteries</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_Toc199865021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42</w:t>
        </w:r>
        <w:r w:rsidRPr="00C2539B">
          <w:rPr>
            <w:rFonts w:ascii="Times New Roman" w:hAnsi="Times New Roman" w:cs="Times New Roman"/>
            <w:noProof/>
            <w:webHidden/>
            <w:sz w:val="21"/>
            <w:szCs w:val="21"/>
          </w:rPr>
          <w:fldChar w:fldCharType="end"/>
        </w:r>
      </w:hyperlink>
    </w:p>
    <w:p w14:paraId="3BAE0FD1" w14:textId="2CBA22DC" w:rsidR="00C2539B" w:rsidRPr="00C2539B" w:rsidRDefault="00C2539B">
      <w:pPr>
        <w:pStyle w:val="11"/>
        <w:tabs>
          <w:tab w:val="right" w:leader="dot" w:pos="8494"/>
        </w:tabs>
        <w:rPr>
          <w:rFonts w:eastAsiaTheme="minorEastAsia" w:cs="Times New Roman"/>
          <w:noProof/>
          <w:kern w:val="2"/>
          <w:szCs w:val="21"/>
          <w14:ligatures w14:val="standardContextual"/>
        </w:rPr>
      </w:pPr>
      <w:hyperlink w:anchor="_Toc199865022" w:history="1">
        <w:r w:rsidRPr="00C2539B">
          <w:rPr>
            <w:rStyle w:val="aa"/>
            <w:rFonts w:eastAsia="DengXian" w:cs="Times New Roman"/>
            <w:noProof/>
            <w:szCs w:val="21"/>
            <w:lang w:eastAsia="zh-CN"/>
          </w:rPr>
          <w:t>3. Supplementary Information on Scenario Analysis</w:t>
        </w:r>
        <w:r w:rsidRPr="00C2539B">
          <w:rPr>
            <w:rFonts w:cs="Times New Roman"/>
            <w:noProof/>
            <w:webHidden/>
            <w:szCs w:val="21"/>
          </w:rPr>
          <w:tab/>
        </w:r>
        <w:r w:rsidRPr="00C2539B">
          <w:rPr>
            <w:rFonts w:cs="Times New Roman"/>
            <w:noProof/>
            <w:webHidden/>
            <w:szCs w:val="21"/>
          </w:rPr>
          <w:fldChar w:fldCharType="begin"/>
        </w:r>
        <w:r w:rsidRPr="00C2539B">
          <w:rPr>
            <w:rFonts w:cs="Times New Roman"/>
            <w:noProof/>
            <w:webHidden/>
            <w:szCs w:val="21"/>
          </w:rPr>
          <w:instrText xml:space="preserve"> PAGEREF _Toc199865022 \h </w:instrText>
        </w:r>
        <w:r w:rsidRPr="00C2539B">
          <w:rPr>
            <w:rFonts w:cs="Times New Roman"/>
            <w:noProof/>
            <w:webHidden/>
            <w:szCs w:val="21"/>
          </w:rPr>
        </w:r>
        <w:r w:rsidRPr="00C2539B">
          <w:rPr>
            <w:rFonts w:cs="Times New Roman"/>
            <w:noProof/>
            <w:webHidden/>
            <w:szCs w:val="21"/>
          </w:rPr>
          <w:fldChar w:fldCharType="separate"/>
        </w:r>
        <w:r w:rsidRPr="00C2539B">
          <w:rPr>
            <w:rFonts w:cs="Times New Roman"/>
            <w:noProof/>
            <w:webHidden/>
            <w:szCs w:val="21"/>
          </w:rPr>
          <w:t>44</w:t>
        </w:r>
        <w:r w:rsidRPr="00C2539B">
          <w:rPr>
            <w:rFonts w:cs="Times New Roman"/>
            <w:noProof/>
            <w:webHidden/>
            <w:szCs w:val="21"/>
          </w:rPr>
          <w:fldChar w:fldCharType="end"/>
        </w:r>
      </w:hyperlink>
    </w:p>
    <w:p w14:paraId="1FA1ABBB" w14:textId="0AF29F01"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23" w:history="1">
        <w:r w:rsidRPr="00C2539B">
          <w:rPr>
            <w:rStyle w:val="aa"/>
            <w:rFonts w:ascii="Times New Roman" w:eastAsia="DengXian" w:hAnsi="Times New Roman" w:cs="Times New Roman"/>
            <w:noProof/>
            <w:sz w:val="21"/>
            <w:szCs w:val="21"/>
          </w:rPr>
          <w:t>3</w:t>
        </w:r>
        <w:r w:rsidRPr="00C2539B">
          <w:rPr>
            <w:rStyle w:val="aa"/>
            <w:rFonts w:ascii="Times New Roman" w:hAnsi="Times New Roman" w:cs="Times New Roman"/>
            <w:noProof/>
            <w:sz w:val="21"/>
            <w:szCs w:val="21"/>
          </w:rPr>
          <w:t xml:space="preserve">.1 </w:t>
        </w:r>
        <w:r w:rsidRPr="00C2539B">
          <w:rPr>
            <w:rStyle w:val="aa"/>
            <w:rFonts w:ascii="Times New Roman" w:eastAsia="DengXian" w:hAnsi="Times New Roman" w:cs="Times New Roman"/>
            <w:noProof/>
            <w:sz w:val="21"/>
            <w:szCs w:val="21"/>
          </w:rPr>
          <w:t>Material Flow and Circularity Changes by Elements</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_Toc199865023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44</w:t>
        </w:r>
        <w:r w:rsidRPr="00C2539B">
          <w:rPr>
            <w:rFonts w:ascii="Times New Roman" w:hAnsi="Times New Roman" w:cs="Times New Roman"/>
            <w:noProof/>
            <w:webHidden/>
            <w:sz w:val="21"/>
            <w:szCs w:val="21"/>
          </w:rPr>
          <w:fldChar w:fldCharType="end"/>
        </w:r>
      </w:hyperlink>
    </w:p>
    <w:p w14:paraId="1845E081" w14:textId="166EC1AA"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24" w:history="1">
        <w:r w:rsidRPr="00C2539B">
          <w:rPr>
            <w:rStyle w:val="aa"/>
            <w:rFonts w:ascii="Times New Roman" w:eastAsia="DengXian" w:hAnsi="Times New Roman" w:cs="Times New Roman"/>
            <w:noProof/>
            <w:sz w:val="21"/>
            <w:szCs w:val="21"/>
          </w:rPr>
          <w:t>3</w:t>
        </w:r>
        <w:r w:rsidRPr="00C2539B">
          <w:rPr>
            <w:rStyle w:val="aa"/>
            <w:rFonts w:ascii="Times New Roman" w:hAnsi="Times New Roman" w:cs="Times New Roman"/>
            <w:noProof/>
            <w:sz w:val="21"/>
            <w:szCs w:val="21"/>
          </w:rPr>
          <w:t>.</w:t>
        </w:r>
        <w:r w:rsidRPr="00C2539B">
          <w:rPr>
            <w:rStyle w:val="aa"/>
            <w:rFonts w:ascii="Times New Roman" w:eastAsia="DengXian" w:hAnsi="Times New Roman" w:cs="Times New Roman"/>
            <w:noProof/>
            <w:sz w:val="21"/>
            <w:szCs w:val="21"/>
          </w:rPr>
          <w:t>2</w:t>
        </w:r>
        <w:r w:rsidRPr="00C2539B">
          <w:rPr>
            <w:rStyle w:val="aa"/>
            <w:rFonts w:ascii="Times New Roman" w:hAnsi="Times New Roman" w:cs="Times New Roman"/>
            <w:noProof/>
            <w:sz w:val="21"/>
            <w:szCs w:val="21"/>
          </w:rPr>
          <w:t xml:space="preserve"> </w:t>
        </w:r>
        <w:r w:rsidRPr="00C2539B">
          <w:rPr>
            <w:rStyle w:val="aa"/>
            <w:rFonts w:ascii="Times New Roman" w:eastAsia="DengXian" w:hAnsi="Times New Roman" w:cs="Times New Roman"/>
            <w:noProof/>
            <w:sz w:val="21"/>
            <w:szCs w:val="21"/>
          </w:rPr>
          <w:t>Detailed Results from Scenario Matrix for Policy Assessment</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_Toc199865024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47</w:t>
        </w:r>
        <w:r w:rsidRPr="00C2539B">
          <w:rPr>
            <w:rFonts w:ascii="Times New Roman" w:hAnsi="Times New Roman" w:cs="Times New Roman"/>
            <w:noProof/>
            <w:webHidden/>
            <w:sz w:val="21"/>
            <w:szCs w:val="21"/>
          </w:rPr>
          <w:fldChar w:fldCharType="end"/>
        </w:r>
      </w:hyperlink>
    </w:p>
    <w:p w14:paraId="4BC277D9" w14:textId="0E853DDE"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25" w:history="1">
        <w:r w:rsidRPr="00C2539B">
          <w:rPr>
            <w:rStyle w:val="aa"/>
            <w:rFonts w:ascii="Times New Roman" w:hAnsi="Times New Roman" w:cs="Times New Roman"/>
            <w:noProof/>
            <w:sz w:val="21"/>
            <w:szCs w:val="21"/>
          </w:rPr>
          <w:t>3.3 Additional Scenarios</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_Toc199865025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52</w:t>
        </w:r>
        <w:r w:rsidRPr="00C2539B">
          <w:rPr>
            <w:rFonts w:ascii="Times New Roman" w:hAnsi="Times New Roman" w:cs="Times New Roman"/>
            <w:noProof/>
            <w:webHidden/>
            <w:sz w:val="21"/>
            <w:szCs w:val="21"/>
          </w:rPr>
          <w:fldChar w:fldCharType="end"/>
        </w:r>
      </w:hyperlink>
    </w:p>
    <w:p w14:paraId="7E7CA881" w14:textId="7FD4D555" w:rsidR="00C2539B" w:rsidRPr="00C2539B" w:rsidRDefault="00C2539B">
      <w:pPr>
        <w:pStyle w:val="22"/>
        <w:tabs>
          <w:tab w:val="right" w:leader="dot" w:pos="8494"/>
        </w:tabs>
        <w:rPr>
          <w:rFonts w:ascii="Times New Roman" w:eastAsiaTheme="minorEastAsia" w:hAnsi="Times New Roman" w:cs="Times New Roman"/>
          <w:noProof/>
          <w:kern w:val="2"/>
          <w:sz w:val="21"/>
          <w:szCs w:val="21"/>
          <w14:ligatures w14:val="standardContextual"/>
        </w:rPr>
      </w:pPr>
      <w:hyperlink w:anchor="_Toc199865026" w:history="1">
        <w:r w:rsidRPr="00C2539B">
          <w:rPr>
            <w:rStyle w:val="aa"/>
            <w:rFonts w:ascii="Times New Roman" w:hAnsi="Times New Roman" w:cs="Times New Roman"/>
            <w:noProof/>
            <w:sz w:val="21"/>
            <w:szCs w:val="21"/>
          </w:rPr>
          <w:t xml:space="preserve">3.4 Sensitivity </w:t>
        </w:r>
        <w:r w:rsidRPr="00C2539B">
          <w:rPr>
            <w:rStyle w:val="aa"/>
            <w:rFonts w:ascii="Times New Roman" w:eastAsia="DengXian" w:hAnsi="Times New Roman" w:cs="Times New Roman"/>
            <w:noProof/>
            <w:sz w:val="21"/>
            <w:szCs w:val="21"/>
          </w:rPr>
          <w:t>A</w:t>
        </w:r>
        <w:r w:rsidRPr="00C2539B">
          <w:rPr>
            <w:rStyle w:val="aa"/>
            <w:rFonts w:ascii="Times New Roman" w:hAnsi="Times New Roman" w:cs="Times New Roman"/>
            <w:noProof/>
            <w:sz w:val="21"/>
            <w:szCs w:val="21"/>
          </w:rPr>
          <w:t>nalysis</w:t>
        </w:r>
        <w:r w:rsidRPr="00C2539B">
          <w:rPr>
            <w:rFonts w:ascii="Times New Roman" w:hAnsi="Times New Roman" w:cs="Times New Roman"/>
            <w:noProof/>
            <w:webHidden/>
            <w:sz w:val="21"/>
            <w:szCs w:val="21"/>
          </w:rPr>
          <w:tab/>
        </w:r>
        <w:r w:rsidRPr="00C2539B">
          <w:rPr>
            <w:rFonts w:ascii="Times New Roman" w:hAnsi="Times New Roman" w:cs="Times New Roman"/>
            <w:noProof/>
            <w:webHidden/>
            <w:sz w:val="21"/>
            <w:szCs w:val="21"/>
          </w:rPr>
          <w:fldChar w:fldCharType="begin"/>
        </w:r>
        <w:r w:rsidRPr="00C2539B">
          <w:rPr>
            <w:rFonts w:ascii="Times New Roman" w:hAnsi="Times New Roman" w:cs="Times New Roman"/>
            <w:noProof/>
            <w:webHidden/>
            <w:sz w:val="21"/>
            <w:szCs w:val="21"/>
          </w:rPr>
          <w:instrText xml:space="preserve"> PAGEREF _Toc199865026 \h </w:instrText>
        </w:r>
        <w:r w:rsidRPr="00C2539B">
          <w:rPr>
            <w:rFonts w:ascii="Times New Roman" w:hAnsi="Times New Roman" w:cs="Times New Roman"/>
            <w:noProof/>
            <w:webHidden/>
            <w:sz w:val="21"/>
            <w:szCs w:val="21"/>
          </w:rPr>
        </w:r>
        <w:r w:rsidRPr="00C2539B">
          <w:rPr>
            <w:rFonts w:ascii="Times New Roman" w:hAnsi="Times New Roman" w:cs="Times New Roman"/>
            <w:noProof/>
            <w:webHidden/>
            <w:sz w:val="21"/>
            <w:szCs w:val="21"/>
          </w:rPr>
          <w:fldChar w:fldCharType="separate"/>
        </w:r>
        <w:r w:rsidRPr="00C2539B">
          <w:rPr>
            <w:rFonts w:ascii="Times New Roman" w:hAnsi="Times New Roman" w:cs="Times New Roman"/>
            <w:noProof/>
            <w:webHidden/>
            <w:sz w:val="21"/>
            <w:szCs w:val="21"/>
          </w:rPr>
          <w:t>53</w:t>
        </w:r>
        <w:r w:rsidRPr="00C2539B">
          <w:rPr>
            <w:rFonts w:ascii="Times New Roman" w:hAnsi="Times New Roman" w:cs="Times New Roman"/>
            <w:noProof/>
            <w:webHidden/>
            <w:sz w:val="21"/>
            <w:szCs w:val="21"/>
          </w:rPr>
          <w:fldChar w:fldCharType="end"/>
        </w:r>
      </w:hyperlink>
    </w:p>
    <w:p w14:paraId="0F59538E" w14:textId="79881ED4" w:rsidR="00C2539B" w:rsidRPr="00C2539B" w:rsidRDefault="00C2539B">
      <w:pPr>
        <w:pStyle w:val="11"/>
        <w:tabs>
          <w:tab w:val="right" w:leader="dot" w:pos="8494"/>
        </w:tabs>
        <w:rPr>
          <w:rFonts w:eastAsiaTheme="minorEastAsia" w:cs="Times New Roman"/>
          <w:noProof/>
          <w:kern w:val="2"/>
          <w:szCs w:val="21"/>
          <w14:ligatures w14:val="standardContextual"/>
        </w:rPr>
      </w:pPr>
      <w:hyperlink w:anchor="_Toc199865027" w:history="1">
        <w:r w:rsidRPr="00C2539B">
          <w:rPr>
            <w:rStyle w:val="aa"/>
            <w:rFonts w:cs="Times New Roman"/>
            <w:noProof/>
            <w:szCs w:val="21"/>
            <w:lang w:eastAsia="zh-CN"/>
          </w:rPr>
          <w:t>Reference</w:t>
        </w:r>
        <w:r w:rsidRPr="00C2539B">
          <w:rPr>
            <w:rStyle w:val="aa"/>
            <w:rFonts w:eastAsia="DengXian" w:cs="Times New Roman"/>
            <w:noProof/>
            <w:szCs w:val="21"/>
            <w:lang w:eastAsia="zh-CN"/>
          </w:rPr>
          <w:t>s</w:t>
        </w:r>
        <w:r w:rsidRPr="00C2539B">
          <w:rPr>
            <w:rStyle w:val="aa"/>
            <w:rFonts w:cs="Times New Roman"/>
            <w:noProof/>
            <w:szCs w:val="21"/>
            <w:lang w:eastAsia="zh-CN"/>
          </w:rPr>
          <w:t>:</w:t>
        </w:r>
        <w:r w:rsidRPr="00C2539B">
          <w:rPr>
            <w:rFonts w:cs="Times New Roman"/>
            <w:noProof/>
            <w:webHidden/>
            <w:szCs w:val="21"/>
          </w:rPr>
          <w:tab/>
        </w:r>
        <w:r w:rsidRPr="00C2539B">
          <w:rPr>
            <w:rFonts w:cs="Times New Roman"/>
            <w:noProof/>
            <w:webHidden/>
            <w:szCs w:val="21"/>
          </w:rPr>
          <w:fldChar w:fldCharType="begin"/>
        </w:r>
        <w:r w:rsidRPr="00C2539B">
          <w:rPr>
            <w:rFonts w:cs="Times New Roman"/>
            <w:noProof/>
            <w:webHidden/>
            <w:szCs w:val="21"/>
          </w:rPr>
          <w:instrText xml:space="preserve"> PAGEREF _Toc199865027 \h </w:instrText>
        </w:r>
        <w:r w:rsidRPr="00C2539B">
          <w:rPr>
            <w:rFonts w:cs="Times New Roman"/>
            <w:noProof/>
            <w:webHidden/>
            <w:szCs w:val="21"/>
          </w:rPr>
        </w:r>
        <w:r w:rsidRPr="00C2539B">
          <w:rPr>
            <w:rFonts w:cs="Times New Roman"/>
            <w:noProof/>
            <w:webHidden/>
            <w:szCs w:val="21"/>
          </w:rPr>
          <w:fldChar w:fldCharType="separate"/>
        </w:r>
        <w:r w:rsidRPr="00C2539B">
          <w:rPr>
            <w:rFonts w:cs="Times New Roman"/>
            <w:noProof/>
            <w:webHidden/>
            <w:szCs w:val="21"/>
          </w:rPr>
          <w:t>55</w:t>
        </w:r>
        <w:r w:rsidRPr="00C2539B">
          <w:rPr>
            <w:rFonts w:cs="Times New Roman"/>
            <w:noProof/>
            <w:webHidden/>
            <w:szCs w:val="21"/>
          </w:rPr>
          <w:fldChar w:fldCharType="end"/>
        </w:r>
      </w:hyperlink>
    </w:p>
    <w:p w14:paraId="47AEC338" w14:textId="70E71745" w:rsidR="009B3482" w:rsidRPr="000F62FA" w:rsidRDefault="0078313A" w:rsidP="00693795">
      <w:pPr>
        <w:jc w:val="center"/>
        <w:rPr>
          <w:rFonts w:ascii="Times New Roman" w:eastAsia="DengXian" w:hAnsi="Times New Roman" w:cs="Times New Roman"/>
          <w:b/>
          <w:bCs/>
          <w:lang w:eastAsia="zh-CN"/>
        </w:rPr>
      </w:pPr>
      <w:r w:rsidRPr="00C2539B">
        <w:rPr>
          <w:rFonts w:ascii="Times New Roman" w:eastAsia="DengXian" w:hAnsi="Times New Roman" w:cs="Times New Roman"/>
          <w:b/>
          <w:bCs/>
          <w:sz w:val="21"/>
          <w:szCs w:val="21"/>
          <w:lang w:eastAsia="zh-CN"/>
        </w:rPr>
        <w:fldChar w:fldCharType="end"/>
      </w:r>
    </w:p>
    <w:p w14:paraId="4A7E2657" w14:textId="65FF01C4" w:rsidR="00F90F73" w:rsidRPr="000F62FA" w:rsidRDefault="00F90F73">
      <w:pPr>
        <w:rPr>
          <w:rFonts w:ascii="Times New Roman" w:eastAsia="DengXian" w:hAnsi="Times New Roman" w:cs="Times New Roman"/>
          <w:lang w:eastAsia="zh-CN"/>
        </w:rPr>
      </w:pPr>
      <w:r w:rsidRPr="000F62FA">
        <w:rPr>
          <w:rFonts w:ascii="Times New Roman" w:eastAsia="DengXian" w:hAnsi="Times New Roman" w:cs="Times New Roman"/>
          <w:lang w:eastAsia="zh-CN"/>
        </w:rPr>
        <w:br w:type="page"/>
      </w:r>
    </w:p>
    <w:p w14:paraId="76B16BF5" w14:textId="583D16DF" w:rsidR="00332DA7" w:rsidRPr="00332DA7" w:rsidRDefault="00D7099A" w:rsidP="00475C7C">
      <w:pPr>
        <w:jc w:val="center"/>
        <w:rPr>
          <w:rFonts w:ascii="Times New Roman" w:eastAsiaTheme="minorEastAsia" w:hAnsi="Times New Roman" w:cs="Times New Roman"/>
          <w:b/>
          <w:bCs/>
        </w:rPr>
      </w:pPr>
      <w:r w:rsidRPr="000F62FA">
        <w:rPr>
          <w:rFonts w:ascii="Times New Roman" w:eastAsia="DengXian" w:hAnsi="Times New Roman" w:cs="Times New Roman"/>
          <w:b/>
          <w:bCs/>
          <w:lang w:eastAsia="zh-CN"/>
        </w:rPr>
        <w:lastRenderedPageBreak/>
        <w:t>FIGURES</w:t>
      </w:r>
    </w:p>
    <w:p w14:paraId="548158AD" w14:textId="4E9301E8" w:rsidR="006B1EB2" w:rsidRDefault="00157C37">
      <w:pPr>
        <w:pStyle w:val="af0"/>
        <w:tabs>
          <w:tab w:val="right" w:leader="dot" w:pos="8494"/>
        </w:tabs>
        <w:rPr>
          <w:rFonts w:asciiTheme="minorHAnsi" w:eastAsiaTheme="minorEastAsia" w:hAnsiTheme="minorHAnsi" w:cstheme="minorBidi"/>
          <w:noProof/>
          <w:kern w:val="2"/>
          <w14:ligatures w14:val="standardContextual"/>
        </w:rPr>
      </w:pPr>
      <w:r w:rsidRPr="000F62FA">
        <w:rPr>
          <w:rFonts w:eastAsia="DengXian" w:cs="Times New Roman"/>
          <w:b/>
          <w:lang w:eastAsia="zh-CN"/>
        </w:rPr>
        <w:fldChar w:fldCharType="begin"/>
      </w:r>
      <w:r w:rsidRPr="000F62FA">
        <w:rPr>
          <w:rFonts w:eastAsia="DengXian" w:cs="Times New Roman"/>
          <w:b/>
          <w:lang w:eastAsia="zh-CN"/>
        </w:rPr>
        <w:instrText xml:space="preserve"> TOC \h \z \c "</w:instrText>
      </w:r>
      <w:r w:rsidRPr="000F62FA">
        <w:rPr>
          <w:rFonts w:eastAsia="DengXian" w:cs="Times New Roman"/>
          <w:b/>
          <w:lang w:eastAsia="zh-CN"/>
        </w:rPr>
        <w:instrText>图表</w:instrText>
      </w:r>
      <w:r w:rsidRPr="000F62FA">
        <w:rPr>
          <w:rFonts w:eastAsia="DengXian" w:cs="Times New Roman"/>
          <w:b/>
          <w:lang w:eastAsia="zh-CN"/>
        </w:rPr>
        <w:instrText xml:space="preserve">" </w:instrText>
      </w:r>
      <w:r w:rsidRPr="000F62FA">
        <w:rPr>
          <w:rFonts w:eastAsia="DengXian" w:cs="Times New Roman"/>
          <w:b/>
          <w:lang w:eastAsia="zh-CN"/>
        </w:rPr>
        <w:fldChar w:fldCharType="separate"/>
      </w:r>
      <w:hyperlink w:anchor="_Toc208439467" w:history="1">
        <w:r w:rsidR="006B1EB2" w:rsidRPr="00853564">
          <w:rPr>
            <w:rStyle w:val="aa"/>
            <w:rFonts w:eastAsia="Microsoft YaHei" w:cs="Times New Roman"/>
            <w:noProof/>
            <w:lang w:eastAsia="zh-CN"/>
          </w:rPr>
          <w:t>Figure</w:t>
        </w:r>
        <w:r w:rsidR="006B1EB2" w:rsidRPr="00853564">
          <w:rPr>
            <w:rStyle w:val="aa"/>
            <w:rFonts w:cs="Times New Roman"/>
            <w:noProof/>
          </w:rPr>
          <w:t xml:space="preserve"> </w:t>
        </w:r>
        <w:r w:rsidR="006B1EB2" w:rsidRPr="00853564">
          <w:rPr>
            <w:rStyle w:val="aa"/>
            <w:rFonts w:eastAsia="DengXian" w:cs="Times New Roman"/>
            <w:noProof/>
            <w:lang w:eastAsia="zh-CN"/>
          </w:rPr>
          <w:t>S</w:t>
        </w:r>
        <w:r w:rsidR="006B1EB2" w:rsidRPr="00853564">
          <w:rPr>
            <w:rStyle w:val="aa"/>
            <w:rFonts w:cs="Times New Roman"/>
            <w:noProof/>
          </w:rPr>
          <w:t>1. Model framework and system boundary.</w:t>
        </w:r>
        <w:r w:rsidR="006B1EB2">
          <w:rPr>
            <w:noProof/>
            <w:webHidden/>
          </w:rPr>
          <w:tab/>
        </w:r>
        <w:r w:rsidR="006B1EB2">
          <w:rPr>
            <w:noProof/>
            <w:webHidden/>
          </w:rPr>
          <w:fldChar w:fldCharType="begin"/>
        </w:r>
        <w:r w:rsidR="006B1EB2">
          <w:rPr>
            <w:noProof/>
            <w:webHidden/>
          </w:rPr>
          <w:instrText xml:space="preserve"> PAGEREF _Toc208439467 \h </w:instrText>
        </w:r>
        <w:r w:rsidR="006B1EB2">
          <w:rPr>
            <w:noProof/>
            <w:webHidden/>
          </w:rPr>
        </w:r>
        <w:r w:rsidR="006B1EB2">
          <w:rPr>
            <w:noProof/>
            <w:webHidden/>
          </w:rPr>
          <w:fldChar w:fldCharType="separate"/>
        </w:r>
        <w:r w:rsidR="006B1EB2">
          <w:rPr>
            <w:noProof/>
            <w:webHidden/>
          </w:rPr>
          <w:t>7</w:t>
        </w:r>
        <w:r w:rsidR="006B1EB2">
          <w:rPr>
            <w:noProof/>
            <w:webHidden/>
          </w:rPr>
          <w:fldChar w:fldCharType="end"/>
        </w:r>
      </w:hyperlink>
    </w:p>
    <w:p w14:paraId="0133D1CC" w14:textId="03375A3E"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68"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2. </w:t>
        </w:r>
        <w:r w:rsidRPr="00853564">
          <w:rPr>
            <w:rStyle w:val="aa"/>
            <w:rFonts w:eastAsia="DengXian" w:cs="Times New Roman"/>
            <w:noProof/>
            <w:lang w:eastAsia="zh-CN"/>
          </w:rPr>
          <w:t>LIB supply chain policy options and scenarios setting</w:t>
        </w:r>
        <w:r w:rsidRPr="00853564">
          <w:rPr>
            <w:rStyle w:val="aa"/>
            <w:rFonts w:cs="Times New Roman"/>
            <w:noProof/>
          </w:rPr>
          <w:t>.</w:t>
        </w:r>
        <w:r>
          <w:rPr>
            <w:noProof/>
            <w:webHidden/>
          </w:rPr>
          <w:tab/>
        </w:r>
        <w:r>
          <w:rPr>
            <w:noProof/>
            <w:webHidden/>
          </w:rPr>
          <w:fldChar w:fldCharType="begin"/>
        </w:r>
        <w:r>
          <w:rPr>
            <w:noProof/>
            <w:webHidden/>
          </w:rPr>
          <w:instrText xml:space="preserve"> PAGEREF _Toc208439468 \h </w:instrText>
        </w:r>
        <w:r>
          <w:rPr>
            <w:noProof/>
            <w:webHidden/>
          </w:rPr>
        </w:r>
        <w:r>
          <w:rPr>
            <w:noProof/>
            <w:webHidden/>
          </w:rPr>
          <w:fldChar w:fldCharType="separate"/>
        </w:r>
        <w:r>
          <w:rPr>
            <w:noProof/>
            <w:webHidden/>
          </w:rPr>
          <w:t>9</w:t>
        </w:r>
        <w:r>
          <w:rPr>
            <w:noProof/>
            <w:webHidden/>
          </w:rPr>
          <w:fldChar w:fldCharType="end"/>
        </w:r>
      </w:hyperlink>
    </w:p>
    <w:p w14:paraId="3C0436A2" w14:textId="3ED10B3F"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69"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3. Interconnections between influencing factors and linkage to the calculation flow.</w:t>
        </w:r>
        <w:r>
          <w:rPr>
            <w:noProof/>
            <w:webHidden/>
          </w:rPr>
          <w:tab/>
        </w:r>
        <w:r>
          <w:rPr>
            <w:noProof/>
            <w:webHidden/>
          </w:rPr>
          <w:fldChar w:fldCharType="begin"/>
        </w:r>
        <w:r>
          <w:rPr>
            <w:noProof/>
            <w:webHidden/>
          </w:rPr>
          <w:instrText xml:space="preserve"> PAGEREF _Toc208439469 \h </w:instrText>
        </w:r>
        <w:r>
          <w:rPr>
            <w:noProof/>
            <w:webHidden/>
          </w:rPr>
        </w:r>
        <w:r>
          <w:rPr>
            <w:noProof/>
            <w:webHidden/>
          </w:rPr>
          <w:fldChar w:fldCharType="separate"/>
        </w:r>
        <w:r>
          <w:rPr>
            <w:noProof/>
            <w:webHidden/>
          </w:rPr>
          <w:t>10</w:t>
        </w:r>
        <w:r>
          <w:rPr>
            <w:noProof/>
            <w:webHidden/>
          </w:rPr>
          <w:fldChar w:fldCharType="end"/>
        </w:r>
      </w:hyperlink>
    </w:p>
    <w:p w14:paraId="08B0AF2F" w14:textId="1AD7D4C4"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70"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4. Definition of inflow, outflow, open loop and closed loop.</w:t>
        </w:r>
        <w:r>
          <w:rPr>
            <w:noProof/>
            <w:webHidden/>
          </w:rPr>
          <w:tab/>
        </w:r>
        <w:r>
          <w:rPr>
            <w:noProof/>
            <w:webHidden/>
          </w:rPr>
          <w:fldChar w:fldCharType="begin"/>
        </w:r>
        <w:r>
          <w:rPr>
            <w:noProof/>
            <w:webHidden/>
          </w:rPr>
          <w:instrText xml:space="preserve"> PAGEREF _Toc208439470 \h </w:instrText>
        </w:r>
        <w:r>
          <w:rPr>
            <w:noProof/>
            <w:webHidden/>
          </w:rPr>
        </w:r>
        <w:r>
          <w:rPr>
            <w:noProof/>
            <w:webHidden/>
          </w:rPr>
          <w:fldChar w:fldCharType="separate"/>
        </w:r>
        <w:r>
          <w:rPr>
            <w:noProof/>
            <w:webHidden/>
          </w:rPr>
          <w:t>11</w:t>
        </w:r>
        <w:r>
          <w:rPr>
            <w:noProof/>
            <w:webHidden/>
          </w:rPr>
          <w:fldChar w:fldCharType="end"/>
        </w:r>
      </w:hyperlink>
    </w:p>
    <w:p w14:paraId="7D3D6434" w14:textId="510ECC1F"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71"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5. Population of Japan (1990-2019) and its prediction (2020-2070).</w:t>
        </w:r>
        <w:r>
          <w:rPr>
            <w:noProof/>
            <w:webHidden/>
          </w:rPr>
          <w:tab/>
        </w:r>
        <w:r>
          <w:rPr>
            <w:noProof/>
            <w:webHidden/>
          </w:rPr>
          <w:fldChar w:fldCharType="begin"/>
        </w:r>
        <w:r>
          <w:rPr>
            <w:noProof/>
            <w:webHidden/>
          </w:rPr>
          <w:instrText xml:space="preserve"> PAGEREF _Toc208439471 \h </w:instrText>
        </w:r>
        <w:r>
          <w:rPr>
            <w:noProof/>
            <w:webHidden/>
          </w:rPr>
        </w:r>
        <w:r>
          <w:rPr>
            <w:noProof/>
            <w:webHidden/>
          </w:rPr>
          <w:fldChar w:fldCharType="separate"/>
        </w:r>
        <w:r>
          <w:rPr>
            <w:noProof/>
            <w:webHidden/>
          </w:rPr>
          <w:t>17</w:t>
        </w:r>
        <w:r>
          <w:rPr>
            <w:noProof/>
            <w:webHidden/>
          </w:rPr>
          <w:fldChar w:fldCharType="end"/>
        </w:r>
      </w:hyperlink>
    </w:p>
    <w:p w14:paraId="373A1FB1" w14:textId="4EF8C0AF"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72"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6. </w:t>
        </w:r>
        <w:r w:rsidRPr="00853564">
          <w:rPr>
            <w:rStyle w:val="aa"/>
            <w:rFonts w:eastAsia="DengXian" w:cs="Times New Roman"/>
            <w:noProof/>
            <w:lang w:eastAsia="zh-CN"/>
          </w:rPr>
          <w:t xml:space="preserve">The changes of the number of households and household size </w:t>
        </w:r>
        <w:r w:rsidRPr="00853564">
          <w:rPr>
            <w:rStyle w:val="aa"/>
            <w:rFonts w:cs="Times New Roman"/>
            <w:noProof/>
          </w:rPr>
          <w:t xml:space="preserve">in Japan </w:t>
        </w:r>
        <w:r w:rsidRPr="00853564">
          <w:rPr>
            <w:rStyle w:val="aa"/>
            <w:rFonts w:eastAsia="DengXian" w:cs="Times New Roman"/>
            <w:noProof/>
            <w:lang w:eastAsia="zh-CN"/>
          </w:rPr>
          <w:t xml:space="preserve">(1970-2019) and the projections </w:t>
        </w:r>
        <w:r w:rsidRPr="00853564">
          <w:rPr>
            <w:rStyle w:val="aa"/>
            <w:rFonts w:cs="Times New Roman"/>
            <w:noProof/>
          </w:rPr>
          <w:t>(2020-2050).</w:t>
        </w:r>
        <w:r>
          <w:rPr>
            <w:noProof/>
            <w:webHidden/>
          </w:rPr>
          <w:tab/>
        </w:r>
        <w:r>
          <w:rPr>
            <w:noProof/>
            <w:webHidden/>
          </w:rPr>
          <w:fldChar w:fldCharType="begin"/>
        </w:r>
        <w:r>
          <w:rPr>
            <w:noProof/>
            <w:webHidden/>
          </w:rPr>
          <w:instrText xml:space="preserve"> PAGEREF _Toc208439472 \h </w:instrText>
        </w:r>
        <w:r>
          <w:rPr>
            <w:noProof/>
            <w:webHidden/>
          </w:rPr>
        </w:r>
        <w:r>
          <w:rPr>
            <w:noProof/>
            <w:webHidden/>
          </w:rPr>
          <w:fldChar w:fldCharType="separate"/>
        </w:r>
        <w:r>
          <w:rPr>
            <w:noProof/>
            <w:webHidden/>
          </w:rPr>
          <w:t>18</w:t>
        </w:r>
        <w:r>
          <w:rPr>
            <w:noProof/>
            <w:webHidden/>
          </w:rPr>
          <w:fldChar w:fldCharType="end"/>
        </w:r>
      </w:hyperlink>
    </w:p>
    <w:p w14:paraId="4BDEAC6E" w14:textId="2EECBBA0"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73"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7. </w:t>
        </w:r>
        <w:r w:rsidRPr="00853564">
          <w:rPr>
            <w:rStyle w:val="aa"/>
            <w:rFonts w:eastAsia="DengXian" w:cs="Times New Roman"/>
            <w:noProof/>
            <w:lang w:eastAsia="zh-CN"/>
          </w:rPr>
          <w:t>The proportion of registered car-sharing users relative to the total population</w:t>
        </w:r>
        <w:r w:rsidRPr="00853564">
          <w:rPr>
            <w:rStyle w:val="aa"/>
            <w:rFonts w:cs="Times New Roman"/>
            <w:noProof/>
          </w:rPr>
          <w:t xml:space="preserve"> (</w:t>
        </w:r>
        <w:r w:rsidRPr="00853564">
          <w:rPr>
            <w:rStyle w:val="aa"/>
            <w:rFonts w:eastAsia="DengXian" w:cs="Times New Roman"/>
            <w:noProof/>
            <w:lang w:eastAsia="zh-CN"/>
          </w:rPr>
          <w:t>2005</w:t>
        </w:r>
        <w:r w:rsidRPr="00853564">
          <w:rPr>
            <w:rStyle w:val="aa"/>
            <w:rFonts w:cs="Times New Roman"/>
            <w:noProof/>
          </w:rPr>
          <w:t>-20</w:t>
        </w:r>
        <w:r w:rsidRPr="00853564">
          <w:rPr>
            <w:rStyle w:val="aa"/>
            <w:rFonts w:eastAsia="DengXian" w:cs="Times New Roman"/>
            <w:noProof/>
            <w:lang w:eastAsia="zh-CN"/>
          </w:rPr>
          <w:t>24</w:t>
        </w:r>
        <w:r w:rsidRPr="00853564">
          <w:rPr>
            <w:rStyle w:val="aa"/>
            <w:rFonts w:cs="Times New Roman"/>
            <w:noProof/>
          </w:rPr>
          <w:t>)</w:t>
        </w:r>
        <w:r w:rsidRPr="00853564">
          <w:rPr>
            <w:rStyle w:val="aa"/>
            <w:rFonts w:eastAsia="DengXian" w:cs="Times New Roman"/>
            <w:noProof/>
            <w:lang w:eastAsia="zh-CN"/>
          </w:rPr>
          <w:t xml:space="preserve"> and its projection</w:t>
        </w:r>
        <w:r w:rsidRPr="00853564">
          <w:rPr>
            <w:rStyle w:val="aa"/>
            <w:rFonts w:cs="Times New Roman"/>
            <w:noProof/>
          </w:rPr>
          <w:t xml:space="preserve"> (</w:t>
        </w:r>
        <w:r w:rsidRPr="00853564">
          <w:rPr>
            <w:rStyle w:val="aa"/>
            <w:rFonts w:eastAsia="DengXian" w:cs="Times New Roman"/>
            <w:noProof/>
            <w:lang w:eastAsia="zh-CN"/>
          </w:rPr>
          <w:t>2025</w:t>
        </w:r>
        <w:r w:rsidRPr="00853564">
          <w:rPr>
            <w:rStyle w:val="aa"/>
            <w:rFonts w:cs="Times New Roman"/>
            <w:noProof/>
          </w:rPr>
          <w:t>-20</w:t>
        </w:r>
        <w:r w:rsidRPr="00853564">
          <w:rPr>
            <w:rStyle w:val="aa"/>
            <w:rFonts w:eastAsia="DengXian" w:cs="Times New Roman"/>
            <w:noProof/>
            <w:lang w:eastAsia="zh-CN"/>
          </w:rPr>
          <w:t>50</w:t>
        </w:r>
        <w:r w:rsidRPr="00853564">
          <w:rPr>
            <w:rStyle w:val="aa"/>
            <w:rFonts w:cs="Times New Roman"/>
            <w:noProof/>
          </w:rPr>
          <w:t>).</w:t>
        </w:r>
        <w:r>
          <w:rPr>
            <w:noProof/>
            <w:webHidden/>
          </w:rPr>
          <w:tab/>
        </w:r>
        <w:r>
          <w:rPr>
            <w:noProof/>
            <w:webHidden/>
          </w:rPr>
          <w:fldChar w:fldCharType="begin"/>
        </w:r>
        <w:r>
          <w:rPr>
            <w:noProof/>
            <w:webHidden/>
          </w:rPr>
          <w:instrText xml:space="preserve"> PAGEREF _Toc208439473 \h </w:instrText>
        </w:r>
        <w:r>
          <w:rPr>
            <w:noProof/>
            <w:webHidden/>
          </w:rPr>
        </w:r>
        <w:r>
          <w:rPr>
            <w:noProof/>
            <w:webHidden/>
          </w:rPr>
          <w:fldChar w:fldCharType="separate"/>
        </w:r>
        <w:r>
          <w:rPr>
            <w:noProof/>
            <w:webHidden/>
          </w:rPr>
          <w:t>18</w:t>
        </w:r>
        <w:r>
          <w:rPr>
            <w:noProof/>
            <w:webHidden/>
          </w:rPr>
          <w:fldChar w:fldCharType="end"/>
        </w:r>
      </w:hyperlink>
    </w:p>
    <w:p w14:paraId="3889DDB7" w14:textId="108A9E26"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74"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8. </w:t>
        </w:r>
        <w:r w:rsidRPr="00853564">
          <w:rPr>
            <w:rStyle w:val="aa"/>
            <w:rFonts w:eastAsia="DengXian" w:cs="Times New Roman"/>
            <w:noProof/>
            <w:lang w:eastAsia="zh-CN"/>
          </w:rPr>
          <w:t>Total actual length of paved roads in Japan</w:t>
        </w:r>
        <w:r w:rsidRPr="00853564">
          <w:rPr>
            <w:rStyle w:val="aa"/>
            <w:rFonts w:cs="Times New Roman"/>
            <w:noProof/>
          </w:rPr>
          <w:t xml:space="preserve"> (19</w:t>
        </w:r>
        <w:r w:rsidRPr="00853564">
          <w:rPr>
            <w:rStyle w:val="aa"/>
            <w:rFonts w:eastAsia="DengXian" w:cs="Times New Roman"/>
            <w:noProof/>
            <w:lang w:eastAsia="zh-CN"/>
          </w:rPr>
          <w:t>9</w:t>
        </w:r>
        <w:r w:rsidRPr="00853564">
          <w:rPr>
            <w:rStyle w:val="aa"/>
            <w:rFonts w:cs="Times New Roman"/>
            <w:noProof/>
          </w:rPr>
          <w:t>0-202</w:t>
        </w:r>
        <w:r w:rsidRPr="00853564">
          <w:rPr>
            <w:rStyle w:val="aa"/>
            <w:rFonts w:eastAsia="DengXian" w:cs="Times New Roman"/>
            <w:noProof/>
            <w:lang w:eastAsia="zh-CN"/>
          </w:rPr>
          <w:t>4</w:t>
        </w:r>
        <w:r w:rsidRPr="00853564">
          <w:rPr>
            <w:rStyle w:val="aa"/>
            <w:rFonts w:cs="Times New Roman"/>
            <w:noProof/>
          </w:rPr>
          <w:t>)</w:t>
        </w:r>
        <w:r w:rsidRPr="00853564">
          <w:rPr>
            <w:rStyle w:val="aa"/>
            <w:rFonts w:eastAsia="DengXian" w:cs="Times New Roman"/>
            <w:noProof/>
            <w:lang w:eastAsia="zh-CN"/>
          </w:rPr>
          <w:t xml:space="preserve"> and its projection (2025-2050)</w:t>
        </w:r>
        <w:r w:rsidRPr="00853564">
          <w:rPr>
            <w:rStyle w:val="aa"/>
            <w:rFonts w:cs="Times New Roman"/>
            <w:noProof/>
          </w:rPr>
          <w:t>.</w:t>
        </w:r>
        <w:r>
          <w:rPr>
            <w:noProof/>
            <w:webHidden/>
          </w:rPr>
          <w:tab/>
        </w:r>
        <w:r>
          <w:rPr>
            <w:noProof/>
            <w:webHidden/>
          </w:rPr>
          <w:fldChar w:fldCharType="begin"/>
        </w:r>
        <w:r>
          <w:rPr>
            <w:noProof/>
            <w:webHidden/>
          </w:rPr>
          <w:instrText xml:space="preserve"> PAGEREF _Toc208439474 \h </w:instrText>
        </w:r>
        <w:r>
          <w:rPr>
            <w:noProof/>
            <w:webHidden/>
          </w:rPr>
        </w:r>
        <w:r>
          <w:rPr>
            <w:noProof/>
            <w:webHidden/>
          </w:rPr>
          <w:fldChar w:fldCharType="separate"/>
        </w:r>
        <w:r>
          <w:rPr>
            <w:noProof/>
            <w:webHidden/>
          </w:rPr>
          <w:t>19</w:t>
        </w:r>
        <w:r>
          <w:rPr>
            <w:noProof/>
            <w:webHidden/>
          </w:rPr>
          <w:fldChar w:fldCharType="end"/>
        </w:r>
      </w:hyperlink>
    </w:p>
    <w:p w14:paraId="1C0B8296" w14:textId="62994B4F"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75"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9. </w:t>
        </w:r>
        <w:r w:rsidRPr="00853564">
          <w:rPr>
            <w:rStyle w:val="aa"/>
            <w:rFonts w:eastAsia="DengXian" w:cs="Times New Roman"/>
            <w:noProof/>
            <w:lang w:eastAsia="zh-CN"/>
          </w:rPr>
          <w:t>The density of densely inhabited district (DID)</w:t>
        </w:r>
        <w:r w:rsidRPr="00853564">
          <w:rPr>
            <w:rStyle w:val="aa"/>
            <w:rFonts w:cs="Times New Roman"/>
            <w:noProof/>
          </w:rPr>
          <w:t xml:space="preserve"> </w:t>
        </w:r>
        <w:r w:rsidRPr="00853564">
          <w:rPr>
            <w:rStyle w:val="aa"/>
            <w:rFonts w:eastAsia="DengXian" w:cs="Times New Roman"/>
            <w:noProof/>
            <w:lang w:eastAsia="zh-CN"/>
          </w:rPr>
          <w:t xml:space="preserve">in Japan </w:t>
        </w:r>
        <w:r w:rsidRPr="00853564">
          <w:rPr>
            <w:rStyle w:val="aa"/>
            <w:rFonts w:cs="Times New Roman"/>
            <w:noProof/>
          </w:rPr>
          <w:t>(1970-202</w:t>
        </w:r>
        <w:r w:rsidRPr="00853564">
          <w:rPr>
            <w:rStyle w:val="aa"/>
            <w:rFonts w:eastAsia="DengXian" w:cs="Times New Roman"/>
            <w:noProof/>
            <w:lang w:eastAsia="zh-CN"/>
          </w:rPr>
          <w:t>4</w:t>
        </w:r>
        <w:r w:rsidRPr="00853564">
          <w:rPr>
            <w:rStyle w:val="aa"/>
            <w:rFonts w:cs="Times New Roman"/>
            <w:noProof/>
          </w:rPr>
          <w:t>)</w:t>
        </w:r>
        <w:r w:rsidRPr="00853564">
          <w:rPr>
            <w:rStyle w:val="aa"/>
            <w:rFonts w:eastAsia="DengXian" w:cs="Times New Roman"/>
            <w:noProof/>
            <w:lang w:eastAsia="zh-CN"/>
          </w:rPr>
          <w:t xml:space="preserve"> and the assumption on future changes (2025-2050)</w:t>
        </w:r>
        <w:r w:rsidRPr="00853564">
          <w:rPr>
            <w:rStyle w:val="aa"/>
            <w:rFonts w:cs="Times New Roman"/>
            <w:noProof/>
          </w:rPr>
          <w:t>.</w:t>
        </w:r>
        <w:r>
          <w:rPr>
            <w:noProof/>
            <w:webHidden/>
          </w:rPr>
          <w:tab/>
        </w:r>
        <w:r>
          <w:rPr>
            <w:noProof/>
            <w:webHidden/>
          </w:rPr>
          <w:fldChar w:fldCharType="begin"/>
        </w:r>
        <w:r>
          <w:rPr>
            <w:noProof/>
            <w:webHidden/>
          </w:rPr>
          <w:instrText xml:space="preserve"> PAGEREF _Toc208439475 \h </w:instrText>
        </w:r>
        <w:r>
          <w:rPr>
            <w:noProof/>
            <w:webHidden/>
          </w:rPr>
        </w:r>
        <w:r>
          <w:rPr>
            <w:noProof/>
            <w:webHidden/>
          </w:rPr>
          <w:fldChar w:fldCharType="separate"/>
        </w:r>
        <w:r>
          <w:rPr>
            <w:noProof/>
            <w:webHidden/>
          </w:rPr>
          <w:t>20</w:t>
        </w:r>
        <w:r>
          <w:rPr>
            <w:noProof/>
            <w:webHidden/>
          </w:rPr>
          <w:fldChar w:fldCharType="end"/>
        </w:r>
      </w:hyperlink>
    </w:p>
    <w:p w14:paraId="009D6473" w14:textId="29840C57"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76"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10. The ownership of passenger vehicles in Japan (19</w:t>
        </w:r>
        <w:r w:rsidRPr="00853564">
          <w:rPr>
            <w:rStyle w:val="aa"/>
            <w:rFonts w:eastAsia="DengXian" w:cs="Times New Roman"/>
            <w:noProof/>
            <w:lang w:eastAsia="zh-CN"/>
          </w:rPr>
          <w:t>66</w:t>
        </w:r>
        <w:r w:rsidRPr="00853564">
          <w:rPr>
            <w:rStyle w:val="aa"/>
            <w:rFonts w:cs="Times New Roman"/>
            <w:noProof/>
          </w:rPr>
          <w:t>-202</w:t>
        </w:r>
        <w:r w:rsidRPr="00853564">
          <w:rPr>
            <w:rStyle w:val="aa"/>
            <w:rFonts w:eastAsia="DengXian" w:cs="Times New Roman"/>
            <w:noProof/>
            <w:lang w:eastAsia="zh-CN"/>
          </w:rPr>
          <w:t>4</w:t>
        </w:r>
        <w:r w:rsidRPr="00853564">
          <w:rPr>
            <w:rStyle w:val="aa"/>
            <w:rFonts w:cs="Times New Roman"/>
            <w:noProof/>
          </w:rPr>
          <w:t>) and its projection (202</w:t>
        </w:r>
        <w:r w:rsidRPr="00853564">
          <w:rPr>
            <w:rStyle w:val="aa"/>
            <w:rFonts w:eastAsia="DengXian" w:cs="Times New Roman"/>
            <w:noProof/>
            <w:lang w:eastAsia="zh-CN"/>
          </w:rPr>
          <w:t>5</w:t>
        </w:r>
        <w:r w:rsidRPr="00853564">
          <w:rPr>
            <w:rStyle w:val="aa"/>
            <w:rFonts w:cs="Times New Roman"/>
            <w:noProof/>
          </w:rPr>
          <w:t>-2050).</w:t>
        </w:r>
        <w:r>
          <w:rPr>
            <w:noProof/>
            <w:webHidden/>
          </w:rPr>
          <w:tab/>
        </w:r>
        <w:r>
          <w:rPr>
            <w:noProof/>
            <w:webHidden/>
          </w:rPr>
          <w:fldChar w:fldCharType="begin"/>
        </w:r>
        <w:r>
          <w:rPr>
            <w:noProof/>
            <w:webHidden/>
          </w:rPr>
          <w:instrText xml:space="preserve"> PAGEREF _Toc208439476 \h </w:instrText>
        </w:r>
        <w:r>
          <w:rPr>
            <w:noProof/>
            <w:webHidden/>
          </w:rPr>
        </w:r>
        <w:r>
          <w:rPr>
            <w:noProof/>
            <w:webHidden/>
          </w:rPr>
          <w:fldChar w:fldCharType="separate"/>
        </w:r>
        <w:r>
          <w:rPr>
            <w:noProof/>
            <w:webHidden/>
          </w:rPr>
          <w:t>21</w:t>
        </w:r>
        <w:r>
          <w:rPr>
            <w:noProof/>
            <w:webHidden/>
          </w:rPr>
          <w:fldChar w:fldCharType="end"/>
        </w:r>
      </w:hyperlink>
    </w:p>
    <w:p w14:paraId="31234CD8" w14:textId="528D636F"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77"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11. The ownership of various vehicles in Japan (19</w:t>
        </w:r>
        <w:r w:rsidRPr="00853564">
          <w:rPr>
            <w:rStyle w:val="aa"/>
            <w:rFonts w:eastAsia="DengXian" w:cs="Times New Roman"/>
            <w:noProof/>
            <w:lang w:eastAsia="zh-CN"/>
          </w:rPr>
          <w:t>66</w:t>
        </w:r>
        <w:r w:rsidRPr="00853564">
          <w:rPr>
            <w:rStyle w:val="aa"/>
            <w:rFonts w:cs="Times New Roman"/>
            <w:noProof/>
          </w:rPr>
          <w:t>-2020).</w:t>
        </w:r>
        <w:r>
          <w:rPr>
            <w:noProof/>
            <w:webHidden/>
          </w:rPr>
          <w:tab/>
        </w:r>
        <w:r>
          <w:rPr>
            <w:noProof/>
            <w:webHidden/>
          </w:rPr>
          <w:fldChar w:fldCharType="begin"/>
        </w:r>
        <w:r>
          <w:rPr>
            <w:noProof/>
            <w:webHidden/>
          </w:rPr>
          <w:instrText xml:space="preserve"> PAGEREF _Toc208439477 \h </w:instrText>
        </w:r>
        <w:r>
          <w:rPr>
            <w:noProof/>
            <w:webHidden/>
          </w:rPr>
        </w:r>
        <w:r>
          <w:rPr>
            <w:noProof/>
            <w:webHidden/>
          </w:rPr>
          <w:fldChar w:fldCharType="separate"/>
        </w:r>
        <w:r>
          <w:rPr>
            <w:noProof/>
            <w:webHidden/>
          </w:rPr>
          <w:t>22</w:t>
        </w:r>
        <w:r>
          <w:rPr>
            <w:noProof/>
            <w:webHidden/>
          </w:rPr>
          <w:fldChar w:fldCharType="end"/>
        </w:r>
      </w:hyperlink>
    </w:p>
    <w:p w14:paraId="3247D5BC" w14:textId="658A2115"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78"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12. Actual survival rate of passenger cars in Japan (2019) and its fitted curve by Weibull distribution.</w:t>
        </w:r>
        <w:r>
          <w:rPr>
            <w:noProof/>
            <w:webHidden/>
          </w:rPr>
          <w:tab/>
        </w:r>
        <w:r>
          <w:rPr>
            <w:noProof/>
            <w:webHidden/>
          </w:rPr>
          <w:fldChar w:fldCharType="begin"/>
        </w:r>
        <w:r>
          <w:rPr>
            <w:noProof/>
            <w:webHidden/>
          </w:rPr>
          <w:instrText xml:space="preserve"> PAGEREF _Toc208439478 \h </w:instrText>
        </w:r>
        <w:r>
          <w:rPr>
            <w:noProof/>
            <w:webHidden/>
          </w:rPr>
        </w:r>
        <w:r>
          <w:rPr>
            <w:noProof/>
            <w:webHidden/>
          </w:rPr>
          <w:fldChar w:fldCharType="separate"/>
        </w:r>
        <w:r>
          <w:rPr>
            <w:noProof/>
            <w:webHidden/>
          </w:rPr>
          <w:t>23</w:t>
        </w:r>
        <w:r>
          <w:rPr>
            <w:noProof/>
            <w:webHidden/>
          </w:rPr>
          <w:fldChar w:fldCharType="end"/>
        </w:r>
      </w:hyperlink>
    </w:p>
    <w:p w14:paraId="08DF556B" w14:textId="26312FE2"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79"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13. Actual passenger car ownership (1993-2019) and the comparison to the calculation result backwards from 2019.</w:t>
        </w:r>
        <w:r>
          <w:rPr>
            <w:noProof/>
            <w:webHidden/>
          </w:rPr>
          <w:tab/>
        </w:r>
        <w:r>
          <w:rPr>
            <w:noProof/>
            <w:webHidden/>
          </w:rPr>
          <w:fldChar w:fldCharType="begin"/>
        </w:r>
        <w:r>
          <w:rPr>
            <w:noProof/>
            <w:webHidden/>
          </w:rPr>
          <w:instrText xml:space="preserve"> PAGEREF _Toc208439479 \h </w:instrText>
        </w:r>
        <w:r>
          <w:rPr>
            <w:noProof/>
            <w:webHidden/>
          </w:rPr>
        </w:r>
        <w:r>
          <w:rPr>
            <w:noProof/>
            <w:webHidden/>
          </w:rPr>
          <w:fldChar w:fldCharType="separate"/>
        </w:r>
        <w:r>
          <w:rPr>
            <w:noProof/>
            <w:webHidden/>
          </w:rPr>
          <w:t>24</w:t>
        </w:r>
        <w:r>
          <w:rPr>
            <w:noProof/>
            <w:webHidden/>
          </w:rPr>
          <w:fldChar w:fldCharType="end"/>
        </w:r>
      </w:hyperlink>
    </w:p>
    <w:p w14:paraId="7ADCA9F8" w14:textId="4570EA92"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80"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14. </w:t>
        </w:r>
        <w:r w:rsidRPr="00853564">
          <w:rPr>
            <w:rStyle w:val="aa"/>
            <w:rFonts w:eastAsia="DengXian" w:cs="Times New Roman"/>
            <w:noProof/>
            <w:lang w:eastAsia="zh-CN"/>
          </w:rPr>
          <w:t xml:space="preserve">Estimated changes </w:t>
        </w:r>
        <w:r w:rsidRPr="00853564">
          <w:rPr>
            <w:rStyle w:val="aa"/>
            <w:rFonts w:cs="Times New Roman"/>
            <w:noProof/>
          </w:rPr>
          <w:t>in</w:t>
        </w:r>
        <w:r w:rsidRPr="00853564">
          <w:rPr>
            <w:rStyle w:val="aa"/>
            <w:rFonts w:eastAsia="DengXian" w:cs="Times New Roman"/>
            <w:noProof/>
            <w:lang w:eastAsia="zh-CN"/>
          </w:rPr>
          <w:t xml:space="preserve"> vehicle age distribution of passenger cars in the past (adjusted with actual ownership)</w:t>
        </w:r>
        <w:r>
          <w:rPr>
            <w:noProof/>
            <w:webHidden/>
          </w:rPr>
          <w:tab/>
        </w:r>
        <w:r>
          <w:rPr>
            <w:noProof/>
            <w:webHidden/>
          </w:rPr>
          <w:fldChar w:fldCharType="begin"/>
        </w:r>
        <w:r>
          <w:rPr>
            <w:noProof/>
            <w:webHidden/>
          </w:rPr>
          <w:instrText xml:space="preserve"> PAGEREF _Toc208439480 \h </w:instrText>
        </w:r>
        <w:r>
          <w:rPr>
            <w:noProof/>
            <w:webHidden/>
          </w:rPr>
        </w:r>
        <w:r>
          <w:rPr>
            <w:noProof/>
            <w:webHidden/>
          </w:rPr>
          <w:fldChar w:fldCharType="separate"/>
        </w:r>
        <w:r>
          <w:rPr>
            <w:noProof/>
            <w:webHidden/>
          </w:rPr>
          <w:t>24</w:t>
        </w:r>
        <w:r>
          <w:rPr>
            <w:noProof/>
            <w:webHidden/>
          </w:rPr>
          <w:fldChar w:fldCharType="end"/>
        </w:r>
      </w:hyperlink>
    </w:p>
    <w:p w14:paraId="7E718B36" w14:textId="17111291"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81"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15. </w:t>
        </w:r>
        <w:r w:rsidRPr="00853564">
          <w:rPr>
            <w:rStyle w:val="aa"/>
            <w:rFonts w:eastAsia="DengXian" w:cs="Times New Roman"/>
            <w:noProof/>
            <w:lang w:eastAsia="zh-CN"/>
          </w:rPr>
          <w:t xml:space="preserve">Projection of changes </w:t>
        </w:r>
        <w:r w:rsidRPr="00853564">
          <w:rPr>
            <w:rStyle w:val="aa"/>
            <w:rFonts w:cs="Times New Roman"/>
            <w:noProof/>
          </w:rPr>
          <w:t>in</w:t>
        </w:r>
        <w:r w:rsidRPr="00853564">
          <w:rPr>
            <w:rStyle w:val="aa"/>
            <w:rFonts w:eastAsia="DengXian" w:cs="Times New Roman"/>
            <w:noProof/>
            <w:lang w:eastAsia="zh-CN"/>
          </w:rPr>
          <w:t xml:space="preserve"> vehicle age distribution of passenger cars in the future</w:t>
        </w:r>
        <w:r>
          <w:rPr>
            <w:noProof/>
            <w:webHidden/>
          </w:rPr>
          <w:tab/>
        </w:r>
        <w:r>
          <w:rPr>
            <w:noProof/>
            <w:webHidden/>
          </w:rPr>
          <w:fldChar w:fldCharType="begin"/>
        </w:r>
        <w:r>
          <w:rPr>
            <w:noProof/>
            <w:webHidden/>
          </w:rPr>
          <w:instrText xml:space="preserve"> PAGEREF _Toc208439481 \h </w:instrText>
        </w:r>
        <w:r>
          <w:rPr>
            <w:noProof/>
            <w:webHidden/>
          </w:rPr>
        </w:r>
        <w:r>
          <w:rPr>
            <w:noProof/>
            <w:webHidden/>
          </w:rPr>
          <w:fldChar w:fldCharType="separate"/>
        </w:r>
        <w:r>
          <w:rPr>
            <w:noProof/>
            <w:webHidden/>
          </w:rPr>
          <w:t>25</w:t>
        </w:r>
        <w:r>
          <w:rPr>
            <w:noProof/>
            <w:webHidden/>
          </w:rPr>
          <w:fldChar w:fldCharType="end"/>
        </w:r>
      </w:hyperlink>
    </w:p>
    <w:p w14:paraId="64F67F71" w14:textId="3B319875"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82"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16. </w:t>
        </w:r>
        <w:r w:rsidRPr="00853564">
          <w:rPr>
            <w:rStyle w:val="aa"/>
            <w:rFonts w:eastAsia="DengXian" w:cs="Times New Roman"/>
            <w:noProof/>
            <w:lang w:eastAsia="zh-CN"/>
          </w:rPr>
          <w:t>New passenger car registration and deregistration</w:t>
        </w:r>
        <w:r w:rsidRPr="00853564">
          <w:rPr>
            <w:rStyle w:val="aa"/>
            <w:rFonts w:cs="Times New Roman"/>
            <w:noProof/>
          </w:rPr>
          <w:t xml:space="preserve"> (1993-20</w:t>
        </w:r>
        <w:r w:rsidRPr="00853564">
          <w:rPr>
            <w:rStyle w:val="aa"/>
            <w:rFonts w:eastAsia="DengXian" w:cs="Times New Roman"/>
            <w:noProof/>
            <w:lang w:eastAsia="zh-CN"/>
          </w:rPr>
          <w:t>19</w:t>
        </w:r>
        <w:r w:rsidRPr="00853564">
          <w:rPr>
            <w:rStyle w:val="aa"/>
            <w:rFonts w:cs="Times New Roman"/>
            <w:noProof/>
          </w:rPr>
          <w:t xml:space="preserve">) and future </w:t>
        </w:r>
        <w:r w:rsidRPr="00853564">
          <w:rPr>
            <w:rStyle w:val="aa"/>
            <w:rFonts w:eastAsia="DengXian" w:cs="Times New Roman"/>
            <w:noProof/>
            <w:lang w:eastAsia="zh-CN"/>
          </w:rPr>
          <w:t>projection</w:t>
        </w:r>
        <w:r w:rsidRPr="00853564">
          <w:rPr>
            <w:rStyle w:val="aa"/>
            <w:rFonts w:cs="Times New Roman"/>
            <w:noProof/>
          </w:rPr>
          <w:t xml:space="preserve"> (202</w:t>
        </w:r>
        <w:r w:rsidRPr="00853564">
          <w:rPr>
            <w:rStyle w:val="aa"/>
            <w:rFonts w:eastAsia="DengXian" w:cs="Times New Roman"/>
            <w:noProof/>
            <w:lang w:eastAsia="zh-CN"/>
          </w:rPr>
          <w:t>0</w:t>
        </w:r>
        <w:r w:rsidRPr="00853564">
          <w:rPr>
            <w:rStyle w:val="aa"/>
            <w:rFonts w:cs="Times New Roman"/>
            <w:noProof/>
          </w:rPr>
          <w:t>-2050)</w:t>
        </w:r>
        <w:r w:rsidRPr="00853564">
          <w:rPr>
            <w:rStyle w:val="aa"/>
            <w:rFonts w:eastAsia="DengXian" w:cs="Times New Roman"/>
            <w:noProof/>
            <w:lang w:eastAsia="zh-CN"/>
          </w:rPr>
          <w:t xml:space="preserve"> in Japan</w:t>
        </w:r>
        <w:r w:rsidRPr="00853564">
          <w:rPr>
            <w:rStyle w:val="aa"/>
            <w:rFonts w:cs="Times New Roman"/>
            <w:noProof/>
          </w:rPr>
          <w:t>.</w:t>
        </w:r>
        <w:r>
          <w:rPr>
            <w:noProof/>
            <w:webHidden/>
          </w:rPr>
          <w:tab/>
        </w:r>
        <w:r>
          <w:rPr>
            <w:noProof/>
            <w:webHidden/>
          </w:rPr>
          <w:fldChar w:fldCharType="begin"/>
        </w:r>
        <w:r>
          <w:rPr>
            <w:noProof/>
            <w:webHidden/>
          </w:rPr>
          <w:instrText xml:space="preserve"> PAGEREF _Toc208439482 \h </w:instrText>
        </w:r>
        <w:r>
          <w:rPr>
            <w:noProof/>
            <w:webHidden/>
          </w:rPr>
        </w:r>
        <w:r>
          <w:rPr>
            <w:noProof/>
            <w:webHidden/>
          </w:rPr>
          <w:fldChar w:fldCharType="separate"/>
        </w:r>
        <w:r>
          <w:rPr>
            <w:noProof/>
            <w:webHidden/>
          </w:rPr>
          <w:t>26</w:t>
        </w:r>
        <w:r>
          <w:rPr>
            <w:noProof/>
            <w:webHidden/>
          </w:rPr>
          <w:fldChar w:fldCharType="end"/>
        </w:r>
      </w:hyperlink>
    </w:p>
    <w:p w14:paraId="5F83F062" w14:textId="749ECD3F"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83"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17. </w:t>
        </w:r>
        <w:r w:rsidRPr="00853564">
          <w:rPr>
            <w:rStyle w:val="aa"/>
            <w:rFonts w:eastAsia="DengXian" w:cs="Times New Roman"/>
            <w:noProof/>
            <w:lang w:eastAsia="zh-CN"/>
          </w:rPr>
          <w:t>Export of new passenger cars from Japan to overseas</w:t>
        </w:r>
        <w:r w:rsidRPr="00853564">
          <w:rPr>
            <w:rStyle w:val="aa"/>
            <w:rFonts w:cs="Times New Roman"/>
            <w:noProof/>
          </w:rPr>
          <w:t xml:space="preserve"> (</w:t>
        </w:r>
        <w:r w:rsidRPr="00853564">
          <w:rPr>
            <w:rStyle w:val="aa"/>
            <w:rFonts w:eastAsia="DengXian" w:cs="Times New Roman"/>
            <w:noProof/>
            <w:lang w:eastAsia="zh-CN"/>
          </w:rPr>
          <w:t>2017</w:t>
        </w:r>
        <w:r w:rsidRPr="00853564">
          <w:rPr>
            <w:rStyle w:val="aa"/>
            <w:rFonts w:cs="Times New Roman"/>
            <w:noProof/>
          </w:rPr>
          <w:t>-202</w:t>
        </w:r>
        <w:r w:rsidRPr="00853564">
          <w:rPr>
            <w:rStyle w:val="aa"/>
            <w:rFonts w:eastAsia="DengXian" w:cs="Times New Roman"/>
            <w:noProof/>
            <w:lang w:eastAsia="zh-CN"/>
          </w:rPr>
          <w:t>3</w:t>
        </w:r>
        <w:r w:rsidRPr="00853564">
          <w:rPr>
            <w:rStyle w:val="aa"/>
            <w:rFonts w:cs="Times New Roman"/>
            <w:noProof/>
          </w:rPr>
          <w:t>)</w:t>
        </w:r>
        <w:r w:rsidRPr="00853564">
          <w:rPr>
            <w:rStyle w:val="aa"/>
            <w:rFonts w:eastAsia="DengXian" w:cs="Times New Roman"/>
            <w:noProof/>
            <w:lang w:eastAsia="zh-CN"/>
          </w:rPr>
          <w:t xml:space="preserve"> and its projection (2024-2050)</w:t>
        </w:r>
        <w:r w:rsidRPr="00853564">
          <w:rPr>
            <w:rStyle w:val="aa"/>
            <w:rFonts w:cs="Times New Roman"/>
            <w:noProof/>
          </w:rPr>
          <w:t>.</w:t>
        </w:r>
        <w:r>
          <w:rPr>
            <w:noProof/>
            <w:webHidden/>
          </w:rPr>
          <w:tab/>
        </w:r>
        <w:r>
          <w:rPr>
            <w:noProof/>
            <w:webHidden/>
          </w:rPr>
          <w:fldChar w:fldCharType="begin"/>
        </w:r>
        <w:r>
          <w:rPr>
            <w:noProof/>
            <w:webHidden/>
          </w:rPr>
          <w:instrText xml:space="preserve"> PAGEREF _Toc208439483 \h </w:instrText>
        </w:r>
        <w:r>
          <w:rPr>
            <w:noProof/>
            <w:webHidden/>
          </w:rPr>
        </w:r>
        <w:r>
          <w:rPr>
            <w:noProof/>
            <w:webHidden/>
          </w:rPr>
          <w:fldChar w:fldCharType="separate"/>
        </w:r>
        <w:r>
          <w:rPr>
            <w:noProof/>
            <w:webHidden/>
          </w:rPr>
          <w:t>27</w:t>
        </w:r>
        <w:r>
          <w:rPr>
            <w:noProof/>
            <w:webHidden/>
          </w:rPr>
          <w:fldChar w:fldCharType="end"/>
        </w:r>
      </w:hyperlink>
    </w:p>
    <w:p w14:paraId="63A9D3BD" w14:textId="03C0F740"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84"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18. </w:t>
        </w:r>
        <w:r w:rsidRPr="00853564">
          <w:rPr>
            <w:rStyle w:val="aa"/>
            <w:rFonts w:eastAsia="DengXian" w:cs="Times New Roman"/>
            <w:noProof/>
            <w:lang w:eastAsia="zh-CN"/>
          </w:rPr>
          <w:t xml:space="preserve">Export of </w:t>
        </w:r>
        <w:r w:rsidRPr="00853564">
          <w:rPr>
            <w:rStyle w:val="aa"/>
            <w:rFonts w:cs="Times New Roman"/>
            <w:noProof/>
          </w:rPr>
          <w:t>used</w:t>
        </w:r>
        <w:r w:rsidRPr="00853564">
          <w:rPr>
            <w:rStyle w:val="aa"/>
            <w:rFonts w:eastAsia="DengXian" w:cs="Times New Roman"/>
            <w:noProof/>
            <w:lang w:eastAsia="zh-CN"/>
          </w:rPr>
          <w:t xml:space="preserve"> passenger cars from Japan </w:t>
        </w:r>
        <w:r w:rsidRPr="00853564">
          <w:rPr>
            <w:rStyle w:val="aa"/>
            <w:rFonts w:cs="Times New Roman"/>
            <w:noProof/>
          </w:rPr>
          <w:t>(</w:t>
        </w:r>
        <w:r w:rsidRPr="00853564">
          <w:rPr>
            <w:rStyle w:val="aa"/>
            <w:rFonts w:eastAsia="DengXian" w:cs="Times New Roman"/>
            <w:noProof/>
            <w:lang w:eastAsia="zh-CN"/>
          </w:rPr>
          <w:t>2017</w:t>
        </w:r>
        <w:r w:rsidRPr="00853564">
          <w:rPr>
            <w:rStyle w:val="aa"/>
            <w:rFonts w:cs="Times New Roman"/>
            <w:noProof/>
          </w:rPr>
          <w:t>-202</w:t>
        </w:r>
        <w:r w:rsidRPr="00853564">
          <w:rPr>
            <w:rStyle w:val="aa"/>
            <w:rFonts w:eastAsia="DengXian" w:cs="Times New Roman"/>
            <w:noProof/>
            <w:lang w:eastAsia="zh-CN"/>
          </w:rPr>
          <w:t>3</w:t>
        </w:r>
        <w:r w:rsidRPr="00853564">
          <w:rPr>
            <w:rStyle w:val="aa"/>
            <w:rFonts w:cs="Times New Roman"/>
            <w:noProof/>
          </w:rPr>
          <w:t>)</w:t>
        </w:r>
        <w:r w:rsidRPr="00853564">
          <w:rPr>
            <w:rStyle w:val="aa"/>
            <w:rFonts w:eastAsia="DengXian" w:cs="Times New Roman"/>
            <w:noProof/>
            <w:lang w:eastAsia="zh-CN"/>
          </w:rPr>
          <w:t xml:space="preserve"> and its projection (2024-2050)</w:t>
        </w:r>
        <w:r w:rsidRPr="00853564">
          <w:rPr>
            <w:rStyle w:val="aa"/>
            <w:rFonts w:cs="Times New Roman"/>
            <w:noProof/>
          </w:rPr>
          <w:t>.</w:t>
        </w:r>
        <w:r>
          <w:rPr>
            <w:noProof/>
            <w:webHidden/>
          </w:rPr>
          <w:tab/>
        </w:r>
        <w:r>
          <w:rPr>
            <w:noProof/>
            <w:webHidden/>
          </w:rPr>
          <w:fldChar w:fldCharType="begin"/>
        </w:r>
        <w:r>
          <w:rPr>
            <w:noProof/>
            <w:webHidden/>
          </w:rPr>
          <w:instrText xml:space="preserve"> PAGEREF _Toc208439484 \h </w:instrText>
        </w:r>
        <w:r>
          <w:rPr>
            <w:noProof/>
            <w:webHidden/>
          </w:rPr>
        </w:r>
        <w:r>
          <w:rPr>
            <w:noProof/>
            <w:webHidden/>
          </w:rPr>
          <w:fldChar w:fldCharType="separate"/>
        </w:r>
        <w:r>
          <w:rPr>
            <w:noProof/>
            <w:webHidden/>
          </w:rPr>
          <w:t>28</w:t>
        </w:r>
        <w:r>
          <w:rPr>
            <w:noProof/>
            <w:webHidden/>
          </w:rPr>
          <w:fldChar w:fldCharType="end"/>
        </w:r>
      </w:hyperlink>
    </w:p>
    <w:p w14:paraId="052CE855" w14:textId="730C22E3"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85"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19. </w:t>
        </w:r>
        <w:r w:rsidRPr="00853564">
          <w:rPr>
            <w:rStyle w:val="aa"/>
            <w:rFonts w:eastAsia="DengXian" w:cs="Times New Roman"/>
            <w:noProof/>
            <w:lang w:eastAsia="zh-CN"/>
          </w:rPr>
          <w:t xml:space="preserve">Market </w:t>
        </w:r>
        <w:r w:rsidRPr="00853564">
          <w:rPr>
            <w:rStyle w:val="aa"/>
            <w:rFonts w:cs="Times New Roman"/>
            <w:noProof/>
          </w:rPr>
          <w:t xml:space="preserve">share of </w:t>
        </w:r>
        <w:r w:rsidRPr="00853564">
          <w:rPr>
            <w:rStyle w:val="aa"/>
            <w:rFonts w:eastAsia="DengXian" w:cs="Times New Roman"/>
            <w:noProof/>
            <w:lang w:eastAsia="zh-CN"/>
          </w:rPr>
          <w:t>different</w:t>
        </w:r>
        <w:r w:rsidRPr="00853564">
          <w:rPr>
            <w:rStyle w:val="aa"/>
            <w:rFonts w:cs="Times New Roman"/>
            <w:noProof/>
          </w:rPr>
          <w:t xml:space="preserve"> type</w:t>
        </w:r>
        <w:r w:rsidRPr="00853564">
          <w:rPr>
            <w:rStyle w:val="aa"/>
            <w:rFonts w:eastAsia="DengXian" w:cs="Times New Roman"/>
            <w:noProof/>
            <w:lang w:eastAsia="zh-CN"/>
          </w:rPr>
          <w:t>s</w:t>
        </w:r>
        <w:r w:rsidRPr="00853564">
          <w:rPr>
            <w:rStyle w:val="aa"/>
            <w:rFonts w:cs="Times New Roman"/>
            <w:noProof/>
          </w:rPr>
          <w:t xml:space="preserve"> of passenger vehicles in new passenger cars sales market</w:t>
        </w:r>
        <w:r w:rsidRPr="00853564">
          <w:rPr>
            <w:rStyle w:val="aa"/>
            <w:rFonts w:eastAsia="DengXian" w:cs="Times New Roman"/>
            <w:noProof/>
            <w:lang w:eastAsia="zh-CN"/>
          </w:rPr>
          <w:t xml:space="preserve"> of Japan (2008-2022) and the projection (2023-2050)</w:t>
        </w:r>
        <w:r w:rsidRPr="00853564">
          <w:rPr>
            <w:rStyle w:val="aa"/>
            <w:rFonts w:cs="Times New Roman"/>
            <w:noProof/>
          </w:rPr>
          <w:t>.</w:t>
        </w:r>
        <w:r>
          <w:rPr>
            <w:noProof/>
            <w:webHidden/>
          </w:rPr>
          <w:tab/>
        </w:r>
        <w:r>
          <w:rPr>
            <w:noProof/>
            <w:webHidden/>
          </w:rPr>
          <w:fldChar w:fldCharType="begin"/>
        </w:r>
        <w:r>
          <w:rPr>
            <w:noProof/>
            <w:webHidden/>
          </w:rPr>
          <w:instrText xml:space="preserve"> PAGEREF _Toc208439485 \h </w:instrText>
        </w:r>
        <w:r>
          <w:rPr>
            <w:noProof/>
            <w:webHidden/>
          </w:rPr>
        </w:r>
        <w:r>
          <w:rPr>
            <w:noProof/>
            <w:webHidden/>
          </w:rPr>
          <w:fldChar w:fldCharType="separate"/>
        </w:r>
        <w:r>
          <w:rPr>
            <w:noProof/>
            <w:webHidden/>
          </w:rPr>
          <w:t>29</w:t>
        </w:r>
        <w:r>
          <w:rPr>
            <w:noProof/>
            <w:webHidden/>
          </w:rPr>
          <w:fldChar w:fldCharType="end"/>
        </w:r>
      </w:hyperlink>
    </w:p>
    <w:p w14:paraId="26D9C339" w14:textId="1AB91739"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86"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20. Market share of new passenger car sales in Japan (2008-2024) and projection (2025-2050)</w:t>
        </w:r>
        <w:r>
          <w:rPr>
            <w:noProof/>
            <w:webHidden/>
          </w:rPr>
          <w:tab/>
        </w:r>
        <w:r>
          <w:rPr>
            <w:noProof/>
            <w:webHidden/>
          </w:rPr>
          <w:fldChar w:fldCharType="begin"/>
        </w:r>
        <w:r>
          <w:rPr>
            <w:noProof/>
            <w:webHidden/>
          </w:rPr>
          <w:instrText xml:space="preserve"> PAGEREF _Toc208439486 \h </w:instrText>
        </w:r>
        <w:r>
          <w:rPr>
            <w:noProof/>
            <w:webHidden/>
          </w:rPr>
        </w:r>
        <w:r>
          <w:rPr>
            <w:noProof/>
            <w:webHidden/>
          </w:rPr>
          <w:fldChar w:fldCharType="separate"/>
        </w:r>
        <w:r>
          <w:rPr>
            <w:noProof/>
            <w:webHidden/>
          </w:rPr>
          <w:t>30</w:t>
        </w:r>
        <w:r>
          <w:rPr>
            <w:noProof/>
            <w:webHidden/>
          </w:rPr>
          <w:fldChar w:fldCharType="end"/>
        </w:r>
      </w:hyperlink>
    </w:p>
    <w:p w14:paraId="0B2319FB" w14:textId="63D48BAA"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87"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21. </w:t>
        </w:r>
        <w:r w:rsidRPr="00853564">
          <w:rPr>
            <w:rStyle w:val="aa"/>
            <w:rFonts w:eastAsia="DengXian" w:cs="Times New Roman"/>
            <w:noProof/>
            <w:lang w:eastAsia="zh-CN"/>
          </w:rPr>
          <w:t>Changes of passenger car fleets in Japan (2008-2024) and the projection (2025-2050).</w:t>
        </w:r>
        <w:r>
          <w:rPr>
            <w:noProof/>
            <w:webHidden/>
          </w:rPr>
          <w:tab/>
        </w:r>
        <w:r>
          <w:rPr>
            <w:noProof/>
            <w:webHidden/>
          </w:rPr>
          <w:fldChar w:fldCharType="begin"/>
        </w:r>
        <w:r>
          <w:rPr>
            <w:noProof/>
            <w:webHidden/>
          </w:rPr>
          <w:instrText xml:space="preserve"> PAGEREF _Toc208439487 \h </w:instrText>
        </w:r>
        <w:r>
          <w:rPr>
            <w:noProof/>
            <w:webHidden/>
          </w:rPr>
        </w:r>
        <w:r>
          <w:rPr>
            <w:noProof/>
            <w:webHidden/>
          </w:rPr>
          <w:fldChar w:fldCharType="separate"/>
        </w:r>
        <w:r>
          <w:rPr>
            <w:noProof/>
            <w:webHidden/>
          </w:rPr>
          <w:t>31</w:t>
        </w:r>
        <w:r>
          <w:rPr>
            <w:noProof/>
            <w:webHidden/>
          </w:rPr>
          <w:fldChar w:fldCharType="end"/>
        </w:r>
      </w:hyperlink>
    </w:p>
    <w:p w14:paraId="5CA87578" w14:textId="2F48AB0D"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88"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22. </w:t>
        </w:r>
        <w:r w:rsidRPr="00853564">
          <w:rPr>
            <w:rStyle w:val="aa"/>
            <w:rFonts w:eastAsia="DengXian" w:cs="Times New Roman"/>
            <w:noProof/>
            <w:lang w:eastAsia="zh-CN"/>
          </w:rPr>
          <w:t xml:space="preserve">Shares of </w:t>
        </w:r>
        <w:r w:rsidRPr="00853564">
          <w:rPr>
            <w:rStyle w:val="aa"/>
            <w:rFonts w:cs="Times New Roman"/>
            <w:noProof/>
          </w:rPr>
          <w:t>passenger car</w:t>
        </w:r>
        <w:r w:rsidRPr="00853564">
          <w:rPr>
            <w:rStyle w:val="aa"/>
            <w:rFonts w:eastAsia="DengXian" w:cs="Times New Roman"/>
            <w:noProof/>
            <w:lang w:eastAsia="zh-CN"/>
          </w:rPr>
          <w:t>s</w:t>
        </w:r>
        <w:r w:rsidRPr="00853564">
          <w:rPr>
            <w:rStyle w:val="aa"/>
            <w:rFonts w:cs="Times New Roman"/>
            <w:noProof/>
          </w:rPr>
          <w:t xml:space="preserve"> </w:t>
        </w:r>
        <w:r w:rsidRPr="00853564">
          <w:rPr>
            <w:rStyle w:val="aa"/>
            <w:rFonts w:eastAsia="DengXian" w:cs="Times New Roman"/>
            <w:noProof/>
            <w:lang w:eastAsia="zh-CN"/>
          </w:rPr>
          <w:t>exported from Japan (2017-2023)</w:t>
        </w:r>
        <w:r w:rsidRPr="00853564">
          <w:rPr>
            <w:rStyle w:val="aa"/>
            <w:rFonts w:cs="Times New Roman"/>
            <w:noProof/>
          </w:rPr>
          <w:t xml:space="preserve"> and </w:t>
        </w:r>
        <w:r w:rsidRPr="00853564">
          <w:rPr>
            <w:rStyle w:val="aa"/>
            <w:rFonts w:eastAsia="DengXian" w:cs="Times New Roman"/>
            <w:noProof/>
            <w:lang w:eastAsia="zh-CN"/>
          </w:rPr>
          <w:t>the projection (2024-2050).</w:t>
        </w:r>
        <w:r>
          <w:rPr>
            <w:noProof/>
            <w:webHidden/>
          </w:rPr>
          <w:tab/>
        </w:r>
        <w:r>
          <w:rPr>
            <w:noProof/>
            <w:webHidden/>
          </w:rPr>
          <w:fldChar w:fldCharType="begin"/>
        </w:r>
        <w:r>
          <w:rPr>
            <w:noProof/>
            <w:webHidden/>
          </w:rPr>
          <w:instrText xml:space="preserve"> PAGEREF _Toc208439488 \h </w:instrText>
        </w:r>
        <w:r>
          <w:rPr>
            <w:noProof/>
            <w:webHidden/>
          </w:rPr>
        </w:r>
        <w:r>
          <w:rPr>
            <w:noProof/>
            <w:webHidden/>
          </w:rPr>
          <w:fldChar w:fldCharType="separate"/>
        </w:r>
        <w:r>
          <w:rPr>
            <w:noProof/>
            <w:webHidden/>
          </w:rPr>
          <w:t>32</w:t>
        </w:r>
        <w:r>
          <w:rPr>
            <w:noProof/>
            <w:webHidden/>
          </w:rPr>
          <w:fldChar w:fldCharType="end"/>
        </w:r>
      </w:hyperlink>
    </w:p>
    <w:p w14:paraId="45AF5AC7" w14:textId="792F71FD"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89"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23. Overseas ownership BEV and PHEV passenger cars exported from Japan</w:t>
        </w:r>
        <w:r w:rsidRPr="00853564">
          <w:rPr>
            <w:rStyle w:val="aa"/>
            <w:rFonts w:eastAsia="DengXian" w:cs="Times New Roman"/>
            <w:noProof/>
            <w:lang w:eastAsia="zh-CN"/>
          </w:rPr>
          <w:t>.</w:t>
        </w:r>
        <w:r>
          <w:rPr>
            <w:noProof/>
            <w:webHidden/>
          </w:rPr>
          <w:tab/>
        </w:r>
        <w:r>
          <w:rPr>
            <w:noProof/>
            <w:webHidden/>
          </w:rPr>
          <w:fldChar w:fldCharType="begin"/>
        </w:r>
        <w:r>
          <w:rPr>
            <w:noProof/>
            <w:webHidden/>
          </w:rPr>
          <w:instrText xml:space="preserve"> PAGEREF _Toc208439489 \h </w:instrText>
        </w:r>
        <w:r>
          <w:rPr>
            <w:noProof/>
            <w:webHidden/>
          </w:rPr>
        </w:r>
        <w:r>
          <w:rPr>
            <w:noProof/>
            <w:webHidden/>
          </w:rPr>
          <w:fldChar w:fldCharType="separate"/>
        </w:r>
        <w:r>
          <w:rPr>
            <w:noProof/>
            <w:webHidden/>
          </w:rPr>
          <w:t>32</w:t>
        </w:r>
        <w:r>
          <w:rPr>
            <w:noProof/>
            <w:webHidden/>
          </w:rPr>
          <w:fldChar w:fldCharType="end"/>
        </w:r>
      </w:hyperlink>
    </w:p>
    <w:p w14:paraId="733A6A7E" w14:textId="035B4EEE"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90"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24. Market sharing of different </w:t>
        </w:r>
        <w:r w:rsidRPr="00853564">
          <w:rPr>
            <w:rStyle w:val="aa"/>
            <w:rFonts w:eastAsia="DengXian" w:cs="Times New Roman"/>
            <w:noProof/>
            <w:lang w:eastAsia="zh-CN"/>
          </w:rPr>
          <w:t>LIB chemistry</w:t>
        </w:r>
        <w:r w:rsidRPr="00853564">
          <w:rPr>
            <w:rStyle w:val="aa"/>
            <w:rFonts w:cs="Times New Roman"/>
            <w:noProof/>
          </w:rPr>
          <w:t xml:space="preserve"> in annual new battery sales.</w:t>
        </w:r>
        <w:r>
          <w:rPr>
            <w:noProof/>
            <w:webHidden/>
          </w:rPr>
          <w:tab/>
        </w:r>
        <w:r>
          <w:rPr>
            <w:noProof/>
            <w:webHidden/>
          </w:rPr>
          <w:fldChar w:fldCharType="begin"/>
        </w:r>
        <w:r>
          <w:rPr>
            <w:noProof/>
            <w:webHidden/>
          </w:rPr>
          <w:instrText xml:space="preserve"> PAGEREF _Toc208439490 \h </w:instrText>
        </w:r>
        <w:r>
          <w:rPr>
            <w:noProof/>
            <w:webHidden/>
          </w:rPr>
        </w:r>
        <w:r>
          <w:rPr>
            <w:noProof/>
            <w:webHidden/>
          </w:rPr>
          <w:fldChar w:fldCharType="separate"/>
        </w:r>
        <w:r>
          <w:rPr>
            <w:noProof/>
            <w:webHidden/>
          </w:rPr>
          <w:t>35</w:t>
        </w:r>
        <w:r>
          <w:rPr>
            <w:noProof/>
            <w:webHidden/>
          </w:rPr>
          <w:fldChar w:fldCharType="end"/>
        </w:r>
      </w:hyperlink>
    </w:p>
    <w:p w14:paraId="23145AB0" w14:textId="65753FC4"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91"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25. </w:t>
        </w:r>
        <w:r w:rsidRPr="00853564">
          <w:rPr>
            <w:rStyle w:val="aa"/>
            <w:rFonts w:eastAsia="DengXian" w:cs="Times New Roman"/>
            <w:noProof/>
            <w:lang w:eastAsia="zh-CN"/>
          </w:rPr>
          <w:t>Final collection of spent automotive LIBs in scenarios</w:t>
        </w:r>
        <w:r>
          <w:rPr>
            <w:noProof/>
            <w:webHidden/>
          </w:rPr>
          <w:tab/>
        </w:r>
        <w:r>
          <w:rPr>
            <w:noProof/>
            <w:webHidden/>
          </w:rPr>
          <w:fldChar w:fldCharType="begin"/>
        </w:r>
        <w:r>
          <w:rPr>
            <w:noProof/>
            <w:webHidden/>
          </w:rPr>
          <w:instrText xml:space="preserve"> PAGEREF _Toc208439491 \h </w:instrText>
        </w:r>
        <w:r>
          <w:rPr>
            <w:noProof/>
            <w:webHidden/>
          </w:rPr>
        </w:r>
        <w:r>
          <w:rPr>
            <w:noProof/>
            <w:webHidden/>
          </w:rPr>
          <w:fldChar w:fldCharType="separate"/>
        </w:r>
        <w:r>
          <w:rPr>
            <w:noProof/>
            <w:webHidden/>
          </w:rPr>
          <w:t>37</w:t>
        </w:r>
        <w:r>
          <w:rPr>
            <w:noProof/>
            <w:webHidden/>
          </w:rPr>
          <w:fldChar w:fldCharType="end"/>
        </w:r>
      </w:hyperlink>
    </w:p>
    <w:p w14:paraId="5EE7CF9A" w14:textId="7894B658"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92"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26. </w:t>
        </w:r>
        <w:r w:rsidRPr="00853564">
          <w:rPr>
            <w:rStyle w:val="aa"/>
            <w:rFonts w:eastAsia="DengXian" w:cs="Times New Roman"/>
            <w:noProof/>
            <w:lang w:eastAsia="zh-CN"/>
          </w:rPr>
          <w:t>In-use capacity of automobile LIBs in scenarios</w:t>
        </w:r>
        <w:r>
          <w:rPr>
            <w:noProof/>
            <w:webHidden/>
          </w:rPr>
          <w:tab/>
        </w:r>
        <w:r>
          <w:rPr>
            <w:noProof/>
            <w:webHidden/>
          </w:rPr>
          <w:fldChar w:fldCharType="begin"/>
        </w:r>
        <w:r>
          <w:rPr>
            <w:noProof/>
            <w:webHidden/>
          </w:rPr>
          <w:instrText xml:space="preserve"> PAGEREF _Toc208439492 \h </w:instrText>
        </w:r>
        <w:r>
          <w:rPr>
            <w:noProof/>
            <w:webHidden/>
          </w:rPr>
        </w:r>
        <w:r>
          <w:rPr>
            <w:noProof/>
            <w:webHidden/>
          </w:rPr>
          <w:fldChar w:fldCharType="separate"/>
        </w:r>
        <w:r>
          <w:rPr>
            <w:noProof/>
            <w:webHidden/>
          </w:rPr>
          <w:t>38</w:t>
        </w:r>
        <w:r>
          <w:rPr>
            <w:noProof/>
            <w:webHidden/>
          </w:rPr>
          <w:fldChar w:fldCharType="end"/>
        </w:r>
      </w:hyperlink>
    </w:p>
    <w:p w14:paraId="7E143396" w14:textId="1767A4B4"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93"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27. Used car export (2017-2023) and the projection (2024-2050)</w:t>
        </w:r>
        <w:r>
          <w:rPr>
            <w:noProof/>
            <w:webHidden/>
          </w:rPr>
          <w:tab/>
        </w:r>
        <w:r>
          <w:rPr>
            <w:noProof/>
            <w:webHidden/>
          </w:rPr>
          <w:fldChar w:fldCharType="begin"/>
        </w:r>
        <w:r>
          <w:rPr>
            <w:noProof/>
            <w:webHidden/>
          </w:rPr>
          <w:instrText xml:space="preserve"> PAGEREF _Toc208439493 \h </w:instrText>
        </w:r>
        <w:r>
          <w:rPr>
            <w:noProof/>
            <w:webHidden/>
          </w:rPr>
        </w:r>
        <w:r>
          <w:rPr>
            <w:noProof/>
            <w:webHidden/>
          </w:rPr>
          <w:fldChar w:fldCharType="separate"/>
        </w:r>
        <w:r>
          <w:rPr>
            <w:noProof/>
            <w:webHidden/>
          </w:rPr>
          <w:t>41</w:t>
        </w:r>
        <w:r>
          <w:rPr>
            <w:noProof/>
            <w:webHidden/>
          </w:rPr>
          <w:fldChar w:fldCharType="end"/>
        </w:r>
      </w:hyperlink>
    </w:p>
    <w:p w14:paraId="680C103A" w14:textId="1D9BCA6D"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94"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28. </w:t>
        </w:r>
        <w:r w:rsidRPr="00853564">
          <w:rPr>
            <w:rStyle w:val="aa"/>
            <w:rFonts w:eastAsia="DengXian" w:cs="Times New Roman"/>
            <w:noProof/>
            <w:lang w:eastAsia="zh-CN"/>
          </w:rPr>
          <w:t>Material flow changes of lithium in automobile LIBs</w:t>
        </w:r>
        <w:r>
          <w:rPr>
            <w:noProof/>
            <w:webHidden/>
          </w:rPr>
          <w:tab/>
        </w:r>
        <w:r>
          <w:rPr>
            <w:noProof/>
            <w:webHidden/>
          </w:rPr>
          <w:fldChar w:fldCharType="begin"/>
        </w:r>
        <w:r>
          <w:rPr>
            <w:noProof/>
            <w:webHidden/>
          </w:rPr>
          <w:instrText xml:space="preserve"> PAGEREF _Toc208439494 \h </w:instrText>
        </w:r>
        <w:r>
          <w:rPr>
            <w:noProof/>
            <w:webHidden/>
          </w:rPr>
        </w:r>
        <w:r>
          <w:rPr>
            <w:noProof/>
            <w:webHidden/>
          </w:rPr>
          <w:fldChar w:fldCharType="separate"/>
        </w:r>
        <w:r>
          <w:rPr>
            <w:noProof/>
            <w:webHidden/>
          </w:rPr>
          <w:t>42</w:t>
        </w:r>
        <w:r>
          <w:rPr>
            <w:noProof/>
            <w:webHidden/>
          </w:rPr>
          <w:fldChar w:fldCharType="end"/>
        </w:r>
      </w:hyperlink>
    </w:p>
    <w:p w14:paraId="31D78253" w14:textId="3E068255"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95"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29. </w:t>
        </w:r>
        <w:r w:rsidRPr="00853564">
          <w:rPr>
            <w:rStyle w:val="aa"/>
            <w:rFonts w:eastAsia="DengXian" w:cs="Times New Roman"/>
            <w:noProof/>
            <w:lang w:eastAsia="zh-CN"/>
          </w:rPr>
          <w:t>Material flow changes of cobalt in automobile LIBs</w:t>
        </w:r>
        <w:r>
          <w:rPr>
            <w:noProof/>
            <w:webHidden/>
          </w:rPr>
          <w:tab/>
        </w:r>
        <w:r>
          <w:rPr>
            <w:noProof/>
            <w:webHidden/>
          </w:rPr>
          <w:fldChar w:fldCharType="begin"/>
        </w:r>
        <w:r>
          <w:rPr>
            <w:noProof/>
            <w:webHidden/>
          </w:rPr>
          <w:instrText xml:space="preserve"> PAGEREF _Toc208439495 \h </w:instrText>
        </w:r>
        <w:r>
          <w:rPr>
            <w:noProof/>
            <w:webHidden/>
          </w:rPr>
        </w:r>
        <w:r>
          <w:rPr>
            <w:noProof/>
            <w:webHidden/>
          </w:rPr>
          <w:fldChar w:fldCharType="separate"/>
        </w:r>
        <w:r>
          <w:rPr>
            <w:noProof/>
            <w:webHidden/>
          </w:rPr>
          <w:t>43</w:t>
        </w:r>
        <w:r>
          <w:rPr>
            <w:noProof/>
            <w:webHidden/>
          </w:rPr>
          <w:fldChar w:fldCharType="end"/>
        </w:r>
      </w:hyperlink>
    </w:p>
    <w:p w14:paraId="33AF6A4B" w14:textId="3EAB7611"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96"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30. </w:t>
        </w:r>
        <w:r w:rsidRPr="00853564">
          <w:rPr>
            <w:rStyle w:val="aa"/>
            <w:rFonts w:eastAsia="DengXian" w:cs="Times New Roman"/>
            <w:noProof/>
            <w:lang w:eastAsia="zh-CN"/>
          </w:rPr>
          <w:t>Material flow changes of nickel in automobile LIBs</w:t>
        </w:r>
        <w:r>
          <w:rPr>
            <w:noProof/>
            <w:webHidden/>
          </w:rPr>
          <w:tab/>
        </w:r>
        <w:r>
          <w:rPr>
            <w:noProof/>
            <w:webHidden/>
          </w:rPr>
          <w:fldChar w:fldCharType="begin"/>
        </w:r>
        <w:r>
          <w:rPr>
            <w:noProof/>
            <w:webHidden/>
          </w:rPr>
          <w:instrText xml:space="preserve"> PAGEREF _Toc208439496 \h </w:instrText>
        </w:r>
        <w:r>
          <w:rPr>
            <w:noProof/>
            <w:webHidden/>
          </w:rPr>
        </w:r>
        <w:r>
          <w:rPr>
            <w:noProof/>
            <w:webHidden/>
          </w:rPr>
          <w:fldChar w:fldCharType="separate"/>
        </w:r>
        <w:r>
          <w:rPr>
            <w:noProof/>
            <w:webHidden/>
          </w:rPr>
          <w:t>44</w:t>
        </w:r>
        <w:r>
          <w:rPr>
            <w:noProof/>
            <w:webHidden/>
          </w:rPr>
          <w:fldChar w:fldCharType="end"/>
        </w:r>
      </w:hyperlink>
    </w:p>
    <w:p w14:paraId="6B8D854D" w14:textId="0F1F4CC4"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97"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31. </w:t>
        </w:r>
        <w:r w:rsidRPr="00853564">
          <w:rPr>
            <w:rStyle w:val="aa"/>
            <w:rFonts w:eastAsia="DengXian" w:cs="Times New Roman"/>
            <w:noProof/>
            <w:lang w:eastAsia="zh-CN"/>
          </w:rPr>
          <w:t>Material flow changes of copper in automobile LIBs</w:t>
        </w:r>
        <w:r>
          <w:rPr>
            <w:noProof/>
            <w:webHidden/>
          </w:rPr>
          <w:tab/>
        </w:r>
        <w:r>
          <w:rPr>
            <w:noProof/>
            <w:webHidden/>
          </w:rPr>
          <w:fldChar w:fldCharType="begin"/>
        </w:r>
        <w:r>
          <w:rPr>
            <w:noProof/>
            <w:webHidden/>
          </w:rPr>
          <w:instrText xml:space="preserve"> PAGEREF _Toc208439497 \h </w:instrText>
        </w:r>
        <w:r>
          <w:rPr>
            <w:noProof/>
            <w:webHidden/>
          </w:rPr>
        </w:r>
        <w:r>
          <w:rPr>
            <w:noProof/>
            <w:webHidden/>
          </w:rPr>
          <w:fldChar w:fldCharType="separate"/>
        </w:r>
        <w:r>
          <w:rPr>
            <w:noProof/>
            <w:webHidden/>
          </w:rPr>
          <w:t>45</w:t>
        </w:r>
        <w:r>
          <w:rPr>
            <w:noProof/>
            <w:webHidden/>
          </w:rPr>
          <w:fldChar w:fldCharType="end"/>
        </w:r>
      </w:hyperlink>
    </w:p>
    <w:p w14:paraId="2F3FD4CF" w14:textId="65432C78"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98"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32. </w:t>
        </w:r>
        <w:r w:rsidRPr="00853564">
          <w:rPr>
            <w:rStyle w:val="aa"/>
            <w:rFonts w:eastAsia="DengXian" w:cs="Times New Roman"/>
            <w:noProof/>
            <w:lang w:eastAsia="zh-CN"/>
          </w:rPr>
          <w:t>Changes on circulation rate of critical minerals in automotive LIBs</w:t>
        </w:r>
        <w:r>
          <w:rPr>
            <w:noProof/>
            <w:webHidden/>
          </w:rPr>
          <w:tab/>
        </w:r>
        <w:r>
          <w:rPr>
            <w:noProof/>
            <w:webHidden/>
          </w:rPr>
          <w:fldChar w:fldCharType="begin"/>
        </w:r>
        <w:r>
          <w:rPr>
            <w:noProof/>
            <w:webHidden/>
          </w:rPr>
          <w:instrText xml:space="preserve"> PAGEREF _Toc208439498 \h </w:instrText>
        </w:r>
        <w:r>
          <w:rPr>
            <w:noProof/>
            <w:webHidden/>
          </w:rPr>
        </w:r>
        <w:r>
          <w:rPr>
            <w:noProof/>
            <w:webHidden/>
          </w:rPr>
          <w:fldChar w:fldCharType="separate"/>
        </w:r>
        <w:r>
          <w:rPr>
            <w:noProof/>
            <w:webHidden/>
          </w:rPr>
          <w:t>46</w:t>
        </w:r>
        <w:r>
          <w:rPr>
            <w:noProof/>
            <w:webHidden/>
          </w:rPr>
          <w:fldChar w:fldCharType="end"/>
        </w:r>
      </w:hyperlink>
    </w:p>
    <w:p w14:paraId="3ED3CA2A" w14:textId="7997F96B"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499"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33. </w:t>
        </w:r>
        <w:r w:rsidRPr="00853564">
          <w:rPr>
            <w:rStyle w:val="aa"/>
            <w:rFonts w:eastAsia="DengXian" w:cs="Times New Roman"/>
            <w:noProof/>
            <w:lang w:eastAsia="zh-CN"/>
          </w:rPr>
          <w:t>Indicators comparison between integrated scenarios</w:t>
        </w:r>
        <w:r>
          <w:rPr>
            <w:noProof/>
            <w:webHidden/>
          </w:rPr>
          <w:tab/>
        </w:r>
        <w:r>
          <w:rPr>
            <w:noProof/>
            <w:webHidden/>
          </w:rPr>
          <w:fldChar w:fldCharType="begin"/>
        </w:r>
        <w:r>
          <w:rPr>
            <w:noProof/>
            <w:webHidden/>
          </w:rPr>
          <w:instrText xml:space="preserve"> PAGEREF _Toc208439499 \h </w:instrText>
        </w:r>
        <w:r>
          <w:rPr>
            <w:noProof/>
            <w:webHidden/>
          </w:rPr>
        </w:r>
        <w:r>
          <w:rPr>
            <w:noProof/>
            <w:webHidden/>
          </w:rPr>
          <w:fldChar w:fldCharType="separate"/>
        </w:r>
        <w:r>
          <w:rPr>
            <w:noProof/>
            <w:webHidden/>
          </w:rPr>
          <w:t>47</w:t>
        </w:r>
        <w:r>
          <w:rPr>
            <w:noProof/>
            <w:webHidden/>
          </w:rPr>
          <w:fldChar w:fldCharType="end"/>
        </w:r>
      </w:hyperlink>
    </w:p>
    <w:p w14:paraId="5DFF733D" w14:textId="36C5E8E4"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500"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34. </w:t>
        </w:r>
        <w:r w:rsidRPr="00853564">
          <w:rPr>
            <w:rStyle w:val="aa"/>
            <w:rFonts w:eastAsia="DengXian" w:cs="Times New Roman"/>
            <w:noProof/>
            <w:lang w:eastAsia="zh-CN"/>
          </w:rPr>
          <w:t>Annual virgin material input of critical minerals in automotive LIBs in 2035 and 2050.</w:t>
        </w:r>
        <w:r>
          <w:rPr>
            <w:noProof/>
            <w:webHidden/>
          </w:rPr>
          <w:tab/>
        </w:r>
        <w:r>
          <w:rPr>
            <w:noProof/>
            <w:webHidden/>
          </w:rPr>
          <w:fldChar w:fldCharType="begin"/>
        </w:r>
        <w:r>
          <w:rPr>
            <w:noProof/>
            <w:webHidden/>
          </w:rPr>
          <w:instrText xml:space="preserve"> PAGEREF _Toc208439500 \h </w:instrText>
        </w:r>
        <w:r>
          <w:rPr>
            <w:noProof/>
            <w:webHidden/>
          </w:rPr>
        </w:r>
        <w:r>
          <w:rPr>
            <w:noProof/>
            <w:webHidden/>
          </w:rPr>
          <w:fldChar w:fldCharType="separate"/>
        </w:r>
        <w:r>
          <w:rPr>
            <w:noProof/>
            <w:webHidden/>
          </w:rPr>
          <w:t>48</w:t>
        </w:r>
        <w:r>
          <w:rPr>
            <w:noProof/>
            <w:webHidden/>
          </w:rPr>
          <w:fldChar w:fldCharType="end"/>
        </w:r>
      </w:hyperlink>
    </w:p>
    <w:p w14:paraId="2BF4DE07" w14:textId="29E8C008"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501"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35. </w:t>
        </w:r>
        <w:r w:rsidRPr="00853564">
          <w:rPr>
            <w:rStyle w:val="aa"/>
            <w:rFonts w:eastAsia="DengXian" w:cs="Times New Roman"/>
            <w:noProof/>
            <w:lang w:eastAsia="zh-CN"/>
          </w:rPr>
          <w:t>R</w:t>
        </w:r>
        <w:r w:rsidRPr="00853564">
          <w:rPr>
            <w:rStyle w:val="aa"/>
            <w:rFonts w:cs="Times New Roman"/>
            <w:noProof/>
          </w:rPr>
          <w:t>eduction rates relative to the maximum annual virgin material input of critical minerals in automotive LIBs</w:t>
        </w:r>
        <w:r w:rsidRPr="00853564">
          <w:rPr>
            <w:rStyle w:val="aa"/>
            <w:rFonts w:eastAsia="DengXian" w:cs="Times New Roman"/>
            <w:noProof/>
            <w:lang w:eastAsia="zh-CN"/>
          </w:rPr>
          <w:t xml:space="preserve"> in 2035 and 2050.</w:t>
        </w:r>
        <w:r>
          <w:rPr>
            <w:noProof/>
            <w:webHidden/>
          </w:rPr>
          <w:tab/>
        </w:r>
        <w:r>
          <w:rPr>
            <w:noProof/>
            <w:webHidden/>
          </w:rPr>
          <w:fldChar w:fldCharType="begin"/>
        </w:r>
        <w:r>
          <w:rPr>
            <w:noProof/>
            <w:webHidden/>
          </w:rPr>
          <w:instrText xml:space="preserve"> PAGEREF _Toc208439501 \h </w:instrText>
        </w:r>
        <w:r>
          <w:rPr>
            <w:noProof/>
            <w:webHidden/>
          </w:rPr>
        </w:r>
        <w:r>
          <w:rPr>
            <w:noProof/>
            <w:webHidden/>
          </w:rPr>
          <w:fldChar w:fldCharType="separate"/>
        </w:r>
        <w:r>
          <w:rPr>
            <w:noProof/>
            <w:webHidden/>
          </w:rPr>
          <w:t>48</w:t>
        </w:r>
        <w:r>
          <w:rPr>
            <w:noProof/>
            <w:webHidden/>
          </w:rPr>
          <w:fldChar w:fldCharType="end"/>
        </w:r>
      </w:hyperlink>
    </w:p>
    <w:p w14:paraId="6BF6777A" w14:textId="7D912659"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502"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36. </w:t>
        </w:r>
        <w:r w:rsidRPr="00853564">
          <w:rPr>
            <w:rStyle w:val="aa"/>
            <w:rFonts w:eastAsia="DengXian" w:cs="Times New Roman"/>
            <w:noProof/>
            <w:lang w:eastAsia="zh-CN"/>
          </w:rPr>
          <w:t>I</w:t>
        </w:r>
        <w:r w:rsidRPr="00853564">
          <w:rPr>
            <w:rStyle w:val="aa"/>
            <w:rFonts w:cs="Times New Roman"/>
            <w:noProof/>
          </w:rPr>
          <w:t>nflow circulation rate of critical minerals in automotive LIBs in 2035 and 2050.</w:t>
        </w:r>
        <w:r>
          <w:rPr>
            <w:noProof/>
            <w:webHidden/>
          </w:rPr>
          <w:tab/>
        </w:r>
        <w:r>
          <w:rPr>
            <w:noProof/>
            <w:webHidden/>
          </w:rPr>
          <w:fldChar w:fldCharType="begin"/>
        </w:r>
        <w:r>
          <w:rPr>
            <w:noProof/>
            <w:webHidden/>
          </w:rPr>
          <w:instrText xml:space="preserve"> PAGEREF _Toc208439502 \h </w:instrText>
        </w:r>
        <w:r>
          <w:rPr>
            <w:noProof/>
            <w:webHidden/>
          </w:rPr>
        </w:r>
        <w:r>
          <w:rPr>
            <w:noProof/>
            <w:webHidden/>
          </w:rPr>
          <w:fldChar w:fldCharType="separate"/>
        </w:r>
        <w:r>
          <w:rPr>
            <w:noProof/>
            <w:webHidden/>
          </w:rPr>
          <w:t>49</w:t>
        </w:r>
        <w:r>
          <w:rPr>
            <w:noProof/>
            <w:webHidden/>
          </w:rPr>
          <w:fldChar w:fldCharType="end"/>
        </w:r>
      </w:hyperlink>
    </w:p>
    <w:p w14:paraId="6952615A" w14:textId="740BA9A7"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503"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37. </w:t>
        </w:r>
        <w:r w:rsidRPr="00853564">
          <w:rPr>
            <w:rStyle w:val="aa"/>
            <w:rFonts w:eastAsia="DengXian" w:cs="Times New Roman"/>
            <w:noProof/>
            <w:lang w:eastAsia="zh-CN"/>
          </w:rPr>
          <w:t>Synergy effect</w:t>
        </w:r>
        <w:r w:rsidRPr="00853564">
          <w:rPr>
            <w:rStyle w:val="aa"/>
            <w:rFonts w:cs="Times New Roman"/>
            <w:noProof/>
          </w:rPr>
          <w:t>s</w:t>
        </w:r>
        <w:r w:rsidRPr="00853564">
          <w:rPr>
            <w:rStyle w:val="aa"/>
            <w:rFonts w:eastAsia="DengXian" w:cs="Times New Roman"/>
            <w:noProof/>
            <w:lang w:eastAsia="zh-CN"/>
          </w:rPr>
          <w:t xml:space="preserve"> of paired policies on the reduction rate of virgin material input of critical minerals in 2035 and 2050.</w:t>
        </w:r>
        <w:r>
          <w:rPr>
            <w:noProof/>
            <w:webHidden/>
          </w:rPr>
          <w:tab/>
        </w:r>
        <w:r>
          <w:rPr>
            <w:noProof/>
            <w:webHidden/>
          </w:rPr>
          <w:fldChar w:fldCharType="begin"/>
        </w:r>
        <w:r>
          <w:rPr>
            <w:noProof/>
            <w:webHidden/>
          </w:rPr>
          <w:instrText xml:space="preserve"> PAGEREF _Toc208439503 \h </w:instrText>
        </w:r>
        <w:r>
          <w:rPr>
            <w:noProof/>
            <w:webHidden/>
          </w:rPr>
        </w:r>
        <w:r>
          <w:rPr>
            <w:noProof/>
            <w:webHidden/>
          </w:rPr>
          <w:fldChar w:fldCharType="separate"/>
        </w:r>
        <w:r>
          <w:rPr>
            <w:noProof/>
            <w:webHidden/>
          </w:rPr>
          <w:t>50</w:t>
        </w:r>
        <w:r>
          <w:rPr>
            <w:noProof/>
            <w:webHidden/>
          </w:rPr>
          <w:fldChar w:fldCharType="end"/>
        </w:r>
      </w:hyperlink>
    </w:p>
    <w:p w14:paraId="186DB867" w14:textId="6ADDD234"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504"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38. </w:t>
        </w:r>
        <w:r w:rsidRPr="00853564">
          <w:rPr>
            <w:rStyle w:val="aa"/>
            <w:rFonts w:eastAsia="DengXian" w:cs="Times New Roman"/>
            <w:noProof/>
            <w:lang w:eastAsia="zh-CN"/>
          </w:rPr>
          <w:t>Synergy effect</w:t>
        </w:r>
        <w:r w:rsidRPr="00853564">
          <w:rPr>
            <w:rStyle w:val="aa"/>
            <w:rFonts w:cs="Times New Roman"/>
            <w:noProof/>
          </w:rPr>
          <w:t>s</w:t>
        </w:r>
        <w:r w:rsidRPr="00853564">
          <w:rPr>
            <w:rStyle w:val="aa"/>
            <w:rFonts w:eastAsia="DengXian" w:cs="Times New Roman"/>
            <w:noProof/>
            <w:lang w:eastAsia="zh-CN"/>
          </w:rPr>
          <w:t xml:space="preserve"> of paired policies on the circulation rate of virgin material input of critical minerals in 2035 and 2050.</w:t>
        </w:r>
        <w:r>
          <w:rPr>
            <w:noProof/>
            <w:webHidden/>
          </w:rPr>
          <w:tab/>
        </w:r>
        <w:r>
          <w:rPr>
            <w:noProof/>
            <w:webHidden/>
          </w:rPr>
          <w:fldChar w:fldCharType="begin"/>
        </w:r>
        <w:r>
          <w:rPr>
            <w:noProof/>
            <w:webHidden/>
          </w:rPr>
          <w:instrText xml:space="preserve"> PAGEREF _Toc208439504 \h </w:instrText>
        </w:r>
        <w:r>
          <w:rPr>
            <w:noProof/>
            <w:webHidden/>
          </w:rPr>
        </w:r>
        <w:r>
          <w:rPr>
            <w:noProof/>
            <w:webHidden/>
          </w:rPr>
          <w:fldChar w:fldCharType="separate"/>
        </w:r>
        <w:r>
          <w:rPr>
            <w:noProof/>
            <w:webHidden/>
          </w:rPr>
          <w:t>51</w:t>
        </w:r>
        <w:r>
          <w:rPr>
            <w:noProof/>
            <w:webHidden/>
          </w:rPr>
          <w:fldChar w:fldCharType="end"/>
        </w:r>
      </w:hyperlink>
    </w:p>
    <w:p w14:paraId="444800D0" w14:textId="61980F9A"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505"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39. Additional scenarios under NCX-oriented strategy.</w:t>
        </w:r>
        <w:r>
          <w:rPr>
            <w:noProof/>
            <w:webHidden/>
          </w:rPr>
          <w:tab/>
        </w:r>
        <w:r>
          <w:rPr>
            <w:noProof/>
            <w:webHidden/>
          </w:rPr>
          <w:fldChar w:fldCharType="begin"/>
        </w:r>
        <w:r>
          <w:rPr>
            <w:noProof/>
            <w:webHidden/>
          </w:rPr>
          <w:instrText xml:space="preserve"> PAGEREF _Toc208439505 \h </w:instrText>
        </w:r>
        <w:r>
          <w:rPr>
            <w:noProof/>
            <w:webHidden/>
          </w:rPr>
        </w:r>
        <w:r>
          <w:rPr>
            <w:noProof/>
            <w:webHidden/>
          </w:rPr>
          <w:fldChar w:fldCharType="separate"/>
        </w:r>
        <w:r>
          <w:rPr>
            <w:noProof/>
            <w:webHidden/>
          </w:rPr>
          <w:t>52</w:t>
        </w:r>
        <w:r>
          <w:rPr>
            <w:noProof/>
            <w:webHidden/>
          </w:rPr>
          <w:fldChar w:fldCharType="end"/>
        </w:r>
      </w:hyperlink>
    </w:p>
    <w:p w14:paraId="19540AA6" w14:textId="645AC878"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506"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 xml:space="preserve">40. Additional scenarios under </w:t>
        </w:r>
        <w:r w:rsidRPr="00853564">
          <w:rPr>
            <w:rStyle w:val="aa"/>
            <w:rFonts w:eastAsia="DengXian" w:cs="Times New Roman"/>
            <w:noProof/>
            <w:lang w:eastAsia="zh-CN"/>
          </w:rPr>
          <w:t>secondary use of all spent LIBs</w:t>
        </w:r>
        <w:r w:rsidRPr="00853564">
          <w:rPr>
            <w:rStyle w:val="aa"/>
            <w:rFonts w:cs="Times New Roman"/>
            <w:noProof/>
          </w:rPr>
          <w:t>.</w:t>
        </w:r>
        <w:r>
          <w:rPr>
            <w:noProof/>
            <w:webHidden/>
          </w:rPr>
          <w:tab/>
        </w:r>
        <w:r>
          <w:rPr>
            <w:noProof/>
            <w:webHidden/>
          </w:rPr>
          <w:fldChar w:fldCharType="begin"/>
        </w:r>
        <w:r>
          <w:rPr>
            <w:noProof/>
            <w:webHidden/>
          </w:rPr>
          <w:instrText xml:space="preserve"> PAGEREF _Toc208439506 \h </w:instrText>
        </w:r>
        <w:r>
          <w:rPr>
            <w:noProof/>
            <w:webHidden/>
          </w:rPr>
        </w:r>
        <w:r>
          <w:rPr>
            <w:noProof/>
            <w:webHidden/>
          </w:rPr>
          <w:fldChar w:fldCharType="separate"/>
        </w:r>
        <w:r>
          <w:rPr>
            <w:noProof/>
            <w:webHidden/>
          </w:rPr>
          <w:t>53</w:t>
        </w:r>
        <w:r>
          <w:rPr>
            <w:noProof/>
            <w:webHidden/>
          </w:rPr>
          <w:fldChar w:fldCharType="end"/>
        </w:r>
      </w:hyperlink>
    </w:p>
    <w:p w14:paraId="48294909" w14:textId="15339697" w:rsidR="006B1EB2" w:rsidRDefault="006B1EB2">
      <w:pPr>
        <w:pStyle w:val="af0"/>
        <w:tabs>
          <w:tab w:val="right" w:leader="dot" w:pos="8494"/>
        </w:tabs>
        <w:rPr>
          <w:rFonts w:asciiTheme="minorHAnsi" w:eastAsiaTheme="minorEastAsia" w:hAnsiTheme="minorHAnsi" w:cstheme="minorBidi"/>
          <w:noProof/>
          <w:kern w:val="2"/>
          <w14:ligatures w14:val="standardContextual"/>
        </w:rPr>
      </w:pPr>
      <w:hyperlink w:anchor="_Toc208439507" w:history="1">
        <w:r w:rsidRPr="00853564">
          <w:rPr>
            <w:rStyle w:val="aa"/>
            <w:rFonts w:eastAsia="Microsoft YaHei" w:cs="Times New Roman"/>
            <w:noProof/>
            <w:lang w:eastAsia="zh-CN"/>
          </w:rPr>
          <w:t>Figure</w:t>
        </w:r>
        <w:r w:rsidRPr="00853564">
          <w:rPr>
            <w:rStyle w:val="aa"/>
            <w:rFonts w:cs="Times New Roman"/>
            <w:noProof/>
          </w:rPr>
          <w:t xml:space="preserve"> </w:t>
        </w:r>
        <w:r w:rsidRPr="00853564">
          <w:rPr>
            <w:rStyle w:val="aa"/>
            <w:rFonts w:eastAsia="DengXian" w:cs="Times New Roman"/>
            <w:noProof/>
            <w:lang w:eastAsia="zh-CN"/>
          </w:rPr>
          <w:t>S</w:t>
        </w:r>
        <w:r w:rsidRPr="00853564">
          <w:rPr>
            <w:rStyle w:val="aa"/>
            <w:rFonts w:cs="Times New Roman"/>
            <w:noProof/>
          </w:rPr>
          <w:t>41. Sensitivity analysis on virgin material input and inflow circulation rate.</w:t>
        </w:r>
        <w:r>
          <w:rPr>
            <w:noProof/>
            <w:webHidden/>
          </w:rPr>
          <w:tab/>
        </w:r>
        <w:r>
          <w:rPr>
            <w:noProof/>
            <w:webHidden/>
          </w:rPr>
          <w:fldChar w:fldCharType="begin"/>
        </w:r>
        <w:r>
          <w:rPr>
            <w:noProof/>
            <w:webHidden/>
          </w:rPr>
          <w:instrText xml:space="preserve"> PAGEREF _Toc208439507 \h </w:instrText>
        </w:r>
        <w:r>
          <w:rPr>
            <w:noProof/>
            <w:webHidden/>
          </w:rPr>
        </w:r>
        <w:r>
          <w:rPr>
            <w:noProof/>
            <w:webHidden/>
          </w:rPr>
          <w:fldChar w:fldCharType="separate"/>
        </w:r>
        <w:r>
          <w:rPr>
            <w:noProof/>
            <w:webHidden/>
          </w:rPr>
          <w:t>55</w:t>
        </w:r>
        <w:r>
          <w:rPr>
            <w:noProof/>
            <w:webHidden/>
          </w:rPr>
          <w:fldChar w:fldCharType="end"/>
        </w:r>
      </w:hyperlink>
    </w:p>
    <w:p w14:paraId="7373C96D" w14:textId="72E3CA17" w:rsidR="00D74810" w:rsidRDefault="00157C37" w:rsidP="00FE6915">
      <w:pPr>
        <w:rPr>
          <w:rFonts w:ascii="Times New Roman" w:eastAsiaTheme="minorEastAsia" w:hAnsi="Times New Roman" w:cs="Times New Roman"/>
          <w:b/>
          <w:sz w:val="21"/>
        </w:rPr>
      </w:pPr>
      <w:r w:rsidRPr="000F62FA">
        <w:rPr>
          <w:rFonts w:ascii="Times New Roman" w:eastAsia="DengXian" w:hAnsi="Times New Roman" w:cs="Times New Roman"/>
          <w:b/>
          <w:sz w:val="21"/>
          <w:lang w:eastAsia="zh-CN"/>
        </w:rPr>
        <w:fldChar w:fldCharType="end"/>
      </w:r>
    </w:p>
    <w:p w14:paraId="3E168973" w14:textId="6ECE1E92" w:rsidR="00332DA7" w:rsidRPr="00475C7C" w:rsidRDefault="00332DA7" w:rsidP="00475C7C">
      <w:pPr>
        <w:jc w:val="center"/>
        <w:rPr>
          <w:rFonts w:ascii="Times New Roman" w:eastAsiaTheme="minorEastAsia" w:hAnsi="Times New Roman" w:cs="Times New Roman"/>
          <w:b/>
        </w:rPr>
      </w:pPr>
      <w:r>
        <w:rPr>
          <w:rFonts w:ascii="Times New Roman" w:eastAsiaTheme="minorEastAsia" w:hAnsi="Times New Roman" w:cs="Times New Roman" w:hint="eastAsia"/>
          <w:b/>
        </w:rPr>
        <w:t>TABLES</w:t>
      </w:r>
    </w:p>
    <w:p w14:paraId="1D6A8976" w14:textId="7FE6F4C3" w:rsidR="00130B53" w:rsidRPr="00130B53" w:rsidRDefault="00332DA7">
      <w:pPr>
        <w:pStyle w:val="af0"/>
        <w:tabs>
          <w:tab w:val="right" w:leader="dot" w:pos="8494"/>
        </w:tabs>
        <w:rPr>
          <w:rFonts w:asciiTheme="minorHAnsi" w:eastAsiaTheme="minorEastAsia" w:hAnsiTheme="minorHAnsi" w:cstheme="minorBidi"/>
          <w:noProof/>
          <w:kern w:val="2"/>
          <w14:ligatures w14:val="standardContextual"/>
        </w:rPr>
      </w:pPr>
      <w:r w:rsidRPr="00130B53">
        <w:rPr>
          <w:rFonts w:eastAsia="DengXian" w:cs="Times New Roman"/>
          <w:szCs w:val="21"/>
          <w:lang w:eastAsia="zh-CN"/>
        </w:rPr>
        <w:fldChar w:fldCharType="begin"/>
      </w:r>
      <w:r w:rsidRPr="00130B53">
        <w:rPr>
          <w:rFonts w:eastAsia="DengXian" w:cs="Times New Roman"/>
          <w:szCs w:val="21"/>
          <w:lang w:eastAsia="zh-CN"/>
        </w:rPr>
        <w:instrText xml:space="preserve"> TOC \h \z \c "</w:instrText>
      </w:r>
      <w:r w:rsidRPr="00130B53">
        <w:rPr>
          <w:rFonts w:eastAsia="DengXian" w:cs="Times New Roman"/>
          <w:szCs w:val="21"/>
          <w:lang w:eastAsia="zh-CN"/>
        </w:rPr>
        <w:instrText>表格</w:instrText>
      </w:r>
      <w:r w:rsidRPr="00130B53">
        <w:rPr>
          <w:rFonts w:eastAsia="DengXian" w:cs="Times New Roman"/>
          <w:szCs w:val="21"/>
          <w:lang w:eastAsia="zh-CN"/>
        </w:rPr>
        <w:instrText xml:space="preserve">" </w:instrText>
      </w:r>
      <w:r w:rsidRPr="00130B53">
        <w:rPr>
          <w:rFonts w:eastAsia="DengXian" w:cs="Times New Roman"/>
          <w:szCs w:val="21"/>
          <w:lang w:eastAsia="zh-CN"/>
        </w:rPr>
        <w:fldChar w:fldCharType="separate"/>
      </w:r>
      <w:hyperlink w:anchor="_Toc208439362" w:history="1">
        <w:r w:rsidR="00130B53" w:rsidRPr="00130B53">
          <w:rPr>
            <w:rStyle w:val="aa"/>
            <w:rFonts w:cs="Times New Roman"/>
            <w:noProof/>
          </w:rPr>
          <w:t xml:space="preserve">Table </w:t>
        </w:r>
        <w:r w:rsidR="00130B53" w:rsidRPr="00130B53">
          <w:rPr>
            <w:rStyle w:val="aa"/>
            <w:rFonts w:eastAsia="DengXian" w:cs="Times New Roman"/>
            <w:noProof/>
            <w:lang w:eastAsia="zh-CN"/>
          </w:rPr>
          <w:t>S</w:t>
        </w:r>
        <w:r w:rsidR="00130B53" w:rsidRPr="00130B53">
          <w:rPr>
            <w:rStyle w:val="aa"/>
            <w:rFonts w:cs="Times New Roman"/>
            <w:noProof/>
          </w:rPr>
          <w:t>1. Policy and measure options in LIB supply chain and parameter settings.</w:t>
        </w:r>
        <w:r w:rsidR="00130B53" w:rsidRPr="00130B53">
          <w:rPr>
            <w:noProof/>
            <w:webHidden/>
          </w:rPr>
          <w:tab/>
        </w:r>
        <w:r w:rsidR="00130B53" w:rsidRPr="00130B53">
          <w:rPr>
            <w:noProof/>
            <w:webHidden/>
          </w:rPr>
          <w:fldChar w:fldCharType="begin"/>
        </w:r>
        <w:r w:rsidR="00130B53" w:rsidRPr="00130B53">
          <w:rPr>
            <w:noProof/>
            <w:webHidden/>
          </w:rPr>
          <w:instrText xml:space="preserve"> PAGEREF _Toc208439362 \h </w:instrText>
        </w:r>
        <w:r w:rsidR="00130B53" w:rsidRPr="00130B53">
          <w:rPr>
            <w:noProof/>
            <w:webHidden/>
          </w:rPr>
        </w:r>
        <w:r w:rsidR="00130B53" w:rsidRPr="00130B53">
          <w:rPr>
            <w:noProof/>
            <w:webHidden/>
          </w:rPr>
          <w:fldChar w:fldCharType="separate"/>
        </w:r>
        <w:r w:rsidR="00130B53" w:rsidRPr="00130B53">
          <w:rPr>
            <w:noProof/>
            <w:webHidden/>
          </w:rPr>
          <w:t>14</w:t>
        </w:r>
        <w:r w:rsidR="00130B53" w:rsidRPr="00130B53">
          <w:rPr>
            <w:noProof/>
            <w:webHidden/>
          </w:rPr>
          <w:fldChar w:fldCharType="end"/>
        </w:r>
      </w:hyperlink>
    </w:p>
    <w:p w14:paraId="1B283907" w14:textId="38C4DBC6"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63"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2. Statistical data collected from the national statistics and reports.</w:t>
        </w:r>
        <w:r w:rsidRPr="00130B53">
          <w:rPr>
            <w:noProof/>
            <w:webHidden/>
          </w:rPr>
          <w:tab/>
        </w:r>
        <w:r w:rsidRPr="00130B53">
          <w:rPr>
            <w:noProof/>
            <w:webHidden/>
          </w:rPr>
          <w:fldChar w:fldCharType="begin"/>
        </w:r>
        <w:r w:rsidRPr="00130B53">
          <w:rPr>
            <w:noProof/>
            <w:webHidden/>
          </w:rPr>
          <w:instrText xml:space="preserve"> PAGEREF _Toc208439363 \h </w:instrText>
        </w:r>
        <w:r w:rsidRPr="00130B53">
          <w:rPr>
            <w:noProof/>
            <w:webHidden/>
          </w:rPr>
        </w:r>
        <w:r w:rsidRPr="00130B53">
          <w:rPr>
            <w:noProof/>
            <w:webHidden/>
          </w:rPr>
          <w:fldChar w:fldCharType="separate"/>
        </w:r>
        <w:r w:rsidRPr="00130B53">
          <w:rPr>
            <w:noProof/>
            <w:webHidden/>
          </w:rPr>
          <w:t>15</w:t>
        </w:r>
        <w:r w:rsidRPr="00130B53">
          <w:rPr>
            <w:noProof/>
            <w:webHidden/>
          </w:rPr>
          <w:fldChar w:fldCharType="end"/>
        </w:r>
      </w:hyperlink>
    </w:p>
    <w:p w14:paraId="71208E1E" w14:textId="17883082"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64"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3. Parameter settings regarding the future socio-economic changes of Japan.</w:t>
        </w:r>
        <w:r w:rsidRPr="00130B53">
          <w:rPr>
            <w:noProof/>
            <w:webHidden/>
          </w:rPr>
          <w:tab/>
        </w:r>
        <w:r w:rsidRPr="00130B53">
          <w:rPr>
            <w:noProof/>
            <w:webHidden/>
          </w:rPr>
          <w:fldChar w:fldCharType="begin"/>
        </w:r>
        <w:r w:rsidRPr="00130B53">
          <w:rPr>
            <w:noProof/>
            <w:webHidden/>
          </w:rPr>
          <w:instrText xml:space="preserve"> PAGEREF _Toc208439364 \h </w:instrText>
        </w:r>
        <w:r w:rsidRPr="00130B53">
          <w:rPr>
            <w:noProof/>
            <w:webHidden/>
          </w:rPr>
        </w:r>
        <w:r w:rsidRPr="00130B53">
          <w:rPr>
            <w:noProof/>
            <w:webHidden/>
          </w:rPr>
          <w:fldChar w:fldCharType="separate"/>
        </w:r>
        <w:r w:rsidRPr="00130B53">
          <w:rPr>
            <w:noProof/>
            <w:webHidden/>
          </w:rPr>
          <w:t>16</w:t>
        </w:r>
        <w:r w:rsidRPr="00130B53">
          <w:rPr>
            <w:noProof/>
            <w:webHidden/>
          </w:rPr>
          <w:fldChar w:fldCharType="end"/>
        </w:r>
      </w:hyperlink>
    </w:p>
    <w:p w14:paraId="08F9072B" w14:textId="12776C27"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65"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 xml:space="preserve">4. </w:t>
        </w:r>
        <w:r w:rsidRPr="00130B53">
          <w:rPr>
            <w:rStyle w:val="aa"/>
            <w:rFonts w:eastAsia="DengXian" w:cs="Times New Roman"/>
            <w:noProof/>
            <w:lang w:eastAsia="zh-CN"/>
          </w:rPr>
          <w:t>Coefficients calibrated for estimating passenger car ownership</w:t>
        </w:r>
        <w:r w:rsidRPr="00130B53">
          <w:rPr>
            <w:noProof/>
            <w:webHidden/>
          </w:rPr>
          <w:tab/>
        </w:r>
        <w:r w:rsidRPr="00130B53">
          <w:rPr>
            <w:noProof/>
            <w:webHidden/>
          </w:rPr>
          <w:fldChar w:fldCharType="begin"/>
        </w:r>
        <w:r w:rsidRPr="00130B53">
          <w:rPr>
            <w:noProof/>
            <w:webHidden/>
          </w:rPr>
          <w:instrText xml:space="preserve"> PAGEREF _Toc208439365 \h </w:instrText>
        </w:r>
        <w:r w:rsidRPr="00130B53">
          <w:rPr>
            <w:noProof/>
            <w:webHidden/>
          </w:rPr>
        </w:r>
        <w:r w:rsidRPr="00130B53">
          <w:rPr>
            <w:noProof/>
            <w:webHidden/>
          </w:rPr>
          <w:fldChar w:fldCharType="separate"/>
        </w:r>
        <w:r w:rsidRPr="00130B53">
          <w:rPr>
            <w:noProof/>
            <w:webHidden/>
          </w:rPr>
          <w:t>17</w:t>
        </w:r>
        <w:r w:rsidRPr="00130B53">
          <w:rPr>
            <w:noProof/>
            <w:webHidden/>
          </w:rPr>
          <w:fldChar w:fldCharType="end"/>
        </w:r>
      </w:hyperlink>
    </w:p>
    <w:p w14:paraId="5494B03F" w14:textId="6F79DCD1"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66"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 xml:space="preserve">5. </w:t>
        </w:r>
        <w:r w:rsidRPr="00130B53">
          <w:rPr>
            <w:rStyle w:val="aa"/>
            <w:rFonts w:eastAsia="DengXian" w:cs="Times New Roman"/>
            <w:noProof/>
            <w:lang w:eastAsia="zh-CN"/>
          </w:rPr>
          <w:t xml:space="preserve">A simplified table for calculating </w:t>
        </w:r>
        <w:r w:rsidRPr="00130B53">
          <w:rPr>
            <w:rStyle w:val="aa"/>
            <w:rFonts w:cs="Times New Roman"/>
            <w:noProof/>
          </w:rPr>
          <w:t xml:space="preserve">the </w:t>
        </w:r>
        <w:r w:rsidRPr="00130B53">
          <w:rPr>
            <w:rStyle w:val="aa"/>
            <w:rFonts w:eastAsia="DengXian" w:cs="Times New Roman"/>
            <w:noProof/>
            <w:lang w:eastAsia="zh-CN"/>
          </w:rPr>
          <w:t>survival ratio of passenger cars.</w:t>
        </w:r>
        <w:r w:rsidRPr="00130B53">
          <w:rPr>
            <w:noProof/>
            <w:webHidden/>
          </w:rPr>
          <w:tab/>
        </w:r>
        <w:r w:rsidRPr="00130B53">
          <w:rPr>
            <w:noProof/>
            <w:webHidden/>
          </w:rPr>
          <w:fldChar w:fldCharType="begin"/>
        </w:r>
        <w:r w:rsidRPr="00130B53">
          <w:rPr>
            <w:noProof/>
            <w:webHidden/>
          </w:rPr>
          <w:instrText xml:space="preserve"> PAGEREF _Toc208439366 \h </w:instrText>
        </w:r>
        <w:r w:rsidRPr="00130B53">
          <w:rPr>
            <w:noProof/>
            <w:webHidden/>
          </w:rPr>
        </w:r>
        <w:r w:rsidRPr="00130B53">
          <w:rPr>
            <w:noProof/>
            <w:webHidden/>
          </w:rPr>
          <w:fldChar w:fldCharType="separate"/>
        </w:r>
        <w:r w:rsidRPr="00130B53">
          <w:rPr>
            <w:noProof/>
            <w:webHidden/>
          </w:rPr>
          <w:t>27</w:t>
        </w:r>
        <w:r w:rsidRPr="00130B53">
          <w:rPr>
            <w:noProof/>
            <w:webHidden/>
          </w:rPr>
          <w:fldChar w:fldCharType="end"/>
        </w:r>
      </w:hyperlink>
    </w:p>
    <w:p w14:paraId="673A407E" w14:textId="3146002B"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67"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 xml:space="preserve">6. </w:t>
        </w:r>
        <w:r w:rsidRPr="00130B53">
          <w:rPr>
            <w:rStyle w:val="aa"/>
            <w:rFonts w:eastAsia="DengXian" w:cs="Times New Roman"/>
            <w:noProof/>
            <w:lang w:eastAsia="zh-CN"/>
          </w:rPr>
          <w:t>Calculation of sales-weighted average capacity of BEVs and PHEVs.</w:t>
        </w:r>
        <w:r w:rsidRPr="00130B53">
          <w:rPr>
            <w:noProof/>
            <w:webHidden/>
          </w:rPr>
          <w:tab/>
        </w:r>
        <w:r w:rsidRPr="00130B53">
          <w:rPr>
            <w:noProof/>
            <w:webHidden/>
          </w:rPr>
          <w:fldChar w:fldCharType="begin"/>
        </w:r>
        <w:r w:rsidRPr="00130B53">
          <w:rPr>
            <w:noProof/>
            <w:webHidden/>
          </w:rPr>
          <w:instrText xml:space="preserve"> PAGEREF _Toc208439367 \h </w:instrText>
        </w:r>
        <w:r w:rsidRPr="00130B53">
          <w:rPr>
            <w:noProof/>
            <w:webHidden/>
          </w:rPr>
        </w:r>
        <w:r w:rsidRPr="00130B53">
          <w:rPr>
            <w:noProof/>
            <w:webHidden/>
          </w:rPr>
          <w:fldChar w:fldCharType="separate"/>
        </w:r>
        <w:r w:rsidRPr="00130B53">
          <w:rPr>
            <w:noProof/>
            <w:webHidden/>
          </w:rPr>
          <w:t>34</w:t>
        </w:r>
        <w:r w:rsidRPr="00130B53">
          <w:rPr>
            <w:noProof/>
            <w:webHidden/>
          </w:rPr>
          <w:fldChar w:fldCharType="end"/>
        </w:r>
      </w:hyperlink>
    </w:p>
    <w:p w14:paraId="40C91949" w14:textId="27BDD324"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68"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 xml:space="preserve">7. </w:t>
        </w:r>
        <w:r w:rsidRPr="00130B53">
          <w:rPr>
            <w:rStyle w:val="aa"/>
            <w:rFonts w:eastAsia="DengXian" w:cs="Times New Roman"/>
            <w:noProof/>
            <w:lang w:eastAsia="zh-CN"/>
          </w:rPr>
          <w:t>Sales-weighted average battery weight and critical minerals included.</w:t>
        </w:r>
        <w:r w:rsidRPr="00130B53">
          <w:rPr>
            <w:noProof/>
            <w:webHidden/>
          </w:rPr>
          <w:tab/>
        </w:r>
        <w:r w:rsidRPr="00130B53">
          <w:rPr>
            <w:noProof/>
            <w:webHidden/>
          </w:rPr>
          <w:fldChar w:fldCharType="begin"/>
        </w:r>
        <w:r w:rsidRPr="00130B53">
          <w:rPr>
            <w:noProof/>
            <w:webHidden/>
          </w:rPr>
          <w:instrText xml:space="preserve"> PAGEREF _Toc208439368 \h </w:instrText>
        </w:r>
        <w:r w:rsidRPr="00130B53">
          <w:rPr>
            <w:noProof/>
            <w:webHidden/>
          </w:rPr>
        </w:r>
        <w:r w:rsidRPr="00130B53">
          <w:rPr>
            <w:noProof/>
            <w:webHidden/>
          </w:rPr>
          <w:fldChar w:fldCharType="separate"/>
        </w:r>
        <w:r w:rsidRPr="00130B53">
          <w:rPr>
            <w:noProof/>
            <w:webHidden/>
          </w:rPr>
          <w:t>34</w:t>
        </w:r>
        <w:r w:rsidRPr="00130B53">
          <w:rPr>
            <w:noProof/>
            <w:webHidden/>
          </w:rPr>
          <w:fldChar w:fldCharType="end"/>
        </w:r>
      </w:hyperlink>
    </w:p>
    <w:p w14:paraId="7DDBD47E" w14:textId="6AF8E400"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69"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 xml:space="preserve">8. </w:t>
        </w:r>
        <w:r w:rsidRPr="00130B53">
          <w:rPr>
            <w:rStyle w:val="aa"/>
            <w:rFonts w:eastAsia="DengXian" w:cs="Times New Roman"/>
            <w:noProof/>
            <w:lang w:eastAsia="zh-CN"/>
          </w:rPr>
          <w:t>Lifetime parameter setting</w:t>
        </w:r>
        <w:r w:rsidRPr="00130B53">
          <w:rPr>
            <w:rStyle w:val="aa"/>
            <w:rFonts w:cs="Times New Roman"/>
            <w:noProof/>
          </w:rPr>
          <w:t>s</w:t>
        </w:r>
        <w:r w:rsidRPr="00130B53">
          <w:rPr>
            <w:rStyle w:val="aa"/>
            <w:rFonts w:eastAsia="DengXian" w:cs="Times New Roman"/>
            <w:noProof/>
            <w:lang w:eastAsia="zh-CN"/>
          </w:rPr>
          <w:t xml:space="preserve"> for LIBs.</w:t>
        </w:r>
        <w:r w:rsidRPr="00130B53">
          <w:rPr>
            <w:noProof/>
            <w:webHidden/>
          </w:rPr>
          <w:tab/>
        </w:r>
        <w:r w:rsidRPr="00130B53">
          <w:rPr>
            <w:noProof/>
            <w:webHidden/>
          </w:rPr>
          <w:fldChar w:fldCharType="begin"/>
        </w:r>
        <w:r w:rsidRPr="00130B53">
          <w:rPr>
            <w:noProof/>
            <w:webHidden/>
          </w:rPr>
          <w:instrText xml:space="preserve"> PAGEREF _Toc208439369 \h </w:instrText>
        </w:r>
        <w:r w:rsidRPr="00130B53">
          <w:rPr>
            <w:noProof/>
            <w:webHidden/>
          </w:rPr>
        </w:r>
        <w:r w:rsidRPr="00130B53">
          <w:rPr>
            <w:noProof/>
            <w:webHidden/>
          </w:rPr>
          <w:fldChar w:fldCharType="separate"/>
        </w:r>
        <w:r w:rsidRPr="00130B53">
          <w:rPr>
            <w:noProof/>
            <w:webHidden/>
          </w:rPr>
          <w:t>37</w:t>
        </w:r>
        <w:r w:rsidRPr="00130B53">
          <w:rPr>
            <w:noProof/>
            <w:webHidden/>
          </w:rPr>
          <w:fldChar w:fldCharType="end"/>
        </w:r>
      </w:hyperlink>
    </w:p>
    <w:p w14:paraId="7573D0D8" w14:textId="324B3194"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70"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 xml:space="preserve">9. </w:t>
        </w:r>
        <w:r w:rsidRPr="00130B53">
          <w:rPr>
            <w:rStyle w:val="aa"/>
            <w:rFonts w:eastAsia="DengXian" w:cs="Times New Roman"/>
            <w:noProof/>
            <w:lang w:eastAsia="zh-CN"/>
          </w:rPr>
          <w:t>Policy options regarding secondary use of spent automotive LIBs</w:t>
        </w:r>
        <w:r w:rsidRPr="00130B53">
          <w:rPr>
            <w:noProof/>
            <w:webHidden/>
          </w:rPr>
          <w:tab/>
        </w:r>
        <w:r w:rsidRPr="00130B53">
          <w:rPr>
            <w:noProof/>
            <w:webHidden/>
          </w:rPr>
          <w:fldChar w:fldCharType="begin"/>
        </w:r>
        <w:r w:rsidRPr="00130B53">
          <w:rPr>
            <w:noProof/>
            <w:webHidden/>
          </w:rPr>
          <w:instrText xml:space="preserve"> PAGEREF _Toc208439370 \h </w:instrText>
        </w:r>
        <w:r w:rsidRPr="00130B53">
          <w:rPr>
            <w:noProof/>
            <w:webHidden/>
          </w:rPr>
        </w:r>
        <w:r w:rsidRPr="00130B53">
          <w:rPr>
            <w:noProof/>
            <w:webHidden/>
          </w:rPr>
          <w:fldChar w:fldCharType="separate"/>
        </w:r>
        <w:r w:rsidRPr="00130B53">
          <w:rPr>
            <w:noProof/>
            <w:webHidden/>
          </w:rPr>
          <w:t>39</w:t>
        </w:r>
        <w:r w:rsidRPr="00130B53">
          <w:rPr>
            <w:noProof/>
            <w:webHidden/>
          </w:rPr>
          <w:fldChar w:fldCharType="end"/>
        </w:r>
      </w:hyperlink>
    </w:p>
    <w:p w14:paraId="771FDE09" w14:textId="376643C5"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71"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 xml:space="preserve">10. </w:t>
        </w:r>
        <w:r w:rsidRPr="00130B53">
          <w:rPr>
            <w:rStyle w:val="aa"/>
            <w:rFonts w:eastAsia="DengXian" w:cs="Times New Roman"/>
            <w:noProof/>
            <w:lang w:eastAsia="zh-CN"/>
          </w:rPr>
          <w:t xml:space="preserve">Recycling progress </w:t>
        </w:r>
        <w:r w:rsidRPr="00130B53">
          <w:rPr>
            <w:rStyle w:val="aa"/>
            <w:rFonts w:cs="Times New Roman"/>
            <w:noProof/>
          </w:rPr>
          <w:t>under</w:t>
        </w:r>
        <w:r w:rsidRPr="00130B53">
          <w:rPr>
            <w:rStyle w:val="aa"/>
            <w:rFonts w:eastAsia="DengXian" w:cs="Times New Roman"/>
            <w:noProof/>
            <w:lang w:eastAsia="zh-CN"/>
          </w:rPr>
          <w:t xml:space="preserve"> three </w:t>
        </w:r>
        <w:r w:rsidRPr="00130B53">
          <w:rPr>
            <w:rStyle w:val="aa"/>
            <w:rFonts w:cs="Times New Roman"/>
            <w:noProof/>
          </w:rPr>
          <w:t xml:space="preserve">assumed </w:t>
        </w:r>
        <w:r w:rsidRPr="00130B53">
          <w:rPr>
            <w:rStyle w:val="aa"/>
            <w:rFonts w:eastAsia="DengXian" w:cs="Times New Roman"/>
            <w:noProof/>
            <w:lang w:eastAsia="zh-CN"/>
          </w:rPr>
          <w:t>levels</w:t>
        </w:r>
        <w:r w:rsidRPr="00130B53">
          <w:rPr>
            <w:noProof/>
            <w:webHidden/>
          </w:rPr>
          <w:tab/>
        </w:r>
        <w:r w:rsidRPr="00130B53">
          <w:rPr>
            <w:noProof/>
            <w:webHidden/>
          </w:rPr>
          <w:fldChar w:fldCharType="begin"/>
        </w:r>
        <w:r w:rsidRPr="00130B53">
          <w:rPr>
            <w:noProof/>
            <w:webHidden/>
          </w:rPr>
          <w:instrText xml:space="preserve"> PAGEREF _Toc208439371 \h </w:instrText>
        </w:r>
        <w:r w:rsidRPr="00130B53">
          <w:rPr>
            <w:noProof/>
            <w:webHidden/>
          </w:rPr>
        </w:r>
        <w:r w:rsidRPr="00130B53">
          <w:rPr>
            <w:noProof/>
            <w:webHidden/>
          </w:rPr>
          <w:fldChar w:fldCharType="separate"/>
        </w:r>
        <w:r w:rsidRPr="00130B53">
          <w:rPr>
            <w:noProof/>
            <w:webHidden/>
          </w:rPr>
          <w:t>40</w:t>
        </w:r>
        <w:r w:rsidRPr="00130B53">
          <w:rPr>
            <w:noProof/>
            <w:webHidden/>
          </w:rPr>
          <w:fldChar w:fldCharType="end"/>
        </w:r>
      </w:hyperlink>
    </w:p>
    <w:p w14:paraId="1C95EAF2" w14:textId="3C0C8B9B"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72"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 xml:space="preserve">11. </w:t>
        </w:r>
        <w:r w:rsidRPr="00130B53">
          <w:rPr>
            <w:rStyle w:val="aa"/>
            <w:rFonts w:eastAsia="DengXian" w:cs="Times New Roman"/>
            <w:noProof/>
            <w:lang w:eastAsia="zh-CN"/>
          </w:rPr>
          <w:t>Parameter setting</w:t>
        </w:r>
        <w:r w:rsidRPr="00130B53">
          <w:rPr>
            <w:rStyle w:val="aa"/>
            <w:rFonts w:cs="Times New Roman"/>
            <w:noProof/>
          </w:rPr>
          <w:t>s</w:t>
        </w:r>
        <w:r w:rsidRPr="00130B53">
          <w:rPr>
            <w:rStyle w:val="aa"/>
            <w:rFonts w:eastAsia="DengXian" w:cs="Times New Roman"/>
            <w:noProof/>
            <w:lang w:eastAsia="zh-CN"/>
          </w:rPr>
          <w:t xml:space="preserve"> for tracing and mandatory collection</w:t>
        </w:r>
        <w:r w:rsidRPr="00130B53">
          <w:rPr>
            <w:noProof/>
            <w:webHidden/>
          </w:rPr>
          <w:tab/>
        </w:r>
        <w:r w:rsidRPr="00130B53">
          <w:rPr>
            <w:noProof/>
            <w:webHidden/>
          </w:rPr>
          <w:fldChar w:fldCharType="begin"/>
        </w:r>
        <w:r w:rsidRPr="00130B53">
          <w:rPr>
            <w:noProof/>
            <w:webHidden/>
          </w:rPr>
          <w:instrText xml:space="preserve"> PAGEREF _Toc208439372 \h </w:instrText>
        </w:r>
        <w:r w:rsidRPr="00130B53">
          <w:rPr>
            <w:noProof/>
            <w:webHidden/>
          </w:rPr>
        </w:r>
        <w:r w:rsidRPr="00130B53">
          <w:rPr>
            <w:noProof/>
            <w:webHidden/>
          </w:rPr>
          <w:fldChar w:fldCharType="separate"/>
        </w:r>
        <w:r w:rsidRPr="00130B53">
          <w:rPr>
            <w:noProof/>
            <w:webHidden/>
          </w:rPr>
          <w:t>40</w:t>
        </w:r>
        <w:r w:rsidRPr="00130B53">
          <w:rPr>
            <w:noProof/>
            <w:webHidden/>
          </w:rPr>
          <w:fldChar w:fldCharType="end"/>
        </w:r>
      </w:hyperlink>
    </w:p>
    <w:p w14:paraId="3E62FA24" w14:textId="6DC39FD0" w:rsidR="00130B53" w:rsidRPr="00130B53" w:rsidRDefault="00130B53">
      <w:pPr>
        <w:pStyle w:val="af0"/>
        <w:tabs>
          <w:tab w:val="right" w:leader="dot" w:pos="8494"/>
        </w:tabs>
        <w:rPr>
          <w:rFonts w:asciiTheme="minorHAnsi" w:eastAsiaTheme="minorEastAsia" w:hAnsiTheme="minorHAnsi" w:cstheme="minorBidi"/>
          <w:noProof/>
          <w:kern w:val="2"/>
          <w14:ligatures w14:val="standardContextual"/>
        </w:rPr>
      </w:pPr>
      <w:hyperlink w:anchor="_Toc208439373" w:history="1">
        <w:r w:rsidRPr="00130B53">
          <w:rPr>
            <w:rStyle w:val="aa"/>
            <w:rFonts w:cs="Times New Roman"/>
            <w:noProof/>
          </w:rPr>
          <w:t xml:space="preserve">Table </w:t>
        </w:r>
        <w:r w:rsidRPr="00130B53">
          <w:rPr>
            <w:rStyle w:val="aa"/>
            <w:rFonts w:eastAsia="DengXian" w:cs="Times New Roman"/>
            <w:noProof/>
            <w:lang w:eastAsia="zh-CN"/>
          </w:rPr>
          <w:t>S</w:t>
        </w:r>
        <w:r w:rsidRPr="00130B53">
          <w:rPr>
            <w:rStyle w:val="aa"/>
            <w:rFonts w:cs="Times New Roman"/>
            <w:noProof/>
          </w:rPr>
          <w:t>12. Sensitivity analysis on virgin material input and inflow circulation rate.</w:t>
        </w:r>
        <w:r w:rsidRPr="00130B53">
          <w:rPr>
            <w:noProof/>
            <w:webHidden/>
          </w:rPr>
          <w:tab/>
        </w:r>
        <w:r w:rsidRPr="00130B53">
          <w:rPr>
            <w:noProof/>
            <w:webHidden/>
          </w:rPr>
          <w:fldChar w:fldCharType="begin"/>
        </w:r>
        <w:r w:rsidRPr="00130B53">
          <w:rPr>
            <w:noProof/>
            <w:webHidden/>
          </w:rPr>
          <w:instrText xml:space="preserve"> PAGEREF _Toc208439373 \h </w:instrText>
        </w:r>
        <w:r w:rsidRPr="00130B53">
          <w:rPr>
            <w:noProof/>
            <w:webHidden/>
          </w:rPr>
        </w:r>
        <w:r w:rsidRPr="00130B53">
          <w:rPr>
            <w:noProof/>
            <w:webHidden/>
          </w:rPr>
          <w:fldChar w:fldCharType="separate"/>
        </w:r>
        <w:r w:rsidRPr="00130B53">
          <w:rPr>
            <w:noProof/>
            <w:webHidden/>
          </w:rPr>
          <w:t>54</w:t>
        </w:r>
        <w:r w:rsidRPr="00130B53">
          <w:rPr>
            <w:noProof/>
            <w:webHidden/>
          </w:rPr>
          <w:fldChar w:fldCharType="end"/>
        </w:r>
      </w:hyperlink>
    </w:p>
    <w:p w14:paraId="0247FF6A" w14:textId="762301B4" w:rsidR="000B405F" w:rsidRPr="000F62FA" w:rsidRDefault="00332DA7" w:rsidP="000B405F">
      <w:pPr>
        <w:rPr>
          <w:rFonts w:ascii="Times New Roman" w:hAnsi="Times New Roman" w:cs="Times New Roman"/>
        </w:rPr>
      </w:pPr>
      <w:r w:rsidRPr="00130B53">
        <w:rPr>
          <w:rFonts w:ascii="Times New Roman" w:eastAsia="DengXian" w:hAnsi="Times New Roman" w:cs="Times New Roman"/>
          <w:sz w:val="21"/>
          <w:szCs w:val="21"/>
          <w:lang w:eastAsia="zh-CN"/>
        </w:rPr>
        <w:fldChar w:fldCharType="end"/>
      </w:r>
      <w:r w:rsidR="000B405F" w:rsidRPr="000F62FA">
        <w:rPr>
          <w:rFonts w:ascii="Times New Roman" w:hAnsi="Times New Roman" w:cs="Times New Roman"/>
        </w:rPr>
        <w:br w:type="page"/>
      </w:r>
    </w:p>
    <w:p w14:paraId="02F3B2E5" w14:textId="355A1AA6" w:rsidR="00900B9E" w:rsidRPr="000F62FA" w:rsidRDefault="00F90F73" w:rsidP="00AE0C86">
      <w:pPr>
        <w:pStyle w:val="1"/>
        <w:rPr>
          <w:rFonts w:cs="Times New Roman"/>
          <w:lang w:eastAsia="zh-CN"/>
        </w:rPr>
      </w:pPr>
      <w:bookmarkStart w:id="0" w:name="_Toc199865008"/>
      <w:r w:rsidRPr="000F62FA">
        <w:rPr>
          <w:rFonts w:cs="Times New Roman"/>
          <w:lang w:eastAsia="zh-CN"/>
        </w:rPr>
        <w:lastRenderedPageBreak/>
        <w:t>Acronyms and abbreviations</w:t>
      </w:r>
      <w:bookmarkEnd w:id="0"/>
    </w:p>
    <w:p w14:paraId="511833B2" w14:textId="467E4077" w:rsidR="003379B4" w:rsidRPr="000F62FA" w:rsidRDefault="003379B4">
      <w:pPr>
        <w:rPr>
          <w:rFonts w:ascii="Times New Roman" w:eastAsia="DengXian" w:hAnsi="Times New Roman" w:cs="Times New Roman"/>
          <w:sz w:val="21"/>
          <w:szCs w:val="21"/>
          <w:lang w:eastAsia="zh-CN"/>
        </w:rPr>
      </w:pPr>
    </w:p>
    <w:tbl>
      <w:tblPr>
        <w:tblStyle w:val="a7"/>
        <w:tblW w:w="0" w:type="auto"/>
        <w:tblLook w:val="04A0" w:firstRow="1" w:lastRow="0" w:firstColumn="1" w:lastColumn="0" w:noHBand="0" w:noVBand="1"/>
      </w:tblPr>
      <w:tblGrid>
        <w:gridCol w:w="2263"/>
        <w:gridCol w:w="6231"/>
      </w:tblGrid>
      <w:tr w:rsidR="003379B4" w:rsidRPr="000F62FA" w14:paraId="43620828" w14:textId="77777777" w:rsidTr="00217C7D">
        <w:tc>
          <w:tcPr>
            <w:tcW w:w="2263" w:type="dxa"/>
          </w:tcPr>
          <w:p w14:paraId="21AA8F28" w14:textId="6C39B569" w:rsidR="003379B4" w:rsidRPr="000F62FA" w:rsidRDefault="003379B4">
            <w:pPr>
              <w:rPr>
                <w:rFonts w:ascii="Times New Roman" w:eastAsia="DengXian" w:hAnsi="Times New Roman" w:cs="Times New Roman"/>
                <w:lang w:eastAsia="zh-CN"/>
              </w:rPr>
            </w:pPr>
            <w:r w:rsidRPr="000F62FA">
              <w:rPr>
                <w:rFonts w:ascii="Times New Roman" w:eastAsia="DengXian" w:hAnsi="Times New Roman" w:cs="Times New Roman"/>
                <w:lang w:eastAsia="zh-CN"/>
              </w:rPr>
              <w:t>EV</w:t>
            </w:r>
          </w:p>
        </w:tc>
        <w:tc>
          <w:tcPr>
            <w:tcW w:w="6231" w:type="dxa"/>
          </w:tcPr>
          <w:p w14:paraId="2742A934" w14:textId="747BFBA8" w:rsidR="003379B4" w:rsidRPr="000F62FA" w:rsidRDefault="003379B4">
            <w:pPr>
              <w:rPr>
                <w:rFonts w:ascii="Times New Roman" w:eastAsia="DengXian" w:hAnsi="Times New Roman" w:cs="Times New Roman"/>
                <w:lang w:eastAsia="zh-CN"/>
              </w:rPr>
            </w:pPr>
            <w:r w:rsidRPr="000F62FA">
              <w:rPr>
                <w:rFonts w:ascii="Times New Roman" w:eastAsia="DengXian" w:hAnsi="Times New Roman" w:cs="Times New Roman"/>
                <w:lang w:eastAsia="zh-CN"/>
              </w:rPr>
              <w:t>Electric vehicle</w:t>
            </w:r>
          </w:p>
        </w:tc>
      </w:tr>
      <w:tr w:rsidR="001E6C65" w:rsidRPr="000F62FA" w14:paraId="6D521D24" w14:textId="77777777" w:rsidTr="00217C7D">
        <w:tc>
          <w:tcPr>
            <w:tcW w:w="2263" w:type="dxa"/>
          </w:tcPr>
          <w:p w14:paraId="392F8DAD" w14:textId="100A36E8" w:rsidR="001E6C65" w:rsidRPr="000F62FA" w:rsidRDefault="001E6C65">
            <w:pPr>
              <w:rPr>
                <w:rFonts w:ascii="Times New Roman" w:eastAsia="DengXian" w:hAnsi="Times New Roman" w:cs="Times New Roman"/>
                <w:lang w:eastAsia="zh-CN"/>
              </w:rPr>
            </w:pPr>
            <w:r w:rsidRPr="000F62FA">
              <w:rPr>
                <w:rFonts w:ascii="Times New Roman" w:eastAsia="DengXian" w:hAnsi="Times New Roman" w:cs="Times New Roman"/>
                <w:lang w:eastAsia="zh-CN"/>
              </w:rPr>
              <w:t>HEV</w:t>
            </w:r>
          </w:p>
        </w:tc>
        <w:tc>
          <w:tcPr>
            <w:tcW w:w="6231" w:type="dxa"/>
          </w:tcPr>
          <w:p w14:paraId="705AFABD" w14:textId="2613868F" w:rsidR="001E6C65" w:rsidRPr="000F62FA" w:rsidRDefault="001E6C65">
            <w:pPr>
              <w:rPr>
                <w:rFonts w:ascii="Times New Roman" w:eastAsia="DengXian" w:hAnsi="Times New Roman" w:cs="Times New Roman"/>
                <w:lang w:eastAsia="zh-CN"/>
              </w:rPr>
            </w:pPr>
            <w:r w:rsidRPr="000F62FA">
              <w:rPr>
                <w:rFonts w:ascii="Times New Roman" w:eastAsia="DengXian" w:hAnsi="Times New Roman" w:cs="Times New Roman"/>
                <w:color w:val="000000"/>
              </w:rPr>
              <w:t>Hybrid electric vehicle</w:t>
            </w:r>
          </w:p>
        </w:tc>
      </w:tr>
      <w:tr w:rsidR="003379B4" w:rsidRPr="000F62FA" w14:paraId="428FEFFF" w14:textId="77777777" w:rsidTr="00217C7D">
        <w:tc>
          <w:tcPr>
            <w:tcW w:w="2263" w:type="dxa"/>
          </w:tcPr>
          <w:p w14:paraId="22DFBF53" w14:textId="49271CB8" w:rsidR="003379B4" w:rsidRPr="000F62FA" w:rsidRDefault="00AB75A8">
            <w:pPr>
              <w:rPr>
                <w:rFonts w:ascii="Times New Roman" w:eastAsia="DengXian" w:hAnsi="Times New Roman" w:cs="Times New Roman"/>
                <w:lang w:eastAsia="zh-CN"/>
              </w:rPr>
            </w:pPr>
            <w:r w:rsidRPr="000F62FA">
              <w:rPr>
                <w:rFonts w:ascii="Times New Roman" w:eastAsia="DengXian" w:hAnsi="Times New Roman" w:cs="Times New Roman"/>
                <w:lang w:eastAsia="zh-CN"/>
              </w:rPr>
              <w:t>BEV</w:t>
            </w:r>
          </w:p>
        </w:tc>
        <w:tc>
          <w:tcPr>
            <w:tcW w:w="6231" w:type="dxa"/>
          </w:tcPr>
          <w:p w14:paraId="7CBB8FFE" w14:textId="0E38656B" w:rsidR="003379B4" w:rsidRPr="000F62FA" w:rsidRDefault="0043375C" w:rsidP="00297855">
            <w:pPr>
              <w:pStyle w:val="Default"/>
            </w:pPr>
            <w:r w:rsidRPr="000F62FA">
              <w:t xml:space="preserve">Battery electric vehicle </w:t>
            </w:r>
          </w:p>
        </w:tc>
      </w:tr>
      <w:tr w:rsidR="003379B4" w:rsidRPr="000F62FA" w14:paraId="50079227" w14:textId="77777777" w:rsidTr="00217C7D">
        <w:tc>
          <w:tcPr>
            <w:tcW w:w="2263" w:type="dxa"/>
          </w:tcPr>
          <w:p w14:paraId="26F6D2B2" w14:textId="4F215097" w:rsidR="003379B4" w:rsidRPr="000F62FA" w:rsidRDefault="00AB75A8">
            <w:pPr>
              <w:rPr>
                <w:rFonts w:ascii="Times New Roman" w:eastAsia="DengXian" w:hAnsi="Times New Roman" w:cs="Times New Roman"/>
                <w:lang w:eastAsia="zh-CN"/>
              </w:rPr>
            </w:pPr>
            <w:r w:rsidRPr="000F62FA">
              <w:rPr>
                <w:rFonts w:ascii="Times New Roman" w:eastAsia="DengXian" w:hAnsi="Times New Roman" w:cs="Times New Roman"/>
                <w:lang w:eastAsia="zh-CN"/>
              </w:rPr>
              <w:t>PHEV</w:t>
            </w:r>
          </w:p>
        </w:tc>
        <w:tc>
          <w:tcPr>
            <w:tcW w:w="6231" w:type="dxa"/>
          </w:tcPr>
          <w:p w14:paraId="65FDADF6" w14:textId="3AA273E9" w:rsidR="003379B4" w:rsidRPr="000F62FA" w:rsidRDefault="001F412F" w:rsidP="00297855">
            <w:pPr>
              <w:pStyle w:val="Default"/>
            </w:pPr>
            <w:r w:rsidRPr="000F62FA">
              <w:t xml:space="preserve">Plug-in hybrid electric vehicle </w:t>
            </w:r>
          </w:p>
        </w:tc>
      </w:tr>
      <w:tr w:rsidR="003379B4" w:rsidRPr="000F62FA" w14:paraId="7C6B99E7" w14:textId="77777777" w:rsidTr="00217C7D">
        <w:tc>
          <w:tcPr>
            <w:tcW w:w="2263" w:type="dxa"/>
          </w:tcPr>
          <w:p w14:paraId="4D7ECF90" w14:textId="608AA051" w:rsidR="003379B4" w:rsidRPr="000F62FA" w:rsidRDefault="00AB75A8">
            <w:pPr>
              <w:rPr>
                <w:rFonts w:ascii="Times New Roman" w:eastAsia="DengXian" w:hAnsi="Times New Roman" w:cs="Times New Roman"/>
                <w:lang w:eastAsia="zh-CN"/>
              </w:rPr>
            </w:pPr>
            <w:r w:rsidRPr="000F62FA">
              <w:rPr>
                <w:rFonts w:ascii="Times New Roman" w:eastAsia="DengXian" w:hAnsi="Times New Roman" w:cs="Times New Roman"/>
                <w:lang w:eastAsia="zh-CN"/>
              </w:rPr>
              <w:t>ICE</w:t>
            </w:r>
            <w:r w:rsidR="001E6C65" w:rsidRPr="000F62FA">
              <w:rPr>
                <w:rFonts w:ascii="Times New Roman" w:eastAsia="DengXian" w:hAnsi="Times New Roman" w:cs="Times New Roman"/>
                <w:lang w:eastAsia="zh-CN"/>
              </w:rPr>
              <w:t>V</w:t>
            </w:r>
          </w:p>
        </w:tc>
        <w:tc>
          <w:tcPr>
            <w:tcW w:w="6231" w:type="dxa"/>
          </w:tcPr>
          <w:p w14:paraId="14EDA8A6" w14:textId="60816EF5" w:rsidR="003379B4" w:rsidRPr="000F62FA" w:rsidRDefault="001E6C65">
            <w:pPr>
              <w:rPr>
                <w:rFonts w:ascii="Times New Roman" w:eastAsia="DengXian" w:hAnsi="Times New Roman" w:cs="Times New Roman"/>
                <w:lang w:eastAsia="zh-CN"/>
              </w:rPr>
            </w:pPr>
            <w:r w:rsidRPr="000F62FA">
              <w:rPr>
                <w:rFonts w:ascii="Times New Roman" w:eastAsia="DengXian" w:hAnsi="Times New Roman" w:cs="Times New Roman"/>
                <w:color w:val="000000"/>
              </w:rPr>
              <w:t>Internal-combustion engine vehicle</w:t>
            </w:r>
          </w:p>
        </w:tc>
      </w:tr>
      <w:tr w:rsidR="003379B4" w:rsidRPr="000F62FA" w14:paraId="4962914F" w14:textId="77777777" w:rsidTr="00217C7D">
        <w:tc>
          <w:tcPr>
            <w:tcW w:w="2263" w:type="dxa"/>
          </w:tcPr>
          <w:p w14:paraId="46FC3C90" w14:textId="58DF4354" w:rsidR="003379B4" w:rsidRPr="000F62FA" w:rsidRDefault="00AB75A8">
            <w:pPr>
              <w:rPr>
                <w:rFonts w:ascii="Times New Roman" w:eastAsia="DengXian" w:hAnsi="Times New Roman" w:cs="Times New Roman"/>
                <w:lang w:eastAsia="zh-CN"/>
              </w:rPr>
            </w:pPr>
            <w:r w:rsidRPr="000F62FA">
              <w:rPr>
                <w:rFonts w:ascii="Times New Roman" w:eastAsia="DengXian" w:hAnsi="Times New Roman" w:cs="Times New Roman"/>
                <w:lang w:eastAsia="zh-CN"/>
              </w:rPr>
              <w:t>FCV</w:t>
            </w:r>
          </w:p>
        </w:tc>
        <w:tc>
          <w:tcPr>
            <w:tcW w:w="6231" w:type="dxa"/>
          </w:tcPr>
          <w:p w14:paraId="55AC2DB6" w14:textId="77AD0F3D" w:rsidR="003379B4" w:rsidRPr="000F62FA" w:rsidRDefault="001E6C65">
            <w:pPr>
              <w:rPr>
                <w:rFonts w:ascii="Times New Roman" w:eastAsia="DengXian" w:hAnsi="Times New Roman" w:cs="Times New Roman"/>
                <w:lang w:eastAsia="zh-CN"/>
              </w:rPr>
            </w:pPr>
            <w:r w:rsidRPr="000F62FA">
              <w:rPr>
                <w:rFonts w:ascii="Times New Roman" w:eastAsia="DengXian" w:hAnsi="Times New Roman" w:cs="Times New Roman"/>
                <w:color w:val="000000"/>
              </w:rPr>
              <w:t>Fuel cell vehicle</w:t>
            </w:r>
          </w:p>
        </w:tc>
      </w:tr>
      <w:tr w:rsidR="008D6C83" w:rsidRPr="000F62FA" w14:paraId="5D265A90" w14:textId="77777777" w:rsidTr="00217C7D">
        <w:tc>
          <w:tcPr>
            <w:tcW w:w="2263" w:type="dxa"/>
          </w:tcPr>
          <w:p w14:paraId="6C1A25A6" w14:textId="732D770B" w:rsidR="008D6C83" w:rsidRPr="000F62FA" w:rsidRDefault="008D6C83">
            <w:pPr>
              <w:rPr>
                <w:rFonts w:ascii="Times New Roman" w:eastAsia="DengXian" w:hAnsi="Times New Roman" w:cs="Times New Roman"/>
                <w:lang w:eastAsia="zh-CN"/>
              </w:rPr>
            </w:pPr>
            <w:r>
              <w:rPr>
                <w:rFonts w:ascii="Times New Roman" w:eastAsia="DengXian" w:hAnsi="Times New Roman" w:cs="Times New Roman" w:hint="eastAsia"/>
                <w:lang w:eastAsia="zh-CN"/>
              </w:rPr>
              <w:t>CNF</w:t>
            </w:r>
          </w:p>
        </w:tc>
        <w:tc>
          <w:tcPr>
            <w:tcW w:w="6231" w:type="dxa"/>
          </w:tcPr>
          <w:p w14:paraId="42233EA0" w14:textId="21BE1EE3" w:rsidR="008D6C83" w:rsidRPr="000F62FA" w:rsidRDefault="008D6C83">
            <w:pPr>
              <w:rPr>
                <w:rFonts w:ascii="Times New Roman" w:eastAsia="DengXian" w:hAnsi="Times New Roman" w:cs="Times New Roman"/>
                <w:color w:val="000000"/>
                <w:lang w:eastAsia="zh-CN"/>
              </w:rPr>
            </w:pPr>
            <w:r>
              <w:rPr>
                <w:rFonts w:ascii="Times New Roman" w:eastAsia="DengXian" w:hAnsi="Times New Roman" w:cs="Times New Roman" w:hint="eastAsia"/>
                <w:color w:val="000000"/>
                <w:lang w:eastAsia="zh-CN"/>
              </w:rPr>
              <w:t>Carbon neutral fuel</w:t>
            </w:r>
          </w:p>
        </w:tc>
      </w:tr>
      <w:tr w:rsidR="003F390E" w:rsidRPr="000F62FA" w14:paraId="3940CE5D" w14:textId="77777777" w:rsidTr="00217C7D">
        <w:tc>
          <w:tcPr>
            <w:tcW w:w="2263" w:type="dxa"/>
          </w:tcPr>
          <w:p w14:paraId="395924A4" w14:textId="4A8EFF0C" w:rsidR="003F390E" w:rsidRPr="000F62FA" w:rsidRDefault="003F390E"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LIB</w:t>
            </w:r>
          </w:p>
        </w:tc>
        <w:tc>
          <w:tcPr>
            <w:tcW w:w="6231" w:type="dxa"/>
          </w:tcPr>
          <w:p w14:paraId="2BDF86BD" w14:textId="6ADB594E" w:rsidR="003F390E" w:rsidRPr="000F62FA" w:rsidRDefault="003F390E" w:rsidP="003F390E">
            <w:pPr>
              <w:rPr>
                <w:rFonts w:ascii="Times New Roman" w:eastAsia="DengXian" w:hAnsi="Times New Roman" w:cs="Times New Roman"/>
                <w:lang w:eastAsia="zh-CN"/>
              </w:rPr>
            </w:pPr>
            <w:r w:rsidRPr="000F62FA">
              <w:rPr>
                <w:rFonts w:ascii="Times New Roman" w:hAnsi="Times New Roman" w:cs="Times New Roman"/>
              </w:rPr>
              <w:t xml:space="preserve">Lithium-ion battery </w:t>
            </w:r>
          </w:p>
        </w:tc>
      </w:tr>
      <w:tr w:rsidR="003F390E" w:rsidRPr="000F62FA" w14:paraId="1169D24A" w14:textId="77777777" w:rsidTr="00217C7D">
        <w:tc>
          <w:tcPr>
            <w:tcW w:w="2263" w:type="dxa"/>
          </w:tcPr>
          <w:p w14:paraId="656D56A5" w14:textId="3590D735" w:rsidR="003F390E" w:rsidRPr="000F62FA" w:rsidRDefault="003F390E"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LFP</w:t>
            </w:r>
          </w:p>
        </w:tc>
        <w:tc>
          <w:tcPr>
            <w:tcW w:w="6231" w:type="dxa"/>
          </w:tcPr>
          <w:p w14:paraId="2EA1D4B4" w14:textId="340A8A10" w:rsidR="003F390E" w:rsidRPr="000F62FA" w:rsidRDefault="003F390E"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Lithium iron phosphate</w:t>
            </w:r>
          </w:p>
        </w:tc>
      </w:tr>
      <w:tr w:rsidR="003F390E" w:rsidRPr="00637437" w14:paraId="2D58DA5F" w14:textId="77777777" w:rsidTr="00217C7D">
        <w:tc>
          <w:tcPr>
            <w:tcW w:w="2263" w:type="dxa"/>
          </w:tcPr>
          <w:p w14:paraId="23B50CA5" w14:textId="76696AE3" w:rsidR="003F390E" w:rsidRPr="000F62FA" w:rsidRDefault="003F390E"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NCA</w:t>
            </w:r>
          </w:p>
        </w:tc>
        <w:tc>
          <w:tcPr>
            <w:tcW w:w="6231" w:type="dxa"/>
          </w:tcPr>
          <w:p w14:paraId="73B2CC69" w14:textId="10D15E4D" w:rsidR="003F390E" w:rsidRPr="000F62FA" w:rsidRDefault="003F390E" w:rsidP="003F390E">
            <w:pPr>
              <w:pStyle w:val="Default"/>
              <w:rPr>
                <w:lang w:val="de-DE"/>
              </w:rPr>
            </w:pPr>
            <w:r w:rsidRPr="000F62FA">
              <w:rPr>
                <w:lang w:val="de-DE"/>
              </w:rPr>
              <w:t xml:space="preserve">Lithium Nickel Cobalt Aluminum Oxide </w:t>
            </w:r>
          </w:p>
        </w:tc>
      </w:tr>
      <w:tr w:rsidR="003F390E" w:rsidRPr="00637437" w14:paraId="54E34698" w14:textId="77777777" w:rsidTr="00217C7D">
        <w:tc>
          <w:tcPr>
            <w:tcW w:w="2263" w:type="dxa"/>
          </w:tcPr>
          <w:p w14:paraId="44BE3CA9" w14:textId="3619CDD3" w:rsidR="003F390E" w:rsidRPr="000F62FA" w:rsidRDefault="003F390E"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NM</w:t>
            </w:r>
            <w:r w:rsidR="007B7C78" w:rsidRPr="000F62FA">
              <w:rPr>
                <w:rFonts w:ascii="Times New Roman" w:eastAsia="DengXian" w:hAnsi="Times New Roman" w:cs="Times New Roman"/>
                <w:lang w:eastAsia="zh-CN"/>
              </w:rPr>
              <w:t>C</w:t>
            </w:r>
          </w:p>
        </w:tc>
        <w:tc>
          <w:tcPr>
            <w:tcW w:w="6231" w:type="dxa"/>
          </w:tcPr>
          <w:p w14:paraId="512A0A8B" w14:textId="074BD306" w:rsidR="003F390E" w:rsidRPr="000F62FA" w:rsidRDefault="003F390E" w:rsidP="003F390E">
            <w:pPr>
              <w:pStyle w:val="Default"/>
              <w:rPr>
                <w:lang w:val="de-DE"/>
              </w:rPr>
            </w:pPr>
            <w:r w:rsidRPr="000F62FA">
              <w:rPr>
                <w:lang w:val="de-DE"/>
              </w:rPr>
              <w:t xml:space="preserve">Lithium Nickel Manganese Cobalt Oxide </w:t>
            </w:r>
          </w:p>
        </w:tc>
      </w:tr>
      <w:tr w:rsidR="003F390E" w:rsidRPr="000F62FA" w14:paraId="6666A59D" w14:textId="77777777" w:rsidTr="00217C7D">
        <w:tc>
          <w:tcPr>
            <w:tcW w:w="2263" w:type="dxa"/>
          </w:tcPr>
          <w:p w14:paraId="5B29D029" w14:textId="09584FB1" w:rsidR="003F390E" w:rsidRPr="000F62FA" w:rsidRDefault="003F390E"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LMO</w:t>
            </w:r>
          </w:p>
        </w:tc>
        <w:tc>
          <w:tcPr>
            <w:tcW w:w="6231" w:type="dxa"/>
          </w:tcPr>
          <w:p w14:paraId="6E23970C" w14:textId="21587A85" w:rsidR="003F390E" w:rsidRPr="000F62FA" w:rsidRDefault="003F390E" w:rsidP="003F390E">
            <w:pPr>
              <w:pStyle w:val="Default"/>
            </w:pPr>
            <w:r w:rsidRPr="000F62FA">
              <w:t xml:space="preserve">Lithium manganese oxide </w:t>
            </w:r>
          </w:p>
        </w:tc>
      </w:tr>
      <w:tr w:rsidR="003F390E" w:rsidRPr="000F62FA" w14:paraId="57F91CFE" w14:textId="77777777" w:rsidTr="00217C7D">
        <w:tc>
          <w:tcPr>
            <w:tcW w:w="2263" w:type="dxa"/>
          </w:tcPr>
          <w:p w14:paraId="0CD8DAD1" w14:textId="34D75E52" w:rsidR="003F390E" w:rsidRPr="000F62FA" w:rsidRDefault="003F390E"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Li-S</w:t>
            </w:r>
          </w:p>
        </w:tc>
        <w:tc>
          <w:tcPr>
            <w:tcW w:w="6231" w:type="dxa"/>
          </w:tcPr>
          <w:p w14:paraId="764F36E0" w14:textId="6D9ED160" w:rsidR="003F390E" w:rsidRPr="000F62FA" w:rsidRDefault="00922EA4"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Lithium-sulfur battery</w:t>
            </w:r>
          </w:p>
        </w:tc>
      </w:tr>
      <w:tr w:rsidR="003F390E" w:rsidRPr="000F62FA" w14:paraId="1C289777" w14:textId="77777777" w:rsidTr="00217C7D">
        <w:tc>
          <w:tcPr>
            <w:tcW w:w="2263" w:type="dxa"/>
          </w:tcPr>
          <w:p w14:paraId="1E8B8119" w14:textId="1DBD6C7A" w:rsidR="003F390E" w:rsidRPr="000F62FA" w:rsidRDefault="003F390E"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Li-Air</w:t>
            </w:r>
          </w:p>
        </w:tc>
        <w:tc>
          <w:tcPr>
            <w:tcW w:w="6231" w:type="dxa"/>
          </w:tcPr>
          <w:p w14:paraId="68E45F4A" w14:textId="315A6993" w:rsidR="003F390E" w:rsidRPr="000F62FA" w:rsidRDefault="00922EA4"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Lithium-air battery</w:t>
            </w:r>
          </w:p>
        </w:tc>
      </w:tr>
      <w:tr w:rsidR="003F390E" w:rsidRPr="000F62FA" w14:paraId="2B139DA6" w14:textId="77777777" w:rsidTr="00217C7D">
        <w:tc>
          <w:tcPr>
            <w:tcW w:w="2263" w:type="dxa"/>
          </w:tcPr>
          <w:p w14:paraId="300C76EF" w14:textId="3979F82E" w:rsidR="003F390E" w:rsidRPr="000F62FA" w:rsidRDefault="003F390E"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MFA</w:t>
            </w:r>
          </w:p>
        </w:tc>
        <w:tc>
          <w:tcPr>
            <w:tcW w:w="6231" w:type="dxa"/>
          </w:tcPr>
          <w:p w14:paraId="693B82BE" w14:textId="3EFD8D4C" w:rsidR="003F390E" w:rsidRPr="000F62FA" w:rsidRDefault="003F390E" w:rsidP="003F390E">
            <w:pPr>
              <w:rPr>
                <w:rFonts w:ascii="Times New Roman" w:eastAsia="DengXian" w:hAnsi="Times New Roman" w:cs="Times New Roman"/>
                <w:lang w:eastAsia="zh-CN"/>
              </w:rPr>
            </w:pPr>
            <w:r w:rsidRPr="000F62FA">
              <w:rPr>
                <w:rFonts w:ascii="Times New Roman" w:eastAsia="DengXian" w:hAnsi="Times New Roman" w:cs="Times New Roman"/>
                <w:lang w:eastAsia="zh-CN"/>
              </w:rPr>
              <w:t>Material flow analysis</w:t>
            </w:r>
          </w:p>
        </w:tc>
      </w:tr>
      <w:tr w:rsidR="006F2B8E" w:rsidRPr="000F62FA" w14:paraId="0CB70C54" w14:textId="77777777" w:rsidTr="00217C7D">
        <w:tc>
          <w:tcPr>
            <w:tcW w:w="2263" w:type="dxa"/>
          </w:tcPr>
          <w:p w14:paraId="67C73C69" w14:textId="41382E67" w:rsidR="006F2B8E" w:rsidRPr="006F2B8E" w:rsidRDefault="006F2B8E" w:rsidP="003F390E">
            <w:pPr>
              <w:rPr>
                <w:rFonts w:ascii="Times New Roman" w:eastAsiaTheme="minorEastAsia" w:hAnsi="Times New Roman" w:cs="Times New Roman"/>
              </w:rPr>
            </w:pPr>
            <w:r>
              <w:rPr>
                <w:rFonts w:ascii="Times New Roman" w:eastAsiaTheme="minorEastAsia" w:hAnsi="Times New Roman" w:cs="Times New Roman" w:hint="eastAsia"/>
              </w:rPr>
              <w:t>DID</w:t>
            </w:r>
          </w:p>
        </w:tc>
        <w:tc>
          <w:tcPr>
            <w:tcW w:w="6231" w:type="dxa"/>
          </w:tcPr>
          <w:p w14:paraId="616577F0" w14:textId="66BA89B8" w:rsidR="006F2B8E" w:rsidRPr="000F62FA" w:rsidRDefault="006F2B8E" w:rsidP="003F390E">
            <w:pPr>
              <w:rPr>
                <w:rFonts w:ascii="Times New Roman" w:eastAsia="DengXian" w:hAnsi="Times New Roman" w:cs="Times New Roman"/>
                <w:lang w:eastAsia="zh-CN"/>
              </w:rPr>
            </w:pPr>
            <w:r>
              <w:rPr>
                <w:rFonts w:ascii="Times New Roman" w:eastAsiaTheme="minorEastAsia" w:hAnsi="Times New Roman" w:cs="Times New Roman" w:hint="eastAsia"/>
              </w:rPr>
              <w:t>D</w:t>
            </w:r>
            <w:r w:rsidRPr="006F2B8E">
              <w:rPr>
                <w:rFonts w:ascii="Times New Roman" w:eastAsia="DengXian" w:hAnsi="Times New Roman" w:cs="Times New Roman"/>
                <w:lang w:eastAsia="zh-CN"/>
              </w:rPr>
              <w:t>ensely inhabited district</w:t>
            </w:r>
          </w:p>
        </w:tc>
      </w:tr>
      <w:tr w:rsidR="00AD2063" w:rsidRPr="000F62FA" w14:paraId="504B7307" w14:textId="77777777" w:rsidTr="00217C7D">
        <w:tc>
          <w:tcPr>
            <w:tcW w:w="2263" w:type="dxa"/>
          </w:tcPr>
          <w:p w14:paraId="4B36FA93" w14:textId="51A0C448" w:rsidR="00AD2063" w:rsidRPr="000F62FA" w:rsidRDefault="00AD2063" w:rsidP="003F390E">
            <w:pPr>
              <w:rPr>
                <w:rFonts w:ascii="Times New Roman" w:eastAsia="DengXian" w:hAnsi="Times New Roman" w:cs="Times New Roman"/>
                <w:lang w:eastAsia="zh-CN"/>
              </w:rPr>
            </w:pPr>
            <w:r>
              <w:rPr>
                <w:rFonts w:ascii="Times New Roman" w:eastAsia="DengXian" w:hAnsi="Times New Roman" w:cs="Times New Roman" w:hint="eastAsia"/>
                <w:lang w:eastAsia="zh-CN"/>
              </w:rPr>
              <w:t>IEA</w:t>
            </w:r>
          </w:p>
        </w:tc>
        <w:tc>
          <w:tcPr>
            <w:tcW w:w="6231" w:type="dxa"/>
          </w:tcPr>
          <w:p w14:paraId="1737BC9C" w14:textId="715C4B2E" w:rsidR="00AD2063" w:rsidRPr="000F62FA" w:rsidRDefault="00AD2063" w:rsidP="003F390E">
            <w:pPr>
              <w:rPr>
                <w:rFonts w:ascii="Times New Roman" w:eastAsia="DengXian" w:hAnsi="Times New Roman" w:cs="Times New Roman"/>
                <w:lang w:eastAsia="zh-CN"/>
              </w:rPr>
            </w:pPr>
            <w:r>
              <w:rPr>
                <w:rFonts w:ascii="Times New Roman" w:eastAsia="DengXian" w:hAnsi="Times New Roman" w:cs="Times New Roman" w:hint="eastAsia"/>
                <w:lang w:eastAsia="zh-CN"/>
              </w:rPr>
              <w:t>International Energy Agency</w:t>
            </w:r>
          </w:p>
        </w:tc>
      </w:tr>
      <w:tr w:rsidR="00AD2063" w:rsidRPr="000F62FA" w14:paraId="40842680" w14:textId="77777777" w:rsidTr="00217C7D">
        <w:tc>
          <w:tcPr>
            <w:tcW w:w="2263" w:type="dxa"/>
          </w:tcPr>
          <w:p w14:paraId="1134BF84" w14:textId="04A9BF20" w:rsidR="00AD2063" w:rsidRPr="000F62FA" w:rsidRDefault="00AD2063" w:rsidP="003F390E">
            <w:pPr>
              <w:rPr>
                <w:rFonts w:ascii="Times New Roman" w:eastAsia="DengXian" w:hAnsi="Times New Roman" w:cs="Times New Roman"/>
                <w:lang w:eastAsia="zh-CN"/>
              </w:rPr>
            </w:pPr>
            <w:r>
              <w:rPr>
                <w:rFonts w:ascii="Times New Roman" w:eastAsia="DengXian" w:hAnsi="Times New Roman" w:cs="Times New Roman" w:hint="eastAsia"/>
                <w:lang w:eastAsia="zh-CN"/>
              </w:rPr>
              <w:t>JAMA</w:t>
            </w:r>
          </w:p>
        </w:tc>
        <w:tc>
          <w:tcPr>
            <w:tcW w:w="6231" w:type="dxa"/>
          </w:tcPr>
          <w:p w14:paraId="2FA3F895" w14:textId="3F76F784" w:rsidR="00AD2063" w:rsidRPr="000F62FA" w:rsidRDefault="00AD2063" w:rsidP="003F390E">
            <w:pPr>
              <w:rPr>
                <w:rFonts w:ascii="Times New Roman" w:eastAsia="DengXian" w:hAnsi="Times New Roman" w:cs="Times New Roman"/>
                <w:lang w:eastAsia="zh-CN"/>
              </w:rPr>
            </w:pPr>
            <w:r w:rsidRPr="00AD2063">
              <w:rPr>
                <w:rFonts w:ascii="Times New Roman" w:eastAsia="DengXian" w:hAnsi="Times New Roman" w:cs="Times New Roman"/>
                <w:lang w:eastAsia="zh-CN"/>
              </w:rPr>
              <w:t>Japan Automobile Manufacturers Association</w:t>
            </w:r>
          </w:p>
        </w:tc>
      </w:tr>
    </w:tbl>
    <w:p w14:paraId="1E39828C" w14:textId="3F58C0EF" w:rsidR="00A03863" w:rsidRPr="000F62FA" w:rsidRDefault="00A03863">
      <w:pPr>
        <w:rPr>
          <w:rFonts w:ascii="Times New Roman" w:eastAsia="DengXian" w:hAnsi="Times New Roman" w:cs="Times New Roman"/>
          <w:sz w:val="21"/>
          <w:szCs w:val="21"/>
          <w:lang w:eastAsia="zh-CN"/>
        </w:rPr>
      </w:pPr>
      <w:r w:rsidRPr="000F62FA">
        <w:rPr>
          <w:rFonts w:ascii="Times New Roman" w:eastAsia="DengXian" w:hAnsi="Times New Roman" w:cs="Times New Roman"/>
          <w:sz w:val="21"/>
          <w:szCs w:val="21"/>
          <w:lang w:eastAsia="zh-CN"/>
        </w:rPr>
        <w:br w:type="page"/>
      </w:r>
    </w:p>
    <w:p w14:paraId="51CDA48B" w14:textId="2627C0E7" w:rsidR="008F2223" w:rsidRPr="000F62FA" w:rsidRDefault="008F2223" w:rsidP="008F2223">
      <w:pPr>
        <w:pStyle w:val="1"/>
        <w:rPr>
          <w:rFonts w:eastAsia="DengXian" w:cs="Times New Roman"/>
          <w:lang w:eastAsia="zh-CN"/>
        </w:rPr>
      </w:pPr>
      <w:bookmarkStart w:id="1" w:name="_Toc199865009"/>
      <w:r w:rsidRPr="000F62FA">
        <w:rPr>
          <w:rFonts w:eastAsia="DengXian" w:cs="Times New Roman"/>
          <w:lang w:eastAsia="zh-CN"/>
        </w:rPr>
        <w:lastRenderedPageBreak/>
        <w:t>1. Model Overview</w:t>
      </w:r>
      <w:bookmarkEnd w:id="1"/>
    </w:p>
    <w:p w14:paraId="592E57C3" w14:textId="1EA91577" w:rsidR="008F2223" w:rsidRPr="000F62FA" w:rsidRDefault="003A327E" w:rsidP="00E30794">
      <w:pPr>
        <w:pStyle w:val="2"/>
      </w:pPr>
      <w:bookmarkStart w:id="2" w:name="_Toc199865010"/>
      <w:r w:rsidRPr="000F62FA">
        <w:t xml:space="preserve">1.1 Goal and </w:t>
      </w:r>
      <w:r w:rsidR="00244557">
        <w:rPr>
          <w:rFonts w:eastAsia="DengXian" w:hint="eastAsia"/>
        </w:rPr>
        <w:t>S</w:t>
      </w:r>
      <w:r w:rsidRPr="000F62FA">
        <w:t>cope</w:t>
      </w:r>
      <w:bookmarkEnd w:id="2"/>
    </w:p>
    <w:p w14:paraId="1B6A2301" w14:textId="5B36D574" w:rsidR="008F2223" w:rsidRDefault="00A468A7">
      <w:pP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 xml:space="preserve">This document is a supplementary document for the </w:t>
      </w:r>
      <w:r w:rsidR="00104266">
        <w:rPr>
          <w:rFonts w:ascii="Times New Roman" w:eastAsiaTheme="minorEastAsia" w:hAnsi="Times New Roman" w:cs="Times New Roman" w:hint="eastAsia"/>
          <w:sz w:val="21"/>
          <w:szCs w:val="21"/>
        </w:rPr>
        <w:t>manuscript</w:t>
      </w:r>
      <w:r w:rsidR="00104266">
        <w:rPr>
          <w:rFonts w:ascii="Times New Roman" w:eastAsiaTheme="minorEastAsia" w:hAnsi="Times New Roman" w:cs="Times New Roman"/>
          <w:sz w:val="21"/>
          <w:szCs w:val="21"/>
        </w:rPr>
        <w:t xml:space="preserve"> “</w:t>
      </w:r>
      <w:r w:rsidR="007A2D70" w:rsidRPr="007A2D70">
        <w:rPr>
          <w:rFonts w:ascii="Times New Roman" w:eastAsiaTheme="minorEastAsia" w:hAnsi="Times New Roman" w:cs="Times New Roman"/>
          <w:sz w:val="21"/>
          <w:szCs w:val="21"/>
        </w:rPr>
        <w:t>From Demand to Circularity: Rethinking Japan’s Automobile Battery Supply Chain for Sustainability</w:t>
      </w:r>
      <w:r w:rsidR="00104266">
        <w:rPr>
          <w:rFonts w:ascii="Times New Roman" w:eastAsiaTheme="minorEastAsia" w:hAnsi="Times New Roman" w:cs="Times New Roman"/>
          <w:sz w:val="21"/>
          <w:szCs w:val="21"/>
        </w:rPr>
        <w:t>”</w:t>
      </w:r>
      <w:r w:rsidR="007F3BC6">
        <w:rPr>
          <w:rFonts w:ascii="Times New Roman" w:eastAsiaTheme="minorEastAsia" w:hAnsi="Times New Roman" w:cs="Times New Roman"/>
          <w:sz w:val="21"/>
          <w:szCs w:val="21"/>
        </w:rPr>
        <w:t>.</w:t>
      </w:r>
    </w:p>
    <w:p w14:paraId="1912B223" w14:textId="77777777" w:rsidR="00104266" w:rsidRDefault="00104266">
      <w:pPr>
        <w:rPr>
          <w:rFonts w:ascii="Times New Roman" w:eastAsiaTheme="minorEastAsia" w:hAnsi="Times New Roman" w:cs="Times New Roman"/>
          <w:sz w:val="21"/>
          <w:szCs w:val="21"/>
        </w:rPr>
      </w:pPr>
    </w:p>
    <w:p w14:paraId="569C7B71" w14:textId="5A91E7B7" w:rsidR="00104266" w:rsidRDefault="00104266">
      <w:pPr>
        <w:rPr>
          <w:rFonts w:ascii="Times New Roman" w:eastAsiaTheme="minorEastAsia" w:hAnsi="Times New Roman" w:cs="Times New Roman"/>
          <w:sz w:val="21"/>
          <w:szCs w:val="21"/>
        </w:rPr>
      </w:pPr>
      <w:r w:rsidRPr="00104266">
        <w:rPr>
          <w:rFonts w:ascii="Times New Roman" w:eastAsiaTheme="minorEastAsia" w:hAnsi="Times New Roman" w:cs="Times New Roman"/>
          <w:sz w:val="21"/>
          <w:szCs w:val="21"/>
        </w:rPr>
        <w:t>The goal of this study is to evaluate how supply chain interventions can accelerate the circularity of critical minerals</w:t>
      </w:r>
      <w:r w:rsidR="007F3BC6">
        <w:rPr>
          <w:rFonts w:ascii="Times New Roman" w:eastAsiaTheme="minorEastAsia" w:hAnsi="Times New Roman" w:cs="Times New Roman"/>
          <w:sz w:val="21"/>
          <w:szCs w:val="21"/>
        </w:rPr>
        <w:t xml:space="preserve"> such as Li, Ni, Co and Mn, </w:t>
      </w:r>
      <w:r w:rsidRPr="00104266">
        <w:rPr>
          <w:rFonts w:ascii="Times New Roman" w:eastAsiaTheme="minorEastAsia" w:hAnsi="Times New Roman" w:cs="Times New Roman"/>
          <w:sz w:val="21"/>
          <w:szCs w:val="21"/>
        </w:rPr>
        <w:t xml:space="preserve">in the context of </w:t>
      </w:r>
      <w:r w:rsidR="001E0BCC">
        <w:rPr>
          <w:rFonts w:ascii="Times New Roman" w:eastAsiaTheme="minorEastAsia" w:hAnsi="Times New Roman" w:cs="Times New Roman"/>
          <w:sz w:val="21"/>
          <w:szCs w:val="21"/>
        </w:rPr>
        <w:t xml:space="preserve">the world and </w:t>
      </w:r>
      <w:r w:rsidRPr="00104266">
        <w:rPr>
          <w:rFonts w:ascii="Times New Roman" w:eastAsiaTheme="minorEastAsia" w:hAnsi="Times New Roman" w:cs="Times New Roman"/>
          <w:sz w:val="21"/>
          <w:szCs w:val="21"/>
        </w:rPr>
        <w:t>Japan’s rapidly electrifying transport sector. To this end, we develop a dynamic material flow analysis (MFA) model that integrates eight key influencing factors and eighteen targeted policy measures affecting various stages of the automotive lithium-ion battery (LIB) supply chain. The scope of the analysis includes both short-term (to 203</w:t>
      </w:r>
      <w:r w:rsidR="002D0C21">
        <w:rPr>
          <w:rFonts w:ascii="Times New Roman" w:eastAsia="DengXian" w:hAnsi="Times New Roman" w:cs="Times New Roman" w:hint="eastAsia"/>
          <w:sz w:val="21"/>
          <w:szCs w:val="21"/>
          <w:lang w:eastAsia="zh-CN"/>
        </w:rPr>
        <w:t>5</w:t>
      </w:r>
      <w:r w:rsidRPr="00104266">
        <w:rPr>
          <w:rFonts w:ascii="Times New Roman" w:eastAsiaTheme="minorEastAsia" w:hAnsi="Times New Roman" w:cs="Times New Roman"/>
          <w:sz w:val="21"/>
          <w:szCs w:val="21"/>
        </w:rPr>
        <w:t>) and long-term (to 2050) time horizons, examining the individual and synergistic impacts of policies on resource conservation and material circularity. By simulating multiple policy scenarios, the study aims to inform integrated, stage-sensitive strategies that align resource security, circular economy goals, and decarbonization in national EV transition planning.</w:t>
      </w:r>
    </w:p>
    <w:p w14:paraId="3779D0CE" w14:textId="77777777" w:rsidR="00104266" w:rsidRPr="00A468A7" w:rsidRDefault="00104266">
      <w:pPr>
        <w:rPr>
          <w:rFonts w:ascii="Times New Roman" w:eastAsiaTheme="minorEastAsia" w:hAnsi="Times New Roman" w:cs="Times New Roman"/>
          <w:sz w:val="21"/>
          <w:szCs w:val="21"/>
        </w:rPr>
      </w:pPr>
    </w:p>
    <w:p w14:paraId="603986D7" w14:textId="7D588702" w:rsidR="008B5B21" w:rsidRPr="000F62FA" w:rsidRDefault="008B5B21" w:rsidP="00E30794">
      <w:pPr>
        <w:pStyle w:val="2"/>
      </w:pPr>
      <w:bookmarkStart w:id="3" w:name="_Toc199865011"/>
      <w:r w:rsidRPr="000F62FA">
        <w:t xml:space="preserve">1.2 Model </w:t>
      </w:r>
      <w:r w:rsidR="00363A22">
        <w:rPr>
          <w:rFonts w:eastAsia="DengXian" w:hint="eastAsia"/>
        </w:rPr>
        <w:t>F</w:t>
      </w:r>
      <w:r w:rsidRPr="000F62FA">
        <w:t>ramework</w:t>
      </w:r>
      <w:bookmarkEnd w:id="3"/>
    </w:p>
    <w:p w14:paraId="671F1896" w14:textId="7604875A" w:rsidR="0077521E" w:rsidRPr="007A4660" w:rsidRDefault="0077521E" w:rsidP="00080B4A">
      <w:pPr>
        <w:rPr>
          <w:rFonts w:ascii="Times New Roman" w:eastAsia="DengXian" w:hAnsi="Times New Roman" w:cs="Times New Roman"/>
          <w:sz w:val="21"/>
          <w:szCs w:val="21"/>
          <w:lang w:eastAsia="zh-CN"/>
        </w:rPr>
      </w:pPr>
      <w:r w:rsidRPr="00080B4A">
        <w:rPr>
          <w:rFonts w:ascii="Times New Roman" w:hAnsi="Times New Roman" w:cs="Times New Roman"/>
          <w:sz w:val="21"/>
          <w:szCs w:val="21"/>
        </w:rPr>
        <w:t xml:space="preserve">The model framework and system boundary are illustrated in Figure S1. We consider a closed-loop supply chain for automotive LIBs that </w:t>
      </w:r>
      <w:r w:rsidR="00590688">
        <w:rPr>
          <w:rFonts w:ascii="Times New Roman" w:hAnsi="Times New Roman" w:cs="Times New Roman"/>
          <w:sz w:val="21"/>
          <w:szCs w:val="21"/>
        </w:rPr>
        <w:t>can be</w:t>
      </w:r>
      <w:r w:rsidRPr="00080B4A">
        <w:rPr>
          <w:rFonts w:ascii="Times New Roman" w:hAnsi="Times New Roman" w:cs="Times New Roman"/>
          <w:sz w:val="21"/>
          <w:szCs w:val="21"/>
        </w:rPr>
        <w:t xml:space="preserve"> directly managed within Japan </w:t>
      </w:r>
      <w:r w:rsidR="00646FFF">
        <w:rPr>
          <w:rFonts w:ascii="Times New Roman" w:hAnsi="Times New Roman" w:cs="Times New Roman"/>
          <w:sz w:val="21"/>
          <w:szCs w:val="21"/>
        </w:rPr>
        <w:t xml:space="preserve">or </w:t>
      </w:r>
      <w:r w:rsidRPr="00080B4A">
        <w:rPr>
          <w:rFonts w:ascii="Times New Roman" w:hAnsi="Times New Roman" w:cs="Times New Roman"/>
          <w:sz w:val="21"/>
          <w:szCs w:val="21"/>
        </w:rPr>
        <w:t>by the Japanese automobile industry. The supply chain encompasses the manufacturing and primary use of LIBs, followed by the collection, optional secondary use, recycling, and final waste management of spent LIBs. Although mining is excluded from the closed loop, Japan is assumed to import primary minerals when necessary.</w:t>
      </w:r>
      <w:r w:rsidR="00080B4A">
        <w:rPr>
          <w:rFonts w:ascii="Times New Roman" w:hAnsi="Times New Roman" w:cs="Times New Roman"/>
          <w:sz w:val="21"/>
          <w:szCs w:val="21"/>
        </w:rPr>
        <w:t xml:space="preserve"> </w:t>
      </w:r>
      <w:r w:rsidRPr="00080B4A">
        <w:rPr>
          <w:rFonts w:ascii="Times New Roman" w:hAnsi="Times New Roman" w:cs="Times New Roman"/>
          <w:sz w:val="21"/>
          <w:szCs w:val="21"/>
        </w:rPr>
        <w:t>Outflows of recovered critical minerals to other industries are assumed to be restricted, while inflows of recovered minerals from external industries are considered outside the system boundary. The simulated vehicle fleet includes only passenger cars, excluding buses and trucks, as these may adopt hydrogen-based fuel cell technologies rather than battery-based systems in the future.</w:t>
      </w:r>
      <w:r w:rsidR="00080B4A">
        <w:rPr>
          <w:rFonts w:ascii="Times New Roman" w:hAnsi="Times New Roman" w:cs="Times New Roman"/>
          <w:sz w:val="21"/>
          <w:szCs w:val="21"/>
        </w:rPr>
        <w:t xml:space="preserve"> </w:t>
      </w:r>
      <w:r w:rsidRPr="00080B4A">
        <w:rPr>
          <w:rFonts w:ascii="Times New Roman" w:hAnsi="Times New Roman" w:cs="Times New Roman"/>
          <w:sz w:val="21"/>
          <w:szCs w:val="21"/>
        </w:rPr>
        <w:t>EVs that are directly imported into Japan or exported from Japan are included within the supply chain under the control of Japanese manufacturers. However, used vehicles exported overseas are excluded from the model due to weak traceability. Accordingly, we define two types of material losses for critical minerals: “loss in recycling,” representing inefficiencies during recycling processes, and “loss in tracking,” representing losses associated with incomplete collection of spent LIBs and the export of used vehicles.</w:t>
      </w:r>
    </w:p>
    <w:p w14:paraId="47E0EF3B" w14:textId="2AC7EDEA" w:rsidR="004924A8" w:rsidRPr="0077521E" w:rsidRDefault="004924A8" w:rsidP="00FB5910">
      <w:pPr>
        <w:rPr>
          <w:rFonts w:ascii="Times New Roman" w:eastAsia="DengXian" w:hAnsi="Times New Roman" w:cs="Times New Roman"/>
          <w:sz w:val="21"/>
          <w:szCs w:val="21"/>
          <w:lang w:eastAsia="zh-CN"/>
        </w:rPr>
      </w:pPr>
    </w:p>
    <w:p w14:paraId="17DF18BC" w14:textId="3B9DBFD0" w:rsidR="001653C5" w:rsidRPr="000F62FA" w:rsidRDefault="00E21067" w:rsidP="001653C5">
      <w:pPr>
        <w:keepNext/>
        <w:jc w:val="center"/>
        <w:rPr>
          <w:rFonts w:ascii="Times New Roman" w:hAnsi="Times New Roman" w:cs="Times New Roman"/>
        </w:rPr>
      </w:pPr>
      <w:r w:rsidRPr="00E21067">
        <w:rPr>
          <w:rFonts w:ascii="Times New Roman" w:hAnsi="Times New Roman" w:cs="Times New Roman"/>
        </w:rPr>
        <w:lastRenderedPageBreak/>
        <w:drawing>
          <wp:inline distT="0" distB="0" distL="0" distR="0" wp14:anchorId="2DD464BB" wp14:editId="02B1727D">
            <wp:extent cx="5400040" cy="3242310"/>
            <wp:effectExtent l="0" t="0" r="0" b="0"/>
            <wp:docPr id="2" name="図 1" descr="タイムライン が含まれている画像&#10;&#10;AI 生成コンテンツは誤りを含む可能性があります。">
              <a:extLst xmlns:a="http://schemas.openxmlformats.org/drawingml/2006/main">
                <a:ext uri="{FF2B5EF4-FFF2-40B4-BE49-F238E27FC236}">
                  <a16:creationId xmlns:a16="http://schemas.microsoft.com/office/drawing/2014/main" id="{3C87B2D0-7774-6B6A-4183-E76BC23395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タイムライン が含まれている画像&#10;&#10;AI 生成コンテンツは誤りを含む可能性があります。">
                      <a:extLst>
                        <a:ext uri="{FF2B5EF4-FFF2-40B4-BE49-F238E27FC236}">
                          <a16:creationId xmlns:a16="http://schemas.microsoft.com/office/drawing/2014/main" id="{3C87B2D0-7774-6B6A-4183-E76BC2339592}"/>
                        </a:ext>
                      </a:extLst>
                    </pic:cNvPr>
                    <pic:cNvPicPr>
                      <a:picLocks noChangeAspect="1"/>
                    </pic:cNvPicPr>
                  </pic:nvPicPr>
                  <pic:blipFill>
                    <a:blip r:embed="rId8"/>
                    <a:stretch>
                      <a:fillRect/>
                    </a:stretch>
                  </pic:blipFill>
                  <pic:spPr>
                    <a:xfrm>
                      <a:off x="0" y="0"/>
                      <a:ext cx="5400040" cy="3242310"/>
                    </a:xfrm>
                    <a:prstGeom prst="rect">
                      <a:avLst/>
                    </a:prstGeom>
                  </pic:spPr>
                </pic:pic>
              </a:graphicData>
            </a:graphic>
          </wp:inline>
        </w:drawing>
      </w:r>
    </w:p>
    <w:p w14:paraId="168A2489" w14:textId="581F4FB3" w:rsidR="005C171C" w:rsidRPr="000F62FA" w:rsidRDefault="00896D16" w:rsidP="00FE6915">
      <w:pPr>
        <w:pStyle w:val="af"/>
        <w:jc w:val="center"/>
        <w:rPr>
          <w:rFonts w:ascii="Times New Roman" w:eastAsia="DengXian" w:hAnsi="Times New Roman" w:cs="Times New Roman"/>
          <w:lang w:eastAsia="zh-CN"/>
        </w:rPr>
      </w:pPr>
      <w:bookmarkStart w:id="4" w:name="_Toc208439467"/>
      <w:r w:rsidRPr="000F62FA">
        <w:rPr>
          <w:rFonts w:ascii="Times New Roman" w:eastAsia="Microsoft YaHei" w:hAnsi="Times New Roman" w:cs="Times New Roman"/>
          <w:lang w:eastAsia="zh-CN"/>
        </w:rPr>
        <w:t>Figure</w:t>
      </w:r>
      <w:r w:rsidR="001653C5" w:rsidRPr="000F62FA">
        <w:rPr>
          <w:rFonts w:ascii="Times New Roman" w:hAnsi="Times New Roman" w:cs="Times New Roman"/>
        </w:rPr>
        <w:t xml:space="preserve"> </w:t>
      </w:r>
      <w:r w:rsidRPr="000F62FA">
        <w:rPr>
          <w:rFonts w:ascii="Times New Roman" w:eastAsia="DengXian" w:hAnsi="Times New Roman" w:cs="Times New Roman"/>
          <w:lang w:eastAsia="zh-CN"/>
        </w:rPr>
        <w:t>S</w:t>
      </w:r>
      <w:r w:rsidR="001653C5" w:rsidRPr="000F62FA">
        <w:rPr>
          <w:rFonts w:ascii="Times New Roman" w:hAnsi="Times New Roman" w:cs="Times New Roman"/>
        </w:rPr>
        <w:fldChar w:fldCharType="begin"/>
      </w:r>
      <w:r w:rsidR="001653C5" w:rsidRPr="000F62FA">
        <w:rPr>
          <w:rFonts w:ascii="Times New Roman" w:hAnsi="Times New Roman" w:cs="Times New Roman"/>
        </w:rPr>
        <w:instrText xml:space="preserve"> SEQ </w:instrText>
      </w:r>
      <w:r w:rsidR="001653C5" w:rsidRPr="000F62FA">
        <w:rPr>
          <w:rFonts w:ascii="Microsoft YaHei" w:eastAsia="Microsoft YaHei" w:hAnsi="Microsoft YaHei" w:cs="Microsoft YaHei" w:hint="eastAsia"/>
        </w:rPr>
        <w:instrText>图</w:instrText>
      </w:r>
      <w:r w:rsidR="001653C5" w:rsidRPr="000F62FA">
        <w:rPr>
          <w:rFonts w:hint="eastAsia"/>
        </w:rPr>
        <w:instrText>表</w:instrText>
      </w:r>
      <w:r w:rsidR="001653C5" w:rsidRPr="000F62FA">
        <w:rPr>
          <w:rFonts w:ascii="Times New Roman" w:hAnsi="Times New Roman" w:cs="Times New Roman"/>
        </w:rPr>
        <w:instrText xml:space="preserve"> \* ARABIC </w:instrText>
      </w:r>
      <w:r w:rsidR="001653C5" w:rsidRPr="000F62FA">
        <w:rPr>
          <w:rFonts w:ascii="Times New Roman" w:hAnsi="Times New Roman" w:cs="Times New Roman"/>
        </w:rPr>
        <w:fldChar w:fldCharType="separate"/>
      </w:r>
      <w:r w:rsidR="008961DD">
        <w:rPr>
          <w:rFonts w:ascii="Times New Roman" w:hAnsi="Times New Roman" w:cs="Times New Roman"/>
          <w:noProof/>
        </w:rPr>
        <w:t>1</w:t>
      </w:r>
      <w:r w:rsidR="001653C5" w:rsidRPr="000F62FA">
        <w:rPr>
          <w:rFonts w:ascii="Times New Roman" w:hAnsi="Times New Roman" w:cs="Times New Roman"/>
        </w:rPr>
        <w:fldChar w:fldCharType="end"/>
      </w:r>
      <w:r w:rsidR="001C2268">
        <w:rPr>
          <w:rFonts w:ascii="Times New Roman" w:hAnsi="Times New Roman" w:cs="Times New Roman"/>
        </w:rPr>
        <w:t xml:space="preserve">. </w:t>
      </w:r>
      <w:r w:rsidR="004F08C6" w:rsidRPr="004F08C6">
        <w:rPr>
          <w:rFonts w:ascii="Times New Roman" w:hAnsi="Times New Roman" w:cs="Times New Roman"/>
        </w:rPr>
        <w:t>Model framework and system boundary.</w:t>
      </w:r>
      <w:bookmarkEnd w:id="4"/>
    </w:p>
    <w:p w14:paraId="267E76AF" w14:textId="77777777" w:rsidR="007A4660" w:rsidRDefault="007A4660" w:rsidP="005C171C">
      <w:pPr>
        <w:rPr>
          <w:rFonts w:ascii="Times New Roman" w:eastAsia="DengXian" w:hAnsi="Times New Roman" w:cs="Times New Roman"/>
          <w:sz w:val="21"/>
          <w:szCs w:val="21"/>
          <w:lang w:eastAsia="zh-CN"/>
        </w:rPr>
      </w:pPr>
    </w:p>
    <w:p w14:paraId="627B645B" w14:textId="229FC429" w:rsidR="007A4660" w:rsidRPr="00A34007" w:rsidRDefault="00A34007" w:rsidP="005C171C">
      <w:pPr>
        <w:rPr>
          <w:rFonts w:ascii="Times New Roman" w:eastAsia="DengXian" w:hAnsi="Times New Roman" w:cs="Times New Roman"/>
          <w:sz w:val="21"/>
          <w:szCs w:val="21"/>
          <w:lang w:eastAsia="zh-CN"/>
        </w:rPr>
      </w:pPr>
      <w:r w:rsidRPr="00A34007">
        <w:rPr>
          <w:rFonts w:ascii="Times New Roman" w:eastAsia="DengXian" w:hAnsi="Times New Roman" w:cs="Times New Roman"/>
          <w:sz w:val="21"/>
          <w:szCs w:val="21"/>
          <w:lang w:eastAsia="zh-CN"/>
        </w:rPr>
        <w:t>In the model framework, critical minerals are initially input into battery manufacturing for the production of automotive lithium-ion batteries (LIBs). These newly manufactured LIBs are embedded in newly sold passenger cars, which are either used in the domestic market or exported overseas through vehicle trade. Once these batteries reach the guaranteed lifespan set by automotive manufacturers—or when the vehicles reach the end of their service life (i.e., registration cancellation)—spent LIBs are collected by dealerships or dismantlers.</w:t>
      </w:r>
      <w:r>
        <w:rPr>
          <w:rFonts w:ascii="Times New Roman" w:eastAsia="DengXian" w:hAnsi="Times New Roman" w:cs="Times New Roman" w:hint="eastAsia"/>
          <w:sz w:val="21"/>
          <w:szCs w:val="21"/>
          <w:lang w:eastAsia="zh-CN"/>
        </w:rPr>
        <w:t xml:space="preserve"> </w:t>
      </w:r>
      <w:r w:rsidRPr="00A34007">
        <w:rPr>
          <w:rFonts w:ascii="Times New Roman" w:eastAsia="DengXian" w:hAnsi="Times New Roman" w:cs="Times New Roman"/>
          <w:sz w:val="21"/>
          <w:szCs w:val="21"/>
          <w:lang w:eastAsia="zh-CN"/>
        </w:rPr>
        <w:t>Following collection, depending on policy decisions, some spent LIBs are repurposed for secondary use in stationary energy storage, while others are directly sent for recycling to recover critical minerals for new LIB production. A proportion of deregistered passenger cars are exported abroad, and policy may determine whether their embedded LIBs should be removed and collected prior to export.</w:t>
      </w:r>
      <w:r>
        <w:rPr>
          <w:rFonts w:ascii="Times New Roman" w:eastAsia="DengXian" w:hAnsi="Times New Roman" w:cs="Times New Roman" w:hint="eastAsia"/>
          <w:sz w:val="21"/>
          <w:szCs w:val="21"/>
          <w:lang w:eastAsia="zh-CN"/>
        </w:rPr>
        <w:t xml:space="preserve"> </w:t>
      </w:r>
      <w:r w:rsidRPr="00A34007">
        <w:rPr>
          <w:rFonts w:ascii="Times New Roman" w:eastAsia="DengXian" w:hAnsi="Times New Roman" w:cs="Times New Roman"/>
          <w:sz w:val="21"/>
          <w:szCs w:val="21"/>
          <w:lang w:eastAsia="zh-CN"/>
        </w:rPr>
        <w:t>Recovered critical minerals from the recycling process are then reintroduced into the manufacturing of new LIBs. As shown in Figure S1, the critical minerals considered in this study include lithium (Li), nickel (Ni), cobalt (Co), and manganese (Mn), in alignment with the majority of existing literature.</w:t>
      </w:r>
      <w:r>
        <w:rPr>
          <w:rFonts w:ascii="Times New Roman" w:eastAsia="DengXian" w:hAnsi="Times New Roman" w:cs="Times New Roman" w:hint="eastAsia"/>
          <w:sz w:val="21"/>
          <w:szCs w:val="21"/>
          <w:lang w:eastAsia="zh-CN"/>
        </w:rPr>
        <w:t xml:space="preserve"> </w:t>
      </w:r>
      <w:r w:rsidRPr="00A34007">
        <w:rPr>
          <w:rFonts w:ascii="Times New Roman" w:eastAsia="DengXian" w:hAnsi="Times New Roman" w:cs="Times New Roman"/>
          <w:sz w:val="21"/>
          <w:szCs w:val="21"/>
          <w:lang w:eastAsia="zh-CN"/>
        </w:rPr>
        <w:t xml:space="preserve">The model accounts for a wide range of battery chemistries, including LFP, NCA, NMC111, NMC523, NMC622, NMC622–Graphite (Si), NMC811–Graphite (Si), NMC955–Graphite (Si), Li–Sulfur, and Li–Air, consistent with the projections in </w:t>
      </w:r>
      <w:r w:rsidR="00C233EE">
        <w:rPr>
          <w:rFonts w:ascii="Times New Roman" w:eastAsia="DengXian" w:hAnsi="Times New Roman" w:cs="Times New Roman" w:hint="eastAsia"/>
          <w:sz w:val="21"/>
          <w:szCs w:val="21"/>
          <w:lang w:eastAsia="zh-CN"/>
        </w:rPr>
        <w:t>Xu</w:t>
      </w:r>
      <w:r w:rsidRPr="00A34007">
        <w:rPr>
          <w:rFonts w:ascii="Times New Roman" w:eastAsia="DengXian" w:hAnsi="Times New Roman" w:cs="Times New Roman"/>
          <w:sz w:val="21"/>
          <w:szCs w:val="21"/>
          <w:lang w:eastAsia="zh-CN"/>
        </w:rPr>
        <w:t xml:space="preserve"> et al.’s previous study on market shares of LIB chemistrie</w:t>
      </w:r>
      <w:r w:rsidR="00EF2D0E" w:rsidRPr="000F62FA">
        <w:rPr>
          <w:rFonts w:ascii="Times New Roman" w:eastAsia="DengXian" w:hAnsi="Times New Roman" w:cs="Times New Roman"/>
          <w:sz w:val="21"/>
          <w:szCs w:val="21"/>
          <w:lang w:eastAsia="zh-CN"/>
        </w:rPr>
        <w:fldChar w:fldCharType="begin"/>
      </w:r>
      <w:r w:rsidR="00EF2D0E">
        <w:rPr>
          <w:rFonts w:ascii="Times New Roman" w:eastAsia="DengXian" w:hAnsi="Times New Roman" w:cs="Times New Roman"/>
          <w:sz w:val="21"/>
          <w:szCs w:val="21"/>
          <w:lang w:eastAsia="zh-CN"/>
        </w:rPr>
        <w:instrText xml:space="preserve"> ADDIN EN.CITE &lt;EndNote&gt;&lt;Cite&gt;&lt;Author&gt;Xu&lt;/Author&gt;&lt;Year&gt;2020&lt;/Year&gt;&lt;RecNum&gt;144&lt;/RecNum&gt;&lt;DisplayText&gt;&lt;style face="superscript"&gt;1&lt;/style&gt;&lt;/DisplayText&gt;&lt;record&gt;&lt;rec-number&gt;144&lt;/rec-number&gt;&lt;foreign-keys&gt;&lt;key app="EN" db-id="200xxs0psrtaz4eze9pp5vvrdraszefpsp0w" timestamp="1666171876"&gt;144&lt;/key&gt;&lt;/foreign-keys&gt;&lt;ref-type name="Journal Article"&gt;17&lt;/ref-type&gt;&lt;contributors&gt;&lt;authors&gt;&lt;author&gt;Xu, C. J.&lt;/author&gt;&lt;author&gt;Dai, Q.&lt;/author&gt;&lt;author&gt;Gaines, L.&lt;/author&gt;&lt;author&gt;Hu, M. M.&lt;/author&gt;&lt;author&gt;Tukker, A.&lt;/author&gt;&lt;author&gt;Steubing, B.&lt;/author&gt;&lt;/authors&gt;&lt;/contributors&gt;&lt;auth-address&gt;Leiden Univ, Inst Environm Sci CML, NL-2300 RA Leiden, Netherlands&amp;#xD;Argonne Natl Lab, ReCell Ctr, Lemont, IL USA&lt;/auth-address&gt;&lt;titles&gt;&lt;title&gt;Future material demand for automotive lithium-based batteries&lt;/title&gt;&lt;secondary-title&gt;Communications Materials&lt;/secondary-title&gt;&lt;alt-title&gt;Commun Mater&lt;/alt-title&gt;&lt;/titles&gt;&lt;periodical&gt;&lt;full-title&gt;Communications Materials&lt;/full-title&gt;&lt;abbr-1&gt;Commun Mater&lt;/abbr-1&gt;&lt;/periodical&gt;&lt;alt-periodical&gt;&lt;full-title&gt;Communications Materials&lt;/full-title&gt;&lt;abbr-1&gt;Commun Mater&lt;/abbr-1&gt;&lt;/alt-periodical&gt;&lt;volume&gt;1&lt;/volume&gt;&lt;number&gt;1&lt;/number&gt;&lt;keywords&gt;&lt;keyword&gt;electric vehicles&lt;/keyword&gt;&lt;keyword&gt;ion batteries&lt;/keyword&gt;&lt;keyword&gt;supply chain&lt;/keyword&gt;&lt;keyword&gt;life&lt;/keyword&gt;&lt;keyword&gt;impact&lt;/keyword&gt;&lt;keyword&gt;design&lt;/keyword&gt;&lt;keyword&gt;hybrid&lt;/keyword&gt;&lt;keyword&gt;flows&lt;/keyword&gt;&lt;keyword&gt;cells&lt;/keyword&gt;&lt;/keywords&gt;&lt;dates&gt;&lt;year&gt;2020&lt;/year&gt;&lt;pub-dates&gt;&lt;date&gt;Dec 9&lt;/date&gt;&lt;/pub-dates&gt;&lt;/dates&gt;&lt;accession-num&gt;WOS:000610592400001&lt;/accession-num&gt;&lt;urls&gt;&lt;related-urls&gt;&lt;url&gt;&lt;style face="underline" font="default" size="100%"&gt;&amp;lt;Go to ISI&amp;gt;://WOS:000610592400001&lt;/style&gt;&lt;/url&gt;&lt;/related-urls&gt;&lt;/urls&gt;&lt;electronic-resource-num&gt;10.1038/s43246-020-00095-x&lt;/electronic-resource-num&gt;&lt;language&gt;English&lt;/language&gt;&lt;/record&gt;&lt;/Cite&gt;&lt;/EndNote&gt;</w:instrText>
      </w:r>
      <w:r w:rsidR="00EF2D0E" w:rsidRPr="000F62FA">
        <w:rPr>
          <w:rFonts w:ascii="Times New Roman" w:eastAsia="DengXian" w:hAnsi="Times New Roman" w:cs="Times New Roman"/>
          <w:sz w:val="21"/>
          <w:szCs w:val="21"/>
          <w:lang w:eastAsia="zh-CN"/>
        </w:rPr>
        <w:fldChar w:fldCharType="separate"/>
      </w:r>
      <w:r w:rsidR="00EF2D0E" w:rsidRPr="00EF2D0E">
        <w:rPr>
          <w:rFonts w:ascii="Times New Roman" w:eastAsia="DengXian" w:hAnsi="Times New Roman" w:cs="Times New Roman"/>
          <w:noProof/>
          <w:sz w:val="21"/>
          <w:szCs w:val="21"/>
          <w:vertAlign w:val="superscript"/>
          <w:lang w:eastAsia="zh-CN"/>
        </w:rPr>
        <w:t>1</w:t>
      </w:r>
      <w:r w:rsidR="00EF2D0E" w:rsidRPr="000F62FA">
        <w:rPr>
          <w:rFonts w:ascii="Times New Roman" w:eastAsia="DengXian" w:hAnsi="Times New Roman" w:cs="Times New Roman"/>
          <w:sz w:val="21"/>
          <w:szCs w:val="21"/>
          <w:lang w:eastAsia="zh-CN"/>
        </w:rPr>
        <w:fldChar w:fldCharType="end"/>
      </w:r>
      <w:r w:rsidRPr="00A34007">
        <w:rPr>
          <w:rFonts w:ascii="Times New Roman" w:eastAsia="DengXian" w:hAnsi="Times New Roman" w:cs="Times New Roman"/>
          <w:sz w:val="21"/>
          <w:szCs w:val="21"/>
          <w:lang w:eastAsia="zh-CN"/>
        </w:rPr>
        <w:t>.</w:t>
      </w:r>
      <w:r>
        <w:rPr>
          <w:rFonts w:ascii="Times New Roman" w:eastAsia="DengXian" w:hAnsi="Times New Roman" w:cs="Times New Roman" w:hint="eastAsia"/>
          <w:sz w:val="21"/>
          <w:szCs w:val="21"/>
          <w:lang w:eastAsia="zh-CN"/>
        </w:rPr>
        <w:t xml:space="preserve"> </w:t>
      </w:r>
      <w:r w:rsidRPr="00A34007">
        <w:rPr>
          <w:rFonts w:ascii="Times New Roman" w:eastAsia="DengXian" w:hAnsi="Times New Roman" w:cs="Times New Roman"/>
          <w:sz w:val="21"/>
          <w:szCs w:val="21"/>
          <w:lang w:eastAsia="zh-CN"/>
        </w:rPr>
        <w:t xml:space="preserve">Vehicle fleets in the simulation include internal combustion engine vehicles (ICEVs), hybrid electric vehicles (HEVs), battery electric vehicles (BEVs), plug-in hybrid electric </w:t>
      </w:r>
      <w:r w:rsidRPr="00A34007">
        <w:rPr>
          <w:rFonts w:ascii="Times New Roman" w:eastAsia="DengXian" w:hAnsi="Times New Roman" w:cs="Times New Roman"/>
          <w:sz w:val="21"/>
          <w:szCs w:val="21"/>
          <w:lang w:eastAsia="zh-CN"/>
        </w:rPr>
        <w:lastRenderedPageBreak/>
        <w:t xml:space="preserve">vehicles (PHEVs), fuel cell vehicles (FCVs), and others, following the scenario settings defined by </w:t>
      </w:r>
      <w:r w:rsidRPr="00A1375F">
        <w:rPr>
          <w:rFonts w:ascii="Times New Roman" w:eastAsia="DengXian" w:hAnsi="Times New Roman" w:cs="Times New Roman"/>
          <w:sz w:val="21"/>
          <w:szCs w:val="21"/>
          <w:lang w:eastAsia="zh-CN"/>
        </w:rPr>
        <w:t>the Japan Automobile Manufacturers Association (JAMA)</w:t>
      </w:r>
      <w:r w:rsidR="00F83F93" w:rsidRPr="00A1375F">
        <w:rPr>
          <w:rFonts w:ascii="Times New Roman" w:hAnsi="Times New Roman" w:cs="Times New Roman"/>
          <w:sz w:val="21"/>
          <w:szCs w:val="21"/>
        </w:rPr>
        <w:fldChar w:fldCharType="begin"/>
      </w:r>
      <w:r w:rsidR="00F83F93" w:rsidRPr="00A1375F">
        <w:rPr>
          <w:rFonts w:ascii="Times New Roman" w:hAnsi="Times New Roman" w:cs="Times New Roman"/>
          <w:sz w:val="21"/>
          <w:szCs w:val="21"/>
        </w:rPr>
        <w:instrText xml:space="preserve"> ADDIN EN.CITE &lt;EndNote&gt;&lt;Cite&gt;&lt;Author&gt;JAMA&lt;/Author&gt;&lt;Year&gt;2022&lt;/Year&gt;&lt;RecNum&gt;2&lt;/RecNum&gt;&lt;DisplayText&gt;&lt;style face="superscript"&gt;2&lt;/style&gt;&lt;/DisplayText&gt;&lt;record&gt;&lt;rec-number&gt;2&lt;/rec-number&gt;&lt;foreign-keys&gt;&lt;key app="EN" db-id="vxvpa0p0x9e5sge9zv2vwd2msfpf2rz99af0" timestamp="1666165698"&gt;2&lt;/key&gt;&lt;/foreign-keys&gt;&lt;ref-type name="Report"&gt;27&lt;/ref-type&gt;&lt;contributors&gt;&lt;authors&gt;&lt;author&gt;JAMA&lt;/author&gt;&lt;/authors&gt;&lt;/contributors&gt;&lt;titles&gt;&lt;title&gt;Transitioning to Carbon Neutrality by 2050: A Scenario-Based Analysis&lt;/title&gt;&lt;/titles&gt;&lt;dates&gt;&lt;year&gt;2022&lt;/year&gt;&lt;/dates&gt;&lt;pub-location&gt;Tokyo&lt;/pub-location&gt;&lt;publisher&gt;Japan Automobile Manufacturers Association (JAMA)&lt;/publisher&gt;&lt;urls&gt;&lt;related-urls&gt;&lt;url&gt;https://www.jama.or.jp/operation/ecology/carbon_neutral_scenario/PDF/Transitioning_to_CN_by_2050A_Scenario_Based_Analysis_EN.pdf&lt;/url&gt;&lt;/related-urls&gt;&lt;/urls&gt;&lt;/record&gt;&lt;/Cite&gt;&lt;/EndNote&gt;</w:instrText>
      </w:r>
      <w:r w:rsidR="00F83F93" w:rsidRPr="00A1375F">
        <w:rPr>
          <w:rFonts w:ascii="Times New Roman" w:hAnsi="Times New Roman" w:cs="Times New Roman"/>
          <w:sz w:val="21"/>
          <w:szCs w:val="21"/>
        </w:rPr>
        <w:fldChar w:fldCharType="separate"/>
      </w:r>
      <w:r w:rsidR="00F83F93" w:rsidRPr="00A1375F">
        <w:rPr>
          <w:rFonts w:ascii="Times New Roman" w:hAnsi="Times New Roman" w:cs="Times New Roman"/>
          <w:noProof/>
          <w:sz w:val="21"/>
          <w:szCs w:val="21"/>
          <w:vertAlign w:val="superscript"/>
        </w:rPr>
        <w:t>2</w:t>
      </w:r>
      <w:r w:rsidR="00F83F93" w:rsidRPr="00A1375F">
        <w:rPr>
          <w:rFonts w:ascii="Times New Roman" w:hAnsi="Times New Roman" w:cs="Times New Roman"/>
          <w:sz w:val="21"/>
          <w:szCs w:val="21"/>
        </w:rPr>
        <w:fldChar w:fldCharType="end"/>
      </w:r>
      <w:r w:rsidRPr="00A1375F">
        <w:rPr>
          <w:rFonts w:ascii="Times New Roman" w:eastAsia="DengXian" w:hAnsi="Times New Roman" w:cs="Times New Roman"/>
          <w:sz w:val="21"/>
          <w:szCs w:val="21"/>
          <w:lang w:eastAsia="zh-CN"/>
        </w:rPr>
        <w:t>.</w:t>
      </w:r>
    </w:p>
    <w:p w14:paraId="03921D4D" w14:textId="77777777" w:rsidR="00EC7672" w:rsidRDefault="00EC7672" w:rsidP="005C171C">
      <w:pPr>
        <w:rPr>
          <w:rFonts w:ascii="Times New Roman" w:eastAsia="DengXian" w:hAnsi="Times New Roman" w:cs="Times New Roman"/>
          <w:sz w:val="21"/>
          <w:szCs w:val="21"/>
          <w:lang w:eastAsia="zh-CN"/>
        </w:rPr>
      </w:pPr>
    </w:p>
    <w:p w14:paraId="367D2593" w14:textId="01E4624E" w:rsidR="001C74FA" w:rsidRPr="00324854" w:rsidRDefault="00DB3B89" w:rsidP="00BD2355">
      <w:pPr>
        <w:rPr>
          <w:rFonts w:ascii="Times New Roman" w:eastAsiaTheme="minorEastAsia" w:hAnsi="Times New Roman" w:cs="Times New Roman"/>
          <w:sz w:val="21"/>
          <w:szCs w:val="21"/>
        </w:rPr>
      </w:pPr>
      <w:r w:rsidRPr="004C725B">
        <w:rPr>
          <w:rFonts w:ascii="Times New Roman" w:eastAsia="DengXian" w:hAnsi="Times New Roman" w:cs="Times New Roman"/>
          <w:sz w:val="21"/>
          <w:szCs w:val="21"/>
          <w:lang w:eastAsia="zh-CN"/>
        </w:rPr>
        <w:t xml:space="preserve">The integrated dynamic material flow simulator has the capacity to account for all policies and measures related to the LIB supply chain, automatically calculating annual changes in the proposed indicators to assess material flow dynamics. Not only does Japan, as an automobile-exporting country, have the ability to implement strategies for battery technology, recycling, and secondary usage and indirect factors such as traffic demand reduction, but it can also influence the overseas use of automotive LIBs through its sales networks, and international rule-making. </w:t>
      </w:r>
      <w:r w:rsidR="00BD2355" w:rsidRPr="00BD2355">
        <w:rPr>
          <w:rFonts w:ascii="Times New Roman" w:eastAsia="DengXian" w:hAnsi="Times New Roman" w:cs="Times New Roman"/>
          <w:sz w:val="21"/>
          <w:szCs w:val="21"/>
          <w:lang w:eastAsia="zh-CN"/>
        </w:rPr>
        <w:t xml:space="preserve">Based on the defined system boundary of the automotive LIB supply chain, we identify eight key </w:t>
      </w:r>
      <w:r w:rsidR="00833BC9">
        <w:rPr>
          <w:rFonts w:ascii="Times New Roman" w:eastAsiaTheme="minorEastAsia" w:hAnsi="Times New Roman" w:cs="Times New Roman" w:hint="eastAsia"/>
          <w:sz w:val="21"/>
          <w:szCs w:val="21"/>
        </w:rPr>
        <w:t>influencing factors</w:t>
      </w:r>
      <w:r w:rsidR="00BD2355" w:rsidRPr="00BD2355">
        <w:rPr>
          <w:rFonts w:ascii="Times New Roman" w:eastAsia="DengXian" w:hAnsi="Times New Roman" w:cs="Times New Roman"/>
          <w:sz w:val="21"/>
          <w:szCs w:val="21"/>
          <w:lang w:eastAsia="zh-CN"/>
        </w:rPr>
        <w:t xml:space="preserve">, labeled </w:t>
      </w:r>
      <w:r w:rsidR="00BD2355" w:rsidRPr="00BD2355">
        <w:rPr>
          <w:rFonts w:ascii="ＭＳ 明朝" w:eastAsia="ＭＳ 明朝" w:hAnsi="ＭＳ 明朝" w:cs="ＭＳ 明朝" w:hint="eastAsia"/>
          <w:sz w:val="21"/>
          <w:szCs w:val="21"/>
          <w:lang w:eastAsia="zh-CN"/>
        </w:rPr>
        <w:t>①</w:t>
      </w:r>
      <w:r w:rsidR="00BD2355" w:rsidRPr="00BD2355">
        <w:rPr>
          <w:rFonts w:ascii="Times New Roman" w:eastAsia="DengXian" w:hAnsi="Times New Roman" w:cs="Times New Roman"/>
          <w:sz w:val="21"/>
          <w:szCs w:val="21"/>
          <w:lang w:eastAsia="zh-CN"/>
        </w:rPr>
        <w:t>–</w:t>
      </w:r>
      <w:r w:rsidR="00BD2355" w:rsidRPr="00BD2355">
        <w:rPr>
          <w:rFonts w:ascii="ＭＳ 明朝" w:eastAsia="ＭＳ 明朝" w:hAnsi="ＭＳ 明朝" w:cs="ＭＳ 明朝" w:hint="eastAsia"/>
          <w:sz w:val="21"/>
          <w:szCs w:val="21"/>
          <w:lang w:eastAsia="zh-CN"/>
        </w:rPr>
        <w:t>⑧</w:t>
      </w:r>
      <w:r w:rsidR="00BD2355" w:rsidRPr="00BD2355">
        <w:rPr>
          <w:rFonts w:ascii="Times New Roman" w:eastAsia="DengXian" w:hAnsi="Times New Roman" w:cs="Times New Roman"/>
          <w:sz w:val="21"/>
          <w:szCs w:val="21"/>
          <w:lang w:eastAsia="zh-CN"/>
        </w:rPr>
        <w:t xml:space="preserve"> in Figure S1, where policies can be introduced to reshape the supply chain by controlling material quantities, altering composition, or redirecting flows. For each intervention point, we consider two to three policy options that could be implemented by government or industry, categorized by their level of ambition and intervention intensity (denoted as a, b, and c). These policy options are further classified into supplier-side and user-side interventions, as summarized in Figure S2(a).</w:t>
      </w:r>
      <w:r w:rsidR="00BD2355">
        <w:rPr>
          <w:rFonts w:ascii="Times New Roman" w:eastAsia="DengXian" w:hAnsi="Times New Roman" w:cs="Times New Roman" w:hint="eastAsia"/>
          <w:sz w:val="21"/>
          <w:szCs w:val="21"/>
          <w:lang w:eastAsia="zh-CN"/>
        </w:rPr>
        <w:t xml:space="preserve"> </w:t>
      </w:r>
      <w:r w:rsidR="00BD2355" w:rsidRPr="00BD2355">
        <w:rPr>
          <w:rFonts w:ascii="Times New Roman" w:eastAsia="DengXian" w:hAnsi="Times New Roman" w:cs="Times New Roman"/>
          <w:sz w:val="21"/>
          <w:szCs w:val="21"/>
          <w:lang w:eastAsia="zh-CN"/>
        </w:rPr>
        <w:t xml:space="preserve">Supplier-side interventions include battery chemistry, battery service life, traceability </w:t>
      </w:r>
      <w:r w:rsidR="00160A73">
        <w:rPr>
          <w:rFonts w:ascii="Times New Roman" w:eastAsia="DengXian" w:hAnsi="Times New Roman" w:cs="Times New Roman" w:hint="eastAsia"/>
          <w:sz w:val="21"/>
          <w:szCs w:val="21"/>
          <w:lang w:eastAsia="zh-CN"/>
        </w:rPr>
        <w:t>&amp;</w:t>
      </w:r>
      <w:r w:rsidR="00BD2355" w:rsidRPr="00BD2355">
        <w:rPr>
          <w:rFonts w:ascii="Times New Roman" w:eastAsia="DengXian" w:hAnsi="Times New Roman" w:cs="Times New Roman"/>
          <w:sz w:val="21"/>
          <w:szCs w:val="21"/>
          <w:lang w:eastAsia="zh-CN"/>
        </w:rPr>
        <w:t xml:space="preserve"> mandatory collection and recycling processes—factors primarily affecting supply management. In contrast, user-side interventions involve electric vehicle penetration, secondary use of batteries, used-car exports, and traffic demand management, which mainly relate to demand-side control.</w:t>
      </w:r>
      <w:r w:rsidR="00324854">
        <w:rPr>
          <w:rFonts w:ascii="Times New Roman" w:eastAsiaTheme="minorEastAsia" w:hAnsi="Times New Roman" w:cs="Times New Roman" w:hint="eastAsia"/>
          <w:sz w:val="21"/>
          <w:szCs w:val="21"/>
        </w:rPr>
        <w:t xml:space="preserve"> </w:t>
      </w:r>
    </w:p>
    <w:p w14:paraId="03C65E9B" w14:textId="77777777" w:rsidR="007B5713" w:rsidRPr="007B5713" w:rsidRDefault="007B5713" w:rsidP="005C171C">
      <w:pPr>
        <w:rPr>
          <w:rFonts w:ascii="Times New Roman" w:eastAsiaTheme="minorEastAsia" w:hAnsi="Times New Roman" w:cs="Times New Roman"/>
          <w:sz w:val="21"/>
          <w:szCs w:val="21"/>
        </w:rPr>
      </w:pPr>
    </w:p>
    <w:p w14:paraId="4DD47C4B" w14:textId="34497DBC" w:rsidR="005C171C" w:rsidRDefault="00022F7B" w:rsidP="005C171C">
      <w:pPr>
        <w:jc w:val="center"/>
        <w:rPr>
          <w:rFonts w:ascii="Times New Roman" w:eastAsia="DengXian" w:hAnsi="Times New Roman" w:cs="Times New Roman"/>
          <w:noProof/>
          <w:lang w:eastAsia="zh-CN"/>
        </w:rPr>
      </w:pPr>
      <w:r w:rsidRPr="00022F7B">
        <w:rPr>
          <w:rFonts w:ascii="Times New Roman" w:eastAsia="DengXian" w:hAnsi="Times New Roman" w:cs="Times New Roman"/>
          <w:noProof/>
          <w:lang w:eastAsia="zh-CN"/>
        </w:rPr>
        <w:drawing>
          <wp:inline distT="0" distB="0" distL="0" distR="0" wp14:anchorId="02696ED7" wp14:editId="78027B74">
            <wp:extent cx="5400040" cy="3556635"/>
            <wp:effectExtent l="0" t="0" r="0" b="0"/>
            <wp:docPr id="78" name="図 77" descr="グラフィカル ユーザー インターフェイス&#10;&#10;AI 生成コンテンツは誤りを含む可能性があります。">
              <a:extLst xmlns:a="http://schemas.openxmlformats.org/drawingml/2006/main">
                <a:ext uri="{FF2B5EF4-FFF2-40B4-BE49-F238E27FC236}">
                  <a16:creationId xmlns:a16="http://schemas.microsoft.com/office/drawing/2014/main" id="{981CA449-4353-9D87-D308-FC730B9D8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7" descr="グラフィカル ユーザー インターフェイス&#10;&#10;AI 生成コンテンツは誤りを含む可能性があります。">
                      <a:extLst>
                        <a:ext uri="{FF2B5EF4-FFF2-40B4-BE49-F238E27FC236}">
                          <a16:creationId xmlns:a16="http://schemas.microsoft.com/office/drawing/2014/main" id="{981CA449-4353-9D87-D308-FC730B9D8A13}"/>
                        </a:ext>
                      </a:extLst>
                    </pic:cNvPr>
                    <pic:cNvPicPr>
                      <a:picLocks noChangeAspect="1"/>
                    </pic:cNvPicPr>
                  </pic:nvPicPr>
                  <pic:blipFill>
                    <a:blip r:embed="rId9"/>
                    <a:stretch>
                      <a:fillRect/>
                    </a:stretch>
                  </pic:blipFill>
                  <pic:spPr>
                    <a:xfrm>
                      <a:off x="0" y="0"/>
                      <a:ext cx="5400040" cy="3556635"/>
                    </a:xfrm>
                    <a:prstGeom prst="rect">
                      <a:avLst/>
                    </a:prstGeom>
                  </pic:spPr>
                </pic:pic>
              </a:graphicData>
            </a:graphic>
          </wp:inline>
        </w:drawing>
      </w:r>
    </w:p>
    <w:p w14:paraId="0C5A1BDD" w14:textId="3984C08E" w:rsidR="00600489" w:rsidRPr="000F62FA" w:rsidRDefault="00600489" w:rsidP="00600489">
      <w:pPr>
        <w:pStyle w:val="af"/>
        <w:jc w:val="center"/>
        <w:rPr>
          <w:rFonts w:ascii="Times New Roman" w:eastAsia="DengXian" w:hAnsi="Times New Roman" w:cs="Times New Roman"/>
          <w:lang w:eastAsia="zh-CN"/>
        </w:rPr>
      </w:pPr>
      <w:bookmarkStart w:id="5" w:name="_Toc208439468"/>
      <w:r w:rsidRPr="000F62FA">
        <w:rPr>
          <w:rFonts w:ascii="Times New Roman" w:eastAsia="Microsoft YaHei" w:hAnsi="Times New Roman" w:cs="Times New Roman"/>
          <w:lang w:eastAsia="zh-CN"/>
        </w:rPr>
        <w:lastRenderedPageBreak/>
        <w:t>Figure</w:t>
      </w:r>
      <w:r w:rsidRPr="000F62FA">
        <w:rPr>
          <w:rFonts w:ascii="Times New Roman" w:hAnsi="Times New Roman" w:cs="Times New Roman"/>
        </w:rPr>
        <w:t xml:space="preserve"> </w:t>
      </w:r>
      <w:r w:rsidRPr="000F62FA">
        <w:rPr>
          <w:rFonts w:ascii="Times New Roman" w:eastAsia="DengXian" w:hAnsi="Times New Roman" w:cs="Times New Roman"/>
          <w:lang w:eastAsia="zh-CN"/>
        </w:rPr>
        <w:t>S</w:t>
      </w:r>
      <w:r w:rsidRPr="000F62FA">
        <w:rPr>
          <w:rFonts w:ascii="Times New Roman" w:hAnsi="Times New Roman" w:cs="Times New Roman"/>
        </w:rPr>
        <w:fldChar w:fldCharType="begin"/>
      </w:r>
      <w:r w:rsidRPr="000F62FA">
        <w:rPr>
          <w:rFonts w:ascii="Times New Roman" w:hAnsi="Times New Roman" w:cs="Times New Roman"/>
        </w:rPr>
        <w:instrText xml:space="preserve"> SEQ </w:instrText>
      </w:r>
      <w:r w:rsidRPr="000F62FA">
        <w:rPr>
          <w:rFonts w:ascii="Microsoft YaHei" w:eastAsia="Microsoft YaHei" w:hAnsi="Microsoft YaHei" w:cs="Microsoft YaHei" w:hint="eastAsia"/>
        </w:rPr>
        <w:instrText>图</w:instrText>
      </w:r>
      <w:r w:rsidRPr="000F62FA">
        <w:rPr>
          <w:rFonts w:hint="eastAsia"/>
        </w:rPr>
        <w:instrText>表</w:instrText>
      </w:r>
      <w:r w:rsidRPr="000F62FA">
        <w:rPr>
          <w:rFonts w:ascii="Times New Roman" w:hAnsi="Times New Roman" w:cs="Times New Roman"/>
        </w:rPr>
        <w:instrText xml:space="preserve"> \* ARABIC </w:instrText>
      </w:r>
      <w:r w:rsidRPr="000F62FA">
        <w:rPr>
          <w:rFonts w:ascii="Times New Roman" w:hAnsi="Times New Roman" w:cs="Times New Roman"/>
        </w:rPr>
        <w:fldChar w:fldCharType="separate"/>
      </w:r>
      <w:r w:rsidR="006D0373">
        <w:rPr>
          <w:rFonts w:ascii="Times New Roman" w:hAnsi="Times New Roman" w:cs="Times New Roman"/>
          <w:noProof/>
        </w:rPr>
        <w:t>2</w:t>
      </w:r>
      <w:r w:rsidRPr="000F62FA">
        <w:rPr>
          <w:rFonts w:ascii="Times New Roman" w:hAnsi="Times New Roman" w:cs="Times New Roman"/>
        </w:rPr>
        <w:fldChar w:fldCharType="end"/>
      </w:r>
      <w:r>
        <w:rPr>
          <w:rFonts w:ascii="Times New Roman" w:hAnsi="Times New Roman" w:cs="Times New Roman"/>
        </w:rPr>
        <w:t xml:space="preserve">. </w:t>
      </w:r>
      <w:r w:rsidR="005E0FF5">
        <w:rPr>
          <w:rFonts w:ascii="Times New Roman" w:eastAsia="DengXian" w:hAnsi="Times New Roman" w:cs="Times New Roman" w:hint="eastAsia"/>
          <w:lang w:eastAsia="zh-CN"/>
        </w:rPr>
        <w:t>LIB</w:t>
      </w:r>
      <w:r w:rsidR="00E55818">
        <w:rPr>
          <w:rFonts w:ascii="Times New Roman" w:eastAsia="DengXian" w:hAnsi="Times New Roman" w:cs="Times New Roman" w:hint="eastAsia"/>
          <w:lang w:eastAsia="zh-CN"/>
        </w:rPr>
        <w:t xml:space="preserve"> </w:t>
      </w:r>
      <w:r w:rsidR="00A4749D">
        <w:rPr>
          <w:rFonts w:ascii="Times New Roman" w:eastAsia="DengXian" w:hAnsi="Times New Roman" w:cs="Times New Roman" w:hint="eastAsia"/>
          <w:lang w:eastAsia="zh-CN"/>
        </w:rPr>
        <w:t xml:space="preserve">supply chain </w:t>
      </w:r>
      <w:r w:rsidR="00E55818">
        <w:rPr>
          <w:rFonts w:ascii="Times New Roman" w:eastAsia="DengXian" w:hAnsi="Times New Roman" w:cs="Times New Roman" w:hint="eastAsia"/>
          <w:lang w:eastAsia="zh-CN"/>
        </w:rPr>
        <w:t>p</w:t>
      </w:r>
      <w:r w:rsidR="00B67665">
        <w:rPr>
          <w:rFonts w:ascii="Times New Roman" w:eastAsia="DengXian" w:hAnsi="Times New Roman" w:cs="Times New Roman" w:hint="eastAsia"/>
          <w:lang w:eastAsia="zh-CN"/>
        </w:rPr>
        <w:t>olic</w:t>
      </w:r>
      <w:r w:rsidR="005E0FF5">
        <w:rPr>
          <w:rFonts w:ascii="Times New Roman" w:eastAsia="DengXian" w:hAnsi="Times New Roman" w:cs="Times New Roman" w:hint="eastAsia"/>
          <w:lang w:eastAsia="zh-CN"/>
        </w:rPr>
        <w:t>y</w:t>
      </w:r>
      <w:r w:rsidR="000431E4">
        <w:rPr>
          <w:rFonts w:ascii="Times New Roman" w:eastAsia="DengXian" w:hAnsi="Times New Roman" w:cs="Times New Roman" w:hint="eastAsia"/>
          <w:lang w:eastAsia="zh-CN"/>
        </w:rPr>
        <w:t xml:space="preserve"> </w:t>
      </w:r>
      <w:r w:rsidR="00B67665">
        <w:rPr>
          <w:rFonts w:ascii="Times New Roman" w:eastAsia="DengXian" w:hAnsi="Times New Roman" w:cs="Times New Roman" w:hint="eastAsia"/>
          <w:lang w:eastAsia="zh-CN"/>
        </w:rPr>
        <w:t>options and scenarios setting</w:t>
      </w:r>
      <w:r w:rsidRPr="004F08C6">
        <w:rPr>
          <w:rFonts w:ascii="Times New Roman" w:hAnsi="Times New Roman" w:cs="Times New Roman"/>
        </w:rPr>
        <w:t>.</w:t>
      </w:r>
      <w:bookmarkEnd w:id="5"/>
    </w:p>
    <w:p w14:paraId="0998F737" w14:textId="77777777" w:rsidR="008F7F43" w:rsidRDefault="008F7F43" w:rsidP="005C171C">
      <w:pPr>
        <w:rPr>
          <w:rFonts w:ascii="Times New Roman" w:eastAsiaTheme="minorEastAsia" w:hAnsi="Times New Roman" w:cs="Times New Roman"/>
        </w:rPr>
      </w:pPr>
    </w:p>
    <w:p w14:paraId="3FF6664F" w14:textId="68C8C7FE" w:rsidR="00CF050E" w:rsidRPr="00CF050E" w:rsidRDefault="00CF050E" w:rsidP="00CF050E">
      <w:pPr>
        <w:rPr>
          <w:rFonts w:ascii="Times New Roman" w:eastAsiaTheme="minorEastAsia" w:hAnsi="Times New Roman" w:cs="Times New Roman"/>
          <w:sz w:val="21"/>
          <w:szCs w:val="21"/>
        </w:rPr>
      </w:pPr>
      <w:r w:rsidRPr="00CF050E">
        <w:rPr>
          <w:rFonts w:ascii="Times New Roman" w:eastAsiaTheme="minorEastAsia" w:hAnsi="Times New Roman" w:cs="Times New Roman"/>
          <w:sz w:val="21"/>
          <w:szCs w:val="21"/>
        </w:rPr>
        <w:t xml:space="preserve">Given that the twenty defined policy options can yield 1,296 possible combinations, we organize them into a more interpretable structure. As illustrated in Figure S2(b), we construct a two-dimensional matrix with supplier-side and user-side policy interventions as the two axes. Along each axis, policy parameters are adjusted according to intervention type and intensity. For instance, along the supplier-side axis, only interventions </w:t>
      </w:r>
      <w:r w:rsidRPr="00CF050E">
        <w:rPr>
          <w:rFonts w:ascii="Cambria Math" w:eastAsiaTheme="minorEastAsia" w:hAnsi="Cambria Math" w:cs="Cambria Math"/>
          <w:sz w:val="21"/>
          <w:szCs w:val="21"/>
        </w:rPr>
        <w:t>①</w:t>
      </w:r>
      <w:r w:rsidRPr="00CF050E">
        <w:rPr>
          <w:rFonts w:ascii="Times New Roman" w:eastAsiaTheme="minorEastAsia" w:hAnsi="Times New Roman" w:cs="Times New Roman"/>
          <w:sz w:val="21"/>
          <w:szCs w:val="21"/>
        </w:rPr>
        <w:t>–</w:t>
      </w:r>
      <w:r w:rsidRPr="00CF050E">
        <w:rPr>
          <w:rFonts w:ascii="Cambria Math" w:eastAsiaTheme="minorEastAsia" w:hAnsi="Cambria Math" w:cs="Cambria Math"/>
          <w:sz w:val="21"/>
          <w:szCs w:val="21"/>
        </w:rPr>
        <w:t>④</w:t>
      </w:r>
      <w:r w:rsidRPr="00CF050E">
        <w:rPr>
          <w:rFonts w:ascii="Times New Roman" w:eastAsiaTheme="minorEastAsia" w:hAnsi="Times New Roman" w:cs="Times New Roman"/>
          <w:sz w:val="21"/>
          <w:szCs w:val="21"/>
        </w:rPr>
        <w:t xml:space="preserve"> are escalated from option </w:t>
      </w:r>
      <w:r w:rsidRPr="00CF050E">
        <w:rPr>
          <w:rFonts w:ascii="Times New Roman" w:eastAsiaTheme="minorEastAsia" w:hAnsi="Times New Roman" w:cs="Times New Roman"/>
          <w:i/>
          <w:iCs/>
          <w:sz w:val="21"/>
          <w:szCs w:val="21"/>
        </w:rPr>
        <w:t>a</w:t>
      </w:r>
      <w:r w:rsidRPr="00CF050E">
        <w:rPr>
          <w:rFonts w:ascii="Times New Roman" w:eastAsiaTheme="minorEastAsia" w:hAnsi="Times New Roman" w:cs="Times New Roman"/>
          <w:sz w:val="21"/>
          <w:szCs w:val="21"/>
        </w:rPr>
        <w:t xml:space="preserve"> (baseline), to </w:t>
      </w:r>
      <w:r w:rsidRPr="00CF050E">
        <w:rPr>
          <w:rFonts w:ascii="Times New Roman" w:eastAsiaTheme="minorEastAsia" w:hAnsi="Times New Roman" w:cs="Times New Roman"/>
          <w:i/>
          <w:iCs/>
          <w:sz w:val="21"/>
          <w:szCs w:val="21"/>
        </w:rPr>
        <w:t>b</w:t>
      </w:r>
      <w:r w:rsidRPr="00CF050E">
        <w:rPr>
          <w:rFonts w:ascii="Times New Roman" w:eastAsiaTheme="minorEastAsia" w:hAnsi="Times New Roman" w:cs="Times New Roman"/>
          <w:sz w:val="21"/>
          <w:szCs w:val="21"/>
        </w:rPr>
        <w:t xml:space="preserve"> (moderate), and </w:t>
      </w:r>
      <w:r w:rsidRPr="00CF050E">
        <w:rPr>
          <w:rFonts w:ascii="Times New Roman" w:eastAsiaTheme="minorEastAsia" w:hAnsi="Times New Roman" w:cs="Times New Roman"/>
          <w:i/>
          <w:iCs/>
          <w:sz w:val="21"/>
          <w:szCs w:val="21"/>
        </w:rPr>
        <w:t>c</w:t>
      </w:r>
      <w:r w:rsidRPr="00CF050E">
        <w:rPr>
          <w:rFonts w:ascii="Times New Roman" w:eastAsiaTheme="minorEastAsia" w:hAnsi="Times New Roman" w:cs="Times New Roman"/>
          <w:sz w:val="21"/>
          <w:szCs w:val="21"/>
        </w:rPr>
        <w:t xml:space="preserve"> (ambitious).</w:t>
      </w:r>
      <w:r>
        <w:rPr>
          <w:rFonts w:ascii="Times New Roman" w:eastAsiaTheme="minorEastAsia" w:hAnsi="Times New Roman" w:cs="Times New Roman" w:hint="eastAsia"/>
          <w:sz w:val="21"/>
          <w:szCs w:val="21"/>
        </w:rPr>
        <w:t xml:space="preserve"> </w:t>
      </w:r>
      <w:r w:rsidRPr="00CF050E">
        <w:rPr>
          <w:rFonts w:ascii="Times New Roman" w:eastAsiaTheme="minorEastAsia" w:hAnsi="Times New Roman" w:cs="Times New Roman"/>
          <w:sz w:val="21"/>
          <w:szCs w:val="21"/>
        </w:rPr>
        <w:t>This design allows us to group the 1,296 policy combinations into nine representative scenarios, labeled S11 through S33. S11 represents minimal intervention on both axes, while intermediate scenarios (e.g., S12, S21, S22) reflect moderate interventions. Scenarios S23, S32, and S33 denote ambitious interventions, requiring greater commitment from both government and industry to meet more aggressive targets. Among them, S22 serves as a balanced reference case, with moderate interventions and corresponding stakeholder effort aimed at achieving moderate improvements in resource conservation and circularity.</w:t>
      </w:r>
      <w:r>
        <w:rPr>
          <w:rFonts w:ascii="Times New Roman" w:eastAsiaTheme="minorEastAsia" w:hAnsi="Times New Roman" w:cs="Times New Roman" w:hint="eastAsia"/>
          <w:sz w:val="21"/>
          <w:szCs w:val="21"/>
        </w:rPr>
        <w:t xml:space="preserve"> </w:t>
      </w:r>
      <w:r w:rsidRPr="00CF050E">
        <w:rPr>
          <w:rFonts w:ascii="Times New Roman" w:eastAsiaTheme="minorEastAsia" w:hAnsi="Times New Roman" w:cs="Times New Roman"/>
          <w:sz w:val="21"/>
          <w:szCs w:val="21"/>
        </w:rPr>
        <w:t>To further evaluate the impact of individual and paired policy interventions, we establish an additional scenario matrix, as shown in Figure S2(c), which includes all single-policy and dual-policy combinations. This enables us to identify key leverage points as well as potential synergies or trade-offs between policies.</w:t>
      </w:r>
    </w:p>
    <w:p w14:paraId="1982A6F4" w14:textId="77777777" w:rsidR="002E1BB7" w:rsidRPr="005D00B8" w:rsidRDefault="002E1BB7" w:rsidP="005C171C">
      <w:pPr>
        <w:rPr>
          <w:rFonts w:ascii="Times New Roman" w:eastAsiaTheme="minorEastAsia" w:hAnsi="Times New Roman" w:cs="Times New Roman"/>
          <w:sz w:val="21"/>
          <w:szCs w:val="21"/>
        </w:rPr>
      </w:pPr>
    </w:p>
    <w:p w14:paraId="73641B6E" w14:textId="69FDE26E" w:rsidR="00287B0F" w:rsidRPr="005D00B8" w:rsidRDefault="00EC224F" w:rsidP="005C171C">
      <w:pPr>
        <w:rPr>
          <w:rFonts w:ascii="Times New Roman" w:eastAsiaTheme="minorEastAsia" w:hAnsi="Times New Roman" w:cs="Times New Roman"/>
          <w:sz w:val="18"/>
          <w:szCs w:val="18"/>
        </w:rPr>
      </w:pPr>
      <w:r w:rsidRPr="00EC224F">
        <w:rPr>
          <w:rFonts w:ascii="Times New Roman" w:eastAsiaTheme="minorEastAsia" w:hAnsi="Times New Roman" w:cs="Times New Roman"/>
          <w:sz w:val="21"/>
          <w:szCs w:val="21"/>
        </w:rPr>
        <w:t>Figure S3 illustrates the interconnections among policy options, parameter inputs, and key assumptions, as well as their linkage to the overall calculation flow.</w:t>
      </w:r>
    </w:p>
    <w:p w14:paraId="240EE075" w14:textId="77777777" w:rsidR="006E66A9" w:rsidRDefault="00DE60E8" w:rsidP="00736894">
      <w:pPr>
        <w:pStyle w:val="af"/>
        <w:jc w:val="center"/>
        <w:rPr>
          <w:rFonts w:ascii="Times New Roman" w:eastAsiaTheme="minorEastAsia" w:hAnsi="Times New Roman" w:cs="Times New Roman"/>
        </w:rPr>
      </w:pPr>
      <w:r w:rsidRPr="00DE60E8">
        <w:rPr>
          <w:rFonts w:ascii="Times New Roman" w:eastAsia="DengXian" w:hAnsi="Times New Roman" w:cs="Times New Roman"/>
          <w:b w:val="0"/>
          <w:bCs w:val="0"/>
          <w:noProof/>
          <w:lang w:eastAsia="zh-CN"/>
        </w:rPr>
        <w:lastRenderedPageBreak/>
        <w:drawing>
          <wp:inline distT="0" distB="0" distL="0" distR="0" wp14:anchorId="22F0DE3D" wp14:editId="5F0D6259">
            <wp:extent cx="5400040" cy="3945890"/>
            <wp:effectExtent l="0" t="0" r="0" b="0"/>
            <wp:docPr id="309" name="図 308"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2376E5F3-68F7-E5E0-05FC-579639313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図 308" descr="テキスト&#10;&#10;AI によって生成されたコンテンツは間違っている可能性があります。">
                      <a:extLst>
                        <a:ext uri="{FF2B5EF4-FFF2-40B4-BE49-F238E27FC236}">
                          <a16:creationId xmlns:a16="http://schemas.microsoft.com/office/drawing/2014/main" id="{2376E5F3-68F7-E5E0-05FC-579639313338}"/>
                        </a:ext>
                      </a:extLst>
                    </pic:cNvPr>
                    <pic:cNvPicPr>
                      <a:picLocks noChangeAspect="1"/>
                    </pic:cNvPicPr>
                  </pic:nvPicPr>
                  <pic:blipFill>
                    <a:blip r:embed="rId10"/>
                    <a:stretch>
                      <a:fillRect/>
                    </a:stretch>
                  </pic:blipFill>
                  <pic:spPr>
                    <a:xfrm>
                      <a:off x="0" y="0"/>
                      <a:ext cx="5400040" cy="3945890"/>
                    </a:xfrm>
                    <a:prstGeom prst="rect">
                      <a:avLst/>
                    </a:prstGeom>
                  </pic:spPr>
                </pic:pic>
              </a:graphicData>
            </a:graphic>
          </wp:inline>
        </w:drawing>
      </w:r>
    </w:p>
    <w:p w14:paraId="424AC4E2" w14:textId="37C9A255" w:rsidR="00736894" w:rsidRPr="00B95DF2" w:rsidRDefault="00736894" w:rsidP="00736894">
      <w:pPr>
        <w:pStyle w:val="af"/>
        <w:jc w:val="center"/>
        <w:rPr>
          <w:rFonts w:ascii="Times New Roman" w:eastAsiaTheme="minorEastAsia" w:hAnsi="Times New Roman" w:cs="Times New Roman"/>
        </w:rPr>
      </w:pPr>
      <w:bookmarkStart w:id="6" w:name="_Toc208439469"/>
      <w:r w:rsidRPr="00B95DF2">
        <w:rPr>
          <w:rFonts w:ascii="Times New Roman" w:eastAsia="Microsoft YaHei" w:hAnsi="Times New Roman" w:cs="Times New Roman"/>
          <w:lang w:eastAsia="zh-CN"/>
        </w:rPr>
        <w:t>Figure</w:t>
      </w:r>
      <w:r w:rsidRPr="00B95DF2">
        <w:rPr>
          <w:rFonts w:ascii="Times New Roman" w:hAnsi="Times New Roman" w:cs="Times New Roman"/>
        </w:rPr>
        <w:t xml:space="preserve"> </w:t>
      </w:r>
      <w:r w:rsidRPr="00B95DF2">
        <w:rPr>
          <w:rFonts w:ascii="Times New Roman" w:eastAsia="DengXian" w:hAnsi="Times New Roman" w:cs="Times New Roman"/>
          <w:lang w:eastAsia="zh-CN"/>
        </w:rPr>
        <w:t>S</w:t>
      </w:r>
      <w:r w:rsidRPr="00B95DF2">
        <w:rPr>
          <w:rFonts w:ascii="Times New Roman" w:hAnsi="Times New Roman" w:cs="Times New Roman"/>
        </w:rPr>
        <w:fldChar w:fldCharType="begin"/>
      </w:r>
      <w:r w:rsidRPr="00B95DF2">
        <w:rPr>
          <w:rFonts w:ascii="Times New Roman" w:hAnsi="Times New Roman" w:cs="Times New Roman"/>
        </w:rPr>
        <w:instrText xml:space="preserve"> SEQ </w:instrText>
      </w:r>
      <w:r w:rsidRPr="00B95DF2">
        <w:rPr>
          <w:rFonts w:ascii="Times New Roman" w:eastAsia="Microsoft YaHei" w:hAnsi="Times New Roman" w:cs="Times New Roman"/>
        </w:rPr>
        <w:instrText>图</w:instrText>
      </w:r>
      <w:r w:rsidRPr="00B95DF2">
        <w:rPr>
          <w:rFonts w:ascii="Times New Roman" w:hAnsi="Times New Roman" w:cs="Times New Roman"/>
        </w:rPr>
        <w:instrText>表</w:instrText>
      </w:r>
      <w:r w:rsidRPr="00B95DF2">
        <w:rPr>
          <w:rFonts w:ascii="Times New Roman" w:hAnsi="Times New Roman" w:cs="Times New Roman"/>
        </w:rPr>
        <w:instrText xml:space="preserve"> \* ARABIC </w:instrText>
      </w:r>
      <w:r w:rsidRPr="00B95DF2">
        <w:rPr>
          <w:rFonts w:ascii="Times New Roman" w:hAnsi="Times New Roman" w:cs="Times New Roman"/>
        </w:rPr>
        <w:fldChar w:fldCharType="separate"/>
      </w:r>
      <w:r w:rsidR="00D64CFC" w:rsidRPr="00B95DF2">
        <w:rPr>
          <w:rFonts w:ascii="Times New Roman" w:hAnsi="Times New Roman" w:cs="Times New Roman"/>
          <w:noProof/>
        </w:rPr>
        <w:t>3</w:t>
      </w:r>
      <w:r w:rsidRPr="00B95DF2">
        <w:rPr>
          <w:rFonts w:ascii="Times New Roman" w:hAnsi="Times New Roman" w:cs="Times New Roman"/>
        </w:rPr>
        <w:fldChar w:fldCharType="end"/>
      </w:r>
      <w:r w:rsidRPr="00B95DF2">
        <w:rPr>
          <w:rFonts w:ascii="Times New Roman" w:hAnsi="Times New Roman" w:cs="Times New Roman"/>
        </w:rPr>
        <w:t xml:space="preserve">. </w:t>
      </w:r>
      <w:r w:rsidR="007E76FC">
        <w:rPr>
          <w:rFonts w:ascii="Times New Roman" w:hAnsi="Times New Roman" w:cs="Times New Roman" w:hint="eastAsia"/>
        </w:rPr>
        <w:t>Interconnections</w:t>
      </w:r>
      <w:r w:rsidR="001F3F11">
        <w:rPr>
          <w:rFonts w:ascii="Times New Roman" w:hAnsi="Times New Roman" w:cs="Times New Roman" w:hint="eastAsia"/>
        </w:rPr>
        <w:t xml:space="preserve"> between </w:t>
      </w:r>
      <w:r w:rsidR="007E76FC">
        <w:rPr>
          <w:rFonts w:ascii="Times New Roman" w:eastAsiaTheme="minorEastAsia" w:hAnsi="Times New Roman" w:cs="Times New Roman" w:hint="eastAsia"/>
        </w:rPr>
        <w:t>influencing factors and linkage to the</w:t>
      </w:r>
      <w:r w:rsidR="000844AE" w:rsidRPr="00B95DF2">
        <w:rPr>
          <w:rFonts w:ascii="Times New Roman" w:eastAsiaTheme="minorEastAsia" w:hAnsi="Times New Roman" w:cs="Times New Roman"/>
        </w:rPr>
        <w:t xml:space="preserve"> calculation flow</w:t>
      </w:r>
      <w:r w:rsidR="006819D9">
        <w:rPr>
          <w:rFonts w:ascii="Times New Roman" w:eastAsiaTheme="minorEastAsia" w:hAnsi="Times New Roman" w:cs="Times New Roman" w:hint="eastAsia"/>
        </w:rPr>
        <w:t>.</w:t>
      </w:r>
      <w:bookmarkEnd w:id="6"/>
    </w:p>
    <w:p w14:paraId="21973B19" w14:textId="77777777" w:rsidR="008E0C31" w:rsidRDefault="008E0C31" w:rsidP="005C171C">
      <w:pPr>
        <w:rPr>
          <w:rFonts w:ascii="Times New Roman" w:eastAsiaTheme="minorEastAsia" w:hAnsi="Times New Roman" w:cs="Times New Roman"/>
          <w:sz w:val="21"/>
          <w:szCs w:val="21"/>
        </w:rPr>
      </w:pPr>
    </w:p>
    <w:p w14:paraId="0181F7B0" w14:textId="695D017B" w:rsidR="00E978F0" w:rsidRPr="00D92923" w:rsidRDefault="0034414B" w:rsidP="0047468C">
      <w:pPr>
        <w:pStyle w:val="2"/>
      </w:pPr>
      <w:bookmarkStart w:id="7" w:name="_Toc199865012"/>
      <w:r w:rsidRPr="00E30794">
        <w:t xml:space="preserve">1.3 </w:t>
      </w:r>
      <w:r w:rsidR="00C64179" w:rsidRPr="00E30794">
        <w:rPr>
          <w:rFonts w:hint="eastAsia"/>
        </w:rPr>
        <w:t xml:space="preserve">Indicator </w:t>
      </w:r>
      <w:r w:rsidR="00363A22">
        <w:rPr>
          <w:rFonts w:eastAsia="DengXian" w:hint="eastAsia"/>
        </w:rPr>
        <w:t>S</w:t>
      </w:r>
      <w:r w:rsidR="00C64179" w:rsidRPr="00E30794">
        <w:rPr>
          <w:rFonts w:hint="eastAsia"/>
        </w:rPr>
        <w:t>election</w:t>
      </w:r>
      <w:bookmarkEnd w:id="7"/>
    </w:p>
    <w:p w14:paraId="2CCD480B" w14:textId="5C7579A8" w:rsidR="00C64179" w:rsidRPr="00E978F0" w:rsidRDefault="00120D16" w:rsidP="00120D16">
      <w:pPr>
        <w:rPr>
          <w:rFonts w:ascii="Times New Roman" w:eastAsia="SimSun" w:hAnsi="Times New Roman" w:cs="Times New Roman"/>
          <w:sz w:val="21"/>
          <w:szCs w:val="21"/>
          <w:lang w:eastAsia="zh-CN"/>
        </w:rPr>
      </w:pPr>
      <w:r w:rsidRPr="00120D16">
        <w:rPr>
          <w:rFonts w:ascii="Times New Roman" w:eastAsia="DengXian" w:hAnsi="Times New Roman" w:cs="Times New Roman"/>
          <w:sz w:val="21"/>
          <w:szCs w:val="21"/>
          <w:lang w:eastAsia="zh-CN"/>
        </w:rPr>
        <w:t>To evaluate the impact of policy interventions on the circularity of critical minerals, we employ three key indicators: cumulative input of virgin critical minerals, annual input of virgin critical minerals, and the circulation rate. The first indicator captures the total virgin material input from 2025 to the target year, reflecting long-term pressure on mineral extraction and international trade. The second indicator tracks annual virgin material demand, highlighting potential supply–demand mismatches and indicating how effectively recovered materials substitute primary inputs amid rapidly growing battery demand.</w:t>
      </w:r>
      <w:r w:rsidR="00E978F0">
        <w:rPr>
          <w:rFonts w:ascii="Times New Roman" w:eastAsiaTheme="minorEastAsia" w:hAnsi="Times New Roman" w:cs="Times New Roman" w:hint="eastAsia"/>
          <w:sz w:val="21"/>
          <w:szCs w:val="21"/>
        </w:rPr>
        <w:t xml:space="preserve"> </w:t>
      </w:r>
      <w:r w:rsidRPr="00120D16">
        <w:rPr>
          <w:rFonts w:ascii="Times New Roman" w:eastAsia="DengXian" w:hAnsi="Times New Roman" w:cs="Times New Roman"/>
          <w:sz w:val="21"/>
          <w:szCs w:val="21"/>
          <w:lang w:eastAsia="zh-CN"/>
        </w:rPr>
        <w:t>The third indicator, the circulation rate, is assessed across three dimensions—inflow circulation, outflow circulation, and a weighted average circulation rate—following the framework proposed by the World Business Council for Sustainable Development</w:t>
      </w:r>
      <w:r w:rsidR="001A5605" w:rsidRPr="008F7DF8">
        <w:rPr>
          <w:rFonts w:ascii="Times New Roman" w:eastAsia="SimSun" w:hAnsi="Times New Roman" w:cs="Times New Roman"/>
          <w:sz w:val="21"/>
          <w:szCs w:val="21"/>
          <w:lang w:eastAsia="zh-CN"/>
        </w:rPr>
        <w:fldChar w:fldCharType="begin"/>
      </w:r>
      <w:r w:rsidR="001A5605">
        <w:rPr>
          <w:rFonts w:ascii="Times New Roman" w:eastAsia="SimSun" w:hAnsi="Times New Roman" w:cs="Times New Roman"/>
          <w:sz w:val="21"/>
          <w:szCs w:val="21"/>
          <w:lang w:eastAsia="zh-CN"/>
        </w:rPr>
        <w:instrText xml:space="preserve"> ADDIN EN.CITE &lt;EndNote&gt;&lt;Cite&gt;&lt;Author&gt;WBCSD&lt;/Author&gt;&lt;Year&gt;2023&lt;/Year&gt;&lt;RecNum&gt;230&lt;/RecNum&gt;&lt;DisplayText&gt;&lt;style face="superscript"&gt;3&lt;/style&gt;&lt;/DisplayText&gt;&lt;record&gt;&lt;rec-number&gt;230&lt;/rec-number&gt;&lt;foreign-keys&gt;&lt;key app="EN" db-id="200xxs0psrtaz4eze9pp5vvrdraszefpsp0w" timestamp="1742092218"&gt;230&lt;/key&gt;&lt;/foreign-keys&gt;&lt;ref-type name="Report"&gt;27&lt;/ref-type&gt;&lt;contributors&gt;&lt;authors&gt;&lt;author&gt;WBCSD&lt;/author&gt;&lt;/authors&gt;&lt;/contributors&gt;&lt;titles&gt;&lt;title&gt;Circular Transition Indicators V4.0: Metrics for business, by business&lt;/title&gt;&lt;/titles&gt;&lt;dates&gt;&lt;year&gt;2023&lt;/year&gt;&lt;/dates&gt;&lt;publisher&gt;World Business Council for Sustainable Development (WBCSD)&lt;/publisher&gt;&lt;urls&gt;&lt;related-urls&gt;&lt;url&gt;https://www.wbcsd.org/resources/circular-transition-indicators-v4/&lt;/url&gt;&lt;/related-urls&gt;&lt;/urls&gt;&lt;/record&gt;&lt;/Cite&gt;&lt;/EndNote&gt;</w:instrText>
      </w:r>
      <w:r w:rsidR="001A5605" w:rsidRPr="008F7DF8">
        <w:rPr>
          <w:rFonts w:ascii="Times New Roman" w:eastAsia="SimSun" w:hAnsi="Times New Roman" w:cs="Times New Roman"/>
          <w:sz w:val="21"/>
          <w:szCs w:val="21"/>
          <w:lang w:eastAsia="zh-CN"/>
        </w:rPr>
        <w:fldChar w:fldCharType="separate"/>
      </w:r>
      <w:r w:rsidR="001A5605" w:rsidRPr="00C64179">
        <w:rPr>
          <w:rFonts w:ascii="Times New Roman" w:eastAsia="SimSun" w:hAnsi="Times New Roman" w:cs="Times New Roman"/>
          <w:noProof/>
          <w:sz w:val="21"/>
          <w:szCs w:val="21"/>
          <w:vertAlign w:val="superscript"/>
          <w:lang w:eastAsia="zh-CN"/>
        </w:rPr>
        <w:t>3</w:t>
      </w:r>
      <w:r w:rsidR="001A5605" w:rsidRPr="008F7DF8">
        <w:rPr>
          <w:rFonts w:ascii="Times New Roman" w:eastAsia="SimSun" w:hAnsi="Times New Roman" w:cs="Times New Roman"/>
          <w:sz w:val="21"/>
          <w:szCs w:val="21"/>
          <w:lang w:eastAsia="zh-CN"/>
        </w:rPr>
        <w:fldChar w:fldCharType="end"/>
      </w:r>
      <w:r w:rsidRPr="00120D16">
        <w:rPr>
          <w:rFonts w:ascii="Times New Roman" w:eastAsia="DengXian" w:hAnsi="Times New Roman" w:cs="Times New Roman"/>
          <w:sz w:val="21"/>
          <w:szCs w:val="21"/>
          <w:lang w:eastAsia="zh-CN"/>
        </w:rPr>
        <w:t>. Comparing shifts in these dimensions reveals how quickly and to what extent recycling of spent LIBs contributes to overall material circularity.</w:t>
      </w:r>
      <w:r w:rsidR="00E978F0">
        <w:rPr>
          <w:rFonts w:ascii="Times New Roman" w:eastAsiaTheme="minorEastAsia" w:hAnsi="Times New Roman" w:cs="Times New Roman" w:hint="eastAsia"/>
          <w:sz w:val="21"/>
          <w:szCs w:val="21"/>
        </w:rPr>
        <w:t xml:space="preserve"> </w:t>
      </w:r>
      <w:r w:rsidRPr="00120D16">
        <w:rPr>
          <w:rFonts w:ascii="Times New Roman" w:eastAsia="DengXian" w:hAnsi="Times New Roman" w:cs="Times New Roman"/>
          <w:sz w:val="21"/>
          <w:szCs w:val="21"/>
          <w:lang w:eastAsia="zh-CN"/>
        </w:rPr>
        <w:t>An effective policy combination is expected to simultaneously increase circulation rates while reducing both cumulative and annual virgin material inputs. Together, these indicators offer a comprehensive lens to assess how supply chain interventions reshape the material flow of critical minerals in the automotive battery sector.</w:t>
      </w:r>
    </w:p>
    <w:p w14:paraId="016C4113" w14:textId="77777777" w:rsidR="00120D16" w:rsidRPr="00120D16" w:rsidRDefault="00120D16" w:rsidP="00120D16">
      <w:pPr>
        <w:rPr>
          <w:rFonts w:ascii="Times New Roman" w:eastAsiaTheme="minorEastAsia" w:hAnsi="Times New Roman" w:cs="Times New Roman"/>
          <w:sz w:val="21"/>
          <w:szCs w:val="21"/>
        </w:rPr>
      </w:pPr>
    </w:p>
    <w:p w14:paraId="5A519DA5" w14:textId="716BCC88" w:rsidR="00C64179" w:rsidRPr="000F62FA" w:rsidRDefault="006B7C8F" w:rsidP="006B7C8F">
      <w:pPr>
        <w:jc w:val="center"/>
        <w:rPr>
          <w:rFonts w:ascii="Times New Roman" w:eastAsia="DengXian" w:hAnsi="Times New Roman" w:cs="Times New Roman"/>
          <w:sz w:val="21"/>
          <w:szCs w:val="21"/>
          <w:lang w:eastAsia="zh-CN"/>
        </w:rPr>
      </w:pPr>
      <w:r w:rsidRPr="006B7C8F">
        <w:rPr>
          <w:rFonts w:ascii="Times New Roman" w:eastAsia="DengXian" w:hAnsi="Times New Roman" w:cs="Times New Roman"/>
          <w:noProof/>
          <w:sz w:val="21"/>
          <w:szCs w:val="21"/>
          <w:lang w:eastAsia="zh-CN"/>
        </w:rPr>
        <w:lastRenderedPageBreak/>
        <w:drawing>
          <wp:inline distT="0" distB="0" distL="0" distR="0" wp14:anchorId="4F925FDD" wp14:editId="4E5444B6">
            <wp:extent cx="4513478" cy="2229671"/>
            <wp:effectExtent l="0" t="0" r="0" b="0"/>
            <wp:docPr id="21" name="図 20" descr="アイコン&#10;&#10;AI によって生成されたコンテンツは間違っている可能性があります。">
              <a:extLst xmlns:a="http://schemas.openxmlformats.org/drawingml/2006/main">
                <a:ext uri="{FF2B5EF4-FFF2-40B4-BE49-F238E27FC236}">
                  <a16:creationId xmlns:a16="http://schemas.microsoft.com/office/drawing/2014/main" id="{1C975EAC-79A4-CB8D-0FEC-38EE7FC19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アイコン&#10;&#10;AI によって生成されたコンテンツは間違っている可能性があります。">
                      <a:extLst>
                        <a:ext uri="{FF2B5EF4-FFF2-40B4-BE49-F238E27FC236}">
                          <a16:creationId xmlns:a16="http://schemas.microsoft.com/office/drawing/2014/main" id="{1C975EAC-79A4-CB8D-0FEC-38EE7FC19C09}"/>
                        </a:ext>
                      </a:extLst>
                    </pic:cNvPr>
                    <pic:cNvPicPr>
                      <a:picLocks noChangeAspect="1"/>
                    </pic:cNvPicPr>
                  </pic:nvPicPr>
                  <pic:blipFill>
                    <a:blip r:embed="rId11"/>
                    <a:stretch>
                      <a:fillRect/>
                    </a:stretch>
                  </pic:blipFill>
                  <pic:spPr>
                    <a:xfrm>
                      <a:off x="0" y="0"/>
                      <a:ext cx="4528235" cy="2236961"/>
                    </a:xfrm>
                    <a:prstGeom prst="rect">
                      <a:avLst/>
                    </a:prstGeom>
                  </pic:spPr>
                </pic:pic>
              </a:graphicData>
            </a:graphic>
          </wp:inline>
        </w:drawing>
      </w:r>
    </w:p>
    <w:p w14:paraId="352A6997" w14:textId="33FA6257" w:rsidR="00B95DF2" w:rsidRPr="00D64CFC" w:rsidRDefault="00B95DF2" w:rsidP="00B95DF2">
      <w:pPr>
        <w:pStyle w:val="af"/>
        <w:jc w:val="center"/>
        <w:rPr>
          <w:rFonts w:ascii="Times New Roman" w:eastAsiaTheme="minorEastAsia" w:hAnsi="Times New Roman" w:cs="Times New Roman"/>
        </w:rPr>
      </w:pPr>
      <w:bookmarkStart w:id="8" w:name="_Toc208439470"/>
      <w:r w:rsidRPr="000F62FA">
        <w:rPr>
          <w:rFonts w:ascii="Times New Roman" w:eastAsia="Microsoft YaHei" w:hAnsi="Times New Roman" w:cs="Times New Roman"/>
          <w:lang w:eastAsia="zh-CN"/>
        </w:rPr>
        <w:t>Figure</w:t>
      </w:r>
      <w:r w:rsidRPr="000F62FA">
        <w:rPr>
          <w:rFonts w:ascii="Times New Roman" w:hAnsi="Times New Roman" w:cs="Times New Roman"/>
        </w:rPr>
        <w:t xml:space="preserve"> </w:t>
      </w:r>
      <w:r w:rsidRPr="000F62FA">
        <w:rPr>
          <w:rFonts w:ascii="Times New Roman" w:eastAsia="DengXian" w:hAnsi="Times New Roman" w:cs="Times New Roman"/>
          <w:lang w:eastAsia="zh-CN"/>
        </w:rPr>
        <w:t>S</w:t>
      </w:r>
      <w:r w:rsidRPr="000F62FA">
        <w:rPr>
          <w:rFonts w:ascii="Times New Roman" w:hAnsi="Times New Roman" w:cs="Times New Roman"/>
        </w:rPr>
        <w:fldChar w:fldCharType="begin"/>
      </w:r>
      <w:r w:rsidRPr="000F62FA">
        <w:rPr>
          <w:rFonts w:ascii="Times New Roman" w:hAnsi="Times New Roman" w:cs="Times New Roman"/>
        </w:rPr>
        <w:instrText xml:space="preserve"> SEQ </w:instrText>
      </w:r>
      <w:r w:rsidRPr="000F62FA">
        <w:rPr>
          <w:rFonts w:ascii="Microsoft YaHei" w:eastAsia="Microsoft YaHei" w:hAnsi="Microsoft YaHei" w:cs="Microsoft YaHei" w:hint="eastAsia"/>
        </w:rPr>
        <w:instrText>图</w:instrText>
      </w:r>
      <w:r w:rsidRPr="000F62FA">
        <w:rPr>
          <w:rFonts w:hint="eastAsia"/>
        </w:rPr>
        <w:instrText>表</w:instrText>
      </w:r>
      <w:r w:rsidRPr="000F62FA">
        <w:rPr>
          <w:rFonts w:ascii="Times New Roman" w:hAnsi="Times New Roman" w:cs="Times New Roman"/>
        </w:rPr>
        <w:instrText xml:space="preserve"> \* ARABIC </w:instrText>
      </w:r>
      <w:r w:rsidRPr="000F62FA">
        <w:rPr>
          <w:rFonts w:ascii="Times New Roman" w:hAnsi="Times New Roman" w:cs="Times New Roman"/>
        </w:rPr>
        <w:fldChar w:fldCharType="separate"/>
      </w:r>
      <w:r>
        <w:rPr>
          <w:rFonts w:ascii="Times New Roman" w:hAnsi="Times New Roman" w:cs="Times New Roman"/>
          <w:noProof/>
        </w:rPr>
        <w:t>4</w:t>
      </w:r>
      <w:r w:rsidRPr="000F62FA">
        <w:rPr>
          <w:rFonts w:ascii="Times New Roman" w:hAnsi="Times New Roman" w:cs="Times New Roman"/>
        </w:rPr>
        <w:fldChar w:fldCharType="end"/>
      </w:r>
      <w:r>
        <w:rPr>
          <w:rFonts w:ascii="Times New Roman" w:hAnsi="Times New Roman" w:cs="Times New Roman"/>
        </w:rPr>
        <w:t xml:space="preserve">. </w:t>
      </w:r>
      <w:r w:rsidR="00E323B4">
        <w:rPr>
          <w:rFonts w:ascii="Times New Roman" w:eastAsiaTheme="minorEastAsia" w:hAnsi="Times New Roman" w:cs="Times New Roman" w:hint="eastAsia"/>
        </w:rPr>
        <w:t xml:space="preserve">Definition of </w:t>
      </w:r>
      <w:r w:rsidR="00F506AB">
        <w:rPr>
          <w:rFonts w:ascii="Times New Roman" w:eastAsiaTheme="minorEastAsia" w:hAnsi="Times New Roman" w:cs="Times New Roman" w:hint="eastAsia"/>
        </w:rPr>
        <w:t>inflow, outflow</w:t>
      </w:r>
      <w:r w:rsidR="00AA4A5B">
        <w:rPr>
          <w:rFonts w:ascii="Times New Roman" w:eastAsiaTheme="minorEastAsia" w:hAnsi="Times New Roman" w:cs="Times New Roman" w:hint="eastAsia"/>
        </w:rPr>
        <w:t>, open loop and closed loop</w:t>
      </w:r>
      <w:r w:rsidR="006819D9">
        <w:rPr>
          <w:rFonts w:ascii="Times New Roman" w:eastAsiaTheme="minorEastAsia" w:hAnsi="Times New Roman" w:cs="Times New Roman" w:hint="eastAsia"/>
        </w:rPr>
        <w:t>.</w:t>
      </w:r>
      <w:bookmarkEnd w:id="8"/>
    </w:p>
    <w:p w14:paraId="0F547B5E" w14:textId="77777777" w:rsidR="0034414B" w:rsidRPr="00B95DF2" w:rsidRDefault="0034414B" w:rsidP="005C171C">
      <w:pPr>
        <w:rPr>
          <w:rFonts w:ascii="Times New Roman" w:eastAsiaTheme="minorEastAsia" w:hAnsi="Times New Roman" w:cs="Times New Roman"/>
          <w:sz w:val="21"/>
          <w:szCs w:val="21"/>
        </w:rPr>
      </w:pPr>
    </w:p>
    <w:p w14:paraId="2D5EEBEE" w14:textId="252A3C1B" w:rsidR="009E2012" w:rsidRPr="00EC717C" w:rsidRDefault="009E2012" w:rsidP="009E2012">
      <w:pPr>
        <w:rPr>
          <w:rFonts w:ascii="Times New Roman" w:eastAsia="SimSun" w:hAnsi="Times New Roman" w:cs="Times New Roman"/>
          <w:sz w:val="21"/>
          <w:szCs w:val="21"/>
          <w:lang w:eastAsia="zh-CN"/>
        </w:rPr>
      </w:pPr>
      <w:r w:rsidRPr="009E2012">
        <w:rPr>
          <w:rFonts w:ascii="Times New Roman" w:eastAsia="SimSun" w:hAnsi="Times New Roman" w:cs="Times New Roman"/>
          <w:sz w:val="21"/>
          <w:szCs w:val="21"/>
          <w:lang w:eastAsia="zh-CN"/>
        </w:rPr>
        <w:t>Three indicators are employed to assess the circularity of critical minerals in the supply chain. The inflow circulation rate denotes the proportion of recycled materials in the total input for battery production. The outflow circulation rate reflects the proportion of materials recovered through recycling relative to total waste outflows. The weighted average circulation rate represents a composite measure that integrates both inflow and outflow dimensions.</w:t>
      </w:r>
      <w:r w:rsidR="00EC717C">
        <w:rPr>
          <w:rFonts w:ascii="Times New Roman" w:eastAsiaTheme="minorEastAsia" w:hAnsi="Times New Roman" w:cs="Times New Roman" w:hint="eastAsia"/>
          <w:sz w:val="21"/>
          <w:szCs w:val="21"/>
        </w:rPr>
        <w:t xml:space="preserve"> </w:t>
      </w:r>
      <w:r w:rsidRPr="009E2012">
        <w:rPr>
          <w:rFonts w:ascii="Times New Roman" w:eastAsia="SimSun" w:hAnsi="Times New Roman" w:cs="Times New Roman"/>
          <w:sz w:val="21"/>
          <w:szCs w:val="21"/>
          <w:lang w:eastAsia="zh-CN"/>
        </w:rPr>
        <w:t xml:space="preserve">These indicators are defined as follows: </w:t>
      </w:r>
    </w:p>
    <w:p w14:paraId="20E0BF32" w14:textId="5B6562EE" w:rsidR="00A644AA" w:rsidRPr="00A644AA" w:rsidRDefault="00A644AA" w:rsidP="00A644AA">
      <w:pPr>
        <w:jc w:val="right"/>
        <w:rPr>
          <w:rFonts w:ascii="Times New Roman" w:hAnsi="Times New Roman" w:cs="Times New Roman"/>
          <w:sz w:val="21"/>
          <w:szCs w:val="21"/>
        </w:rPr>
      </w:pPr>
      <w:r w:rsidRPr="00A644AA">
        <w:rPr>
          <w:rFonts w:ascii="Times New Roman" w:hAnsi="Times New Roman" w:cs="Times New Roman"/>
          <w:sz w:val="21"/>
          <w:szCs w:val="21"/>
        </w:rPr>
        <w:t xml:space="preserve">Inflow circulation rate </w:t>
      </w:r>
      <m:oMath>
        <m:sSub>
          <m:sSubPr>
            <m:ctrlPr>
              <w:rPr>
                <w:rFonts w:ascii="Cambria Math" w:hAnsi="Cambria Math" w:cs="Times New Roman"/>
                <w:i/>
                <w:sz w:val="21"/>
                <w:szCs w:val="21"/>
              </w:rPr>
            </m:ctrlPr>
          </m:sSubPr>
          <m:e>
            <m:r>
              <w:rPr>
                <w:rFonts w:ascii="Cambria Math" w:hAnsi="Cambria Math" w:cs="Times New Roman"/>
                <w:sz w:val="21"/>
                <w:szCs w:val="21"/>
              </w:rPr>
              <m:t>R</m:t>
            </m:r>
          </m:e>
          <m:sub>
            <m:r>
              <w:rPr>
                <w:rFonts w:ascii="Cambria Math" w:hAnsi="Cambria Math" w:cs="Times New Roman"/>
                <w:sz w:val="21"/>
                <w:szCs w:val="21"/>
              </w:rPr>
              <m:t>in</m:t>
            </m:r>
          </m:sub>
        </m:sSub>
        <m:r>
          <w:rPr>
            <w:rFonts w:ascii="Cambria Math" w:hAnsi="Cambria Math" w:cs="Times New Roman"/>
            <w:sz w:val="21"/>
            <w:szCs w:val="21"/>
          </w:rPr>
          <m:t>=</m:t>
        </m:r>
        <m:f>
          <m:fPr>
            <m:ctrlPr>
              <w:rPr>
                <w:rFonts w:ascii="Cambria Math" w:hAnsi="Cambria Math" w:cs="Times New Roman"/>
                <w:i/>
                <w:sz w:val="21"/>
                <w:szCs w:val="21"/>
              </w:rPr>
            </m:ctrlPr>
          </m:fPr>
          <m:num>
            <m:r>
              <w:rPr>
                <w:rFonts w:ascii="Cambria Math" w:hAnsi="Cambria Math" w:cs="Times New Roman"/>
                <w:sz w:val="21"/>
                <w:szCs w:val="21"/>
              </w:rPr>
              <m:t>e</m:t>
            </m:r>
          </m:num>
          <m:den>
            <m:r>
              <w:rPr>
                <w:rFonts w:ascii="Cambria Math" w:hAnsi="Cambria Math" w:cs="Times New Roman"/>
                <w:sz w:val="21"/>
                <w:szCs w:val="21"/>
              </w:rPr>
              <m:t>a+b+e</m:t>
            </m:r>
          </m:den>
        </m:f>
      </m:oMath>
      <w:r w:rsidRPr="00A644AA">
        <w:rPr>
          <w:rFonts w:ascii="Times New Roman" w:eastAsia="SimSun" w:hAnsi="Times New Roman" w:cs="Times New Roman"/>
          <w:sz w:val="21"/>
          <w:szCs w:val="21"/>
        </w:rPr>
        <w:t xml:space="preserve">                  </w:t>
      </w:r>
      <w:r w:rsidRPr="00A644AA">
        <w:rPr>
          <w:rFonts w:ascii="Times New Roman" w:hAnsi="Times New Roman" w:cs="Times New Roman"/>
          <w:sz w:val="21"/>
          <w:szCs w:val="21"/>
        </w:rPr>
        <w:t xml:space="preserve">(Equation </w:t>
      </w:r>
      <w:r>
        <w:rPr>
          <w:rFonts w:ascii="Times New Roman" w:hAnsi="Times New Roman" w:cs="Times New Roman" w:hint="eastAsia"/>
          <w:sz w:val="21"/>
          <w:szCs w:val="21"/>
        </w:rPr>
        <w:t>1</w:t>
      </w:r>
      <w:r w:rsidRPr="00A644AA">
        <w:rPr>
          <w:rFonts w:ascii="Times New Roman" w:hAnsi="Times New Roman" w:cs="Times New Roman"/>
          <w:sz w:val="21"/>
          <w:szCs w:val="21"/>
        </w:rPr>
        <w:t>)</w:t>
      </w:r>
    </w:p>
    <w:p w14:paraId="6913A4BF" w14:textId="6D8B705E" w:rsidR="00A644AA" w:rsidRPr="00A644AA" w:rsidRDefault="00A644AA" w:rsidP="00A644AA">
      <w:pPr>
        <w:jc w:val="right"/>
        <w:rPr>
          <w:rFonts w:ascii="Times New Roman" w:hAnsi="Times New Roman" w:cs="Times New Roman"/>
          <w:sz w:val="21"/>
          <w:szCs w:val="21"/>
        </w:rPr>
      </w:pPr>
      <w:r w:rsidRPr="00A644AA">
        <w:rPr>
          <w:rFonts w:ascii="Times New Roman" w:eastAsia="SimSun" w:hAnsi="Times New Roman" w:cs="Times New Roman"/>
          <w:sz w:val="21"/>
          <w:szCs w:val="21"/>
          <w:lang w:eastAsia="zh-CN"/>
        </w:rPr>
        <w:t>Outflow</w:t>
      </w:r>
      <w:r w:rsidRPr="00A644AA">
        <w:rPr>
          <w:rFonts w:ascii="Times New Roman" w:hAnsi="Times New Roman" w:cs="Times New Roman"/>
          <w:sz w:val="21"/>
          <w:szCs w:val="21"/>
        </w:rPr>
        <w:t xml:space="preserve"> circulation rate </w:t>
      </w:r>
      <m:oMath>
        <m:sSub>
          <m:sSubPr>
            <m:ctrlPr>
              <w:rPr>
                <w:rFonts w:ascii="Cambria Math" w:hAnsi="Cambria Math" w:cs="Times New Roman"/>
                <w:i/>
                <w:sz w:val="21"/>
                <w:szCs w:val="21"/>
              </w:rPr>
            </m:ctrlPr>
          </m:sSubPr>
          <m:e>
            <m:r>
              <w:rPr>
                <w:rFonts w:ascii="Cambria Math" w:hAnsi="Cambria Math" w:cs="Times New Roman"/>
                <w:sz w:val="21"/>
                <w:szCs w:val="21"/>
              </w:rPr>
              <m:t>R</m:t>
            </m:r>
          </m:e>
          <m:sub>
            <m:r>
              <w:rPr>
                <w:rFonts w:ascii="Cambria Math" w:hAnsi="Cambria Math" w:cs="Times New Roman"/>
                <w:sz w:val="21"/>
                <w:szCs w:val="21"/>
              </w:rPr>
              <m:t>out</m:t>
            </m:r>
          </m:sub>
        </m:sSub>
        <m:r>
          <w:rPr>
            <w:rFonts w:ascii="Cambria Math" w:hAnsi="Cambria Math" w:cs="Times New Roman"/>
            <w:sz w:val="21"/>
            <w:szCs w:val="21"/>
          </w:rPr>
          <m:t>=</m:t>
        </m:r>
        <m:f>
          <m:fPr>
            <m:ctrlPr>
              <w:rPr>
                <w:rFonts w:ascii="Cambria Math" w:hAnsi="Cambria Math" w:cs="Times New Roman"/>
                <w:i/>
                <w:sz w:val="21"/>
                <w:szCs w:val="21"/>
              </w:rPr>
            </m:ctrlPr>
          </m:fPr>
          <m:num>
            <m:r>
              <w:rPr>
                <w:rFonts w:ascii="Cambria Math" w:hAnsi="Cambria Math" w:cs="Times New Roman"/>
                <w:sz w:val="21"/>
                <w:szCs w:val="21"/>
              </w:rPr>
              <m:t>e</m:t>
            </m:r>
          </m:num>
          <m:den>
            <m:r>
              <w:rPr>
                <w:rFonts w:ascii="Cambria Math" w:hAnsi="Cambria Math" w:cs="Times New Roman"/>
                <w:sz w:val="21"/>
                <w:szCs w:val="21"/>
              </w:rPr>
              <m:t>c+d+e</m:t>
            </m:r>
          </m:den>
        </m:f>
      </m:oMath>
      <w:r w:rsidRPr="00A644AA">
        <w:rPr>
          <w:rFonts w:ascii="Times New Roman" w:eastAsia="SimSun" w:hAnsi="Times New Roman" w:cs="Times New Roman"/>
          <w:sz w:val="21"/>
          <w:szCs w:val="21"/>
        </w:rPr>
        <w:t xml:space="preserve">                 </w:t>
      </w:r>
      <w:r w:rsidRPr="00A644AA">
        <w:rPr>
          <w:rFonts w:ascii="Times New Roman" w:hAnsi="Times New Roman" w:cs="Times New Roman"/>
          <w:sz w:val="21"/>
          <w:szCs w:val="21"/>
        </w:rPr>
        <w:t xml:space="preserve">(Equation </w:t>
      </w:r>
      <w:r>
        <w:rPr>
          <w:rFonts w:ascii="Times New Roman" w:hAnsi="Times New Roman" w:cs="Times New Roman" w:hint="eastAsia"/>
          <w:sz w:val="21"/>
          <w:szCs w:val="21"/>
        </w:rPr>
        <w:t>2</w:t>
      </w:r>
      <w:r w:rsidRPr="00A644AA">
        <w:rPr>
          <w:rFonts w:ascii="Times New Roman" w:hAnsi="Times New Roman" w:cs="Times New Roman"/>
          <w:sz w:val="21"/>
          <w:szCs w:val="21"/>
        </w:rPr>
        <w:t>)</w:t>
      </w:r>
    </w:p>
    <w:p w14:paraId="31A42D72" w14:textId="7DB95881" w:rsidR="00A644AA" w:rsidRPr="00A644AA" w:rsidRDefault="00A644AA" w:rsidP="00A644AA">
      <w:pPr>
        <w:jc w:val="right"/>
        <w:rPr>
          <w:rFonts w:ascii="Times New Roman" w:hAnsi="Times New Roman" w:cs="Times New Roman"/>
          <w:sz w:val="21"/>
          <w:szCs w:val="21"/>
          <w:highlight w:val="yellow"/>
        </w:rPr>
      </w:pPr>
      <w:r w:rsidRPr="00A644AA">
        <w:rPr>
          <w:rFonts w:ascii="Times New Roman" w:eastAsia="SimSun" w:hAnsi="Times New Roman" w:cs="Times New Roman"/>
          <w:sz w:val="21"/>
          <w:szCs w:val="21"/>
          <w:lang w:eastAsia="zh-CN"/>
        </w:rPr>
        <w:t>Weighted average</w:t>
      </w:r>
      <w:r w:rsidRPr="00A644AA">
        <w:rPr>
          <w:rFonts w:ascii="Times New Roman" w:hAnsi="Times New Roman" w:cs="Times New Roman"/>
          <w:sz w:val="21"/>
          <w:szCs w:val="21"/>
        </w:rPr>
        <w:t xml:space="preserve"> circulation rate </w:t>
      </w:r>
      <m:oMath>
        <m:acc>
          <m:accPr>
            <m:chr m:val="̅"/>
            <m:ctrlPr>
              <w:rPr>
                <w:rFonts w:ascii="Cambria Math" w:hAnsi="Cambria Math" w:cs="Times New Roman"/>
                <w:i/>
                <w:sz w:val="21"/>
                <w:szCs w:val="21"/>
              </w:rPr>
            </m:ctrlPr>
          </m:accPr>
          <m:e>
            <m:r>
              <w:rPr>
                <w:rFonts w:ascii="Cambria Math" w:hAnsi="Cambria Math" w:cs="Times New Roman"/>
                <w:sz w:val="21"/>
                <w:szCs w:val="21"/>
              </w:rPr>
              <m:t>R</m:t>
            </m:r>
          </m:e>
        </m:acc>
        <m:r>
          <w:rPr>
            <w:rFonts w:ascii="Cambria Math" w:hAnsi="Cambria Math" w:cs="Times New Roman"/>
            <w:sz w:val="21"/>
            <w:szCs w:val="21"/>
          </w:rPr>
          <m:t>=</m:t>
        </m:r>
        <m:f>
          <m:fPr>
            <m:ctrlPr>
              <w:rPr>
                <w:rFonts w:ascii="Cambria Math" w:hAnsi="Cambria Math" w:cs="Times New Roman"/>
                <w:i/>
                <w:sz w:val="21"/>
                <w:szCs w:val="21"/>
              </w:rPr>
            </m:ctrlPr>
          </m:fPr>
          <m:num>
            <m:sSub>
              <m:sSubPr>
                <m:ctrlPr>
                  <w:rPr>
                    <w:rFonts w:ascii="Cambria Math" w:hAnsi="Cambria Math" w:cs="Times New Roman"/>
                    <w:i/>
                    <w:sz w:val="21"/>
                    <w:szCs w:val="21"/>
                  </w:rPr>
                </m:ctrlPr>
              </m:sSubPr>
              <m:e>
                <m:r>
                  <w:rPr>
                    <w:rFonts w:ascii="Cambria Math" w:hAnsi="Cambria Math" w:cs="Times New Roman"/>
                    <w:sz w:val="21"/>
                    <w:szCs w:val="21"/>
                  </w:rPr>
                  <m:t>R</m:t>
                </m:r>
              </m:e>
              <m:sub>
                <m:r>
                  <w:rPr>
                    <w:rFonts w:ascii="Cambria Math" w:hAnsi="Cambria Math" w:cs="Times New Roman"/>
                    <w:sz w:val="21"/>
                    <w:szCs w:val="21"/>
                  </w:rPr>
                  <m:t>in</m:t>
                </m:r>
              </m:sub>
            </m:sSub>
            <m:r>
              <w:rPr>
                <w:rFonts w:ascii="Cambria Math" w:eastAsia="SimSun" w:hAnsi="Cambria Math" w:cs="Times New Roman"/>
                <w:sz w:val="21"/>
                <w:szCs w:val="21"/>
                <w:lang w:eastAsia="zh-CN"/>
              </w:rPr>
              <m:t>·(a+b+e)+</m:t>
            </m:r>
            <m:sSub>
              <m:sSubPr>
                <m:ctrlPr>
                  <w:rPr>
                    <w:rFonts w:ascii="Cambria Math" w:hAnsi="Cambria Math" w:cs="Times New Roman"/>
                    <w:i/>
                    <w:sz w:val="21"/>
                    <w:szCs w:val="21"/>
                  </w:rPr>
                </m:ctrlPr>
              </m:sSubPr>
              <m:e>
                <m:r>
                  <w:rPr>
                    <w:rFonts w:ascii="Cambria Math" w:hAnsi="Cambria Math" w:cs="Times New Roman"/>
                    <w:sz w:val="21"/>
                    <w:szCs w:val="21"/>
                  </w:rPr>
                  <m:t>R</m:t>
                </m:r>
              </m:e>
              <m:sub>
                <m:r>
                  <w:rPr>
                    <w:rFonts w:ascii="Cambria Math" w:hAnsi="Cambria Math" w:cs="Times New Roman"/>
                    <w:sz w:val="21"/>
                    <w:szCs w:val="21"/>
                  </w:rPr>
                  <m:t>o</m:t>
                </m:r>
                <m:r>
                  <w:rPr>
                    <w:rFonts w:ascii="Cambria Math" w:eastAsia="SimSun" w:hAnsi="Cambria Math" w:cs="Times New Roman"/>
                    <w:sz w:val="21"/>
                    <w:szCs w:val="21"/>
                    <w:lang w:eastAsia="zh-CN"/>
                  </w:rPr>
                  <m:t>ut</m:t>
                </m:r>
              </m:sub>
            </m:sSub>
            <m:r>
              <w:rPr>
                <w:rFonts w:ascii="Cambria Math" w:eastAsia="SimSun" w:hAnsi="Cambria Math" w:cs="Times New Roman"/>
                <w:sz w:val="21"/>
                <w:szCs w:val="21"/>
                <w:lang w:eastAsia="zh-CN"/>
              </w:rPr>
              <m:t>·(c+d+e)</m:t>
            </m:r>
          </m:num>
          <m:den>
            <m:r>
              <w:rPr>
                <w:rFonts w:ascii="Cambria Math" w:eastAsia="SimSun" w:hAnsi="Cambria Math" w:cs="Times New Roman"/>
                <w:sz w:val="21"/>
                <w:szCs w:val="21"/>
                <w:lang w:eastAsia="zh-CN"/>
              </w:rPr>
              <m:t>(a+b+e)</m:t>
            </m:r>
            <m:r>
              <w:rPr>
                <w:rFonts w:ascii="Cambria Math" w:hAnsi="Cambria Math" w:cs="Times New Roman"/>
                <w:sz w:val="21"/>
                <w:szCs w:val="21"/>
              </w:rPr>
              <m:t>+(</m:t>
            </m:r>
            <m:r>
              <w:rPr>
                <w:rFonts w:ascii="Cambria Math" w:eastAsia="SimSun" w:hAnsi="Cambria Math" w:cs="Times New Roman"/>
                <w:sz w:val="21"/>
                <w:szCs w:val="21"/>
                <w:lang w:eastAsia="zh-CN"/>
              </w:rPr>
              <m:t>c+d+e)</m:t>
            </m:r>
          </m:den>
        </m:f>
      </m:oMath>
      <w:r w:rsidRPr="00A644AA">
        <w:rPr>
          <w:rFonts w:ascii="Times New Roman" w:eastAsia="SimSun" w:hAnsi="Times New Roman" w:cs="Times New Roman"/>
          <w:sz w:val="21"/>
          <w:szCs w:val="21"/>
        </w:rPr>
        <w:t xml:space="preserve">      </w:t>
      </w:r>
      <w:r w:rsidRPr="00A644AA">
        <w:rPr>
          <w:rFonts w:ascii="Times New Roman" w:hAnsi="Times New Roman" w:cs="Times New Roman"/>
          <w:sz w:val="21"/>
          <w:szCs w:val="21"/>
        </w:rPr>
        <w:t xml:space="preserve">(Equation </w:t>
      </w:r>
      <w:r>
        <w:rPr>
          <w:rFonts w:ascii="Times New Roman" w:hAnsi="Times New Roman" w:cs="Times New Roman" w:hint="eastAsia"/>
          <w:sz w:val="21"/>
          <w:szCs w:val="21"/>
        </w:rPr>
        <w:t>3</w:t>
      </w:r>
      <w:r w:rsidRPr="00A644AA">
        <w:rPr>
          <w:rFonts w:ascii="Times New Roman" w:hAnsi="Times New Roman" w:cs="Times New Roman"/>
          <w:sz w:val="21"/>
          <w:szCs w:val="21"/>
        </w:rPr>
        <w:t>)</w:t>
      </w:r>
    </w:p>
    <w:p w14:paraId="5CF2DB7C" w14:textId="2618051B" w:rsidR="007D36C2" w:rsidRDefault="007D36C2" w:rsidP="00A644AA">
      <w:pPr>
        <w:rPr>
          <w:rFonts w:ascii="Times New Roman" w:eastAsiaTheme="minorEastAsia" w:hAnsi="Times New Roman" w:cs="Times New Roman"/>
          <w:sz w:val="21"/>
          <w:szCs w:val="21"/>
        </w:rPr>
      </w:pPr>
      <w:r w:rsidRPr="007D36C2">
        <w:rPr>
          <w:rFonts w:ascii="Times New Roman" w:eastAsia="SimSun" w:hAnsi="Times New Roman" w:cs="Times New Roman"/>
          <w:sz w:val="21"/>
          <w:szCs w:val="21"/>
          <w:lang w:eastAsia="zh-CN"/>
        </w:rPr>
        <w:t>let</w:t>
      </w:r>
      <w:r w:rsidR="007A0B81" w:rsidRPr="007A0B81">
        <w:rPr>
          <w:rFonts w:ascii="Cambria Math" w:hAnsi="Cambria Math" w:cs="Times New Roman"/>
          <w:i/>
          <w:sz w:val="21"/>
          <w:szCs w:val="21"/>
        </w:rPr>
        <w:t xml:space="preserve"> </w:t>
      </w:r>
      <m:oMath>
        <m:r>
          <w:rPr>
            <w:rFonts w:ascii="Cambria Math" w:hAnsi="Cambria Math" w:cs="Times New Roman"/>
            <w:sz w:val="21"/>
            <w:szCs w:val="21"/>
          </w:rPr>
          <m:t>a</m:t>
        </m:r>
      </m:oMath>
      <w:r w:rsidRPr="007D36C2">
        <w:rPr>
          <w:rFonts w:ascii="Times New Roman" w:eastAsia="SimSun" w:hAnsi="Times New Roman" w:cs="Times New Roman"/>
          <w:sz w:val="21"/>
          <w:szCs w:val="21"/>
          <w:lang w:eastAsia="zh-CN"/>
        </w:rPr>
        <w:t xml:space="preserve"> represent the inflow of virgin raw materials, </w:t>
      </w:r>
      <m:oMath>
        <m:r>
          <w:rPr>
            <w:rFonts w:ascii="Cambria Math" w:hAnsi="Cambria Math" w:cs="Times New Roman"/>
            <w:sz w:val="21"/>
            <w:szCs w:val="21"/>
          </w:rPr>
          <m:t>b</m:t>
        </m:r>
      </m:oMath>
      <w:r w:rsidR="007A0B81" w:rsidRPr="00A644AA">
        <w:rPr>
          <w:rFonts w:ascii="Times New Roman" w:eastAsia="SimSun" w:hAnsi="Times New Roman" w:cs="Times New Roman"/>
          <w:sz w:val="21"/>
          <w:szCs w:val="21"/>
          <w:lang w:eastAsia="zh-CN"/>
        </w:rPr>
        <w:t xml:space="preserve"> and </w:t>
      </w:r>
      <m:oMath>
        <m:r>
          <w:rPr>
            <w:rFonts w:ascii="Cambria Math" w:hAnsi="Cambria Math" w:cs="Times New Roman"/>
            <w:sz w:val="21"/>
            <w:szCs w:val="21"/>
          </w:rPr>
          <m:t>d</m:t>
        </m:r>
      </m:oMath>
      <w:r w:rsidR="007A0B81" w:rsidRPr="007D36C2">
        <w:rPr>
          <w:rFonts w:ascii="Times New Roman" w:eastAsia="SimSun" w:hAnsi="Times New Roman" w:cs="Times New Roman"/>
          <w:sz w:val="21"/>
          <w:szCs w:val="21"/>
          <w:lang w:eastAsia="zh-CN"/>
        </w:rPr>
        <w:t xml:space="preserve"> </w:t>
      </w:r>
      <w:r w:rsidRPr="007D36C2">
        <w:rPr>
          <w:rFonts w:ascii="Times New Roman" w:eastAsia="SimSun" w:hAnsi="Times New Roman" w:cs="Times New Roman"/>
          <w:sz w:val="21"/>
          <w:szCs w:val="21"/>
          <w:lang w:eastAsia="zh-CN"/>
        </w:rPr>
        <w:t xml:space="preserve">denote open-loop recycling from and to other industries or countries, </w:t>
      </w:r>
      <m:oMath>
        <m:r>
          <w:rPr>
            <w:rFonts w:ascii="Cambria Math" w:hAnsi="Cambria Math" w:cs="Times New Roman"/>
            <w:sz w:val="21"/>
            <w:szCs w:val="21"/>
          </w:rPr>
          <m:t>c</m:t>
        </m:r>
      </m:oMath>
      <w:r w:rsidRPr="007D36C2">
        <w:rPr>
          <w:rFonts w:ascii="Times New Roman" w:eastAsia="SimSun" w:hAnsi="Times New Roman" w:cs="Times New Roman"/>
          <w:sz w:val="21"/>
          <w:szCs w:val="21"/>
          <w:lang w:eastAsia="zh-CN"/>
        </w:rPr>
        <w:t xml:space="preserve"> represent final disposal, and </w:t>
      </w:r>
      <m:oMath>
        <m:r>
          <w:rPr>
            <w:rFonts w:ascii="Cambria Math" w:hAnsi="Cambria Math" w:cs="Times New Roman"/>
            <w:sz w:val="21"/>
            <w:szCs w:val="21"/>
          </w:rPr>
          <m:t>e</m:t>
        </m:r>
      </m:oMath>
      <w:r w:rsidRPr="007D36C2">
        <w:rPr>
          <w:rFonts w:ascii="Times New Roman" w:eastAsia="SimSun" w:hAnsi="Times New Roman" w:cs="Times New Roman"/>
          <w:sz w:val="21"/>
          <w:szCs w:val="21"/>
          <w:lang w:eastAsia="zh-CN"/>
        </w:rPr>
        <w:t xml:space="preserve"> indicate closed-loop recycling within Japan’s automotive </w:t>
      </w:r>
      <w:r w:rsidR="003D2A24">
        <w:rPr>
          <w:rFonts w:ascii="Times New Roman" w:eastAsiaTheme="minorEastAsia" w:hAnsi="Times New Roman" w:cs="Times New Roman" w:hint="eastAsia"/>
          <w:sz w:val="21"/>
          <w:szCs w:val="21"/>
        </w:rPr>
        <w:t>supply chain</w:t>
      </w:r>
      <w:r w:rsidRPr="007D36C2">
        <w:rPr>
          <w:rFonts w:ascii="Times New Roman" w:eastAsia="SimSun" w:hAnsi="Times New Roman" w:cs="Times New Roman"/>
          <w:sz w:val="21"/>
          <w:szCs w:val="21"/>
          <w:lang w:eastAsia="zh-CN"/>
        </w:rPr>
        <w:t>. Given the lack of clear data on cross-industry flows of recycled materials (</w:t>
      </w:r>
      <m:oMath>
        <m:r>
          <w:rPr>
            <w:rFonts w:ascii="Cambria Math" w:hAnsi="Cambria Math" w:cs="Times New Roman"/>
            <w:sz w:val="21"/>
            <w:szCs w:val="21"/>
          </w:rPr>
          <m:t>b</m:t>
        </m:r>
      </m:oMath>
      <w:r w:rsidR="008B0BF5" w:rsidRPr="00A644AA">
        <w:rPr>
          <w:rFonts w:ascii="Times New Roman" w:eastAsia="SimSun" w:hAnsi="Times New Roman" w:cs="Times New Roman"/>
          <w:sz w:val="21"/>
          <w:szCs w:val="21"/>
          <w:lang w:eastAsia="zh-CN"/>
        </w:rPr>
        <w:t xml:space="preserve"> and </w:t>
      </w:r>
      <m:oMath>
        <m:r>
          <w:rPr>
            <w:rFonts w:ascii="Cambria Math" w:hAnsi="Cambria Math" w:cs="Times New Roman"/>
            <w:sz w:val="21"/>
            <w:szCs w:val="21"/>
          </w:rPr>
          <m:t>d</m:t>
        </m:r>
      </m:oMath>
      <w:r w:rsidRPr="007D36C2">
        <w:rPr>
          <w:rFonts w:ascii="Times New Roman" w:eastAsia="SimSun" w:hAnsi="Times New Roman" w:cs="Times New Roman"/>
          <w:sz w:val="21"/>
          <w:szCs w:val="21"/>
          <w:lang w:eastAsia="zh-CN"/>
        </w:rPr>
        <w:t>), these are excluded from the calculation. As a result, the indicators focus exclusively on closed-loop dynamics within the automotive LIB supply chain.</w:t>
      </w:r>
    </w:p>
    <w:p w14:paraId="20D354DB" w14:textId="77777777" w:rsidR="00A644AA" w:rsidRPr="000D3B10" w:rsidRDefault="00A644AA" w:rsidP="00A644AA">
      <w:pPr>
        <w:rPr>
          <w:rFonts w:ascii="Times New Roman" w:eastAsiaTheme="minorEastAsia" w:hAnsi="Times New Roman" w:cs="Times New Roman"/>
          <w:sz w:val="21"/>
          <w:szCs w:val="21"/>
        </w:rPr>
      </w:pPr>
    </w:p>
    <w:p w14:paraId="5FF3EC04" w14:textId="0213A98F" w:rsidR="009F1AE8" w:rsidRPr="000F62FA" w:rsidRDefault="00F83750" w:rsidP="00751063">
      <w:pPr>
        <w:pStyle w:val="2"/>
        <w:rPr>
          <w:rFonts w:eastAsia="DengXian"/>
        </w:rPr>
      </w:pPr>
      <w:bookmarkStart w:id="9" w:name="_Toc199865013"/>
      <w:r w:rsidRPr="000F62FA">
        <w:t>1.</w:t>
      </w:r>
      <w:r w:rsidR="00161E10">
        <w:rPr>
          <w:rFonts w:hint="eastAsia"/>
          <w:lang w:eastAsia="ja-JP"/>
        </w:rPr>
        <w:t>4</w:t>
      </w:r>
      <w:r w:rsidRPr="000F62FA">
        <w:t xml:space="preserve"> </w:t>
      </w:r>
      <w:r w:rsidR="004031BC" w:rsidRPr="000F62FA">
        <w:rPr>
          <w:rFonts w:eastAsia="DengXian"/>
        </w:rPr>
        <w:t xml:space="preserve">Overall </w:t>
      </w:r>
      <w:r w:rsidR="00363A22">
        <w:rPr>
          <w:rFonts w:eastAsia="DengXian" w:hint="eastAsia"/>
        </w:rPr>
        <w:t>A</w:t>
      </w:r>
      <w:r w:rsidRPr="000F62FA">
        <w:t>ssumptions</w:t>
      </w:r>
      <w:r w:rsidR="001C7428" w:rsidRPr="000F62FA">
        <w:rPr>
          <w:rFonts w:eastAsia="DengXian"/>
        </w:rPr>
        <w:t xml:space="preserve"> and </w:t>
      </w:r>
      <w:r w:rsidR="00363A22">
        <w:rPr>
          <w:rFonts w:eastAsia="DengXian" w:hint="eastAsia"/>
        </w:rPr>
        <w:t>P</w:t>
      </w:r>
      <w:r w:rsidR="001C7428" w:rsidRPr="000F62FA">
        <w:rPr>
          <w:rFonts w:eastAsia="DengXian"/>
        </w:rPr>
        <w:t xml:space="preserve">arameter </w:t>
      </w:r>
      <w:r w:rsidR="00363A22">
        <w:rPr>
          <w:rFonts w:eastAsia="DengXian" w:hint="eastAsia"/>
        </w:rPr>
        <w:t>S</w:t>
      </w:r>
      <w:r w:rsidR="001C7428" w:rsidRPr="000F62FA">
        <w:rPr>
          <w:rFonts w:eastAsia="DengXian"/>
        </w:rPr>
        <w:t>etting</w:t>
      </w:r>
      <w:r w:rsidR="00363A22">
        <w:rPr>
          <w:rFonts w:eastAsia="DengXian" w:hint="eastAsia"/>
        </w:rPr>
        <w:t>s</w:t>
      </w:r>
      <w:bookmarkEnd w:id="9"/>
    </w:p>
    <w:p w14:paraId="169AEBC1" w14:textId="77777777" w:rsidR="004A5838" w:rsidRDefault="00326045" w:rsidP="00326045">
      <w:pPr>
        <w:pStyle w:val="af"/>
        <w:rPr>
          <w:rFonts w:ascii="Times New Roman" w:eastAsia="DengXian" w:hAnsi="Times New Roman" w:cs="Times New Roman"/>
          <w:b w:val="0"/>
          <w:bCs w:val="0"/>
          <w:color w:val="000000" w:themeColor="text1"/>
          <w:lang w:eastAsia="zh-CN"/>
        </w:rPr>
      </w:pPr>
      <w:r w:rsidRPr="00326045">
        <w:rPr>
          <w:rFonts w:ascii="Times New Roman" w:eastAsia="DengXian" w:hAnsi="Times New Roman" w:cs="Times New Roman"/>
          <w:b w:val="0"/>
          <w:bCs w:val="0"/>
          <w:color w:val="000000" w:themeColor="text1"/>
          <w:lang w:eastAsia="zh-CN"/>
        </w:rPr>
        <w:t xml:space="preserve">The integrated dynamic material flow simulator developed in this study relies on numerous adjustable parameters and assumptions, which inevitably introduce uncertainty regarding future developments. </w:t>
      </w:r>
    </w:p>
    <w:p w14:paraId="1E08B57B" w14:textId="77777777" w:rsidR="004A5838" w:rsidRDefault="004A5838" w:rsidP="00326045">
      <w:pPr>
        <w:pStyle w:val="af"/>
        <w:rPr>
          <w:rFonts w:ascii="Times New Roman" w:eastAsia="DengXian" w:hAnsi="Times New Roman" w:cs="Times New Roman"/>
          <w:b w:val="0"/>
          <w:bCs w:val="0"/>
          <w:color w:val="000000" w:themeColor="text1"/>
          <w:lang w:eastAsia="zh-CN"/>
        </w:rPr>
      </w:pPr>
    </w:p>
    <w:p w14:paraId="26F01380" w14:textId="52543D2A" w:rsidR="004A5838" w:rsidRPr="0045628E" w:rsidRDefault="00326045" w:rsidP="00326045">
      <w:pPr>
        <w:pStyle w:val="af"/>
        <w:rPr>
          <w:rFonts w:ascii="Times New Roman" w:eastAsia="DengXian" w:hAnsi="Times New Roman" w:cs="Times New Roman"/>
          <w:b w:val="0"/>
          <w:bCs w:val="0"/>
          <w:color w:val="000000" w:themeColor="text1"/>
          <w:lang w:eastAsia="zh-CN"/>
        </w:rPr>
      </w:pPr>
      <w:r w:rsidRPr="00326045">
        <w:rPr>
          <w:rFonts w:ascii="Times New Roman" w:eastAsia="DengXian" w:hAnsi="Times New Roman" w:cs="Times New Roman"/>
          <w:b w:val="0"/>
          <w:bCs w:val="0"/>
          <w:color w:val="000000" w:themeColor="text1"/>
          <w:lang w:eastAsia="zh-CN"/>
        </w:rPr>
        <w:t>First, although the global transition to EVs is broadly anticipated, consumer preferences and policy trajectories remain highly fluid, influencing adoption rates</w:t>
      </w:r>
      <w:r w:rsidR="000C1325" w:rsidRPr="00315AA2">
        <w:rPr>
          <w:rFonts w:ascii="Times New Roman" w:eastAsia="SimSun" w:hAnsi="Times New Roman" w:cs="Times New Roman"/>
          <w:b w:val="0"/>
          <w:bCs w:val="0"/>
          <w:lang w:eastAsia="zh-CN"/>
        </w:rPr>
        <w:fldChar w:fldCharType="begin"/>
      </w:r>
      <w:r w:rsidR="000C1325" w:rsidRPr="00315AA2">
        <w:rPr>
          <w:rFonts w:ascii="Times New Roman" w:eastAsia="SimSun" w:hAnsi="Times New Roman" w:cs="Times New Roman"/>
          <w:b w:val="0"/>
          <w:bCs w:val="0"/>
          <w:lang w:eastAsia="zh-CN"/>
        </w:rPr>
        <w:instrText xml:space="preserve"> ADDIN EN.CITE &lt;EndNote&gt;&lt;Cite&gt;&lt;Author&gt;Egbue&lt;/Author&gt;&lt;Year&gt;2012&lt;/Year&gt;&lt;RecNum&gt;237&lt;/RecNum&gt;&lt;DisplayText&gt;&lt;style face="superscript"&gt;4&lt;/style&gt;&lt;/DisplayText&gt;&lt;record&gt;&lt;rec-number&gt;237&lt;/rec-number&gt;&lt;foreign-keys&gt;&lt;key app="EN" db-id="200xxs0psrtaz4eze9pp5vvrdraszefpsp0w" timestamp="1742740848"&gt;237&lt;/key&gt;&lt;/foreign-keys&gt;&lt;ref-type name="Journal Article"&gt;17&lt;/ref-type&gt;&lt;contributors&gt;&lt;authors&gt;&lt;author&gt;Egbue, Ona&lt;/author&gt;&lt;author&gt;Long, Suzanna&lt;/author&gt;&lt;/authors&gt;&lt;/contributors&gt;&lt;titles&gt;&lt;title&gt;Barriers to widespread adoption of electric vehicles: An analysis of consumer attitudes and perceptions&lt;/title&gt;&lt;secondary-title&gt;Energy Policy&lt;/secondary-title&gt;&lt;/titles&gt;&lt;periodical&gt;&lt;full-title&gt;Energy Policy&lt;/full-title&gt;&lt;/periodical&gt;&lt;pages&gt;717-729&lt;/pages&gt;&lt;volume&gt;48&lt;/volume&gt;&lt;keywords&gt;&lt;keyword&gt;Electric vehicles&lt;/keyword&gt;&lt;keyword&gt;Consumer attitudes&lt;/keyword&gt;&lt;keyword&gt;Socio-technical barriers&lt;/keyword&gt;&lt;/keywords&gt;&lt;dates&gt;&lt;year&gt;2012&lt;/year&gt;&lt;pub-dates&gt;&lt;date&gt;2012/09/01/&lt;/date&gt;&lt;/pub-dates&gt;&lt;/dates&gt;&lt;isbn&gt;0301-4215&lt;/isbn&gt;&lt;urls&gt;&lt;related-urls&gt;&lt;url&gt;https://www.sciencedirect.com/science/article/pii/S0301421512005162&lt;/url&gt;&lt;/related-urls&gt;&lt;/urls&gt;&lt;electronic-resource-num&gt;https://doi.org/10.1016/j.enpol.2012.06.009&lt;/electronic-resource-num&gt;&lt;/record&gt;&lt;/Cite&gt;&lt;/EndNote&gt;</w:instrText>
      </w:r>
      <w:r w:rsidR="000C1325" w:rsidRPr="00315AA2">
        <w:rPr>
          <w:rFonts w:ascii="Times New Roman" w:eastAsia="SimSun" w:hAnsi="Times New Roman" w:cs="Times New Roman"/>
          <w:b w:val="0"/>
          <w:bCs w:val="0"/>
          <w:lang w:eastAsia="zh-CN"/>
        </w:rPr>
        <w:fldChar w:fldCharType="separate"/>
      </w:r>
      <w:r w:rsidR="000C1325" w:rsidRPr="00315AA2">
        <w:rPr>
          <w:rFonts w:ascii="Times New Roman" w:eastAsia="SimSun" w:hAnsi="Times New Roman" w:cs="Times New Roman"/>
          <w:b w:val="0"/>
          <w:bCs w:val="0"/>
          <w:noProof/>
          <w:vertAlign w:val="superscript"/>
          <w:lang w:eastAsia="zh-CN"/>
        </w:rPr>
        <w:t>4</w:t>
      </w:r>
      <w:r w:rsidR="000C1325" w:rsidRPr="00315AA2">
        <w:rPr>
          <w:rFonts w:ascii="Times New Roman" w:eastAsia="SimSun" w:hAnsi="Times New Roman" w:cs="Times New Roman"/>
          <w:b w:val="0"/>
          <w:bCs w:val="0"/>
          <w:lang w:eastAsia="zh-CN"/>
        </w:rPr>
        <w:fldChar w:fldCharType="end"/>
      </w:r>
      <w:r w:rsidRPr="00326045">
        <w:rPr>
          <w:rFonts w:ascii="Times New Roman" w:eastAsia="DengXian" w:hAnsi="Times New Roman" w:cs="Times New Roman"/>
          <w:b w:val="0"/>
          <w:bCs w:val="0"/>
          <w:color w:val="000000" w:themeColor="text1"/>
          <w:lang w:eastAsia="zh-CN"/>
        </w:rPr>
        <w:t xml:space="preserve">. While Western countries are enforcing stringent recycling requirements within their regulatory frameworks, emerging economies such as </w:t>
      </w:r>
      <w:r w:rsidRPr="00326045">
        <w:rPr>
          <w:rFonts w:ascii="Times New Roman" w:eastAsia="DengXian" w:hAnsi="Times New Roman" w:cs="Times New Roman"/>
          <w:b w:val="0"/>
          <w:bCs w:val="0"/>
          <w:color w:val="000000" w:themeColor="text1"/>
          <w:lang w:eastAsia="zh-CN"/>
        </w:rPr>
        <w:lastRenderedPageBreak/>
        <w:t>Thailand are also advancing toward domestic EV production mandates</w:t>
      </w:r>
      <w:r w:rsidR="00D5486D" w:rsidRPr="00315AA2">
        <w:rPr>
          <w:rFonts w:ascii="Times New Roman" w:eastAsia="SimSun" w:hAnsi="Times New Roman" w:cs="Times New Roman"/>
          <w:b w:val="0"/>
          <w:bCs w:val="0"/>
          <w:lang w:eastAsia="zh-CN"/>
        </w:rPr>
        <w:fldChar w:fldCharType="begin"/>
      </w:r>
      <w:r w:rsidR="00D5486D" w:rsidRPr="00315AA2">
        <w:rPr>
          <w:rFonts w:ascii="Times New Roman" w:eastAsia="SimSun" w:hAnsi="Times New Roman" w:cs="Times New Roman"/>
          <w:b w:val="0"/>
          <w:bCs w:val="0"/>
          <w:lang w:eastAsia="zh-CN"/>
        </w:rPr>
        <w:instrText xml:space="preserve"> ADDIN EN.CITE &lt;EndNote&gt;&lt;Cite&gt;&lt;Author&gt;Investment&lt;/Author&gt;&lt;Year&gt;2023&lt;/Year&gt;&lt;RecNum&gt;236&lt;/RecNum&gt;&lt;DisplayText&gt;&lt;style face="superscript"&gt;5&lt;/style&gt;&lt;/DisplayText&gt;&lt;record&gt;&lt;rec-number&gt;236&lt;/rec-number&gt;&lt;foreign-keys&gt;&lt;key app="EN" db-id="200xxs0psrtaz4eze9pp5vvrdraszefpsp0w" timestamp="1742739777"&gt;236&lt;/key&gt;&lt;/foreign-keys&gt;&lt;ref-type name="Newspaper Article"&gt;23&lt;/ref-type&gt;&lt;contributors&gt;&lt;authors&gt;&lt;author&gt;Thailand Board of Investment&lt;/author&gt;&lt;/authors&gt;&lt;/contributors&gt;&lt;titles&gt;&lt;title&gt;EV Board Gives the Green Light to EV 3.5 Package, Positioning Thailand as the Key Regional Hub for Electric Vehicle Manufacturing&lt;/title&gt;&lt;secondary-title&gt;&lt;style face="normal" font="default" size="100%"&gt;BOI&lt;/style&gt;&lt;style face="normal" font="default" charset="134" size="100%"&gt; &lt;/style&gt;&lt;style face="normal" font="default" size="100%"&gt;NEWS&lt;/style&gt;&lt;/secondary-title&gt;&lt;/titles&gt;&lt;dates&gt;&lt;year&gt;2023&lt;/year&gt;&lt;/dates&gt;&lt;urls&gt;&lt;related-urls&gt;&lt;url&gt;https://www.boi.go.th/index.php?page=press_releases_detail&amp;amp;topic_id=134676&amp;amp;_module=news&amp;amp;from_page=press_releases2&lt;/url&gt;&lt;/related-urls&gt;&lt;/urls&gt;&lt;/record&gt;&lt;/Cite&gt;&lt;/EndNote&gt;</w:instrText>
      </w:r>
      <w:r w:rsidR="00D5486D" w:rsidRPr="00315AA2">
        <w:rPr>
          <w:rFonts w:ascii="Times New Roman" w:eastAsia="SimSun" w:hAnsi="Times New Roman" w:cs="Times New Roman"/>
          <w:b w:val="0"/>
          <w:bCs w:val="0"/>
          <w:lang w:eastAsia="zh-CN"/>
        </w:rPr>
        <w:fldChar w:fldCharType="separate"/>
      </w:r>
      <w:r w:rsidR="00D5486D" w:rsidRPr="00315AA2">
        <w:rPr>
          <w:rFonts w:ascii="Times New Roman" w:eastAsia="SimSun" w:hAnsi="Times New Roman" w:cs="Times New Roman"/>
          <w:b w:val="0"/>
          <w:bCs w:val="0"/>
          <w:noProof/>
          <w:vertAlign w:val="superscript"/>
          <w:lang w:eastAsia="zh-CN"/>
        </w:rPr>
        <w:t>5</w:t>
      </w:r>
      <w:r w:rsidR="00D5486D" w:rsidRPr="00315AA2">
        <w:rPr>
          <w:rFonts w:ascii="Times New Roman" w:eastAsia="SimSun" w:hAnsi="Times New Roman" w:cs="Times New Roman"/>
          <w:b w:val="0"/>
          <w:bCs w:val="0"/>
          <w:lang w:eastAsia="zh-CN"/>
        </w:rPr>
        <w:fldChar w:fldCharType="end"/>
      </w:r>
      <w:r w:rsidRPr="00326045">
        <w:rPr>
          <w:rFonts w:ascii="Times New Roman" w:eastAsia="DengXian" w:hAnsi="Times New Roman" w:cs="Times New Roman"/>
          <w:b w:val="0"/>
          <w:bCs w:val="0"/>
          <w:color w:val="000000" w:themeColor="text1"/>
          <w:lang w:eastAsia="zh-CN"/>
        </w:rPr>
        <w:t>. The future competitiveness of Japanese EVs and battery technologies further compounds the uncertainty surrounding Japan’s domestic market and export potential.</w:t>
      </w:r>
      <w:r w:rsidR="00D45C93">
        <w:rPr>
          <w:rFonts w:ascii="Times New Roman" w:eastAsia="DengXian" w:hAnsi="Times New Roman" w:cs="Times New Roman" w:hint="eastAsia"/>
          <w:b w:val="0"/>
          <w:bCs w:val="0"/>
          <w:color w:val="000000" w:themeColor="text1"/>
          <w:lang w:eastAsia="zh-CN"/>
        </w:rPr>
        <w:t xml:space="preserve"> </w:t>
      </w:r>
      <w:r w:rsidR="00E17ACA">
        <w:rPr>
          <w:rFonts w:ascii="Times New Roman" w:eastAsia="DengXian" w:hAnsi="Times New Roman" w:cs="Times New Roman" w:hint="eastAsia"/>
          <w:b w:val="0"/>
          <w:bCs w:val="0"/>
          <w:color w:val="000000" w:themeColor="text1"/>
          <w:lang w:eastAsia="zh-CN"/>
        </w:rPr>
        <w:t xml:space="preserve">We assume </w:t>
      </w:r>
      <w:r w:rsidR="00185D08">
        <w:rPr>
          <w:rFonts w:ascii="Times New Roman" w:eastAsia="DengXian" w:hAnsi="Times New Roman" w:cs="Times New Roman" w:hint="eastAsia"/>
          <w:b w:val="0"/>
          <w:bCs w:val="0"/>
          <w:color w:val="000000" w:themeColor="text1"/>
          <w:lang w:eastAsia="zh-CN"/>
        </w:rPr>
        <w:t xml:space="preserve">that Japan can keep </w:t>
      </w:r>
      <w:r w:rsidR="0045628E">
        <w:rPr>
          <w:rFonts w:ascii="Times New Roman" w:eastAsia="DengXian" w:hAnsi="Times New Roman" w:cs="Times New Roman" w:hint="eastAsia"/>
          <w:b w:val="0"/>
          <w:bCs w:val="0"/>
          <w:color w:val="000000" w:themeColor="text1"/>
          <w:lang w:eastAsia="zh-CN"/>
        </w:rPr>
        <w:t>his</w:t>
      </w:r>
      <w:r w:rsidR="00185D08">
        <w:rPr>
          <w:rFonts w:ascii="Times New Roman" w:eastAsia="DengXian" w:hAnsi="Times New Roman" w:cs="Times New Roman" w:hint="eastAsia"/>
          <w:b w:val="0"/>
          <w:bCs w:val="0"/>
          <w:color w:val="000000" w:themeColor="text1"/>
          <w:lang w:eastAsia="zh-CN"/>
        </w:rPr>
        <w:t xml:space="preserve"> advantages in automobile </w:t>
      </w:r>
      <w:r w:rsidR="00185D08">
        <w:rPr>
          <w:rFonts w:ascii="Times New Roman" w:eastAsia="DengXian" w:hAnsi="Times New Roman" w:cs="Times New Roman"/>
          <w:b w:val="0"/>
          <w:bCs w:val="0"/>
          <w:color w:val="000000" w:themeColor="text1"/>
          <w:lang w:eastAsia="zh-CN"/>
        </w:rPr>
        <w:t>industry</w:t>
      </w:r>
      <w:r w:rsidR="00185D08">
        <w:rPr>
          <w:rFonts w:ascii="Times New Roman" w:eastAsia="DengXian" w:hAnsi="Times New Roman" w:cs="Times New Roman" w:hint="eastAsia"/>
          <w:b w:val="0"/>
          <w:bCs w:val="0"/>
          <w:color w:val="000000" w:themeColor="text1"/>
          <w:lang w:eastAsia="zh-CN"/>
        </w:rPr>
        <w:t xml:space="preserve"> </w:t>
      </w:r>
      <w:r w:rsidR="00F3066D">
        <w:rPr>
          <w:rFonts w:ascii="Times New Roman" w:eastAsia="DengXian" w:hAnsi="Times New Roman" w:cs="Times New Roman" w:hint="eastAsia"/>
          <w:b w:val="0"/>
          <w:bCs w:val="0"/>
          <w:color w:val="000000" w:themeColor="text1"/>
          <w:lang w:eastAsia="zh-CN"/>
        </w:rPr>
        <w:t xml:space="preserve">during the transition </w:t>
      </w:r>
      <w:r w:rsidR="0045628E">
        <w:rPr>
          <w:rFonts w:ascii="Times New Roman" w:eastAsia="DengXian" w:hAnsi="Times New Roman" w:cs="Times New Roman" w:hint="eastAsia"/>
          <w:b w:val="0"/>
          <w:bCs w:val="0"/>
          <w:color w:val="000000" w:themeColor="text1"/>
          <w:lang w:eastAsia="zh-CN"/>
        </w:rPr>
        <w:t xml:space="preserve">to EVs. </w:t>
      </w:r>
    </w:p>
    <w:p w14:paraId="330B5E72" w14:textId="77777777" w:rsidR="004A5838" w:rsidRDefault="004A5838" w:rsidP="00326045">
      <w:pPr>
        <w:pStyle w:val="af"/>
        <w:rPr>
          <w:rFonts w:ascii="Times New Roman" w:eastAsia="DengXian" w:hAnsi="Times New Roman" w:cs="Times New Roman"/>
          <w:b w:val="0"/>
          <w:bCs w:val="0"/>
          <w:color w:val="000000" w:themeColor="text1"/>
          <w:lang w:eastAsia="zh-CN"/>
        </w:rPr>
      </w:pPr>
    </w:p>
    <w:p w14:paraId="6E8D0CEF" w14:textId="0C2D4DF6" w:rsidR="004A5838" w:rsidRDefault="00326045" w:rsidP="00326045">
      <w:pPr>
        <w:pStyle w:val="af"/>
        <w:rPr>
          <w:rFonts w:ascii="Times New Roman" w:eastAsia="DengXian" w:hAnsi="Times New Roman" w:cs="Times New Roman"/>
          <w:b w:val="0"/>
          <w:bCs w:val="0"/>
          <w:color w:val="000000" w:themeColor="text1"/>
          <w:lang w:eastAsia="zh-CN"/>
        </w:rPr>
      </w:pPr>
      <w:r w:rsidRPr="00326045">
        <w:rPr>
          <w:rFonts w:ascii="Times New Roman" w:eastAsia="DengXian" w:hAnsi="Times New Roman" w:cs="Times New Roman"/>
          <w:b w:val="0"/>
          <w:bCs w:val="0"/>
          <w:color w:val="000000" w:themeColor="text1"/>
          <w:lang w:eastAsia="zh-CN"/>
        </w:rPr>
        <w:t>Second, ongoing innovations in battery technology are likely to yield a wider array of chemistries and usage scenarios, shaped by factors such as energy density, cost, safety, and integration with power grids</w:t>
      </w:r>
      <w:r w:rsidR="00090036" w:rsidRPr="00315AA2">
        <w:rPr>
          <w:rFonts w:ascii="Times New Roman" w:eastAsia="SimSun" w:hAnsi="Times New Roman" w:cs="Times New Roman"/>
          <w:b w:val="0"/>
          <w:bCs w:val="0"/>
          <w:lang w:eastAsia="zh-CN"/>
        </w:rPr>
        <w:fldChar w:fldCharType="begin"/>
      </w:r>
      <w:r w:rsidR="00090036" w:rsidRPr="00315AA2">
        <w:rPr>
          <w:rFonts w:ascii="Times New Roman" w:eastAsia="SimSun" w:hAnsi="Times New Roman" w:cs="Times New Roman"/>
          <w:b w:val="0"/>
          <w:bCs w:val="0"/>
          <w:lang w:eastAsia="zh-CN"/>
        </w:rPr>
        <w:instrText xml:space="preserve"> ADDIN EN.CITE &lt;EndNote&gt;&lt;Cite&gt;&lt;Author&gt;Cano&lt;/Author&gt;&lt;Year&gt;2018&lt;/Year&gt;&lt;RecNum&gt;235&lt;/RecNum&gt;&lt;DisplayText&gt;&lt;style face="superscript"&gt;6&lt;/style&gt;&lt;/DisplayText&gt;&lt;record&gt;&lt;rec-number&gt;235&lt;/rec-number&gt;&lt;foreign-keys&gt;&lt;key app="EN" db-id="200xxs0psrtaz4eze9pp5vvrdraszefpsp0w" timestamp="1742738072"&gt;235&lt;/key&gt;&lt;/foreign-keys&gt;&lt;ref-type name="Journal Article"&gt;17&lt;/ref-type&gt;&lt;contributors&gt;&lt;authors&gt;&lt;author&gt;Cano, Zachary P.&lt;/author&gt;&lt;author&gt;Banham, Dustin&lt;/author&gt;&lt;author&gt;Ye, Siyu&lt;/author&gt;&lt;author&gt;Hintennach, Andreas&lt;/author&gt;&lt;author&gt;Lu, Jun&lt;/author&gt;&lt;author&gt;Fowler, Michael&lt;/author&gt;&lt;author&gt;Chen, Zhongwei&lt;/author&gt;&lt;/authors&gt;&lt;/contributors&gt;&lt;titles&gt;&lt;title&gt;Batteries and fuel cells for emerging electric vehicle markets&lt;/title&gt;&lt;secondary-title&gt;Nature Energy&lt;/secondary-title&gt;&lt;/titles&gt;&lt;periodical&gt;&lt;full-title&gt;Nature Energy&lt;/full-title&gt;&lt;/periodical&gt;&lt;pages&gt;279-289&lt;/pages&gt;&lt;volume&gt;3&lt;/volume&gt;&lt;number&gt;4&lt;/number&gt;&lt;dates&gt;&lt;year&gt;2018&lt;/year&gt;&lt;pub-dates&gt;&lt;date&gt;2018/04/01&lt;/date&gt;&lt;/pub-dates&gt;&lt;/dates&gt;&lt;isbn&gt;2058-7546&lt;/isbn&gt;&lt;urls&gt;&lt;related-urls&gt;&lt;url&gt;https://doi.org/10.1038/s41560-018-0108-1&lt;/url&gt;&lt;/related-urls&gt;&lt;/urls&gt;&lt;electronic-resource-num&gt;10.1038/s41560-018-0108-1&lt;/electronic-resource-num&gt;&lt;/record&gt;&lt;/Cite&gt;&lt;/EndNote&gt;</w:instrText>
      </w:r>
      <w:r w:rsidR="00090036" w:rsidRPr="00315AA2">
        <w:rPr>
          <w:rFonts w:ascii="Times New Roman" w:eastAsia="SimSun" w:hAnsi="Times New Roman" w:cs="Times New Roman"/>
          <w:b w:val="0"/>
          <w:bCs w:val="0"/>
          <w:lang w:eastAsia="zh-CN"/>
        </w:rPr>
        <w:fldChar w:fldCharType="separate"/>
      </w:r>
      <w:r w:rsidR="00090036" w:rsidRPr="00315AA2">
        <w:rPr>
          <w:rFonts w:ascii="Times New Roman" w:eastAsia="SimSun" w:hAnsi="Times New Roman" w:cs="Times New Roman"/>
          <w:b w:val="0"/>
          <w:bCs w:val="0"/>
          <w:noProof/>
          <w:vertAlign w:val="superscript"/>
          <w:lang w:eastAsia="zh-CN"/>
        </w:rPr>
        <w:t>6</w:t>
      </w:r>
      <w:r w:rsidR="00090036" w:rsidRPr="00315AA2">
        <w:rPr>
          <w:rFonts w:ascii="Times New Roman" w:eastAsia="SimSun" w:hAnsi="Times New Roman" w:cs="Times New Roman"/>
          <w:b w:val="0"/>
          <w:bCs w:val="0"/>
          <w:lang w:eastAsia="zh-CN"/>
        </w:rPr>
        <w:fldChar w:fldCharType="end"/>
      </w:r>
      <w:r w:rsidRPr="00326045">
        <w:rPr>
          <w:rFonts w:ascii="Times New Roman" w:eastAsia="DengXian" w:hAnsi="Times New Roman" w:cs="Times New Roman"/>
          <w:b w:val="0"/>
          <w:bCs w:val="0"/>
          <w:color w:val="000000" w:themeColor="text1"/>
          <w:lang w:eastAsia="zh-CN"/>
        </w:rPr>
        <w:t>. These developments may exceed current projections, leading to highly variable adoption patterns for both EVs and battery chemistries.</w:t>
      </w:r>
      <w:r w:rsidR="00D45C93">
        <w:rPr>
          <w:rFonts w:ascii="Times New Roman" w:eastAsia="DengXian" w:hAnsi="Times New Roman" w:cs="Times New Roman" w:hint="eastAsia"/>
          <w:b w:val="0"/>
          <w:bCs w:val="0"/>
          <w:color w:val="000000" w:themeColor="text1"/>
          <w:lang w:eastAsia="zh-CN"/>
        </w:rPr>
        <w:t xml:space="preserve"> </w:t>
      </w:r>
      <w:r w:rsidR="004F22E6">
        <w:rPr>
          <w:rFonts w:ascii="Times New Roman" w:eastAsia="DengXian" w:hAnsi="Times New Roman" w:cs="Times New Roman" w:hint="eastAsia"/>
          <w:b w:val="0"/>
          <w:bCs w:val="0"/>
          <w:color w:val="000000" w:themeColor="text1"/>
          <w:lang w:eastAsia="zh-CN"/>
        </w:rPr>
        <w:t xml:space="preserve">We follow </w:t>
      </w:r>
      <w:r w:rsidR="00D53921">
        <w:rPr>
          <w:rFonts w:ascii="Times New Roman" w:eastAsia="DengXian" w:hAnsi="Times New Roman" w:cs="Times New Roman" w:hint="eastAsia"/>
          <w:b w:val="0"/>
          <w:bCs w:val="0"/>
          <w:color w:val="000000" w:themeColor="text1"/>
          <w:lang w:eastAsia="zh-CN"/>
        </w:rPr>
        <w:t xml:space="preserve">the projection of domestic car market </w:t>
      </w:r>
      <w:r w:rsidR="004F7C0F">
        <w:rPr>
          <w:rFonts w:ascii="Times New Roman" w:eastAsia="DengXian" w:hAnsi="Times New Roman" w:cs="Times New Roman" w:hint="eastAsia"/>
          <w:b w:val="0"/>
          <w:bCs w:val="0"/>
          <w:color w:val="000000" w:themeColor="text1"/>
          <w:lang w:eastAsia="zh-CN"/>
        </w:rPr>
        <w:t xml:space="preserve">sharing </w:t>
      </w:r>
      <w:r w:rsidR="00D53921">
        <w:rPr>
          <w:rFonts w:ascii="Times New Roman" w:eastAsia="DengXian" w:hAnsi="Times New Roman" w:cs="Times New Roman" w:hint="eastAsia"/>
          <w:b w:val="0"/>
          <w:bCs w:val="0"/>
          <w:color w:val="000000" w:themeColor="text1"/>
          <w:lang w:eastAsia="zh-CN"/>
        </w:rPr>
        <w:t xml:space="preserve">by </w:t>
      </w:r>
      <w:r w:rsidR="00F707FA">
        <w:rPr>
          <w:rFonts w:ascii="Times New Roman" w:eastAsia="DengXian" w:hAnsi="Times New Roman" w:cs="Times New Roman" w:hint="eastAsia"/>
          <w:b w:val="0"/>
          <w:bCs w:val="0"/>
          <w:color w:val="000000" w:themeColor="text1"/>
          <w:lang w:eastAsia="zh-CN"/>
        </w:rPr>
        <w:t>JAMA</w:t>
      </w:r>
      <w:r w:rsidR="001922FA" w:rsidRPr="001B5C3D">
        <w:rPr>
          <w:rFonts w:ascii="Times New Roman" w:hAnsi="Times New Roman" w:cs="Times New Roman"/>
          <w:b w:val="0"/>
          <w:bCs w:val="0"/>
        </w:rPr>
        <w:fldChar w:fldCharType="begin"/>
      </w:r>
      <w:r w:rsidR="001922FA" w:rsidRPr="001B5C3D">
        <w:rPr>
          <w:rFonts w:ascii="Times New Roman" w:hAnsi="Times New Roman" w:cs="Times New Roman"/>
          <w:b w:val="0"/>
          <w:bCs w:val="0"/>
        </w:rPr>
        <w:instrText xml:space="preserve"> ADDIN EN.CITE &lt;EndNote&gt;&lt;Cite&gt;&lt;Author&gt;JAMA&lt;/Author&gt;&lt;Year&gt;2022&lt;/Year&gt;&lt;RecNum&gt;2&lt;/RecNum&gt;&lt;DisplayText&gt;&lt;style face="superscript"&gt;2&lt;/style&gt;&lt;/DisplayText&gt;&lt;record&gt;&lt;rec-number&gt;2&lt;/rec-number&gt;&lt;foreign-keys&gt;&lt;key app="EN" db-id="vxvpa0p0x9e5sge9zv2vwd2msfpf2rz99af0" timestamp="1666165698"&gt;2&lt;/key&gt;&lt;/foreign-keys&gt;&lt;ref-type name="Report"&gt;27&lt;/ref-type&gt;&lt;contributors&gt;&lt;authors&gt;&lt;author&gt;JAMA&lt;/author&gt;&lt;/authors&gt;&lt;/contributors&gt;&lt;titles&gt;&lt;title&gt;Transitioning to Carbon Neutrality by 2050: A Scenario-Based Analysis&lt;/title&gt;&lt;/titles&gt;&lt;dates&gt;&lt;year&gt;2022&lt;/year&gt;&lt;/dates&gt;&lt;pub-location&gt;Tokyo&lt;/pub-location&gt;&lt;publisher&gt;Japan Automobile Manufacturers Association (JAMA)&lt;/publisher&gt;&lt;urls&gt;&lt;related-urls&gt;&lt;url&gt;https://www.jama.or.jp/operation/ecology/carbon_neutral_scenario/PDF/Transitioning_to_CN_by_2050A_Scenario_Based_Analysis_EN.pdf&lt;/url&gt;&lt;/related-urls&gt;&lt;/urls&gt;&lt;/record&gt;&lt;/Cite&gt;&lt;/EndNote&gt;</w:instrText>
      </w:r>
      <w:r w:rsidR="001922FA" w:rsidRPr="001B5C3D">
        <w:rPr>
          <w:rFonts w:ascii="Times New Roman" w:hAnsi="Times New Roman" w:cs="Times New Roman"/>
          <w:b w:val="0"/>
          <w:bCs w:val="0"/>
        </w:rPr>
        <w:fldChar w:fldCharType="separate"/>
      </w:r>
      <w:r w:rsidR="001922FA" w:rsidRPr="001B5C3D">
        <w:rPr>
          <w:rFonts w:ascii="Times New Roman" w:hAnsi="Times New Roman" w:cs="Times New Roman"/>
          <w:b w:val="0"/>
          <w:bCs w:val="0"/>
          <w:noProof/>
          <w:vertAlign w:val="superscript"/>
        </w:rPr>
        <w:t>2</w:t>
      </w:r>
      <w:r w:rsidR="001922FA" w:rsidRPr="001B5C3D">
        <w:rPr>
          <w:rFonts w:ascii="Times New Roman" w:hAnsi="Times New Roman" w:cs="Times New Roman"/>
          <w:b w:val="0"/>
          <w:bCs w:val="0"/>
        </w:rPr>
        <w:fldChar w:fldCharType="end"/>
      </w:r>
      <w:r w:rsidR="00F707FA">
        <w:rPr>
          <w:rFonts w:ascii="Times New Roman" w:eastAsia="DengXian" w:hAnsi="Times New Roman" w:cs="Times New Roman" w:hint="eastAsia"/>
          <w:b w:val="0"/>
          <w:bCs w:val="0"/>
          <w:color w:val="000000" w:themeColor="text1"/>
          <w:lang w:eastAsia="zh-CN"/>
        </w:rPr>
        <w:t xml:space="preserve">, the projection of world car market sharing by </w:t>
      </w:r>
      <w:r w:rsidR="00100173">
        <w:rPr>
          <w:rFonts w:ascii="Times New Roman" w:eastAsia="DengXian" w:hAnsi="Times New Roman" w:cs="Times New Roman" w:hint="eastAsia"/>
          <w:b w:val="0"/>
          <w:bCs w:val="0"/>
          <w:color w:val="000000" w:themeColor="text1"/>
          <w:lang w:eastAsia="zh-CN"/>
        </w:rPr>
        <w:t>International Energy Agency (</w:t>
      </w:r>
      <w:r w:rsidR="00F707FA">
        <w:rPr>
          <w:rFonts w:ascii="Times New Roman" w:eastAsia="DengXian" w:hAnsi="Times New Roman" w:cs="Times New Roman" w:hint="eastAsia"/>
          <w:b w:val="0"/>
          <w:bCs w:val="0"/>
          <w:color w:val="000000" w:themeColor="text1"/>
          <w:lang w:eastAsia="zh-CN"/>
        </w:rPr>
        <w:t>IEA</w:t>
      </w:r>
      <w:r w:rsidR="00100173">
        <w:rPr>
          <w:rFonts w:ascii="Times New Roman" w:eastAsia="DengXian" w:hAnsi="Times New Roman" w:cs="Times New Roman" w:hint="eastAsia"/>
          <w:b w:val="0"/>
          <w:bCs w:val="0"/>
          <w:color w:val="000000" w:themeColor="text1"/>
          <w:lang w:eastAsia="zh-CN"/>
        </w:rPr>
        <w:t>)</w:t>
      </w:r>
      <w:r w:rsidR="00100173" w:rsidRPr="00B34D92">
        <w:rPr>
          <w:rFonts w:ascii="Times New Roman" w:eastAsia="SimSun" w:hAnsi="Times New Roman" w:cs="Times New Roman"/>
          <w:lang w:eastAsia="zh-CN"/>
        </w:rPr>
        <w:fldChar w:fldCharType="begin"/>
      </w:r>
      <w:r w:rsidR="00100173">
        <w:rPr>
          <w:rFonts w:ascii="Times New Roman" w:eastAsia="SimSun" w:hAnsi="Times New Roman" w:cs="Times New Roman"/>
          <w:lang w:eastAsia="zh-CN"/>
        </w:rPr>
        <w:instrText xml:space="preserve"> ADDIN EN.CITE &lt;EndNote&gt;&lt;Cite&gt;&lt;Author&gt;IEA&lt;/Author&gt;&lt;Year&gt;2024&lt;/Year&gt;&lt;RecNum&gt;140&lt;/RecNum&gt;&lt;DisplayText&gt;&lt;style face="superscript"&gt;7&lt;/style&gt;&lt;/DisplayText&gt;&lt;record&gt;&lt;rec-number&gt;140&lt;/rec-number&gt;&lt;foreign-keys&gt;&lt;key app="EN" db-id="200xxs0psrtaz4eze9pp5vvrdraszefpsp0w" timestamp="1609050113"&gt;140&lt;/key&gt;&lt;/foreign-keys&gt;&lt;ref-type name="Report"&gt;27&lt;/ref-type&gt;&lt;contributors&gt;&lt;authors&gt;&lt;author&gt;IEA&lt;/author&gt;&lt;/authors&gt;&lt;/contributors&gt;&lt;titles&gt;&lt;title&gt;Global EV Outlook 2024&lt;/title&gt;&lt;/titles&gt;&lt;dates&gt;&lt;year&gt;2024&lt;/year&gt;&lt;/dates&gt;&lt;pub-location&gt;Paris, https://www.iea.org/reports/global-ev-outlook-2020&lt;/pub-location&gt;&lt;publisher&gt;International Energy Agency (IEA)&lt;/publisher&gt;&lt;urls&gt;&lt;/urls&gt;&lt;/record&gt;&lt;/Cite&gt;&lt;/EndNote&gt;</w:instrText>
      </w:r>
      <w:r w:rsidR="00100173" w:rsidRPr="00B34D92">
        <w:rPr>
          <w:rFonts w:ascii="Times New Roman" w:eastAsia="SimSun" w:hAnsi="Times New Roman" w:cs="Times New Roman"/>
          <w:lang w:eastAsia="zh-CN"/>
        </w:rPr>
        <w:fldChar w:fldCharType="separate"/>
      </w:r>
      <w:r w:rsidR="00100173" w:rsidRPr="00100173">
        <w:rPr>
          <w:rFonts w:ascii="Times New Roman" w:eastAsia="SimSun" w:hAnsi="Times New Roman" w:cs="Times New Roman"/>
          <w:noProof/>
          <w:vertAlign w:val="superscript"/>
          <w:lang w:eastAsia="zh-CN"/>
        </w:rPr>
        <w:t>7</w:t>
      </w:r>
      <w:r w:rsidR="00100173" w:rsidRPr="00B34D92">
        <w:rPr>
          <w:rFonts w:ascii="Times New Roman" w:eastAsia="SimSun" w:hAnsi="Times New Roman" w:cs="Times New Roman"/>
          <w:lang w:eastAsia="zh-CN"/>
        </w:rPr>
        <w:fldChar w:fldCharType="end"/>
      </w:r>
      <w:r w:rsidR="00F707FA">
        <w:rPr>
          <w:rFonts w:ascii="Times New Roman" w:eastAsia="DengXian" w:hAnsi="Times New Roman" w:cs="Times New Roman" w:hint="eastAsia"/>
          <w:b w:val="0"/>
          <w:bCs w:val="0"/>
          <w:color w:val="000000" w:themeColor="text1"/>
          <w:lang w:eastAsia="zh-CN"/>
        </w:rPr>
        <w:t xml:space="preserve">, and the projection of battery chemistry </w:t>
      </w:r>
      <w:r w:rsidR="00305B7D">
        <w:rPr>
          <w:rFonts w:ascii="Times New Roman" w:eastAsia="DengXian" w:hAnsi="Times New Roman" w:cs="Times New Roman" w:hint="eastAsia"/>
          <w:b w:val="0"/>
          <w:bCs w:val="0"/>
          <w:color w:val="000000" w:themeColor="text1"/>
          <w:lang w:eastAsia="zh-CN"/>
        </w:rPr>
        <w:t xml:space="preserve">sharing changes provided by </w:t>
      </w:r>
      <w:r w:rsidR="00AF1D6B">
        <w:rPr>
          <w:rFonts w:ascii="Times New Roman" w:eastAsia="DengXian" w:hAnsi="Times New Roman" w:cs="Times New Roman" w:hint="eastAsia"/>
          <w:b w:val="0"/>
          <w:bCs w:val="0"/>
          <w:color w:val="000000" w:themeColor="text1"/>
          <w:lang w:eastAsia="zh-CN"/>
        </w:rPr>
        <w:t>Xu et al</w:t>
      </w:r>
      <w:r w:rsidR="000F612E" w:rsidRPr="000F612E">
        <w:rPr>
          <w:rFonts w:ascii="Times New Roman" w:eastAsia="DengXian" w:hAnsi="Times New Roman" w:cs="Times New Roman"/>
          <w:b w:val="0"/>
          <w:bCs w:val="0"/>
          <w:lang w:eastAsia="zh-CN"/>
        </w:rPr>
        <w:fldChar w:fldCharType="begin"/>
      </w:r>
      <w:r w:rsidR="000F612E" w:rsidRPr="000F612E">
        <w:rPr>
          <w:rFonts w:ascii="Times New Roman" w:eastAsia="DengXian" w:hAnsi="Times New Roman" w:cs="Times New Roman"/>
          <w:b w:val="0"/>
          <w:bCs w:val="0"/>
          <w:lang w:eastAsia="zh-CN"/>
        </w:rPr>
        <w:instrText xml:space="preserve"> ADDIN EN.CITE &lt;EndNote&gt;&lt;Cite&gt;&lt;Author&gt;Xu&lt;/Author&gt;&lt;Year&gt;2020&lt;/Year&gt;&lt;RecNum&gt;144&lt;/RecNum&gt;&lt;DisplayText&gt;&lt;style face="superscript"&gt;1&lt;/style&gt;&lt;/DisplayText&gt;&lt;record&gt;&lt;rec-number&gt;144&lt;/rec-number&gt;&lt;foreign-keys&gt;&lt;key app="EN" db-id="200xxs0psrtaz4eze9pp5vvrdraszefpsp0w" timestamp="1666171876"&gt;144&lt;/key&gt;&lt;/foreign-keys&gt;&lt;ref-type name="Journal Article"&gt;17&lt;/ref-type&gt;&lt;contributors&gt;&lt;authors&gt;&lt;author&gt;Xu, C. J.&lt;/author&gt;&lt;author&gt;Dai, Q.&lt;/author&gt;&lt;author&gt;Gaines, L.&lt;/author&gt;&lt;author&gt;Hu, M. M.&lt;/author&gt;&lt;author&gt;Tukker, A.&lt;/author&gt;&lt;author&gt;Steubing, B.&lt;/author&gt;&lt;/authors&gt;&lt;/contributors&gt;&lt;auth-address&gt;Leiden Univ, Inst Environm Sci CML, NL-2300 RA Leiden, Netherlands&amp;#xD;Argonne Natl Lab, ReCell Ctr, Lemont, IL USA&lt;/auth-address&gt;&lt;titles&gt;&lt;title&gt;Future material demand for automotive lithium-based batteries&lt;/title&gt;&lt;secondary-title&gt;Communications Materials&lt;/secondary-title&gt;&lt;alt-title&gt;Commun Mater&lt;/alt-title&gt;&lt;/titles&gt;&lt;periodical&gt;&lt;full-title&gt;Communications Materials&lt;/full-title&gt;&lt;abbr-1&gt;Commun Mater&lt;/abbr-1&gt;&lt;/periodical&gt;&lt;alt-periodical&gt;&lt;full-title&gt;Communications Materials&lt;/full-title&gt;&lt;abbr-1&gt;Commun Mater&lt;/abbr-1&gt;&lt;/alt-periodical&gt;&lt;volume&gt;1&lt;/volume&gt;&lt;number&gt;1&lt;/number&gt;&lt;keywords&gt;&lt;keyword&gt;electric vehicles&lt;/keyword&gt;&lt;keyword&gt;ion batteries&lt;/keyword&gt;&lt;keyword&gt;supply chain&lt;/keyword&gt;&lt;keyword&gt;life&lt;/keyword&gt;&lt;keyword&gt;impact&lt;/keyword&gt;&lt;keyword&gt;design&lt;/keyword&gt;&lt;keyword&gt;hybrid&lt;/keyword&gt;&lt;keyword&gt;flows&lt;/keyword&gt;&lt;keyword&gt;cells&lt;/keyword&gt;&lt;/keywords&gt;&lt;dates&gt;&lt;year&gt;2020&lt;/year&gt;&lt;pub-dates&gt;&lt;date&gt;Dec 9&lt;/date&gt;&lt;/pub-dates&gt;&lt;/dates&gt;&lt;accession-num&gt;WOS:000610592400001&lt;/accession-num&gt;&lt;urls&gt;&lt;related-urls&gt;&lt;url&gt;&lt;style face="underline" font="default" size="100%"&gt;&amp;lt;Go to ISI&amp;gt;://WOS:000610592400001&lt;/style&gt;&lt;/url&gt;&lt;/related-urls&gt;&lt;/urls&gt;&lt;electronic-resource-num&gt;10.1038/s43246-020-00095-x&lt;/electronic-resource-num&gt;&lt;language&gt;English&lt;/language&gt;&lt;/record&gt;&lt;/Cite&gt;&lt;/EndNote&gt;</w:instrText>
      </w:r>
      <w:r w:rsidR="000F612E" w:rsidRPr="000F612E">
        <w:rPr>
          <w:rFonts w:ascii="Times New Roman" w:eastAsia="DengXian" w:hAnsi="Times New Roman" w:cs="Times New Roman"/>
          <w:b w:val="0"/>
          <w:bCs w:val="0"/>
          <w:lang w:eastAsia="zh-CN"/>
        </w:rPr>
        <w:fldChar w:fldCharType="separate"/>
      </w:r>
      <w:r w:rsidR="000F612E" w:rsidRPr="000F612E">
        <w:rPr>
          <w:rFonts w:ascii="Times New Roman" w:eastAsia="DengXian" w:hAnsi="Times New Roman" w:cs="Times New Roman"/>
          <w:b w:val="0"/>
          <w:bCs w:val="0"/>
          <w:noProof/>
          <w:vertAlign w:val="superscript"/>
          <w:lang w:eastAsia="zh-CN"/>
        </w:rPr>
        <w:t>1</w:t>
      </w:r>
      <w:r w:rsidR="000F612E" w:rsidRPr="000F612E">
        <w:rPr>
          <w:rFonts w:ascii="Times New Roman" w:eastAsia="DengXian" w:hAnsi="Times New Roman" w:cs="Times New Roman"/>
          <w:b w:val="0"/>
          <w:bCs w:val="0"/>
          <w:lang w:eastAsia="zh-CN"/>
        </w:rPr>
        <w:fldChar w:fldCharType="end"/>
      </w:r>
      <w:r w:rsidR="00305B7D">
        <w:rPr>
          <w:rFonts w:ascii="Times New Roman" w:eastAsia="DengXian" w:hAnsi="Times New Roman" w:cs="Times New Roman" w:hint="eastAsia"/>
          <w:b w:val="0"/>
          <w:bCs w:val="0"/>
          <w:color w:val="000000" w:themeColor="text1"/>
          <w:lang w:eastAsia="zh-CN"/>
        </w:rPr>
        <w:t xml:space="preserve">. </w:t>
      </w:r>
      <w:r w:rsidR="00592A44">
        <w:rPr>
          <w:rFonts w:ascii="Times New Roman" w:eastAsia="DengXian" w:hAnsi="Times New Roman" w:cs="Times New Roman" w:hint="eastAsia"/>
          <w:b w:val="0"/>
          <w:bCs w:val="0"/>
          <w:color w:val="000000" w:themeColor="text1"/>
          <w:lang w:eastAsia="zh-CN"/>
        </w:rPr>
        <w:t xml:space="preserve">These projections </w:t>
      </w:r>
      <w:r w:rsidR="00DD52B6">
        <w:rPr>
          <w:rFonts w:ascii="Times New Roman" w:eastAsia="DengXian" w:hAnsi="Times New Roman" w:cs="Times New Roman" w:hint="eastAsia"/>
          <w:b w:val="0"/>
          <w:bCs w:val="0"/>
          <w:color w:val="000000" w:themeColor="text1"/>
          <w:lang w:eastAsia="zh-CN"/>
        </w:rPr>
        <w:t xml:space="preserve">adopted in the dynamic MFA model </w:t>
      </w:r>
      <w:r w:rsidR="00592A44">
        <w:rPr>
          <w:rFonts w:ascii="Times New Roman" w:eastAsia="DengXian" w:hAnsi="Times New Roman" w:cs="Times New Roman" w:hint="eastAsia"/>
          <w:b w:val="0"/>
          <w:bCs w:val="0"/>
          <w:color w:val="000000" w:themeColor="text1"/>
          <w:lang w:eastAsia="zh-CN"/>
        </w:rPr>
        <w:t xml:space="preserve">can be </w:t>
      </w:r>
      <w:r w:rsidR="00AE0C67">
        <w:rPr>
          <w:rFonts w:ascii="Times New Roman" w:eastAsia="DengXian" w:hAnsi="Times New Roman" w:cs="Times New Roman" w:hint="eastAsia"/>
          <w:b w:val="0"/>
          <w:bCs w:val="0"/>
          <w:color w:val="000000" w:themeColor="text1"/>
          <w:lang w:eastAsia="zh-CN"/>
        </w:rPr>
        <w:t xml:space="preserve">revised </w:t>
      </w:r>
      <w:r w:rsidR="00C6625A">
        <w:rPr>
          <w:rFonts w:ascii="Times New Roman" w:eastAsia="DengXian" w:hAnsi="Times New Roman" w:cs="Times New Roman" w:hint="eastAsia"/>
          <w:b w:val="0"/>
          <w:bCs w:val="0"/>
          <w:color w:val="000000" w:themeColor="text1"/>
          <w:lang w:eastAsia="zh-CN"/>
        </w:rPr>
        <w:t xml:space="preserve">anytime before operating. </w:t>
      </w:r>
    </w:p>
    <w:p w14:paraId="1B22B178" w14:textId="77777777" w:rsidR="004A5838" w:rsidRPr="004F7C0F" w:rsidRDefault="004A5838" w:rsidP="00326045">
      <w:pPr>
        <w:pStyle w:val="af"/>
        <w:rPr>
          <w:rFonts w:ascii="Times New Roman" w:eastAsia="DengXian" w:hAnsi="Times New Roman" w:cs="Times New Roman"/>
          <w:b w:val="0"/>
          <w:bCs w:val="0"/>
          <w:color w:val="000000" w:themeColor="text1"/>
          <w:lang w:eastAsia="zh-CN"/>
        </w:rPr>
      </w:pPr>
    </w:p>
    <w:p w14:paraId="7D67B6F3" w14:textId="067C5824" w:rsidR="004A5838" w:rsidRPr="0055027A" w:rsidRDefault="00326045" w:rsidP="00326045">
      <w:pPr>
        <w:pStyle w:val="af"/>
        <w:rPr>
          <w:rFonts w:ascii="Times New Roman" w:eastAsia="DengXian" w:hAnsi="Times New Roman" w:cs="Times New Roman"/>
          <w:b w:val="0"/>
          <w:bCs w:val="0"/>
          <w:color w:val="000000" w:themeColor="text1"/>
          <w:lang w:eastAsia="zh-CN"/>
        </w:rPr>
      </w:pPr>
      <w:r w:rsidRPr="00326045">
        <w:rPr>
          <w:rFonts w:ascii="Times New Roman" w:eastAsia="DengXian" w:hAnsi="Times New Roman" w:cs="Times New Roman"/>
          <w:b w:val="0"/>
          <w:bCs w:val="0"/>
          <w:color w:val="000000" w:themeColor="text1"/>
          <w:lang w:eastAsia="zh-CN"/>
        </w:rPr>
        <w:t>Third, the actual service life of EVs remains uncertain. For instance, recent studies indicate that EVs in China have significantly shorter lifespans than ICEVs</w:t>
      </w:r>
      <w:r w:rsidR="00D819CA" w:rsidRPr="00315AA2">
        <w:rPr>
          <w:rFonts w:ascii="Times New Roman" w:eastAsia="SimSun" w:hAnsi="Times New Roman" w:cs="Times New Roman"/>
          <w:b w:val="0"/>
          <w:bCs w:val="0"/>
          <w:lang w:eastAsia="zh-CN"/>
        </w:rPr>
        <w:fldChar w:fldCharType="begin"/>
      </w:r>
      <w:r w:rsidR="00100173">
        <w:rPr>
          <w:rFonts w:ascii="Times New Roman" w:eastAsia="SimSun" w:hAnsi="Times New Roman" w:cs="Times New Roman"/>
          <w:b w:val="0"/>
          <w:bCs w:val="0"/>
          <w:lang w:eastAsia="zh-CN"/>
        </w:rPr>
        <w:instrText xml:space="preserve"> ADDIN EN.CITE &lt;EndNote&gt;&lt;Cite&gt;&lt;Author&gt;News&lt;/Author&gt;&lt;Year&gt;2023&lt;/Year&gt;&lt;RecNum&gt;238&lt;/RecNum&gt;&lt;DisplayText&gt;&lt;style face="superscript"&gt;8&lt;/style&gt;&lt;/DisplayText&gt;&lt;record&gt;&lt;rec-number&gt;238&lt;/rec-number&gt;&lt;foreign-keys&gt;&lt;key app="EN" db-id="200xxs0psrtaz4eze9pp5vvrdraszefpsp0w" timestamp="1742742260"&gt;238&lt;/key&gt;&lt;/foreign-keys&gt;&lt;ref-type name="Newspaper Article"&gt;23&lt;/ref-type&gt;&lt;contributors&gt;&lt;authors&gt;&lt;author&gt;Bloomberg News&lt;/author&gt;&lt;/authors&gt;&lt;/contributors&gt;&lt;titles&gt;&lt;title&gt;China’s abandoned, obsolete electric cars are piling up in cities&lt;/title&gt;&lt;/titles&gt;&lt;dates&gt;&lt;year&gt;2023&lt;/year&gt;&lt;/dates&gt;&lt;urls&gt;&lt;related-urls&gt;&lt;url&gt;https://www.bloomberg.com/features/2023-china-ev-graveyards/&lt;/url&gt;&lt;/related-urls&gt;&lt;/urls&gt;&lt;/record&gt;&lt;/Cite&gt;&lt;/EndNote&gt;</w:instrText>
      </w:r>
      <w:r w:rsidR="00D819CA" w:rsidRPr="00315AA2">
        <w:rPr>
          <w:rFonts w:ascii="Times New Roman" w:eastAsia="SimSun" w:hAnsi="Times New Roman" w:cs="Times New Roman"/>
          <w:b w:val="0"/>
          <w:bCs w:val="0"/>
          <w:lang w:eastAsia="zh-CN"/>
        </w:rPr>
        <w:fldChar w:fldCharType="separate"/>
      </w:r>
      <w:r w:rsidR="00100173" w:rsidRPr="00100173">
        <w:rPr>
          <w:rFonts w:ascii="Times New Roman" w:eastAsia="SimSun" w:hAnsi="Times New Roman" w:cs="Times New Roman"/>
          <w:b w:val="0"/>
          <w:bCs w:val="0"/>
          <w:noProof/>
          <w:vertAlign w:val="superscript"/>
          <w:lang w:eastAsia="zh-CN"/>
        </w:rPr>
        <w:t>8</w:t>
      </w:r>
      <w:r w:rsidR="00D819CA" w:rsidRPr="00315AA2">
        <w:rPr>
          <w:rFonts w:ascii="Times New Roman" w:eastAsia="SimSun" w:hAnsi="Times New Roman" w:cs="Times New Roman"/>
          <w:b w:val="0"/>
          <w:bCs w:val="0"/>
          <w:lang w:eastAsia="zh-CN"/>
        </w:rPr>
        <w:fldChar w:fldCharType="end"/>
      </w:r>
      <w:r w:rsidRPr="00326045">
        <w:rPr>
          <w:rFonts w:ascii="Times New Roman" w:eastAsia="DengXian" w:hAnsi="Times New Roman" w:cs="Times New Roman"/>
          <w:b w:val="0"/>
          <w:bCs w:val="0"/>
          <w:color w:val="000000" w:themeColor="text1"/>
          <w:lang w:eastAsia="zh-CN"/>
        </w:rPr>
        <w:t>, while evidence from Great Britain suggests parity in longevity between EVs and ICEVs</w:t>
      </w:r>
      <w:r w:rsidR="00ED1DE9" w:rsidRPr="00315AA2">
        <w:rPr>
          <w:rFonts w:ascii="Times New Roman" w:eastAsia="SimSun" w:hAnsi="Times New Roman" w:cs="Times New Roman"/>
          <w:b w:val="0"/>
          <w:bCs w:val="0"/>
          <w:lang w:eastAsia="zh-CN"/>
        </w:rPr>
        <w:fldChar w:fldCharType="begin"/>
      </w:r>
      <w:r w:rsidR="00100173">
        <w:rPr>
          <w:rFonts w:ascii="Times New Roman" w:eastAsia="SimSun" w:hAnsi="Times New Roman" w:cs="Times New Roman"/>
          <w:b w:val="0"/>
          <w:bCs w:val="0"/>
          <w:lang w:eastAsia="zh-CN"/>
        </w:rPr>
        <w:instrText xml:space="preserve"> ADDIN EN.CITE &lt;EndNote&gt;&lt;Cite&gt;&lt;Author&gt;Nguyen-Tien&lt;/Author&gt;&lt;Year&gt;2025&lt;/Year&gt;&lt;RecNum&gt;239&lt;/RecNum&gt;&lt;DisplayText&gt;&lt;style face="superscript"&gt;9&lt;/style&gt;&lt;/DisplayText&gt;&lt;record&gt;&lt;rec-number&gt;239&lt;/rec-number&gt;&lt;foreign-keys&gt;&lt;key app="EN" db-id="200xxs0psrtaz4eze9pp5vvrdraszefpsp0w" timestamp="1742742529"&gt;239&lt;/key&gt;&lt;/foreign-keys&gt;&lt;ref-type name="Journal Article"&gt;17&lt;/ref-type&gt;&lt;contributors&gt;&lt;authors&gt;&lt;author&gt;Nguyen-Tien, Viet&lt;/author&gt;&lt;author&gt;Zhang, Chengyu&lt;/author&gt;&lt;author&gt;Strobl, Eric&lt;/author&gt;&lt;author&gt;Elliott, Robert J. R.&lt;/author&gt;&lt;/authors&gt;&lt;/contributors&gt;&lt;titles&gt;&lt;title&gt;The closing longevity gap between battery electric vehicles and internal combustion vehicles in Great Britain&lt;/title&gt;&lt;secondary-title&gt;Nature Energy&lt;/secondary-title&gt;&lt;/titles&gt;&lt;periodical&gt;&lt;full-title&gt;Nature Energy&lt;/full-title&gt;&lt;/periodical&gt;&lt;pages&gt;354-364&lt;/pages&gt;&lt;volume&gt;10&lt;/volume&gt;&lt;number&gt;3&lt;/number&gt;&lt;dates&gt;&lt;year&gt;2025&lt;/year&gt;&lt;pub-dates&gt;&lt;date&gt;2025/03/01&lt;/date&gt;&lt;/pub-dates&gt;&lt;/dates&gt;&lt;isbn&gt;2058-7546&lt;/isbn&gt;&lt;urls&gt;&lt;related-urls&gt;&lt;url&gt;https://doi.org/10.1038/s41560-024-01698-1&lt;/url&gt;&lt;/related-urls&gt;&lt;/urls&gt;&lt;electronic-resource-num&gt;10.1038/s41560-024-01698-1&lt;/electronic-resource-num&gt;&lt;/record&gt;&lt;/Cite&gt;&lt;/EndNote&gt;</w:instrText>
      </w:r>
      <w:r w:rsidR="00ED1DE9" w:rsidRPr="00315AA2">
        <w:rPr>
          <w:rFonts w:ascii="Times New Roman" w:eastAsia="SimSun" w:hAnsi="Times New Roman" w:cs="Times New Roman"/>
          <w:b w:val="0"/>
          <w:bCs w:val="0"/>
          <w:lang w:eastAsia="zh-CN"/>
        </w:rPr>
        <w:fldChar w:fldCharType="separate"/>
      </w:r>
      <w:r w:rsidR="00100173" w:rsidRPr="00100173">
        <w:rPr>
          <w:rFonts w:ascii="Times New Roman" w:eastAsia="SimSun" w:hAnsi="Times New Roman" w:cs="Times New Roman"/>
          <w:b w:val="0"/>
          <w:bCs w:val="0"/>
          <w:noProof/>
          <w:vertAlign w:val="superscript"/>
          <w:lang w:eastAsia="zh-CN"/>
        </w:rPr>
        <w:t>9</w:t>
      </w:r>
      <w:r w:rsidR="00ED1DE9" w:rsidRPr="00315AA2">
        <w:rPr>
          <w:rFonts w:ascii="Times New Roman" w:eastAsia="SimSun" w:hAnsi="Times New Roman" w:cs="Times New Roman"/>
          <w:b w:val="0"/>
          <w:bCs w:val="0"/>
          <w:lang w:eastAsia="zh-CN"/>
        </w:rPr>
        <w:fldChar w:fldCharType="end"/>
      </w:r>
      <w:r w:rsidRPr="00326045">
        <w:rPr>
          <w:rFonts w:ascii="Times New Roman" w:eastAsia="DengXian" w:hAnsi="Times New Roman" w:cs="Times New Roman"/>
          <w:b w:val="0"/>
          <w:bCs w:val="0"/>
          <w:color w:val="000000" w:themeColor="text1"/>
          <w:lang w:eastAsia="zh-CN"/>
        </w:rPr>
        <w:t>.</w:t>
      </w:r>
      <w:r w:rsidR="00D45C93">
        <w:rPr>
          <w:rFonts w:ascii="Times New Roman" w:eastAsia="DengXian" w:hAnsi="Times New Roman" w:cs="Times New Roman" w:hint="eastAsia"/>
          <w:b w:val="0"/>
          <w:bCs w:val="0"/>
          <w:color w:val="000000" w:themeColor="text1"/>
          <w:lang w:eastAsia="zh-CN"/>
        </w:rPr>
        <w:t xml:space="preserve"> </w:t>
      </w:r>
      <w:r w:rsidR="00850131">
        <w:rPr>
          <w:rFonts w:ascii="Times New Roman" w:eastAsia="DengXian" w:hAnsi="Times New Roman" w:cs="Times New Roman" w:hint="eastAsia"/>
          <w:b w:val="0"/>
          <w:bCs w:val="0"/>
          <w:color w:val="000000" w:themeColor="text1"/>
          <w:lang w:eastAsia="zh-CN"/>
        </w:rPr>
        <w:t>We assume</w:t>
      </w:r>
      <w:r w:rsidR="002C4E90">
        <w:rPr>
          <w:rFonts w:ascii="Times New Roman" w:eastAsia="DengXian" w:hAnsi="Times New Roman" w:cs="Times New Roman" w:hint="eastAsia"/>
          <w:b w:val="0"/>
          <w:bCs w:val="0"/>
          <w:color w:val="000000" w:themeColor="text1"/>
          <w:lang w:eastAsia="zh-CN"/>
        </w:rPr>
        <w:t xml:space="preserve"> </w:t>
      </w:r>
      <w:r w:rsidR="009D34A9">
        <w:rPr>
          <w:rFonts w:ascii="Times New Roman" w:eastAsia="DengXian" w:hAnsi="Times New Roman" w:cs="Times New Roman" w:hint="eastAsia"/>
          <w:b w:val="0"/>
          <w:bCs w:val="0"/>
          <w:color w:val="000000" w:themeColor="text1"/>
          <w:lang w:eastAsia="zh-CN"/>
        </w:rPr>
        <w:t xml:space="preserve">all types of passenger cars have the same </w:t>
      </w:r>
      <w:r w:rsidR="00CC5A24">
        <w:rPr>
          <w:rFonts w:ascii="Times New Roman" w:eastAsia="DengXian" w:hAnsi="Times New Roman" w:cs="Times New Roman" w:hint="eastAsia"/>
          <w:b w:val="0"/>
          <w:bCs w:val="0"/>
          <w:color w:val="000000" w:themeColor="text1"/>
          <w:lang w:eastAsia="zh-CN"/>
        </w:rPr>
        <w:t xml:space="preserve">lifespan </w:t>
      </w:r>
      <w:r w:rsidR="00E15BB1">
        <w:rPr>
          <w:rFonts w:ascii="Times New Roman" w:eastAsia="DengXian" w:hAnsi="Times New Roman" w:cs="Times New Roman" w:hint="eastAsia"/>
          <w:b w:val="0"/>
          <w:bCs w:val="0"/>
          <w:color w:val="000000" w:themeColor="text1"/>
          <w:lang w:eastAsia="zh-CN"/>
        </w:rPr>
        <w:t xml:space="preserve">referred to the age distribution in 2019 and </w:t>
      </w:r>
      <w:r w:rsidR="0055027A">
        <w:rPr>
          <w:rFonts w:ascii="Times New Roman" w:eastAsia="DengXian" w:hAnsi="Times New Roman" w:cs="Times New Roman" w:hint="eastAsia"/>
          <w:b w:val="0"/>
          <w:bCs w:val="0"/>
          <w:color w:val="000000" w:themeColor="text1"/>
          <w:lang w:eastAsia="zh-CN"/>
        </w:rPr>
        <w:t xml:space="preserve">remain the same from </w:t>
      </w:r>
      <w:r w:rsidR="003021B5">
        <w:rPr>
          <w:rFonts w:ascii="Times New Roman" w:eastAsia="DengXian" w:hAnsi="Times New Roman" w:cs="Times New Roman" w:hint="eastAsia"/>
          <w:b w:val="0"/>
          <w:bCs w:val="0"/>
          <w:color w:val="000000" w:themeColor="text1"/>
          <w:lang w:eastAsia="zh-CN"/>
        </w:rPr>
        <w:t>then</w:t>
      </w:r>
      <w:r w:rsidR="0055027A">
        <w:rPr>
          <w:rFonts w:ascii="Times New Roman" w:eastAsia="DengXian" w:hAnsi="Times New Roman" w:cs="Times New Roman" w:hint="eastAsia"/>
          <w:b w:val="0"/>
          <w:bCs w:val="0"/>
          <w:color w:val="000000" w:themeColor="text1"/>
          <w:lang w:eastAsia="zh-CN"/>
        </w:rPr>
        <w:t xml:space="preserve"> on. </w:t>
      </w:r>
    </w:p>
    <w:p w14:paraId="2438C165" w14:textId="77777777" w:rsidR="004A5838" w:rsidRDefault="004A5838" w:rsidP="00326045">
      <w:pPr>
        <w:pStyle w:val="af"/>
        <w:rPr>
          <w:rFonts w:ascii="Times New Roman" w:eastAsia="DengXian" w:hAnsi="Times New Roman" w:cs="Times New Roman"/>
          <w:b w:val="0"/>
          <w:bCs w:val="0"/>
          <w:color w:val="000000" w:themeColor="text1"/>
          <w:lang w:eastAsia="zh-CN"/>
        </w:rPr>
      </w:pPr>
    </w:p>
    <w:p w14:paraId="0090A6FB" w14:textId="0252662E" w:rsidR="00614CE2" w:rsidRDefault="00326045" w:rsidP="00326045">
      <w:pPr>
        <w:pStyle w:val="af"/>
        <w:rPr>
          <w:rFonts w:ascii="Times New Roman" w:eastAsia="DengXian" w:hAnsi="Times New Roman" w:cs="Times New Roman"/>
          <w:b w:val="0"/>
          <w:bCs w:val="0"/>
          <w:color w:val="000000" w:themeColor="text1"/>
          <w:lang w:eastAsia="zh-CN"/>
        </w:rPr>
      </w:pPr>
      <w:r w:rsidRPr="00326045">
        <w:rPr>
          <w:rFonts w:ascii="Times New Roman" w:eastAsia="DengXian" w:hAnsi="Times New Roman" w:cs="Times New Roman"/>
          <w:b w:val="0"/>
          <w:bCs w:val="0"/>
          <w:color w:val="000000" w:themeColor="text1"/>
          <w:lang w:eastAsia="zh-CN"/>
        </w:rPr>
        <w:t>Fourth, market trends increasingly favor higher-capacity batteries to support longer travel distances and heavy-duty transport. Advances in technologies such as all-solid-state batteries—which promise higher voltage and energy density—may mitigate the resulting increase in critical mineral demand</w:t>
      </w:r>
      <w:r w:rsidR="00141EF7" w:rsidRPr="00315AA2">
        <w:rPr>
          <w:rFonts w:ascii="Times New Roman" w:eastAsia="SimSun" w:hAnsi="Times New Roman" w:cs="Times New Roman"/>
          <w:b w:val="0"/>
          <w:bCs w:val="0"/>
          <w:lang w:eastAsia="zh-CN"/>
        </w:rPr>
        <w:fldChar w:fldCharType="begin"/>
      </w:r>
      <w:r w:rsidR="00100173">
        <w:rPr>
          <w:rFonts w:ascii="Times New Roman" w:eastAsia="SimSun" w:hAnsi="Times New Roman" w:cs="Times New Roman"/>
          <w:b w:val="0"/>
          <w:bCs w:val="0"/>
          <w:lang w:eastAsia="zh-CN"/>
        </w:rPr>
        <w:instrText xml:space="preserve"> ADDIN EN.CITE &lt;EndNote&gt;&lt;Cite&gt;&lt;Author&gt;Janek&lt;/Author&gt;&lt;Year&gt;2016&lt;/Year&gt;&lt;RecNum&gt;240&lt;/RecNum&gt;&lt;DisplayText&gt;&lt;style face="superscript"&gt;10&lt;/style&gt;&lt;/DisplayText&gt;&lt;record&gt;&lt;rec-number&gt;240&lt;/rec-number&gt;&lt;foreign-keys&gt;&lt;key app="EN" db-id="200xxs0psrtaz4eze9pp5vvrdraszefpsp0w" timestamp="1742743285"&gt;240&lt;/key&gt;&lt;/foreign-keys&gt;&lt;ref-type name="Journal Article"&gt;17&lt;/ref-type&gt;&lt;contributors&gt;&lt;authors&gt;&lt;author&gt;Janek, Jürgen&lt;/author&gt;&lt;author&gt;Zeier, Wolfgang G.&lt;/author&gt;&lt;/authors&gt;&lt;/contributors&gt;&lt;titles&gt;&lt;title&gt;A solid future for battery development&lt;/title&gt;&lt;secondary-title&gt;Nature Energy&lt;/secondary-title&gt;&lt;/titles&gt;&lt;periodical&gt;&lt;full-title&gt;Nature Energy&lt;/full-title&gt;&lt;/periodical&gt;&lt;pages&gt;16141&lt;/pages&gt;&lt;volume&gt;1&lt;/volume&gt;&lt;number&gt;9&lt;/number&gt;&lt;dates&gt;&lt;year&gt;2016&lt;/year&gt;&lt;pub-dates&gt;&lt;date&gt;2016/09/08&lt;/date&gt;&lt;/pub-dates&gt;&lt;/dates&gt;&lt;isbn&gt;2058-7546&lt;/isbn&gt;&lt;urls&gt;&lt;related-urls&gt;&lt;url&gt;https://doi.org/10.1038/nenergy.2016.141&lt;/url&gt;&lt;/related-urls&gt;&lt;/urls&gt;&lt;electronic-resource-num&gt;10.1038/nenergy.2016.141&lt;/electronic-resource-num&gt;&lt;/record&gt;&lt;/Cite&gt;&lt;/EndNote&gt;</w:instrText>
      </w:r>
      <w:r w:rsidR="00141EF7" w:rsidRPr="00315AA2">
        <w:rPr>
          <w:rFonts w:ascii="Times New Roman" w:eastAsia="SimSun" w:hAnsi="Times New Roman" w:cs="Times New Roman"/>
          <w:b w:val="0"/>
          <w:bCs w:val="0"/>
          <w:lang w:eastAsia="zh-CN"/>
        </w:rPr>
        <w:fldChar w:fldCharType="separate"/>
      </w:r>
      <w:r w:rsidR="00100173" w:rsidRPr="00100173">
        <w:rPr>
          <w:rFonts w:ascii="Times New Roman" w:eastAsia="SimSun" w:hAnsi="Times New Roman" w:cs="Times New Roman"/>
          <w:b w:val="0"/>
          <w:bCs w:val="0"/>
          <w:noProof/>
          <w:vertAlign w:val="superscript"/>
          <w:lang w:eastAsia="zh-CN"/>
        </w:rPr>
        <w:t>10</w:t>
      </w:r>
      <w:r w:rsidR="00141EF7" w:rsidRPr="00315AA2">
        <w:rPr>
          <w:rFonts w:ascii="Times New Roman" w:eastAsia="SimSun" w:hAnsi="Times New Roman" w:cs="Times New Roman"/>
          <w:b w:val="0"/>
          <w:bCs w:val="0"/>
          <w:lang w:eastAsia="zh-CN"/>
        </w:rPr>
        <w:fldChar w:fldCharType="end"/>
      </w:r>
      <w:r w:rsidRPr="00326045">
        <w:rPr>
          <w:rFonts w:ascii="Times New Roman" w:eastAsia="DengXian" w:hAnsi="Times New Roman" w:cs="Times New Roman"/>
          <w:b w:val="0"/>
          <w:bCs w:val="0"/>
          <w:color w:val="000000" w:themeColor="text1"/>
          <w:lang w:eastAsia="zh-CN"/>
        </w:rPr>
        <w:t>.</w:t>
      </w:r>
      <w:r w:rsidR="00D45C93">
        <w:rPr>
          <w:rFonts w:ascii="Times New Roman" w:eastAsia="DengXian" w:hAnsi="Times New Roman" w:cs="Times New Roman" w:hint="eastAsia"/>
          <w:b w:val="0"/>
          <w:bCs w:val="0"/>
          <w:color w:val="000000" w:themeColor="text1"/>
          <w:lang w:eastAsia="zh-CN"/>
        </w:rPr>
        <w:t xml:space="preserve"> </w:t>
      </w:r>
      <w:r w:rsidR="00FE5D5A">
        <w:rPr>
          <w:rFonts w:ascii="Times New Roman" w:eastAsia="DengXian" w:hAnsi="Times New Roman" w:cs="Times New Roman" w:hint="eastAsia"/>
          <w:b w:val="0"/>
          <w:bCs w:val="0"/>
          <w:color w:val="000000" w:themeColor="text1"/>
          <w:lang w:eastAsia="zh-CN"/>
        </w:rPr>
        <w:t>Thus</w:t>
      </w:r>
      <w:r w:rsidR="002F0469">
        <w:rPr>
          <w:rFonts w:ascii="Times New Roman" w:eastAsia="DengXian" w:hAnsi="Times New Roman" w:cs="Times New Roman" w:hint="eastAsia"/>
          <w:b w:val="0"/>
          <w:bCs w:val="0"/>
          <w:color w:val="000000" w:themeColor="text1"/>
          <w:lang w:eastAsia="zh-CN"/>
        </w:rPr>
        <w:t>,</w:t>
      </w:r>
      <w:r w:rsidR="00FE5D5A">
        <w:rPr>
          <w:rFonts w:ascii="Times New Roman" w:eastAsia="DengXian" w:hAnsi="Times New Roman" w:cs="Times New Roman" w:hint="eastAsia"/>
          <w:b w:val="0"/>
          <w:bCs w:val="0"/>
          <w:color w:val="000000" w:themeColor="text1"/>
          <w:lang w:eastAsia="zh-CN"/>
        </w:rPr>
        <w:t xml:space="preserve"> </w:t>
      </w:r>
      <w:r w:rsidR="002F0469">
        <w:rPr>
          <w:rFonts w:ascii="Times New Roman" w:eastAsia="DengXian" w:hAnsi="Times New Roman" w:cs="Times New Roman" w:hint="eastAsia"/>
          <w:b w:val="0"/>
          <w:bCs w:val="0"/>
          <w:color w:val="000000" w:themeColor="text1"/>
          <w:lang w:eastAsia="zh-CN"/>
        </w:rPr>
        <w:t>we</w:t>
      </w:r>
      <w:r w:rsidR="002F0469" w:rsidRPr="00326045">
        <w:rPr>
          <w:rFonts w:ascii="Times New Roman" w:eastAsia="DengXian" w:hAnsi="Times New Roman" w:cs="Times New Roman"/>
          <w:b w:val="0"/>
          <w:bCs w:val="0"/>
          <w:color w:val="000000" w:themeColor="text1"/>
          <w:lang w:eastAsia="zh-CN"/>
        </w:rPr>
        <w:t xml:space="preserve"> assume a fixed battery capacity per vehicle</w:t>
      </w:r>
      <w:r w:rsidR="002F0469">
        <w:rPr>
          <w:rFonts w:ascii="Times New Roman" w:eastAsia="DengXian" w:hAnsi="Times New Roman" w:cs="Times New Roman" w:hint="eastAsia"/>
          <w:b w:val="0"/>
          <w:bCs w:val="0"/>
          <w:color w:val="000000" w:themeColor="text1"/>
          <w:lang w:eastAsia="zh-CN"/>
        </w:rPr>
        <w:t xml:space="preserve"> and </w:t>
      </w:r>
      <w:r w:rsidR="007E7E8C">
        <w:rPr>
          <w:rFonts w:ascii="Times New Roman" w:eastAsia="DengXian" w:hAnsi="Times New Roman" w:cs="Times New Roman" w:hint="eastAsia"/>
          <w:b w:val="0"/>
          <w:bCs w:val="0"/>
          <w:color w:val="000000" w:themeColor="text1"/>
          <w:lang w:eastAsia="zh-CN"/>
        </w:rPr>
        <w:t xml:space="preserve">remain the same during </w:t>
      </w:r>
      <w:r w:rsidR="00D4042F">
        <w:rPr>
          <w:rFonts w:ascii="Times New Roman" w:eastAsia="DengXian" w:hAnsi="Times New Roman" w:cs="Times New Roman" w:hint="eastAsia"/>
          <w:b w:val="0"/>
          <w:bCs w:val="0"/>
          <w:color w:val="000000" w:themeColor="text1"/>
          <w:lang w:eastAsia="zh-CN"/>
        </w:rPr>
        <w:t xml:space="preserve">the </w:t>
      </w:r>
      <w:r w:rsidR="007E7E8C">
        <w:rPr>
          <w:rFonts w:ascii="Times New Roman" w:eastAsia="DengXian" w:hAnsi="Times New Roman" w:cs="Times New Roman" w:hint="eastAsia"/>
          <w:b w:val="0"/>
          <w:bCs w:val="0"/>
          <w:color w:val="000000" w:themeColor="text1"/>
          <w:lang w:eastAsia="zh-CN"/>
        </w:rPr>
        <w:t xml:space="preserve">EV transition. </w:t>
      </w:r>
    </w:p>
    <w:p w14:paraId="089BE006" w14:textId="77777777" w:rsidR="00614CE2" w:rsidRDefault="00614CE2" w:rsidP="00326045">
      <w:pPr>
        <w:pStyle w:val="af"/>
        <w:rPr>
          <w:rFonts w:ascii="Times New Roman" w:eastAsia="DengXian" w:hAnsi="Times New Roman" w:cs="Times New Roman"/>
          <w:b w:val="0"/>
          <w:bCs w:val="0"/>
          <w:color w:val="000000" w:themeColor="text1"/>
          <w:lang w:eastAsia="zh-CN"/>
        </w:rPr>
      </w:pPr>
    </w:p>
    <w:p w14:paraId="39C6F642" w14:textId="2B7F8935" w:rsidR="008A2FE5" w:rsidRPr="008A2FE5" w:rsidRDefault="004E0AFF" w:rsidP="008A2FE5">
      <w:pPr>
        <w:rPr>
          <w:rFonts w:eastAsia="DengXian"/>
          <w:lang w:eastAsia="zh-CN"/>
        </w:rPr>
      </w:pPr>
      <w:r w:rsidRPr="004E0AFF">
        <w:rPr>
          <w:rFonts w:ascii="Times New Roman" w:eastAsia="DengXian" w:hAnsi="Times New Roman" w:cs="Times New Roman"/>
          <w:sz w:val="21"/>
          <w:szCs w:val="21"/>
          <w:lang w:eastAsia="zh-CN"/>
        </w:rPr>
        <w:t xml:space="preserve">This study also incorporates several assumptions in modeling material flow allocation. </w:t>
      </w:r>
      <w:r w:rsidR="00150879">
        <w:rPr>
          <w:rFonts w:ascii="Times New Roman" w:eastAsia="DengXian" w:hAnsi="Times New Roman" w:cs="Times New Roman" w:hint="eastAsia"/>
          <w:sz w:val="21"/>
          <w:szCs w:val="21"/>
          <w:lang w:eastAsia="zh-CN"/>
        </w:rPr>
        <w:t>On the one hand</w:t>
      </w:r>
      <w:r w:rsidRPr="004E0AFF">
        <w:rPr>
          <w:rFonts w:ascii="Times New Roman" w:eastAsia="DengXian" w:hAnsi="Times New Roman" w:cs="Times New Roman"/>
          <w:sz w:val="21"/>
          <w:szCs w:val="21"/>
          <w:lang w:eastAsia="zh-CN"/>
        </w:rPr>
        <w:t xml:space="preserve">, it is assumed that spent LIBs </w:t>
      </w:r>
      <w:r w:rsidR="00521A18">
        <w:rPr>
          <w:rFonts w:ascii="Times New Roman" w:eastAsia="DengXian" w:hAnsi="Times New Roman" w:cs="Times New Roman" w:hint="eastAsia"/>
          <w:sz w:val="21"/>
          <w:szCs w:val="21"/>
          <w:lang w:eastAsia="zh-CN"/>
        </w:rPr>
        <w:t xml:space="preserve">used in secondary usage </w:t>
      </w:r>
      <w:r w:rsidRPr="004E0AFF">
        <w:rPr>
          <w:rFonts w:ascii="Times New Roman" w:eastAsia="DengXian" w:hAnsi="Times New Roman" w:cs="Times New Roman"/>
          <w:sz w:val="21"/>
          <w:szCs w:val="21"/>
          <w:lang w:eastAsia="zh-CN"/>
        </w:rPr>
        <w:t xml:space="preserve">remain fully within the automotive supply chain and are 100% collected </w:t>
      </w:r>
      <w:r w:rsidR="00AD2B12">
        <w:rPr>
          <w:rFonts w:ascii="Times New Roman" w:eastAsia="DengXian" w:hAnsi="Times New Roman" w:cs="Times New Roman" w:hint="eastAsia"/>
          <w:sz w:val="21"/>
          <w:szCs w:val="21"/>
          <w:lang w:eastAsia="zh-CN"/>
        </w:rPr>
        <w:t>after retirement</w:t>
      </w:r>
      <w:r w:rsidRPr="004E0AFF">
        <w:rPr>
          <w:rFonts w:ascii="Times New Roman" w:eastAsia="DengXian" w:hAnsi="Times New Roman" w:cs="Times New Roman"/>
          <w:sz w:val="21"/>
          <w:szCs w:val="21"/>
          <w:lang w:eastAsia="zh-CN"/>
        </w:rPr>
        <w:t xml:space="preserve">. However, losses are acknowledged at the stages involving dismantlers and used-car exporters, due to insufficient regulation and legal enforcement. </w:t>
      </w:r>
      <w:r w:rsidR="00150879">
        <w:rPr>
          <w:rFonts w:ascii="Times New Roman" w:eastAsia="DengXian" w:hAnsi="Times New Roman" w:cs="Times New Roman" w:hint="eastAsia"/>
          <w:sz w:val="21"/>
          <w:szCs w:val="21"/>
          <w:lang w:eastAsia="zh-CN"/>
        </w:rPr>
        <w:t>On the other hand</w:t>
      </w:r>
      <w:r w:rsidRPr="004E0AFF">
        <w:rPr>
          <w:rFonts w:ascii="Times New Roman" w:eastAsia="DengXian" w:hAnsi="Times New Roman" w:cs="Times New Roman"/>
          <w:sz w:val="21"/>
          <w:szCs w:val="21"/>
          <w:lang w:eastAsia="zh-CN"/>
        </w:rPr>
        <w:t>, the model assumes no capacity constraints in the secondary-use market, whereby all collected spent LIBs can be repurposed for stationary energy storage</w:t>
      </w:r>
      <w:r w:rsidR="00143A7C">
        <w:rPr>
          <w:rFonts w:ascii="Times New Roman" w:eastAsia="DengXian" w:hAnsi="Times New Roman" w:cs="Times New Roman" w:hint="eastAsia"/>
          <w:sz w:val="21"/>
          <w:szCs w:val="21"/>
          <w:lang w:eastAsia="zh-CN"/>
        </w:rPr>
        <w:t xml:space="preserve"> worldwide</w:t>
      </w:r>
      <w:r w:rsidRPr="004E0AFF">
        <w:rPr>
          <w:rFonts w:ascii="Times New Roman" w:eastAsia="DengXian" w:hAnsi="Times New Roman" w:cs="Times New Roman"/>
          <w:sz w:val="21"/>
          <w:szCs w:val="21"/>
          <w:lang w:eastAsia="zh-CN"/>
        </w:rPr>
        <w:t>. Additionally, battery refurbishment is included as a strategy to extend service life. For simplification, all primary-use stationary energy storage systems are assumed to utilize only LFP batteries.</w:t>
      </w:r>
      <w:r w:rsidR="00126114">
        <w:rPr>
          <w:rFonts w:ascii="Times New Roman" w:eastAsia="DengXian" w:hAnsi="Times New Roman" w:cs="Times New Roman" w:hint="eastAsia"/>
          <w:sz w:val="21"/>
          <w:szCs w:val="21"/>
          <w:lang w:eastAsia="zh-CN"/>
        </w:rPr>
        <w:t xml:space="preserve"> More detailed assumptions can be found in the following</w:t>
      </w:r>
      <w:r w:rsidR="002D0BB1">
        <w:rPr>
          <w:rFonts w:ascii="Times New Roman" w:eastAsia="DengXian" w:hAnsi="Times New Roman" w:cs="Times New Roman" w:hint="eastAsia"/>
          <w:sz w:val="21"/>
          <w:szCs w:val="21"/>
          <w:lang w:eastAsia="zh-CN"/>
        </w:rPr>
        <w:t xml:space="preserve"> </w:t>
      </w:r>
      <w:r w:rsidR="00BE093E">
        <w:rPr>
          <w:rFonts w:ascii="Times New Roman" w:eastAsia="DengXian" w:hAnsi="Times New Roman" w:cs="Times New Roman" w:hint="eastAsia"/>
          <w:sz w:val="21"/>
          <w:szCs w:val="21"/>
          <w:lang w:eastAsia="zh-CN"/>
        </w:rPr>
        <w:t xml:space="preserve">descriptions of submodules. </w:t>
      </w:r>
    </w:p>
    <w:p w14:paraId="68A72F0A" w14:textId="77777777" w:rsidR="00D45C93" w:rsidRPr="00F56B00" w:rsidRDefault="00D45C93" w:rsidP="00F56B00">
      <w:pPr>
        <w:pStyle w:val="af"/>
        <w:rPr>
          <w:rFonts w:ascii="Times New Roman" w:eastAsia="DengXian" w:hAnsi="Times New Roman" w:cs="Times New Roman"/>
          <w:b w:val="0"/>
          <w:bCs w:val="0"/>
          <w:color w:val="000000" w:themeColor="text1"/>
          <w:sz w:val="18"/>
          <w:szCs w:val="18"/>
          <w:lang w:eastAsia="zh-CN"/>
        </w:rPr>
      </w:pPr>
    </w:p>
    <w:p w14:paraId="16C1746B" w14:textId="54A0C33B" w:rsidR="008838E0" w:rsidRPr="00CE3E1E" w:rsidRDefault="00CB75C7" w:rsidP="00F56B00">
      <w:pPr>
        <w:rPr>
          <w:rFonts w:ascii="Times New Roman" w:eastAsia="DengXian" w:hAnsi="Times New Roman" w:cs="Times New Roman"/>
          <w:sz w:val="21"/>
          <w:szCs w:val="21"/>
          <w:lang w:eastAsia="zh-CN"/>
        </w:rPr>
      </w:pPr>
      <w:r w:rsidRPr="00CB75C7">
        <w:rPr>
          <w:rFonts w:ascii="Times New Roman" w:eastAsiaTheme="minorEastAsia" w:hAnsi="Times New Roman" w:cs="Times New Roman"/>
          <w:sz w:val="21"/>
          <w:szCs w:val="21"/>
        </w:rPr>
        <w:t>The eight influencing factors, twenty policy options, and key parameter settings are summarized in Table S1. Further details are provided in the following sections.</w:t>
      </w:r>
    </w:p>
    <w:p w14:paraId="0B3D43B4" w14:textId="77777777" w:rsidR="00A4446D" w:rsidRPr="00C56257" w:rsidRDefault="00A4446D" w:rsidP="00F56B00">
      <w:pPr>
        <w:pStyle w:val="af"/>
        <w:rPr>
          <w:rFonts w:ascii="Times New Roman" w:eastAsiaTheme="minorEastAsia" w:hAnsi="Times New Roman" w:cs="Times New Roman"/>
          <w:sz w:val="18"/>
          <w:szCs w:val="18"/>
        </w:rPr>
      </w:pPr>
    </w:p>
    <w:p w14:paraId="194AA044" w14:textId="12933F83" w:rsidR="00B71E54" w:rsidRPr="006819D9" w:rsidRDefault="00B71E54" w:rsidP="006819D9">
      <w:pPr>
        <w:pStyle w:val="af"/>
        <w:rPr>
          <w:rFonts w:ascii="Times New Roman" w:hAnsi="Times New Roman" w:cs="Times New Roman"/>
        </w:rPr>
      </w:pPr>
      <w:bookmarkStart w:id="10" w:name="_Toc199865706"/>
      <w:bookmarkStart w:id="11" w:name="_Toc208439362"/>
      <w:r w:rsidRPr="00E541B6">
        <w:rPr>
          <w:rFonts w:ascii="Times New Roman" w:hAnsi="Times New Roman" w:cs="Times New Roman"/>
        </w:rPr>
        <w:lastRenderedPageBreak/>
        <w:t xml:space="preserve">Table </w:t>
      </w:r>
      <w:r w:rsidRPr="00E541B6">
        <w:rPr>
          <w:rFonts w:ascii="Times New Roman" w:eastAsia="DengXian" w:hAnsi="Times New Roman" w:cs="Times New Roman"/>
          <w:lang w:eastAsia="zh-CN"/>
        </w:rPr>
        <w:t>S</w:t>
      </w:r>
      <w:r w:rsidRPr="00E541B6">
        <w:rPr>
          <w:rFonts w:ascii="Times New Roman" w:hAnsi="Times New Roman" w:cs="Times New Roman"/>
        </w:rPr>
        <w:fldChar w:fldCharType="begin"/>
      </w:r>
      <w:r w:rsidRPr="00E541B6">
        <w:rPr>
          <w:rFonts w:ascii="Times New Roman" w:hAnsi="Times New Roman" w:cs="Times New Roman"/>
        </w:rPr>
        <w:instrText xml:space="preserve"> SEQ </w:instrText>
      </w:r>
      <w:r w:rsidRPr="00E541B6">
        <w:rPr>
          <w:rFonts w:ascii="Times New Roman" w:hAnsi="Times New Roman" w:cs="Times New Roman"/>
        </w:rPr>
        <w:instrText>表格</w:instrText>
      </w:r>
      <w:r w:rsidRPr="00E541B6">
        <w:rPr>
          <w:rFonts w:ascii="Times New Roman" w:hAnsi="Times New Roman" w:cs="Times New Roman"/>
        </w:rPr>
        <w:instrText xml:space="preserve"> \* ARABIC </w:instrText>
      </w:r>
      <w:r w:rsidRPr="00E541B6">
        <w:rPr>
          <w:rFonts w:ascii="Times New Roman" w:hAnsi="Times New Roman" w:cs="Times New Roman"/>
        </w:rPr>
        <w:fldChar w:fldCharType="separate"/>
      </w:r>
      <w:r w:rsidRPr="00E541B6">
        <w:rPr>
          <w:rFonts w:ascii="Times New Roman" w:hAnsi="Times New Roman" w:cs="Times New Roman"/>
          <w:noProof/>
        </w:rPr>
        <w:t>1</w:t>
      </w:r>
      <w:r w:rsidRPr="00E541B6">
        <w:rPr>
          <w:rFonts w:ascii="Times New Roman" w:hAnsi="Times New Roman" w:cs="Times New Roman"/>
        </w:rPr>
        <w:fldChar w:fldCharType="end"/>
      </w:r>
      <w:r w:rsidR="006819D9" w:rsidRPr="00E541B6">
        <w:rPr>
          <w:rFonts w:ascii="Times New Roman" w:hAnsi="Times New Roman" w:cs="Times New Roman" w:hint="eastAsia"/>
        </w:rPr>
        <w:t>.</w:t>
      </w:r>
      <w:r w:rsidRPr="00E541B6">
        <w:rPr>
          <w:rFonts w:ascii="Times New Roman" w:hAnsi="Times New Roman" w:cs="Times New Roman"/>
        </w:rPr>
        <w:t xml:space="preserve"> </w:t>
      </w:r>
      <w:r w:rsidR="006819D9" w:rsidRPr="00E541B6">
        <w:rPr>
          <w:rFonts w:ascii="Times New Roman" w:hAnsi="Times New Roman" w:cs="Times New Roman"/>
        </w:rPr>
        <w:t>Policy and measure options in LIB supply chain and parameter setting</w:t>
      </w:r>
      <w:r w:rsidR="00E438B5" w:rsidRPr="00E541B6">
        <w:rPr>
          <w:rFonts w:ascii="Times New Roman" w:hAnsi="Times New Roman" w:cs="Times New Roman" w:hint="eastAsia"/>
        </w:rPr>
        <w:t>s</w:t>
      </w:r>
      <w:r w:rsidR="006819D9" w:rsidRPr="00E541B6">
        <w:rPr>
          <w:rFonts w:ascii="Times New Roman" w:hAnsi="Times New Roman" w:cs="Times New Roman" w:hint="eastAsia"/>
        </w:rPr>
        <w:t>.</w:t>
      </w:r>
      <w:bookmarkEnd w:id="10"/>
      <w:bookmarkEnd w:id="11"/>
    </w:p>
    <w:tbl>
      <w:tblPr>
        <w:tblStyle w:val="a7"/>
        <w:tblW w:w="0" w:type="auto"/>
        <w:tblLook w:val="04A0" w:firstRow="1" w:lastRow="0" w:firstColumn="1" w:lastColumn="0" w:noHBand="0" w:noVBand="1"/>
      </w:tblPr>
      <w:tblGrid>
        <w:gridCol w:w="1893"/>
        <w:gridCol w:w="2585"/>
        <w:gridCol w:w="4016"/>
      </w:tblGrid>
      <w:tr w:rsidR="004E7D73" w:rsidRPr="00B34D92" w14:paraId="475D6CB9" w14:textId="77777777" w:rsidTr="00B34D92">
        <w:tc>
          <w:tcPr>
            <w:tcW w:w="1985" w:type="dxa"/>
          </w:tcPr>
          <w:p w14:paraId="66A9C7AE" w14:textId="77777777" w:rsidR="004E7D73" w:rsidRPr="00B34D92" w:rsidRDefault="004E7D73" w:rsidP="00B34D92">
            <w:pPr>
              <w:rPr>
                <w:rFonts w:ascii="Times New Roman" w:eastAsia="SimSun" w:hAnsi="Times New Roman" w:cs="Times New Roman"/>
                <w:b/>
                <w:bCs/>
                <w:sz w:val="21"/>
                <w:szCs w:val="21"/>
                <w:lang w:eastAsia="zh-CN"/>
              </w:rPr>
            </w:pPr>
            <w:r w:rsidRPr="00B34D92">
              <w:rPr>
                <w:rFonts w:ascii="Times New Roman" w:eastAsia="SimSun" w:hAnsi="Times New Roman" w:cs="Times New Roman"/>
                <w:sz w:val="21"/>
                <w:szCs w:val="21"/>
                <w:lang w:eastAsia="zh-CN"/>
              </w:rPr>
              <w:t>Factors</w:t>
            </w:r>
          </w:p>
        </w:tc>
        <w:tc>
          <w:tcPr>
            <w:tcW w:w="2835" w:type="dxa"/>
          </w:tcPr>
          <w:p w14:paraId="1A5E3BB9"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Policy and measure options</w:t>
            </w:r>
          </w:p>
        </w:tc>
        <w:tc>
          <w:tcPr>
            <w:tcW w:w="4530" w:type="dxa"/>
          </w:tcPr>
          <w:p w14:paraId="2C25F60F"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Descriptions</w:t>
            </w:r>
          </w:p>
        </w:tc>
      </w:tr>
      <w:tr w:rsidR="00B34D92" w:rsidRPr="00B34D92" w14:paraId="564AD915" w14:textId="77777777" w:rsidTr="00B34D92">
        <w:tc>
          <w:tcPr>
            <w:tcW w:w="1985" w:type="dxa"/>
            <w:vMerge w:val="restart"/>
          </w:tcPr>
          <w:p w14:paraId="6620D5CA" w14:textId="77777777" w:rsidR="004E7D73" w:rsidRPr="00B34D92" w:rsidRDefault="004E7D73" w:rsidP="00B34D92">
            <w:pPr>
              <w:rPr>
                <w:rFonts w:ascii="Times New Roman" w:eastAsia="SimSun" w:hAnsi="Times New Roman" w:cs="Times New Roman"/>
                <w:b/>
                <w:bCs/>
                <w:sz w:val="21"/>
                <w:szCs w:val="21"/>
                <w:lang w:eastAsia="zh-CN"/>
              </w:rPr>
            </w:pPr>
            <w:r w:rsidRPr="00B34D92">
              <w:rPr>
                <w:rFonts w:ascii="Cambria Math" w:eastAsia="ＭＳ 明朝" w:hAnsi="Cambria Math" w:cs="Cambria Math"/>
                <w:sz w:val="21"/>
                <w:szCs w:val="21"/>
                <w:lang w:eastAsia="zh-CN"/>
              </w:rPr>
              <w:t>①</w:t>
            </w:r>
            <w:r w:rsidRPr="00B34D92">
              <w:rPr>
                <w:rFonts w:ascii="Times New Roman" w:eastAsia="SimSun" w:hAnsi="Times New Roman" w:cs="Times New Roman"/>
                <w:sz w:val="21"/>
                <w:szCs w:val="21"/>
                <w:lang w:eastAsia="zh-CN"/>
              </w:rPr>
              <w:t>Battery chemistry</w:t>
            </w:r>
          </w:p>
        </w:tc>
        <w:tc>
          <w:tcPr>
            <w:tcW w:w="2835" w:type="dxa"/>
          </w:tcPr>
          <w:p w14:paraId="14B68565"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a. NCX-oriented</w:t>
            </w:r>
          </w:p>
        </w:tc>
        <w:tc>
          <w:tcPr>
            <w:tcW w:w="4530" w:type="dxa"/>
          </w:tcPr>
          <w:p w14:paraId="39283375" w14:textId="40927541"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NMC batteries are dominant in the automobile market.</w:t>
            </w:r>
          </w:p>
        </w:tc>
      </w:tr>
      <w:tr w:rsidR="004E7D73" w:rsidRPr="00B34D92" w14:paraId="3008A879" w14:textId="77777777" w:rsidTr="00B34D92">
        <w:tc>
          <w:tcPr>
            <w:tcW w:w="1985" w:type="dxa"/>
            <w:vMerge/>
          </w:tcPr>
          <w:p w14:paraId="1076E2B5"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3BE3F8B2"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b. LFP-oriented</w:t>
            </w:r>
          </w:p>
        </w:tc>
        <w:tc>
          <w:tcPr>
            <w:tcW w:w="4530" w:type="dxa"/>
          </w:tcPr>
          <w:p w14:paraId="33C88E52" w14:textId="4DA9262A"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 xml:space="preserve">LFP batteries are dominant in the automobile market. </w:t>
            </w:r>
          </w:p>
        </w:tc>
      </w:tr>
      <w:tr w:rsidR="00B34D92" w:rsidRPr="00B34D92" w14:paraId="08E2FAB8" w14:textId="77777777" w:rsidTr="00B34D92">
        <w:tc>
          <w:tcPr>
            <w:tcW w:w="1985" w:type="dxa"/>
            <w:vMerge/>
          </w:tcPr>
          <w:p w14:paraId="5733E4C6"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7CDC7052"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c. Li-S/Air-oriented</w:t>
            </w:r>
          </w:p>
        </w:tc>
        <w:tc>
          <w:tcPr>
            <w:tcW w:w="4530" w:type="dxa"/>
          </w:tcPr>
          <w:p w14:paraId="2FCDE550" w14:textId="6D29F425"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 xml:space="preserve">Li-S/Air batteries are dominant in the automobile market. </w:t>
            </w:r>
          </w:p>
        </w:tc>
      </w:tr>
      <w:tr w:rsidR="004E7D73" w:rsidRPr="00B34D92" w14:paraId="43A7A258" w14:textId="77777777" w:rsidTr="00B34D92">
        <w:tc>
          <w:tcPr>
            <w:tcW w:w="1985" w:type="dxa"/>
            <w:vMerge w:val="restart"/>
          </w:tcPr>
          <w:p w14:paraId="06B9115B" w14:textId="77777777" w:rsidR="004E7D73" w:rsidRPr="00B34D92" w:rsidRDefault="004E7D73" w:rsidP="00B34D92">
            <w:pPr>
              <w:rPr>
                <w:rFonts w:ascii="Times New Roman" w:eastAsia="SimSun" w:hAnsi="Times New Roman" w:cs="Times New Roman"/>
                <w:b/>
                <w:bCs/>
                <w:sz w:val="21"/>
                <w:szCs w:val="21"/>
                <w:lang w:eastAsia="zh-CN"/>
              </w:rPr>
            </w:pPr>
            <w:r w:rsidRPr="00B34D92">
              <w:rPr>
                <w:rFonts w:ascii="Cambria Math" w:eastAsia="ＭＳ 明朝" w:hAnsi="Cambria Math" w:cs="Cambria Math"/>
                <w:sz w:val="21"/>
                <w:szCs w:val="21"/>
                <w:lang w:eastAsia="zh-CN"/>
              </w:rPr>
              <w:t>②</w:t>
            </w:r>
            <w:r w:rsidRPr="00B34D92">
              <w:rPr>
                <w:rFonts w:ascii="Times New Roman" w:eastAsia="SimSun" w:hAnsi="Times New Roman" w:cs="Times New Roman"/>
                <w:sz w:val="21"/>
                <w:szCs w:val="21"/>
                <w:lang w:eastAsia="zh-CN"/>
              </w:rPr>
              <w:t>Battery service life</w:t>
            </w:r>
          </w:p>
        </w:tc>
        <w:tc>
          <w:tcPr>
            <w:tcW w:w="2835" w:type="dxa"/>
          </w:tcPr>
          <w:p w14:paraId="04DB7F7E"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a. Current situation unchanged</w:t>
            </w:r>
          </w:p>
        </w:tc>
        <w:tc>
          <w:tcPr>
            <w:tcW w:w="4530" w:type="dxa"/>
          </w:tcPr>
          <w:p w14:paraId="73B6B76C" w14:textId="60A9A883"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 xml:space="preserve">The </w:t>
            </w:r>
            <w:r w:rsidRPr="00B34D92">
              <w:rPr>
                <w:rFonts w:ascii="Times New Roman" w:eastAsia="SimSun" w:hAnsi="Times New Roman" w:cs="Times New Roman"/>
                <w:color w:val="000000" w:themeColor="text1"/>
                <w:sz w:val="21"/>
                <w:szCs w:val="21"/>
                <w:lang w:eastAsia="zh-CN"/>
              </w:rPr>
              <w:t xml:space="preserve">guarantee </w:t>
            </w:r>
            <w:r w:rsidRPr="00B34D92">
              <w:rPr>
                <w:rFonts w:ascii="Times New Roman" w:eastAsia="SimSun" w:hAnsi="Times New Roman" w:cs="Times New Roman"/>
                <w:sz w:val="21"/>
                <w:szCs w:val="21"/>
                <w:lang w:eastAsia="zh-CN"/>
              </w:rPr>
              <w:t>periods of LIBs for BEVs, PHEVs and stationary energy storage are set to be 7, 8, and 10 years, respectively</w:t>
            </w:r>
            <w:r w:rsidRPr="00B34D92">
              <w:rPr>
                <w:rFonts w:ascii="Times New Roman" w:eastAsia="SimSun" w:hAnsi="Times New Roman" w:cs="Times New Roman"/>
                <w:sz w:val="21"/>
                <w:szCs w:val="21"/>
                <w:lang w:eastAsia="zh-CN"/>
              </w:rPr>
              <w:fldChar w:fldCharType="begin"/>
            </w:r>
            <w:r w:rsidR="00100173">
              <w:rPr>
                <w:rFonts w:ascii="Times New Roman" w:eastAsia="SimSun" w:hAnsi="Times New Roman" w:cs="Times New Roman"/>
                <w:sz w:val="21"/>
                <w:szCs w:val="21"/>
                <w:lang w:eastAsia="zh-CN"/>
              </w:rPr>
              <w:instrText xml:space="preserve"> ADDIN EN.CITE &lt;EndNote&gt;&lt;Cite&gt;&lt;Author&gt;Zeng&lt;/Author&gt;&lt;Year&gt;2022&lt;/Year&gt;&lt;RecNum&gt;146&lt;/RecNum&gt;&lt;DisplayText&gt;&lt;style face="superscript"&gt;11&lt;/style&gt;&lt;/DisplayText&gt;&lt;record&gt;&lt;rec-number&gt;146&lt;/rec-number&gt;&lt;foreign-keys&gt;&lt;key app="EN" db-id="200xxs0psrtaz4eze9pp5vvrdraszefpsp0w" timestamp="1670825849"&gt;146&lt;/key&gt;&lt;/foreign-keys&gt;&lt;ref-type name="Journal Article"&gt;17&lt;/ref-type&gt;&lt;contributors&gt;&lt;authors&gt;&lt;author&gt;Zeng, Anqi&lt;/author&gt;&lt;author&gt;Chen, Wu&lt;/author&gt;&lt;author&gt;Rasmussen, Kasper Dalgas&lt;/author&gt;&lt;author&gt;Zhu, Xuehong&lt;/author&gt;&lt;author&gt;Lundhaug, Maren&lt;/author&gt;&lt;author&gt;Müller, Daniel B.&lt;/author&gt;&lt;author&gt;Tan, Juan&lt;/author&gt;&lt;author&gt;Keiding, Jakob K.&lt;/author&gt;&lt;author&gt;Liu, Litao&lt;/author&gt;&lt;author&gt;Dai, Tao&lt;/author&gt;&lt;author&gt;Wang, Anjian&lt;/author&gt;&lt;author&gt;Liu, Gang&lt;/author&gt;&lt;/authors&gt;&lt;/contributors&gt;&lt;titles&gt;&lt;title&gt;Battery technology and recycling alone will not save the electric mobility transition from future cobalt shortages&lt;/title&gt;&lt;secondary-title&gt;Nature Communications&lt;/secondary-title&gt;&lt;/titles&gt;&lt;periodical&gt;&lt;full-title&gt;Nature Communications&lt;/full-title&gt;&lt;/periodical&gt;&lt;pages&gt;1341&lt;/pages&gt;&lt;volume&gt;13&lt;/volume&gt;&lt;number&gt;1&lt;/number&gt;&lt;dates&gt;&lt;year&gt;2022&lt;/year&gt;&lt;pub-dates&gt;&lt;date&gt;2022/03/15&lt;/date&gt;&lt;/pub-dates&gt;&lt;/dates&gt;&lt;isbn&gt;2041-1723&lt;/isbn&gt;&lt;urls&gt;&lt;related-urls&gt;&lt;url&gt;https://doi.org/10.1038/s41467-022-29022-z&lt;/url&gt;&lt;/related-urls&gt;&lt;/urls&gt;&lt;electronic-resource-num&gt;10.1038/s41467-022-29022-z&lt;/electronic-resource-num&gt;&lt;/record&gt;&lt;/Cite&gt;&lt;/EndNote&gt;</w:instrText>
            </w:r>
            <w:r w:rsidRPr="00B34D92">
              <w:rPr>
                <w:rFonts w:ascii="Times New Roman" w:eastAsia="SimSun" w:hAnsi="Times New Roman" w:cs="Times New Roman"/>
                <w:sz w:val="21"/>
                <w:szCs w:val="21"/>
                <w:lang w:eastAsia="zh-CN"/>
              </w:rPr>
              <w:fldChar w:fldCharType="separate"/>
            </w:r>
            <w:r w:rsidR="00100173" w:rsidRPr="00100173">
              <w:rPr>
                <w:rFonts w:ascii="Times New Roman" w:eastAsia="SimSun" w:hAnsi="Times New Roman" w:cs="Times New Roman"/>
                <w:noProof/>
                <w:sz w:val="21"/>
                <w:szCs w:val="21"/>
                <w:vertAlign w:val="superscript"/>
                <w:lang w:eastAsia="zh-CN"/>
              </w:rPr>
              <w:t>11</w:t>
            </w:r>
            <w:r w:rsidRPr="00B34D92">
              <w:rPr>
                <w:rFonts w:ascii="Times New Roman" w:eastAsia="SimSun" w:hAnsi="Times New Roman" w:cs="Times New Roman"/>
                <w:sz w:val="21"/>
                <w:szCs w:val="21"/>
                <w:lang w:eastAsia="zh-CN"/>
              </w:rPr>
              <w:fldChar w:fldCharType="end"/>
            </w:r>
            <w:r w:rsidRPr="00B34D92">
              <w:rPr>
                <w:rFonts w:ascii="Times New Roman" w:eastAsia="SimSun" w:hAnsi="Times New Roman" w:cs="Times New Roman"/>
                <w:sz w:val="21"/>
                <w:szCs w:val="21"/>
                <w:lang w:eastAsia="zh-CN"/>
              </w:rPr>
              <w:t xml:space="preserve">. </w:t>
            </w:r>
          </w:p>
        </w:tc>
      </w:tr>
      <w:tr w:rsidR="004E7D73" w:rsidRPr="00B34D92" w14:paraId="0F3AF87D" w14:textId="77777777" w:rsidTr="00B34D92">
        <w:tc>
          <w:tcPr>
            <w:tcW w:w="1985" w:type="dxa"/>
            <w:vMerge/>
          </w:tcPr>
          <w:p w14:paraId="110BEA68"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112C427E"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b. Extended situation</w:t>
            </w:r>
          </w:p>
        </w:tc>
        <w:tc>
          <w:tcPr>
            <w:tcW w:w="4530" w:type="dxa"/>
          </w:tcPr>
          <w:p w14:paraId="69FFA3C7" w14:textId="2AEA12B5"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The guarantee periods set above are extended to 11, 12, and 15 years, respectively (average during 2025-2050)</w:t>
            </w:r>
            <w:r w:rsidRPr="00B34D92">
              <w:rPr>
                <w:rFonts w:ascii="Times New Roman" w:eastAsia="SimSun" w:hAnsi="Times New Roman" w:cs="Times New Roman"/>
                <w:sz w:val="21"/>
                <w:szCs w:val="21"/>
                <w:lang w:eastAsia="zh-CN"/>
              </w:rPr>
              <w:fldChar w:fldCharType="begin"/>
            </w:r>
            <w:r w:rsidR="00100173">
              <w:rPr>
                <w:rFonts w:ascii="Times New Roman" w:eastAsia="SimSun" w:hAnsi="Times New Roman" w:cs="Times New Roman"/>
                <w:sz w:val="21"/>
                <w:szCs w:val="21"/>
                <w:lang w:eastAsia="zh-CN"/>
              </w:rPr>
              <w:instrText xml:space="preserve"> ADDIN EN.CITE &lt;EndNote&gt;&lt;Cite&gt;&lt;Author&gt;Yu&lt;/Author&gt;&lt;Year&gt;2020&lt;/Year&gt;&lt;RecNum&gt;231&lt;/RecNum&gt;&lt;DisplayText&gt;&lt;style face="superscript"&gt;12&lt;/style&gt;&lt;/DisplayText&gt;&lt;record&gt;&lt;rec-number&gt;231&lt;/rec-number&gt;&lt;foreign-keys&gt;&lt;key app="EN" db-id="200xxs0psrtaz4eze9pp5vvrdraszefpsp0w" timestamp="1742127037"&gt;231&lt;/key&gt;&lt;/foreign-keys&gt;&lt;ref-type name="Journal Article"&gt;17&lt;/ref-type&gt;&lt;contributors&gt;&lt;authors&gt;&lt;author&gt;Yu, Zhiao&lt;/author&gt;&lt;author&gt;Wang, Hansen&lt;/author&gt;&lt;author&gt;Kong, Xian&lt;/author&gt;&lt;author&gt;Huang, William&lt;/author&gt;&lt;author&gt;Tsao, Yuchi&lt;/author&gt;&lt;author&gt;Mackanic, David G.&lt;/author&gt;&lt;author&gt;Wang, Kecheng&lt;/author&gt;&lt;author&gt;Wang, Xinchang&lt;/author&gt;&lt;author&gt;Huang, Wenxiao&lt;/author&gt;&lt;author&gt;Choudhury, Snehashis&lt;/author&gt;&lt;author&gt;Zheng, Yu&lt;/author&gt;&lt;author&gt;Amanchukwu, Chibueze V.&lt;/author&gt;&lt;author&gt;Hung, Samantha T.&lt;/author&gt;&lt;author&gt;Ma, Yuting&lt;/author&gt;&lt;author&gt;Lomeli, Eder G.&lt;/author&gt;&lt;author&gt;Qin, Jian&lt;/author&gt;&lt;author&gt;Cui, Yi&lt;/author&gt;&lt;author&gt;Bao, Zhenan&lt;/author&gt;&lt;/authors&gt;&lt;/contributors&gt;&lt;titles&gt;&lt;title&gt;Molecular design for electrolyte solvents enabling energy-dense and long-cycling lithium metal batteries&lt;/title&gt;&lt;secondary-title&gt;Nature Energy&lt;/secondary-title&gt;&lt;/titles&gt;&lt;periodical&gt;&lt;full-title&gt;Nature Energy&lt;/full-title&gt;&lt;/periodical&gt;&lt;pages&gt;526-533&lt;/pages&gt;&lt;volume&gt;5&lt;/volume&gt;&lt;number&gt;7&lt;/number&gt;&lt;dates&gt;&lt;year&gt;2020&lt;/year&gt;&lt;pub-dates&gt;&lt;date&gt;2020/07/01&lt;/date&gt;&lt;/pub-dates&gt;&lt;/dates&gt;&lt;isbn&gt;2058-7546&lt;/isbn&gt;&lt;urls&gt;&lt;related-urls&gt;&lt;url&gt;https://doi.org/10.1038/s41560-020-0634-5&lt;/url&gt;&lt;/related-urls&gt;&lt;/urls&gt;&lt;electronic-resource-num&gt;10.1038/s41560-020-0634-5&lt;/electronic-resource-num&gt;&lt;/record&gt;&lt;/Cite&gt;&lt;/EndNote&gt;</w:instrText>
            </w:r>
            <w:r w:rsidRPr="00B34D92">
              <w:rPr>
                <w:rFonts w:ascii="Times New Roman" w:eastAsia="SimSun" w:hAnsi="Times New Roman" w:cs="Times New Roman"/>
                <w:sz w:val="21"/>
                <w:szCs w:val="21"/>
                <w:lang w:eastAsia="zh-CN"/>
              </w:rPr>
              <w:fldChar w:fldCharType="separate"/>
            </w:r>
            <w:r w:rsidR="00100173" w:rsidRPr="00100173">
              <w:rPr>
                <w:rFonts w:ascii="Times New Roman" w:eastAsia="SimSun" w:hAnsi="Times New Roman" w:cs="Times New Roman"/>
                <w:noProof/>
                <w:sz w:val="21"/>
                <w:szCs w:val="21"/>
                <w:vertAlign w:val="superscript"/>
                <w:lang w:eastAsia="zh-CN"/>
              </w:rPr>
              <w:t>12</w:t>
            </w:r>
            <w:r w:rsidRPr="00B34D92">
              <w:rPr>
                <w:rFonts w:ascii="Times New Roman" w:eastAsia="SimSun" w:hAnsi="Times New Roman" w:cs="Times New Roman"/>
                <w:sz w:val="21"/>
                <w:szCs w:val="21"/>
                <w:lang w:eastAsia="zh-CN"/>
              </w:rPr>
              <w:fldChar w:fldCharType="end"/>
            </w:r>
            <w:r w:rsidRPr="00B34D92">
              <w:rPr>
                <w:rFonts w:ascii="Times New Roman" w:eastAsia="SimSun" w:hAnsi="Times New Roman" w:cs="Times New Roman"/>
                <w:sz w:val="21"/>
                <w:szCs w:val="21"/>
                <w:lang w:eastAsia="zh-CN"/>
              </w:rPr>
              <w:t>.</w:t>
            </w:r>
          </w:p>
        </w:tc>
      </w:tr>
      <w:tr w:rsidR="004E7D73" w:rsidRPr="00B34D92" w14:paraId="471A2F9F" w14:textId="77777777" w:rsidTr="00B34D92">
        <w:tc>
          <w:tcPr>
            <w:tcW w:w="1985" w:type="dxa"/>
            <w:vMerge w:val="restart"/>
          </w:tcPr>
          <w:p w14:paraId="645B9C2A" w14:textId="77777777" w:rsidR="004E7D73" w:rsidRPr="00B34D92" w:rsidRDefault="004E7D73" w:rsidP="00B34D92">
            <w:pPr>
              <w:rPr>
                <w:rFonts w:ascii="Times New Roman" w:eastAsia="SimSun" w:hAnsi="Times New Roman" w:cs="Times New Roman"/>
                <w:b/>
                <w:bCs/>
                <w:sz w:val="21"/>
                <w:szCs w:val="21"/>
                <w:lang w:eastAsia="zh-CN"/>
              </w:rPr>
            </w:pPr>
            <w:r w:rsidRPr="00B34D92">
              <w:rPr>
                <w:rFonts w:ascii="Cambria Math" w:eastAsia="ＭＳ 明朝" w:hAnsi="Cambria Math" w:cs="Cambria Math"/>
                <w:sz w:val="21"/>
                <w:szCs w:val="21"/>
                <w:lang w:eastAsia="zh-CN"/>
              </w:rPr>
              <w:t>③</w:t>
            </w:r>
            <w:r w:rsidRPr="00B34D92">
              <w:rPr>
                <w:rFonts w:ascii="Times New Roman" w:eastAsia="SimSun" w:hAnsi="Times New Roman" w:cs="Times New Roman"/>
                <w:sz w:val="21"/>
                <w:szCs w:val="21"/>
                <w:lang w:eastAsia="zh-CN"/>
              </w:rPr>
              <w:t>Tracing and mandatory collection</w:t>
            </w:r>
          </w:p>
        </w:tc>
        <w:tc>
          <w:tcPr>
            <w:tcW w:w="2835" w:type="dxa"/>
          </w:tcPr>
          <w:p w14:paraId="2982DF69"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a. Current situation unchanged</w:t>
            </w:r>
          </w:p>
        </w:tc>
        <w:tc>
          <w:tcPr>
            <w:tcW w:w="4530" w:type="dxa"/>
          </w:tcPr>
          <w:p w14:paraId="1CC1850E" w14:textId="7D8815F1"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75% of spent LIBs in domestic and 10% in overseas are collected by closed loop</w:t>
            </w:r>
            <w:r w:rsidRPr="00B34D92">
              <w:rPr>
                <w:rFonts w:ascii="Times New Roman" w:eastAsia="SimSun" w:hAnsi="Times New Roman" w:cs="Times New Roman"/>
                <w:sz w:val="21"/>
                <w:szCs w:val="21"/>
                <w:lang w:eastAsia="zh-CN"/>
              </w:rPr>
              <w:fldChar w:fldCharType="begin"/>
            </w:r>
            <w:r w:rsidR="00100173">
              <w:rPr>
                <w:rFonts w:ascii="Times New Roman" w:eastAsia="SimSun" w:hAnsi="Times New Roman" w:cs="Times New Roman"/>
                <w:sz w:val="21"/>
                <w:szCs w:val="21"/>
                <w:lang w:eastAsia="zh-CN"/>
              </w:rPr>
              <w:instrText xml:space="preserve"> ADDIN EN.CITE &lt;EndNote&gt;&lt;Cite&gt;&lt;Author&gt;METI&lt;/Author&gt;&lt;Year&gt;2022&lt;/Year&gt;&lt;RecNum&gt;232&lt;/RecNum&gt;&lt;DisplayText&gt;&lt;style face="superscript"&gt;13&lt;/style&gt;&lt;/DisplayText&gt;&lt;record&gt;&lt;rec-number&gt;232&lt;/rec-number&gt;&lt;foreign-keys&gt;&lt;key app="EN" db-id="200xxs0psrtaz4eze9pp5vvrdraszefpsp0w" timestamp="1742128355"&gt;232&lt;/key&gt;&lt;/foreign-keys&gt;&lt;ref-type name="Report"&gt;27&lt;/ref-type&gt;&lt;contributors&gt;&lt;authors&gt;&lt;author&gt;METI&lt;/author&gt;&lt;/authors&gt;&lt;/contributors&gt;&lt;titles&gt;&lt;title&gt;Presentation by the Study Group on the Sustainability of Batteries: Interim Summary&lt;/title&gt;&lt;/titles&gt;&lt;dates&gt;&lt;year&gt;2022&lt;/year&gt;&lt;/dates&gt;&lt;pub-location&gt;Tokyo&lt;/pub-location&gt;&lt;publisher&gt;Ministry of Economy, Trade and Industry of Japan (METI)&lt;/publisher&gt;&lt;urls&gt;&lt;related-urls&gt;&lt;url&gt;https://www.meti.go.jp/shingikai/mono_info_service/chikudenchi_sustainability/003.html&lt;/url&gt;&lt;/related-urls&gt;&lt;/urls&gt;&lt;/record&gt;&lt;/Cite&gt;&lt;/EndNote&gt;</w:instrText>
            </w:r>
            <w:r w:rsidRPr="00B34D92">
              <w:rPr>
                <w:rFonts w:ascii="Times New Roman" w:eastAsia="SimSun" w:hAnsi="Times New Roman" w:cs="Times New Roman"/>
                <w:sz w:val="21"/>
                <w:szCs w:val="21"/>
                <w:lang w:eastAsia="zh-CN"/>
              </w:rPr>
              <w:fldChar w:fldCharType="separate"/>
            </w:r>
            <w:r w:rsidR="00100173" w:rsidRPr="00100173">
              <w:rPr>
                <w:rFonts w:ascii="Times New Roman" w:eastAsia="SimSun" w:hAnsi="Times New Roman" w:cs="Times New Roman"/>
                <w:noProof/>
                <w:sz w:val="21"/>
                <w:szCs w:val="21"/>
                <w:vertAlign w:val="superscript"/>
                <w:lang w:eastAsia="zh-CN"/>
              </w:rPr>
              <w:t>13</w:t>
            </w:r>
            <w:r w:rsidRPr="00B34D92">
              <w:rPr>
                <w:rFonts w:ascii="Times New Roman" w:eastAsia="SimSun" w:hAnsi="Times New Roman" w:cs="Times New Roman"/>
                <w:sz w:val="21"/>
                <w:szCs w:val="21"/>
                <w:lang w:eastAsia="zh-CN"/>
              </w:rPr>
              <w:fldChar w:fldCharType="end"/>
            </w:r>
            <w:r w:rsidRPr="00B34D92">
              <w:rPr>
                <w:rFonts w:ascii="Times New Roman" w:eastAsia="SimSun" w:hAnsi="Times New Roman" w:cs="Times New Roman"/>
                <w:sz w:val="21"/>
                <w:szCs w:val="21"/>
                <w:lang w:eastAsia="zh-CN"/>
              </w:rPr>
              <w:t xml:space="preserve">. </w:t>
            </w:r>
          </w:p>
        </w:tc>
      </w:tr>
      <w:tr w:rsidR="00B34D92" w:rsidRPr="00B34D92" w14:paraId="65F62130" w14:textId="77777777" w:rsidTr="00B34D92">
        <w:tc>
          <w:tcPr>
            <w:tcW w:w="1985" w:type="dxa"/>
            <w:vMerge/>
          </w:tcPr>
          <w:p w14:paraId="52A1AFD1"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1FE2C297"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b. Strengthened by sales network</w:t>
            </w:r>
          </w:p>
        </w:tc>
        <w:tc>
          <w:tcPr>
            <w:tcW w:w="4530" w:type="dxa"/>
          </w:tcPr>
          <w:p w14:paraId="594FD047"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95% of spent LIBs in domestic and 40% in overseas are collected by closed loop.</w:t>
            </w:r>
          </w:p>
        </w:tc>
      </w:tr>
      <w:tr w:rsidR="004E7D73" w:rsidRPr="00B34D92" w14:paraId="54ED3143" w14:textId="77777777" w:rsidTr="00B34D92">
        <w:tc>
          <w:tcPr>
            <w:tcW w:w="1985" w:type="dxa"/>
            <w:vMerge/>
          </w:tcPr>
          <w:p w14:paraId="2E640FC5"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4FBDD088"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c. Strengthened by international rule-making</w:t>
            </w:r>
          </w:p>
        </w:tc>
        <w:tc>
          <w:tcPr>
            <w:tcW w:w="4530" w:type="dxa"/>
          </w:tcPr>
          <w:p w14:paraId="3FF5D4B0"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95% of spent LIBs in domestic and 90% in overseas are collected by closed loop.</w:t>
            </w:r>
          </w:p>
        </w:tc>
      </w:tr>
      <w:tr w:rsidR="004E7D73" w:rsidRPr="00B34D92" w14:paraId="5B52508A" w14:textId="77777777" w:rsidTr="00B34D92">
        <w:tc>
          <w:tcPr>
            <w:tcW w:w="1985" w:type="dxa"/>
            <w:vMerge w:val="restart"/>
          </w:tcPr>
          <w:p w14:paraId="2A87C290" w14:textId="77777777" w:rsidR="004E7D73" w:rsidRPr="00B34D92" w:rsidRDefault="004E7D73" w:rsidP="00B34D92">
            <w:pPr>
              <w:rPr>
                <w:rFonts w:ascii="Times New Roman" w:eastAsia="SimSun" w:hAnsi="Times New Roman" w:cs="Times New Roman"/>
                <w:b/>
                <w:bCs/>
                <w:sz w:val="21"/>
                <w:szCs w:val="21"/>
                <w:lang w:eastAsia="zh-CN"/>
              </w:rPr>
            </w:pPr>
            <w:r w:rsidRPr="00B34D92">
              <w:rPr>
                <w:rFonts w:ascii="Cambria Math" w:eastAsia="ＭＳ 明朝" w:hAnsi="Cambria Math" w:cs="Cambria Math"/>
                <w:sz w:val="21"/>
                <w:szCs w:val="21"/>
                <w:lang w:eastAsia="zh-CN"/>
              </w:rPr>
              <w:t>④</w:t>
            </w:r>
            <w:r w:rsidRPr="00B34D92">
              <w:rPr>
                <w:rFonts w:ascii="Times New Roman" w:eastAsia="SimSun" w:hAnsi="Times New Roman" w:cs="Times New Roman"/>
                <w:sz w:val="21"/>
                <w:szCs w:val="21"/>
                <w:lang w:eastAsia="zh-CN"/>
              </w:rPr>
              <w:t>Recycling progress</w:t>
            </w:r>
          </w:p>
        </w:tc>
        <w:tc>
          <w:tcPr>
            <w:tcW w:w="2835" w:type="dxa"/>
          </w:tcPr>
          <w:p w14:paraId="353FE561" w14:textId="77777777" w:rsidR="004E7D73" w:rsidRPr="00B34D92" w:rsidRDefault="004E7D73" w:rsidP="00B34D92">
            <w:pPr>
              <w:rPr>
                <w:rFonts w:ascii="Times New Roman" w:hAnsi="Times New Roman" w:cs="Times New Roman"/>
                <w:sz w:val="21"/>
                <w:szCs w:val="21"/>
              </w:rPr>
            </w:pPr>
            <w:r w:rsidRPr="00B34D92">
              <w:rPr>
                <w:rFonts w:ascii="Times New Roman" w:eastAsia="SimSun" w:hAnsi="Times New Roman" w:cs="Times New Roman"/>
                <w:sz w:val="21"/>
                <w:szCs w:val="21"/>
                <w:lang w:eastAsia="zh-CN"/>
              </w:rPr>
              <w:t xml:space="preserve">a. </w:t>
            </w:r>
            <w:r w:rsidRPr="00B34D92">
              <w:rPr>
                <w:rFonts w:ascii="Times New Roman" w:hAnsi="Times New Roman" w:cs="Times New Roman"/>
                <w:sz w:val="21"/>
                <w:szCs w:val="21"/>
              </w:rPr>
              <w:t>Low level</w:t>
            </w:r>
          </w:p>
        </w:tc>
        <w:tc>
          <w:tcPr>
            <w:tcW w:w="4530" w:type="dxa"/>
          </w:tcPr>
          <w:p w14:paraId="6F4F969F" w14:textId="3DE78540"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LFP batteries are not recycled; the recycling rate for Li is 50%, and it for Ni, Co, and Mn reaches 90%</w:t>
            </w:r>
            <w:r w:rsidRPr="00B34D92">
              <w:rPr>
                <w:rFonts w:ascii="Times New Roman" w:eastAsia="SimSun" w:hAnsi="Times New Roman" w:cs="Times New Roman"/>
                <w:sz w:val="21"/>
                <w:szCs w:val="21"/>
                <w:lang w:eastAsia="zh-CN"/>
              </w:rPr>
              <w:fldChar w:fldCharType="begin"/>
            </w:r>
            <w:r w:rsidR="00100173">
              <w:rPr>
                <w:rFonts w:ascii="Times New Roman" w:eastAsia="SimSun" w:hAnsi="Times New Roman" w:cs="Times New Roman"/>
                <w:sz w:val="21"/>
                <w:szCs w:val="21"/>
                <w:lang w:eastAsia="zh-CN"/>
              </w:rPr>
              <w:instrText xml:space="preserve"> ADDIN EN.CITE &lt;EndNote&gt;&lt;Cite&gt;&lt;Author&gt;Dai&lt;/Author&gt;&lt;Year&gt;2019&lt;/Year&gt;&lt;RecNum&gt;199&lt;/RecNum&gt;&lt;DisplayText&gt;&lt;style face="superscript"&gt;14&lt;/style&gt;&lt;/DisplayText&gt;&lt;record&gt;&lt;rec-number&gt;199&lt;/rec-number&gt;&lt;foreign-keys&gt;&lt;key app="EN" db-id="200xxs0psrtaz4eze9pp5vvrdraszefpsp0w" timestamp="1707808384"&gt;199&lt;/key&gt;&lt;/foreign-keys&gt;&lt;ref-type name="Journal Article"&gt;17&lt;/ref-type&gt;&lt;contributors&gt;&lt;authors&gt;&lt;author&gt;Dai, Q.&lt;/author&gt;&lt;author&gt;Spangenberger, J.&lt;/author&gt;&lt;author&gt;Ahmed, S.&lt;/author&gt;&lt;author&gt;Gaines, L.&lt;/author&gt;&lt;author&gt;Kelly, J.C.&lt;/author&gt;&lt;author&gt;Wang, M.&lt;/author&gt;&lt;/authors&gt;&lt;/contributors&gt;&lt;titles&gt;&lt;title&gt;EverBatt: A Closed-loop Battery Recycling Cost and Environmental Impacts Model (Argonne National Laboratory)&lt;/title&gt;&lt;/titles&gt;&lt;dates&gt;&lt;year&gt;2019&lt;/year&gt;&lt;/dates&gt;&lt;urls&gt;&lt;/urls&gt;&lt;/record&gt;&lt;/Cite&gt;&lt;/EndNote&gt;</w:instrText>
            </w:r>
            <w:r w:rsidRPr="00B34D92">
              <w:rPr>
                <w:rFonts w:ascii="Times New Roman" w:eastAsia="SimSun" w:hAnsi="Times New Roman" w:cs="Times New Roman"/>
                <w:sz w:val="21"/>
                <w:szCs w:val="21"/>
                <w:lang w:eastAsia="zh-CN"/>
              </w:rPr>
              <w:fldChar w:fldCharType="separate"/>
            </w:r>
            <w:r w:rsidR="00100173" w:rsidRPr="00100173">
              <w:rPr>
                <w:rFonts w:ascii="Times New Roman" w:eastAsia="SimSun" w:hAnsi="Times New Roman" w:cs="Times New Roman"/>
                <w:noProof/>
                <w:sz w:val="21"/>
                <w:szCs w:val="21"/>
                <w:vertAlign w:val="superscript"/>
                <w:lang w:eastAsia="zh-CN"/>
              </w:rPr>
              <w:t>14</w:t>
            </w:r>
            <w:r w:rsidRPr="00B34D92">
              <w:rPr>
                <w:rFonts w:ascii="Times New Roman" w:eastAsia="SimSun" w:hAnsi="Times New Roman" w:cs="Times New Roman"/>
                <w:sz w:val="21"/>
                <w:szCs w:val="21"/>
                <w:lang w:eastAsia="zh-CN"/>
              </w:rPr>
              <w:fldChar w:fldCharType="end"/>
            </w:r>
            <w:r w:rsidRPr="00B34D92">
              <w:rPr>
                <w:rFonts w:ascii="Times New Roman" w:eastAsia="SimSun" w:hAnsi="Times New Roman" w:cs="Times New Roman"/>
                <w:sz w:val="21"/>
                <w:szCs w:val="21"/>
                <w:lang w:eastAsia="zh-CN"/>
              </w:rPr>
              <w:t xml:space="preserve">. </w:t>
            </w:r>
          </w:p>
        </w:tc>
      </w:tr>
      <w:tr w:rsidR="004E7D73" w:rsidRPr="00B34D92" w14:paraId="31F95E15" w14:textId="77777777" w:rsidTr="00B34D92">
        <w:tc>
          <w:tcPr>
            <w:tcW w:w="1985" w:type="dxa"/>
            <w:vMerge/>
          </w:tcPr>
          <w:p w14:paraId="7FE8A4DB"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1B0966E3" w14:textId="5DC768C6" w:rsidR="004E7D73" w:rsidRPr="00B34D92" w:rsidRDefault="004E7D73" w:rsidP="00B34D92">
            <w:pPr>
              <w:rPr>
                <w:rFonts w:ascii="Times New Roman" w:hAnsi="Times New Roman" w:cs="Times New Roman"/>
                <w:sz w:val="21"/>
                <w:szCs w:val="21"/>
              </w:rPr>
            </w:pPr>
            <w:r w:rsidRPr="00B34D92">
              <w:rPr>
                <w:rFonts w:ascii="Times New Roman" w:eastAsia="SimSun" w:hAnsi="Times New Roman" w:cs="Times New Roman"/>
                <w:sz w:val="21"/>
                <w:szCs w:val="21"/>
                <w:lang w:eastAsia="zh-CN"/>
              </w:rPr>
              <w:t xml:space="preserve">b. </w:t>
            </w:r>
            <w:r w:rsidR="00004D96">
              <w:rPr>
                <w:rFonts w:ascii="Times New Roman" w:eastAsia="DengXian" w:hAnsi="Times New Roman" w:cs="Times New Roman" w:hint="eastAsia"/>
                <w:sz w:val="21"/>
                <w:szCs w:val="21"/>
                <w:lang w:eastAsia="zh-CN"/>
              </w:rPr>
              <w:t>Moderate</w:t>
            </w:r>
            <w:r w:rsidRPr="00B34D92">
              <w:rPr>
                <w:rFonts w:ascii="Times New Roman" w:hAnsi="Times New Roman" w:cs="Times New Roman"/>
                <w:sz w:val="21"/>
                <w:szCs w:val="21"/>
              </w:rPr>
              <w:t xml:space="preserve"> level</w:t>
            </w:r>
          </w:p>
        </w:tc>
        <w:tc>
          <w:tcPr>
            <w:tcW w:w="4530" w:type="dxa"/>
          </w:tcPr>
          <w:p w14:paraId="52BCD9B9"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LFP batteries are recycled; the recycling rate for Li, Ni, Co, and Mn reaches 90%.</w:t>
            </w:r>
          </w:p>
        </w:tc>
      </w:tr>
      <w:tr w:rsidR="004E7D73" w:rsidRPr="00B34D92" w14:paraId="7BBF306A" w14:textId="77777777" w:rsidTr="00B34D92">
        <w:tc>
          <w:tcPr>
            <w:tcW w:w="1985" w:type="dxa"/>
            <w:vMerge/>
          </w:tcPr>
          <w:p w14:paraId="469B173B"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46D716D6" w14:textId="77777777" w:rsidR="004E7D73" w:rsidRPr="00B34D92" w:rsidRDefault="004E7D73" w:rsidP="00B34D92">
            <w:pPr>
              <w:rPr>
                <w:rFonts w:ascii="Times New Roman" w:hAnsi="Times New Roman" w:cs="Times New Roman"/>
                <w:sz w:val="21"/>
                <w:szCs w:val="21"/>
              </w:rPr>
            </w:pPr>
            <w:r w:rsidRPr="00B34D92">
              <w:rPr>
                <w:rFonts w:ascii="Times New Roman" w:eastAsia="SimSun" w:hAnsi="Times New Roman" w:cs="Times New Roman"/>
                <w:sz w:val="21"/>
                <w:szCs w:val="21"/>
                <w:lang w:eastAsia="zh-CN"/>
              </w:rPr>
              <w:t xml:space="preserve">c. Ambitious </w:t>
            </w:r>
            <w:r w:rsidRPr="00B34D92">
              <w:rPr>
                <w:rFonts w:ascii="Times New Roman" w:hAnsi="Times New Roman" w:cs="Times New Roman"/>
                <w:sz w:val="21"/>
                <w:szCs w:val="21"/>
              </w:rPr>
              <w:t>level</w:t>
            </w:r>
          </w:p>
        </w:tc>
        <w:tc>
          <w:tcPr>
            <w:tcW w:w="4530" w:type="dxa"/>
          </w:tcPr>
          <w:p w14:paraId="4493F8DE"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LFP batteries are recycled; the recycling rate for Li, Ni, Co, and Mn reaches 99%.</w:t>
            </w:r>
          </w:p>
        </w:tc>
      </w:tr>
      <w:tr w:rsidR="004E7D73" w:rsidRPr="00B34D92" w14:paraId="31E13A9F" w14:textId="77777777" w:rsidTr="00B34D92">
        <w:tc>
          <w:tcPr>
            <w:tcW w:w="1985" w:type="dxa"/>
            <w:vMerge w:val="restart"/>
          </w:tcPr>
          <w:p w14:paraId="70B1558E" w14:textId="77777777" w:rsidR="004E7D73" w:rsidRPr="00B34D92" w:rsidRDefault="004E7D73" w:rsidP="00B34D92">
            <w:pPr>
              <w:rPr>
                <w:rFonts w:ascii="Times New Roman" w:eastAsia="SimSun" w:hAnsi="Times New Roman" w:cs="Times New Roman"/>
                <w:b/>
                <w:bCs/>
                <w:sz w:val="21"/>
                <w:szCs w:val="21"/>
                <w:lang w:eastAsia="zh-CN"/>
              </w:rPr>
            </w:pPr>
            <w:r w:rsidRPr="00B34D92">
              <w:rPr>
                <w:rFonts w:ascii="Cambria Math" w:eastAsia="ＭＳ 明朝" w:hAnsi="Cambria Math" w:cs="Cambria Math"/>
                <w:sz w:val="21"/>
                <w:szCs w:val="21"/>
                <w:lang w:eastAsia="zh-CN"/>
              </w:rPr>
              <w:t>⑤</w:t>
            </w:r>
            <w:r w:rsidRPr="00B34D92">
              <w:rPr>
                <w:rFonts w:ascii="Times New Roman" w:eastAsia="SimSun" w:hAnsi="Times New Roman" w:cs="Times New Roman"/>
                <w:sz w:val="21"/>
                <w:szCs w:val="21"/>
                <w:lang w:eastAsia="zh-CN"/>
              </w:rPr>
              <w:t>Penetration of EVs</w:t>
            </w:r>
          </w:p>
        </w:tc>
        <w:tc>
          <w:tcPr>
            <w:tcW w:w="2835" w:type="dxa"/>
          </w:tcPr>
          <w:p w14:paraId="5E2C1CF3"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a. BEV-oriented</w:t>
            </w:r>
          </w:p>
        </w:tc>
        <w:tc>
          <w:tcPr>
            <w:tcW w:w="4530" w:type="dxa"/>
          </w:tcPr>
          <w:p w14:paraId="5D5F7390" w14:textId="294E33A1"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ICEVs quit the domestic new sales market by 2035, while BEVs dominate the market by 2050. Overseas market share changes are referred to as the prediction by IEA</w:t>
            </w:r>
            <w:r w:rsidRPr="00B34D92">
              <w:rPr>
                <w:rFonts w:ascii="Times New Roman" w:eastAsia="SimSun" w:hAnsi="Times New Roman" w:cs="Times New Roman"/>
                <w:sz w:val="21"/>
                <w:szCs w:val="21"/>
                <w:lang w:eastAsia="zh-CN"/>
              </w:rPr>
              <w:fldChar w:fldCharType="begin"/>
            </w:r>
            <w:r w:rsidR="00100173">
              <w:rPr>
                <w:rFonts w:ascii="Times New Roman" w:eastAsia="SimSun" w:hAnsi="Times New Roman" w:cs="Times New Roman"/>
                <w:sz w:val="21"/>
                <w:szCs w:val="21"/>
                <w:lang w:eastAsia="zh-CN"/>
              </w:rPr>
              <w:instrText xml:space="preserve"> ADDIN EN.CITE &lt;EndNote&gt;&lt;Cite&gt;&lt;Author&gt;IEA&lt;/Author&gt;&lt;Year&gt;2024&lt;/Year&gt;&lt;RecNum&gt;140&lt;/RecNum&gt;&lt;DisplayText&gt;&lt;style face="superscript"&gt;7&lt;/style&gt;&lt;/DisplayText&gt;&lt;record&gt;&lt;rec-number&gt;140&lt;/rec-number&gt;&lt;foreign-keys&gt;&lt;key app="EN" db-id="200xxs0psrtaz4eze9pp5vvrdraszefpsp0w" timestamp="1609050113"&gt;140&lt;/key&gt;&lt;/foreign-keys&gt;&lt;ref-type name="Report"&gt;27&lt;/ref-type&gt;&lt;contributors&gt;&lt;authors&gt;&lt;author&gt;IEA&lt;/author&gt;&lt;/authors&gt;&lt;/contributors&gt;&lt;titles&gt;&lt;title&gt;Global EV Outlook 2024&lt;/title&gt;&lt;/titles&gt;&lt;dates&gt;&lt;year&gt;2024&lt;/year&gt;&lt;/dates&gt;&lt;pub-location&gt;Paris, https://www.iea.org/reports/global-ev-outlook-2020&lt;/pub-location&gt;&lt;publisher&gt;International Energy Agency (IEA)&lt;/publisher&gt;&lt;urls&gt;&lt;/urls&gt;&lt;/record&gt;&lt;/Cite&gt;&lt;/EndNote&gt;</w:instrText>
            </w:r>
            <w:r w:rsidRPr="00B34D92">
              <w:rPr>
                <w:rFonts w:ascii="Times New Roman" w:eastAsia="SimSun" w:hAnsi="Times New Roman" w:cs="Times New Roman"/>
                <w:sz w:val="21"/>
                <w:szCs w:val="21"/>
                <w:lang w:eastAsia="zh-CN"/>
              </w:rPr>
              <w:fldChar w:fldCharType="separate"/>
            </w:r>
            <w:r w:rsidR="00100173" w:rsidRPr="00100173">
              <w:rPr>
                <w:rFonts w:ascii="Times New Roman" w:eastAsia="SimSun" w:hAnsi="Times New Roman" w:cs="Times New Roman"/>
                <w:noProof/>
                <w:sz w:val="21"/>
                <w:szCs w:val="21"/>
                <w:vertAlign w:val="superscript"/>
                <w:lang w:eastAsia="zh-CN"/>
              </w:rPr>
              <w:t>7</w:t>
            </w:r>
            <w:r w:rsidRPr="00B34D92">
              <w:rPr>
                <w:rFonts w:ascii="Times New Roman" w:eastAsia="SimSun" w:hAnsi="Times New Roman" w:cs="Times New Roman"/>
                <w:sz w:val="21"/>
                <w:szCs w:val="21"/>
                <w:lang w:eastAsia="zh-CN"/>
              </w:rPr>
              <w:fldChar w:fldCharType="end"/>
            </w:r>
            <w:r w:rsidRPr="00B34D92">
              <w:rPr>
                <w:rFonts w:ascii="Times New Roman" w:eastAsia="SimSun" w:hAnsi="Times New Roman" w:cs="Times New Roman"/>
                <w:sz w:val="21"/>
                <w:szCs w:val="21"/>
                <w:lang w:eastAsia="zh-CN"/>
              </w:rPr>
              <w:t xml:space="preserve">. </w:t>
            </w:r>
          </w:p>
        </w:tc>
      </w:tr>
      <w:tr w:rsidR="00B34D92" w:rsidRPr="00B34D92" w14:paraId="39D0CE7A" w14:textId="77777777" w:rsidTr="00B34D92">
        <w:tc>
          <w:tcPr>
            <w:tcW w:w="1985" w:type="dxa"/>
            <w:vMerge/>
          </w:tcPr>
          <w:p w14:paraId="2892C167"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21124584"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b. CNF-oriented</w:t>
            </w:r>
          </w:p>
        </w:tc>
        <w:tc>
          <w:tcPr>
            <w:tcW w:w="4530" w:type="dxa"/>
          </w:tcPr>
          <w:p w14:paraId="55019C2A" w14:textId="5CF29161"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ICEVs quit the domestic new sales market by 2035, while BEVs and PHEVs divide the market equally by 2050. Overseas market share changes are referred to as the prediction by IEA</w:t>
            </w:r>
            <w:r w:rsidRPr="00B34D92">
              <w:rPr>
                <w:rFonts w:ascii="Times New Roman" w:eastAsia="SimSun" w:hAnsi="Times New Roman" w:cs="Times New Roman"/>
                <w:sz w:val="21"/>
                <w:szCs w:val="21"/>
                <w:lang w:eastAsia="zh-CN"/>
              </w:rPr>
              <w:fldChar w:fldCharType="begin"/>
            </w:r>
            <w:r w:rsidR="00100173">
              <w:rPr>
                <w:rFonts w:ascii="Times New Roman" w:eastAsia="SimSun" w:hAnsi="Times New Roman" w:cs="Times New Roman"/>
                <w:sz w:val="21"/>
                <w:szCs w:val="21"/>
                <w:lang w:eastAsia="zh-CN"/>
              </w:rPr>
              <w:instrText xml:space="preserve"> ADDIN EN.CITE &lt;EndNote&gt;&lt;Cite&gt;&lt;Author&gt;IEA&lt;/Author&gt;&lt;Year&gt;2024&lt;/Year&gt;&lt;RecNum&gt;140&lt;/RecNum&gt;&lt;DisplayText&gt;&lt;style face="superscript"&gt;7&lt;/style&gt;&lt;/DisplayText&gt;&lt;record&gt;&lt;rec-number&gt;140&lt;/rec-number&gt;&lt;foreign-keys&gt;&lt;key app="EN" db-id="200xxs0psrtaz4eze9pp5vvrdraszefpsp0w" timestamp="1609050113"&gt;140&lt;/key&gt;&lt;/foreign-keys&gt;&lt;ref-type name="Report"&gt;27&lt;/ref-type&gt;&lt;contributors&gt;&lt;authors&gt;&lt;author&gt;IEA&lt;/author&gt;&lt;/authors&gt;&lt;/contributors&gt;&lt;titles&gt;&lt;title&gt;Global EV Outlook 2024&lt;/title&gt;&lt;/titles&gt;&lt;dates&gt;&lt;year&gt;2024&lt;/year&gt;&lt;/dates&gt;&lt;pub-location&gt;Paris, https://www.iea.org/reports/global-ev-outlook-2020&lt;/pub-location&gt;&lt;publisher&gt;International Energy Agency (IEA)&lt;/publisher&gt;&lt;urls&gt;&lt;/urls&gt;&lt;/record&gt;&lt;/Cite&gt;&lt;/EndNote&gt;</w:instrText>
            </w:r>
            <w:r w:rsidRPr="00B34D92">
              <w:rPr>
                <w:rFonts w:ascii="Times New Roman" w:eastAsia="SimSun" w:hAnsi="Times New Roman" w:cs="Times New Roman"/>
                <w:sz w:val="21"/>
                <w:szCs w:val="21"/>
                <w:lang w:eastAsia="zh-CN"/>
              </w:rPr>
              <w:fldChar w:fldCharType="separate"/>
            </w:r>
            <w:r w:rsidR="00100173" w:rsidRPr="00100173">
              <w:rPr>
                <w:rFonts w:ascii="Times New Roman" w:eastAsia="SimSun" w:hAnsi="Times New Roman" w:cs="Times New Roman"/>
                <w:noProof/>
                <w:sz w:val="21"/>
                <w:szCs w:val="21"/>
                <w:vertAlign w:val="superscript"/>
                <w:lang w:eastAsia="zh-CN"/>
              </w:rPr>
              <w:t>7</w:t>
            </w:r>
            <w:r w:rsidRPr="00B34D92">
              <w:rPr>
                <w:rFonts w:ascii="Times New Roman" w:eastAsia="SimSun" w:hAnsi="Times New Roman" w:cs="Times New Roman"/>
                <w:sz w:val="21"/>
                <w:szCs w:val="21"/>
                <w:lang w:eastAsia="zh-CN"/>
              </w:rPr>
              <w:fldChar w:fldCharType="end"/>
            </w:r>
            <w:r w:rsidRPr="00B34D92">
              <w:rPr>
                <w:rFonts w:ascii="Times New Roman" w:eastAsia="SimSun" w:hAnsi="Times New Roman" w:cs="Times New Roman"/>
                <w:sz w:val="21"/>
                <w:szCs w:val="21"/>
                <w:lang w:eastAsia="zh-CN"/>
              </w:rPr>
              <w:t xml:space="preserve">. </w:t>
            </w:r>
          </w:p>
        </w:tc>
      </w:tr>
      <w:tr w:rsidR="004E7D73" w:rsidRPr="00B34D92" w14:paraId="7792A131" w14:textId="77777777" w:rsidTr="00B34D92">
        <w:tc>
          <w:tcPr>
            <w:tcW w:w="1985" w:type="dxa"/>
            <w:vMerge w:val="restart"/>
          </w:tcPr>
          <w:p w14:paraId="1A8DE248" w14:textId="77777777" w:rsidR="004E7D73" w:rsidRPr="00B34D92" w:rsidRDefault="004E7D73" w:rsidP="00B34D92">
            <w:pPr>
              <w:rPr>
                <w:rFonts w:ascii="Times New Roman" w:eastAsia="SimSun" w:hAnsi="Times New Roman" w:cs="Times New Roman"/>
                <w:b/>
                <w:bCs/>
                <w:sz w:val="21"/>
                <w:szCs w:val="21"/>
                <w:lang w:eastAsia="zh-CN"/>
              </w:rPr>
            </w:pPr>
            <w:r w:rsidRPr="00B34D92">
              <w:rPr>
                <w:rFonts w:ascii="Cambria Math" w:eastAsia="ＭＳ 明朝" w:hAnsi="Cambria Math" w:cs="Cambria Math"/>
                <w:sz w:val="21"/>
                <w:szCs w:val="21"/>
                <w:lang w:eastAsia="zh-CN"/>
              </w:rPr>
              <w:lastRenderedPageBreak/>
              <w:t>⑥</w:t>
            </w:r>
            <w:r w:rsidRPr="00B34D92">
              <w:rPr>
                <w:rFonts w:ascii="Times New Roman" w:eastAsia="SimSun" w:hAnsi="Times New Roman" w:cs="Times New Roman"/>
                <w:sz w:val="21"/>
                <w:szCs w:val="21"/>
                <w:lang w:eastAsia="zh-CN"/>
              </w:rPr>
              <w:t>Secondary use</w:t>
            </w:r>
          </w:p>
        </w:tc>
        <w:tc>
          <w:tcPr>
            <w:tcW w:w="2835" w:type="dxa"/>
          </w:tcPr>
          <w:p w14:paraId="502EB454"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a. All for secondary use</w:t>
            </w:r>
          </w:p>
        </w:tc>
        <w:tc>
          <w:tcPr>
            <w:tcW w:w="4530" w:type="dxa"/>
          </w:tcPr>
          <w:p w14:paraId="2AC8E1FE"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 xml:space="preserve">All spent LIBs are accepted for stationary energy storage and used worldwide. </w:t>
            </w:r>
          </w:p>
        </w:tc>
      </w:tr>
      <w:tr w:rsidR="004E7D73" w:rsidRPr="00B34D92" w14:paraId="4D0F5C1D" w14:textId="77777777" w:rsidTr="00B34D92">
        <w:tc>
          <w:tcPr>
            <w:tcW w:w="1985" w:type="dxa"/>
            <w:vMerge/>
          </w:tcPr>
          <w:p w14:paraId="4F3EBF6C"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35427E5B"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b. LFPs for secondary use</w:t>
            </w:r>
          </w:p>
        </w:tc>
        <w:tc>
          <w:tcPr>
            <w:tcW w:w="4530" w:type="dxa"/>
          </w:tcPr>
          <w:p w14:paraId="52F64705" w14:textId="55534293"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 xml:space="preserve">The capacity required for domestic stationary energy storage is limited so that </w:t>
            </w:r>
            <w:r w:rsidRPr="00B34D92">
              <w:rPr>
                <w:rFonts w:ascii="Times New Roman" w:eastAsia="SimSun" w:hAnsi="Times New Roman" w:cs="Times New Roman"/>
                <w:color w:val="000000" w:themeColor="text1"/>
                <w:sz w:val="21"/>
                <w:szCs w:val="21"/>
                <w:lang w:eastAsia="zh-CN"/>
              </w:rPr>
              <w:t xml:space="preserve">excessive </w:t>
            </w:r>
            <w:r w:rsidRPr="00B34D92">
              <w:rPr>
                <w:rFonts w:ascii="Times New Roman" w:eastAsia="SimSun" w:hAnsi="Times New Roman" w:cs="Times New Roman"/>
                <w:sz w:val="21"/>
                <w:szCs w:val="21"/>
                <w:lang w:eastAsia="zh-CN"/>
              </w:rPr>
              <w:t xml:space="preserve">spent LIBs have to be immediately recycled. The capacity limit in Japan is assumed to be proportional to the world </w:t>
            </w:r>
            <w:r w:rsidRPr="00B34D92">
              <w:rPr>
                <w:rFonts w:ascii="Times New Roman" w:eastAsia="SimSun" w:hAnsi="Times New Roman" w:cs="Times New Roman"/>
                <w:color w:val="000000" w:themeColor="text1"/>
                <w:sz w:val="21"/>
                <w:szCs w:val="21"/>
                <w:lang w:eastAsia="zh-CN"/>
              </w:rPr>
              <w:t xml:space="preserve">tendency </w:t>
            </w:r>
            <w:r w:rsidRPr="00B34D92">
              <w:rPr>
                <w:rFonts w:ascii="Times New Roman" w:eastAsia="SimSun" w:hAnsi="Times New Roman" w:cs="Times New Roman"/>
                <w:sz w:val="21"/>
                <w:szCs w:val="21"/>
                <w:lang w:eastAsia="zh-CN"/>
              </w:rPr>
              <w:t>referred to IRENA</w:t>
            </w:r>
            <w:r w:rsidRPr="00B34D92">
              <w:rPr>
                <w:rFonts w:ascii="Times New Roman" w:eastAsia="SimSun" w:hAnsi="Times New Roman" w:cs="Times New Roman"/>
                <w:sz w:val="21"/>
                <w:szCs w:val="21"/>
                <w:lang w:eastAsia="zh-CN"/>
              </w:rPr>
              <w:fldChar w:fldCharType="begin"/>
            </w:r>
            <w:r w:rsidR="00786D6A">
              <w:rPr>
                <w:rFonts w:ascii="Times New Roman" w:eastAsia="SimSun" w:hAnsi="Times New Roman" w:cs="Times New Roman"/>
                <w:sz w:val="21"/>
                <w:szCs w:val="21"/>
                <w:lang w:eastAsia="zh-CN"/>
              </w:rPr>
              <w:instrText xml:space="preserve"> ADDIN EN.CITE &lt;EndNote&gt;&lt;Cite&gt;&lt;Author&gt;IRENA&lt;/Author&gt;&lt;Year&gt;2020&lt;/Year&gt;&lt;RecNum&gt;234&lt;/RecNum&gt;&lt;DisplayText&gt;&lt;style face="superscript"&gt;15&lt;/style&gt;&lt;/DisplayText&gt;&lt;record&gt;&lt;rec-number&gt;234&lt;/rec-number&gt;&lt;foreign-keys&gt;&lt;key app="EN" db-id="200xxs0psrtaz4eze9pp5vvrdraszefpsp0w" timestamp="1742190437"&gt;234&lt;/key&gt;&lt;/foreign-keys&gt;&lt;ref-type name="Report"&gt;27&lt;/ref-type&gt;&lt;contributors&gt;&lt;authors&gt;&lt;author&gt;IRENA&lt;/author&gt;&lt;/authors&gt;&lt;/contributors&gt;&lt;titles&gt;&lt;title&gt;Global Renewables Outlook: Energy Transformation 2050&lt;/title&gt;&lt;/titles&gt;&lt;dates&gt;&lt;year&gt;2020&lt;/year&gt;&lt;/dates&gt;&lt;publisher&gt;The International Renewable Energy Agency (IRENA)&lt;/publisher&gt;&lt;urls&gt;&lt;/urls&gt;&lt;/record&gt;&lt;/Cite&gt;&lt;/EndNote&gt;</w:instrText>
            </w:r>
            <w:r w:rsidRPr="00B34D92">
              <w:rPr>
                <w:rFonts w:ascii="Times New Roman" w:eastAsia="SimSun" w:hAnsi="Times New Roman" w:cs="Times New Roman"/>
                <w:sz w:val="21"/>
                <w:szCs w:val="21"/>
                <w:lang w:eastAsia="zh-CN"/>
              </w:rPr>
              <w:fldChar w:fldCharType="separate"/>
            </w:r>
            <w:r w:rsidR="00786D6A" w:rsidRPr="00786D6A">
              <w:rPr>
                <w:rFonts w:ascii="Times New Roman" w:eastAsia="SimSun" w:hAnsi="Times New Roman" w:cs="Times New Roman"/>
                <w:noProof/>
                <w:sz w:val="21"/>
                <w:szCs w:val="21"/>
                <w:vertAlign w:val="superscript"/>
                <w:lang w:eastAsia="zh-CN"/>
              </w:rPr>
              <w:t>15</w:t>
            </w:r>
            <w:r w:rsidRPr="00B34D92">
              <w:rPr>
                <w:rFonts w:ascii="Times New Roman" w:eastAsia="SimSun" w:hAnsi="Times New Roman" w:cs="Times New Roman"/>
                <w:sz w:val="21"/>
                <w:szCs w:val="21"/>
                <w:lang w:eastAsia="zh-CN"/>
              </w:rPr>
              <w:fldChar w:fldCharType="end"/>
            </w:r>
            <w:r w:rsidRPr="00B34D92">
              <w:rPr>
                <w:rFonts w:ascii="Times New Roman" w:eastAsia="SimSun" w:hAnsi="Times New Roman" w:cs="Times New Roman"/>
                <w:sz w:val="21"/>
                <w:szCs w:val="21"/>
                <w:lang w:eastAsia="zh-CN"/>
              </w:rPr>
              <w:t xml:space="preserve">. </w:t>
            </w:r>
          </w:p>
        </w:tc>
      </w:tr>
      <w:tr w:rsidR="004E7D73" w:rsidRPr="00B34D92" w14:paraId="70C52BF0" w14:textId="77777777" w:rsidTr="00B34D92">
        <w:tc>
          <w:tcPr>
            <w:tcW w:w="1985" w:type="dxa"/>
            <w:vMerge/>
          </w:tcPr>
          <w:p w14:paraId="614DA172"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7A37753E"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c. All for immediate recycling</w:t>
            </w:r>
          </w:p>
        </w:tc>
        <w:tc>
          <w:tcPr>
            <w:tcW w:w="4530" w:type="dxa"/>
          </w:tcPr>
          <w:p w14:paraId="3C99BBC4"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All spent LIBs are immediately recycled. Instead, the required capacity for stationary energy storage is covered by new LFP batteries. The substitution ratio of spent LIBs to new LIBs is set as 80% (SoH=80%).</w:t>
            </w:r>
          </w:p>
        </w:tc>
      </w:tr>
      <w:tr w:rsidR="00B34D92" w:rsidRPr="00B34D92" w14:paraId="487EFFCC" w14:textId="77777777" w:rsidTr="00B34D92">
        <w:tc>
          <w:tcPr>
            <w:tcW w:w="1985" w:type="dxa"/>
            <w:vMerge w:val="restart"/>
          </w:tcPr>
          <w:p w14:paraId="573378F1" w14:textId="77777777" w:rsidR="004E7D73" w:rsidRPr="00B34D92" w:rsidRDefault="004E7D73" w:rsidP="00B34D92">
            <w:pPr>
              <w:rPr>
                <w:rFonts w:ascii="Times New Roman" w:eastAsia="SimSun" w:hAnsi="Times New Roman" w:cs="Times New Roman"/>
                <w:b/>
                <w:bCs/>
                <w:sz w:val="21"/>
                <w:szCs w:val="21"/>
                <w:lang w:eastAsia="zh-CN"/>
              </w:rPr>
            </w:pPr>
            <w:r w:rsidRPr="00B34D92">
              <w:rPr>
                <w:rFonts w:ascii="Cambria Math" w:eastAsia="ＭＳ 明朝" w:hAnsi="Cambria Math" w:cs="Cambria Math"/>
                <w:sz w:val="21"/>
                <w:szCs w:val="21"/>
                <w:lang w:eastAsia="zh-CN"/>
              </w:rPr>
              <w:t>⑦</w:t>
            </w:r>
            <w:r w:rsidRPr="00B34D92">
              <w:rPr>
                <w:rFonts w:ascii="Times New Roman" w:eastAsia="SimSun" w:hAnsi="Times New Roman" w:cs="Times New Roman"/>
                <w:sz w:val="21"/>
                <w:szCs w:val="21"/>
                <w:lang w:eastAsia="zh-CN"/>
              </w:rPr>
              <w:t>Used-car export</w:t>
            </w:r>
          </w:p>
        </w:tc>
        <w:tc>
          <w:tcPr>
            <w:tcW w:w="2835" w:type="dxa"/>
          </w:tcPr>
          <w:p w14:paraId="6CB39EF9"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a. Export with LIB</w:t>
            </w:r>
          </w:p>
        </w:tc>
        <w:tc>
          <w:tcPr>
            <w:tcW w:w="4530" w:type="dxa"/>
          </w:tcPr>
          <w:p w14:paraId="41E6A61A"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 xml:space="preserve">LIBs are exported with used cars as usual. </w:t>
            </w:r>
          </w:p>
        </w:tc>
      </w:tr>
      <w:tr w:rsidR="004E7D73" w:rsidRPr="00B34D92" w14:paraId="6AEF17E0" w14:textId="77777777" w:rsidTr="00B34D92">
        <w:tc>
          <w:tcPr>
            <w:tcW w:w="1985" w:type="dxa"/>
            <w:vMerge/>
          </w:tcPr>
          <w:p w14:paraId="4B281278" w14:textId="77777777" w:rsidR="004E7D73" w:rsidRPr="00B34D92" w:rsidRDefault="004E7D73" w:rsidP="00B34D92">
            <w:pPr>
              <w:rPr>
                <w:rFonts w:ascii="Times New Roman" w:eastAsia="SimSun" w:hAnsi="Times New Roman" w:cs="Times New Roman"/>
                <w:b/>
                <w:bCs/>
                <w:sz w:val="21"/>
                <w:szCs w:val="21"/>
                <w:lang w:eastAsia="zh-CN"/>
              </w:rPr>
            </w:pPr>
          </w:p>
        </w:tc>
        <w:tc>
          <w:tcPr>
            <w:tcW w:w="2835" w:type="dxa"/>
          </w:tcPr>
          <w:p w14:paraId="5B596BDF"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b. Export without LIB</w:t>
            </w:r>
          </w:p>
        </w:tc>
        <w:tc>
          <w:tcPr>
            <w:tcW w:w="4530" w:type="dxa"/>
          </w:tcPr>
          <w:p w14:paraId="108C2188"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LIBs are regulated not to be exported with used cars.</w:t>
            </w:r>
          </w:p>
        </w:tc>
      </w:tr>
      <w:tr w:rsidR="004E7D73" w:rsidRPr="00B34D92" w14:paraId="69C6D760" w14:textId="77777777" w:rsidTr="00B34D92">
        <w:tc>
          <w:tcPr>
            <w:tcW w:w="1985" w:type="dxa"/>
            <w:vMerge w:val="restart"/>
          </w:tcPr>
          <w:p w14:paraId="7173D26D" w14:textId="77777777" w:rsidR="004E7D73" w:rsidRPr="00B34D92" w:rsidRDefault="004E7D73" w:rsidP="00B34D92">
            <w:pPr>
              <w:rPr>
                <w:rFonts w:ascii="Times New Roman" w:eastAsia="SimSun" w:hAnsi="Times New Roman" w:cs="Times New Roman"/>
                <w:b/>
                <w:bCs/>
                <w:sz w:val="21"/>
                <w:szCs w:val="21"/>
                <w:lang w:eastAsia="zh-CN"/>
              </w:rPr>
            </w:pPr>
            <w:r w:rsidRPr="00B34D92">
              <w:rPr>
                <w:rFonts w:ascii="Cambria Math" w:eastAsia="ＭＳ 明朝" w:hAnsi="Cambria Math" w:cs="Cambria Math"/>
                <w:sz w:val="21"/>
                <w:szCs w:val="21"/>
                <w:lang w:eastAsia="zh-CN"/>
              </w:rPr>
              <w:t>⑧</w:t>
            </w:r>
            <w:r w:rsidRPr="00B34D92">
              <w:rPr>
                <w:rFonts w:ascii="Times New Roman" w:eastAsia="SimSun" w:hAnsi="Times New Roman" w:cs="Times New Roman"/>
                <w:sz w:val="21"/>
                <w:szCs w:val="21"/>
                <w:lang w:eastAsia="zh-CN"/>
              </w:rPr>
              <w:t>Traffic demand management</w:t>
            </w:r>
          </w:p>
        </w:tc>
        <w:tc>
          <w:tcPr>
            <w:tcW w:w="2835" w:type="dxa"/>
          </w:tcPr>
          <w:p w14:paraId="035C88BA"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a. Current situation unchanged</w:t>
            </w:r>
          </w:p>
        </w:tc>
        <w:tc>
          <w:tcPr>
            <w:tcW w:w="4530" w:type="dxa"/>
          </w:tcPr>
          <w:p w14:paraId="0FF5F50E"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No reduction in road infrastructure or promotion of car-sharing domestically.</w:t>
            </w:r>
          </w:p>
        </w:tc>
      </w:tr>
      <w:tr w:rsidR="004E7D73" w:rsidRPr="00B34D92" w14:paraId="56A54699" w14:textId="77777777" w:rsidTr="00B34D92">
        <w:tc>
          <w:tcPr>
            <w:tcW w:w="1985" w:type="dxa"/>
            <w:vMerge/>
          </w:tcPr>
          <w:p w14:paraId="0C416E0C" w14:textId="77777777" w:rsidR="004E7D73" w:rsidRPr="00B34D92" w:rsidRDefault="004E7D73" w:rsidP="00B34D92">
            <w:pPr>
              <w:jc w:val="both"/>
              <w:rPr>
                <w:rFonts w:ascii="Times New Roman" w:eastAsia="SimSun" w:hAnsi="Times New Roman" w:cs="Times New Roman"/>
                <w:b/>
                <w:bCs/>
                <w:sz w:val="21"/>
                <w:szCs w:val="21"/>
                <w:lang w:eastAsia="zh-CN"/>
              </w:rPr>
            </w:pPr>
          </w:p>
        </w:tc>
        <w:tc>
          <w:tcPr>
            <w:tcW w:w="2835" w:type="dxa"/>
          </w:tcPr>
          <w:p w14:paraId="4527729D"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b. Car-sharing and compact city</w:t>
            </w:r>
          </w:p>
        </w:tc>
        <w:tc>
          <w:tcPr>
            <w:tcW w:w="4530" w:type="dxa"/>
          </w:tcPr>
          <w:p w14:paraId="1564C9FA" w14:textId="77777777" w:rsidR="004E7D73" w:rsidRPr="00B34D92" w:rsidRDefault="004E7D73" w:rsidP="00B34D92">
            <w:pPr>
              <w:rPr>
                <w:rFonts w:ascii="Times New Roman" w:eastAsia="SimSun" w:hAnsi="Times New Roman" w:cs="Times New Roman"/>
                <w:sz w:val="21"/>
                <w:szCs w:val="21"/>
                <w:lang w:eastAsia="zh-CN"/>
              </w:rPr>
            </w:pPr>
            <w:r w:rsidRPr="00B34D92">
              <w:rPr>
                <w:rFonts w:ascii="Times New Roman" w:eastAsia="SimSun" w:hAnsi="Times New Roman" w:cs="Times New Roman"/>
                <w:sz w:val="21"/>
                <w:szCs w:val="21"/>
                <w:lang w:eastAsia="zh-CN"/>
              </w:rPr>
              <w:t>Reducing road infrastructure due to depopulation and promoting car-sharing domestically.</w:t>
            </w:r>
          </w:p>
        </w:tc>
      </w:tr>
    </w:tbl>
    <w:p w14:paraId="673D9908" w14:textId="77777777" w:rsidR="00BA4A4D" w:rsidRPr="009D3EF7" w:rsidRDefault="00BA4A4D" w:rsidP="00BA4A4D">
      <w:pPr>
        <w:rPr>
          <w:rFonts w:ascii="Times New Roman" w:eastAsia="DengXian" w:hAnsi="Times New Roman" w:cs="Times New Roman"/>
          <w:sz w:val="21"/>
          <w:szCs w:val="21"/>
          <w:lang w:eastAsia="zh-CN"/>
        </w:rPr>
      </w:pPr>
    </w:p>
    <w:p w14:paraId="37AE136B" w14:textId="563E700F" w:rsidR="00BA4A4D" w:rsidRPr="006A266D" w:rsidRDefault="000A22DF" w:rsidP="00BA4A4D">
      <w:pPr>
        <w:rPr>
          <w:rFonts w:ascii="Times New Roman" w:eastAsiaTheme="minorEastAsia" w:hAnsi="Times New Roman" w:cs="Times New Roman"/>
          <w:sz w:val="21"/>
          <w:szCs w:val="21"/>
        </w:rPr>
      </w:pPr>
      <w:r w:rsidRPr="000A22DF">
        <w:rPr>
          <w:rFonts w:ascii="Times New Roman" w:eastAsia="DengXian" w:hAnsi="Times New Roman" w:cs="Times New Roman"/>
          <w:sz w:val="21"/>
          <w:szCs w:val="21"/>
          <w:lang w:eastAsia="zh-CN"/>
        </w:rPr>
        <w:t>Table S2 summarizes the statistical and estimated data from referenced sources that are used as model inputs for tracking historical changes and conducting trend analyses.</w:t>
      </w:r>
    </w:p>
    <w:p w14:paraId="1016A7EA" w14:textId="77777777" w:rsidR="009D3EF7" w:rsidRPr="009D3EF7" w:rsidRDefault="009D3EF7" w:rsidP="00BA4A4D">
      <w:pPr>
        <w:rPr>
          <w:rFonts w:ascii="Times New Roman" w:eastAsia="DengXian" w:hAnsi="Times New Roman" w:cs="Times New Roman"/>
          <w:sz w:val="21"/>
          <w:szCs w:val="21"/>
          <w:lang w:eastAsia="zh-CN"/>
        </w:rPr>
      </w:pPr>
    </w:p>
    <w:p w14:paraId="4ACEA7CB" w14:textId="2C71F3EF" w:rsidR="003246A9" w:rsidRPr="000F62FA" w:rsidRDefault="003246A9" w:rsidP="00B6154F">
      <w:pPr>
        <w:pStyle w:val="af"/>
        <w:rPr>
          <w:rFonts w:ascii="Times New Roman" w:hAnsi="Times New Roman" w:cs="Times New Roman"/>
        </w:rPr>
      </w:pPr>
      <w:bookmarkStart w:id="12" w:name="_Toc199865707"/>
      <w:bookmarkStart w:id="13" w:name="_Toc208439363"/>
      <w:r w:rsidRPr="005109B0">
        <w:rPr>
          <w:rFonts w:ascii="Times New Roman" w:hAnsi="Times New Roman" w:cs="Times New Roman"/>
        </w:rPr>
        <w:t xml:space="preserve">Table </w:t>
      </w:r>
      <w:r w:rsidR="00B6154F" w:rsidRPr="005109B0">
        <w:rPr>
          <w:rFonts w:ascii="Times New Roman" w:eastAsia="DengXian" w:hAnsi="Times New Roman" w:cs="Times New Roman"/>
          <w:lang w:eastAsia="zh-CN"/>
        </w:rPr>
        <w:t>S</w:t>
      </w:r>
      <w:r w:rsidR="00B6154F" w:rsidRPr="005109B0">
        <w:rPr>
          <w:rFonts w:ascii="Times New Roman" w:hAnsi="Times New Roman" w:cs="Times New Roman"/>
        </w:rPr>
        <w:fldChar w:fldCharType="begin"/>
      </w:r>
      <w:r w:rsidR="00B6154F" w:rsidRPr="005109B0">
        <w:rPr>
          <w:rFonts w:ascii="Times New Roman" w:hAnsi="Times New Roman" w:cs="Times New Roman"/>
        </w:rPr>
        <w:instrText xml:space="preserve"> SEQ </w:instrText>
      </w:r>
      <w:r w:rsidR="00B6154F" w:rsidRPr="005109B0">
        <w:rPr>
          <w:rFonts w:ascii="Times New Roman" w:hAnsi="Times New Roman" w:cs="Times New Roman"/>
        </w:rPr>
        <w:instrText>表格</w:instrText>
      </w:r>
      <w:r w:rsidR="00B6154F" w:rsidRPr="005109B0">
        <w:rPr>
          <w:rFonts w:ascii="Times New Roman" w:hAnsi="Times New Roman" w:cs="Times New Roman"/>
        </w:rPr>
        <w:instrText xml:space="preserve"> \* ARABIC </w:instrText>
      </w:r>
      <w:r w:rsidR="00B6154F" w:rsidRPr="005109B0">
        <w:rPr>
          <w:rFonts w:ascii="Times New Roman" w:hAnsi="Times New Roman" w:cs="Times New Roman"/>
        </w:rPr>
        <w:fldChar w:fldCharType="separate"/>
      </w:r>
      <w:r w:rsidR="008961DD" w:rsidRPr="005109B0">
        <w:rPr>
          <w:rFonts w:ascii="Times New Roman" w:hAnsi="Times New Roman" w:cs="Times New Roman"/>
          <w:noProof/>
        </w:rPr>
        <w:t>2</w:t>
      </w:r>
      <w:r w:rsidR="00B6154F" w:rsidRPr="005109B0">
        <w:rPr>
          <w:rFonts w:ascii="Times New Roman" w:hAnsi="Times New Roman" w:cs="Times New Roman"/>
        </w:rPr>
        <w:fldChar w:fldCharType="end"/>
      </w:r>
      <w:r w:rsidR="00810E8C" w:rsidRPr="005109B0">
        <w:rPr>
          <w:rFonts w:ascii="Times New Roman" w:hAnsi="Times New Roman" w:cs="Times New Roman" w:hint="eastAsia"/>
        </w:rPr>
        <w:t>.</w:t>
      </w:r>
      <w:r w:rsidRPr="005109B0">
        <w:rPr>
          <w:rFonts w:ascii="Times New Roman" w:hAnsi="Times New Roman" w:cs="Times New Roman"/>
        </w:rPr>
        <w:t xml:space="preserve"> Statistical data collected from </w:t>
      </w:r>
      <w:r w:rsidR="00E82720" w:rsidRPr="005109B0">
        <w:rPr>
          <w:rFonts w:ascii="Times New Roman" w:hAnsi="Times New Roman" w:cs="Times New Roman" w:hint="eastAsia"/>
        </w:rPr>
        <w:t xml:space="preserve">the </w:t>
      </w:r>
      <w:r w:rsidRPr="005109B0">
        <w:rPr>
          <w:rFonts w:ascii="Times New Roman" w:hAnsi="Times New Roman" w:cs="Times New Roman"/>
        </w:rPr>
        <w:t>national statistics and reports</w:t>
      </w:r>
      <w:r w:rsidR="00810E8C" w:rsidRPr="005109B0">
        <w:rPr>
          <w:rFonts w:ascii="Times New Roman" w:hAnsi="Times New Roman" w:cs="Times New Roman" w:hint="eastAsia"/>
        </w:rPr>
        <w:t>.</w:t>
      </w:r>
      <w:bookmarkEnd w:id="12"/>
      <w:bookmarkEnd w:id="13"/>
    </w:p>
    <w:tbl>
      <w:tblPr>
        <w:tblStyle w:val="a7"/>
        <w:tblW w:w="5000" w:type="pct"/>
        <w:tblLook w:val="0600" w:firstRow="0" w:lastRow="0" w:firstColumn="0" w:lastColumn="0" w:noHBand="1" w:noVBand="1"/>
      </w:tblPr>
      <w:tblGrid>
        <w:gridCol w:w="2844"/>
        <w:gridCol w:w="900"/>
        <w:gridCol w:w="3693"/>
        <w:gridCol w:w="1057"/>
      </w:tblGrid>
      <w:tr w:rsidR="003246A9" w:rsidRPr="000F62FA" w14:paraId="15B0A26F" w14:textId="77777777" w:rsidTr="00E91F52">
        <w:trPr>
          <w:trHeight w:val="366"/>
        </w:trPr>
        <w:tc>
          <w:tcPr>
            <w:tcW w:w="1674" w:type="pct"/>
            <w:hideMark/>
          </w:tcPr>
          <w:p w14:paraId="75080018"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Statistics</w:t>
            </w:r>
          </w:p>
        </w:tc>
        <w:tc>
          <w:tcPr>
            <w:tcW w:w="530" w:type="pct"/>
            <w:hideMark/>
          </w:tcPr>
          <w:p w14:paraId="4EF88165"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Period</w:t>
            </w:r>
          </w:p>
        </w:tc>
        <w:tc>
          <w:tcPr>
            <w:tcW w:w="2174" w:type="pct"/>
            <w:hideMark/>
          </w:tcPr>
          <w:p w14:paraId="2E88D017"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Reference</w:t>
            </w:r>
          </w:p>
        </w:tc>
        <w:tc>
          <w:tcPr>
            <w:tcW w:w="622" w:type="pct"/>
            <w:hideMark/>
          </w:tcPr>
          <w:p w14:paraId="51A3D85F"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Status</w:t>
            </w:r>
          </w:p>
        </w:tc>
      </w:tr>
      <w:tr w:rsidR="003246A9" w:rsidRPr="000F62FA" w14:paraId="0093E141" w14:textId="77777777" w:rsidTr="00E91F52">
        <w:trPr>
          <w:trHeight w:val="366"/>
        </w:trPr>
        <w:tc>
          <w:tcPr>
            <w:tcW w:w="1674" w:type="pct"/>
            <w:hideMark/>
          </w:tcPr>
          <w:p w14:paraId="345441B5"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Ownership of passenger vehicles</w:t>
            </w:r>
          </w:p>
        </w:tc>
        <w:tc>
          <w:tcPr>
            <w:tcW w:w="530" w:type="pct"/>
            <w:hideMark/>
          </w:tcPr>
          <w:p w14:paraId="1F699E3D" w14:textId="32978460"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1966-202</w:t>
            </w:r>
            <w:r w:rsidR="00D329DF">
              <w:rPr>
                <w:rFonts w:ascii="Times New Roman" w:hAnsi="Times New Roman" w:cs="Times New Roman" w:hint="eastAsia"/>
                <w:sz w:val="21"/>
                <w:szCs w:val="21"/>
              </w:rPr>
              <w:t>3</w:t>
            </w:r>
          </w:p>
        </w:tc>
        <w:tc>
          <w:tcPr>
            <w:tcW w:w="2174" w:type="pct"/>
            <w:hideMark/>
          </w:tcPr>
          <w:p w14:paraId="31E849B3" w14:textId="657F84FA"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 xml:space="preserve">Automobile Inspection &amp; Registration Information Association </w:t>
            </w:r>
            <w:r w:rsidRPr="000F62FA">
              <w:rPr>
                <w:rFonts w:ascii="Times New Roman" w:hAnsi="Times New Roman" w:cs="Times New Roman"/>
                <w:sz w:val="21"/>
                <w:szCs w:val="21"/>
              </w:rPr>
              <w:fldChar w:fldCharType="begin"/>
            </w:r>
            <w:r w:rsidR="00786D6A">
              <w:rPr>
                <w:rFonts w:ascii="Times New Roman" w:hAnsi="Times New Roman" w:cs="Times New Roman"/>
                <w:sz w:val="21"/>
                <w:szCs w:val="21"/>
              </w:rPr>
              <w:instrText xml:space="preserve"> ADDIN EN.CITE &lt;EndNote&gt;&lt;Cite&gt;&lt;Author&gt;AIRIA&lt;/Author&gt;&lt;Year&gt;2024&lt;/Year&gt;&lt;RecNum&gt;212&lt;/RecNum&gt;&lt;DisplayText&gt;&lt;style face="superscript"&gt;16&lt;/style&gt;&lt;/DisplayText&gt;&lt;record&gt;&lt;rec-number&gt;212&lt;/rec-number&gt;&lt;foreign-keys&gt;&lt;key app="EN" db-id="200xxs0psrtaz4eze9pp5vvrdraszefpsp0w" timestamp="1708571428"&gt;212&lt;/key&gt;&lt;/foreign-keys&gt;&lt;ref-type name="Report"&gt;27&lt;/ref-type&gt;&lt;contributors&gt;&lt;authors&gt;&lt;author&gt;AIRIA&lt;/author&gt;&lt;/authors&gt;&lt;/contributors&gt;&lt;titles&gt;&lt;title&gt;The ownership of automobiles in Japan (1966-2024)&lt;/title&gt;&lt;/titles&gt;&lt;dates&gt;&lt;year&gt;2024&lt;/year&gt;&lt;/dates&gt;&lt;pub-location&gt;Tokyo&lt;/pub-location&gt;&lt;publisher&gt;Automobile Inspection &amp;amp; Registration Information Association (AIRIA)&lt;/publisher&gt;&lt;urls&gt;&lt;/urls&gt;&lt;/record&gt;&lt;/Cite&gt;&lt;/EndNote&gt;</w:instrText>
            </w:r>
            <w:r w:rsidRPr="000F62FA">
              <w:rPr>
                <w:rFonts w:ascii="Times New Roman" w:hAnsi="Times New Roman" w:cs="Times New Roman"/>
                <w:sz w:val="21"/>
                <w:szCs w:val="21"/>
              </w:rPr>
              <w:fldChar w:fldCharType="separate"/>
            </w:r>
            <w:r w:rsidR="00786D6A" w:rsidRPr="00786D6A">
              <w:rPr>
                <w:rFonts w:ascii="Times New Roman" w:hAnsi="Times New Roman" w:cs="Times New Roman"/>
                <w:noProof/>
                <w:sz w:val="21"/>
                <w:szCs w:val="21"/>
                <w:vertAlign w:val="superscript"/>
              </w:rPr>
              <w:t>16</w:t>
            </w:r>
            <w:r w:rsidRPr="000F62FA">
              <w:rPr>
                <w:rFonts w:ascii="Times New Roman" w:hAnsi="Times New Roman" w:cs="Times New Roman"/>
                <w:sz w:val="21"/>
                <w:szCs w:val="21"/>
              </w:rPr>
              <w:fldChar w:fldCharType="end"/>
            </w:r>
          </w:p>
        </w:tc>
        <w:tc>
          <w:tcPr>
            <w:tcW w:w="622" w:type="pct"/>
            <w:hideMark/>
          </w:tcPr>
          <w:p w14:paraId="37603311"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Statistic value</w:t>
            </w:r>
          </w:p>
        </w:tc>
      </w:tr>
      <w:tr w:rsidR="003246A9" w:rsidRPr="000F62FA" w14:paraId="267392BF" w14:textId="77777777" w:rsidTr="00E91F52">
        <w:trPr>
          <w:trHeight w:val="366"/>
        </w:trPr>
        <w:tc>
          <w:tcPr>
            <w:tcW w:w="1674" w:type="pct"/>
            <w:hideMark/>
          </w:tcPr>
          <w:p w14:paraId="4435386E"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Population; Number of households</w:t>
            </w:r>
          </w:p>
        </w:tc>
        <w:tc>
          <w:tcPr>
            <w:tcW w:w="530" w:type="pct"/>
            <w:hideMark/>
          </w:tcPr>
          <w:p w14:paraId="48C2A82E" w14:textId="35323AE2"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19</w:t>
            </w:r>
            <w:r w:rsidR="00AD2456">
              <w:rPr>
                <w:rFonts w:ascii="Times New Roman" w:hAnsi="Times New Roman" w:cs="Times New Roman" w:hint="eastAsia"/>
                <w:sz w:val="21"/>
                <w:szCs w:val="21"/>
              </w:rPr>
              <w:t>9</w:t>
            </w:r>
            <w:r w:rsidRPr="000F62FA">
              <w:rPr>
                <w:rFonts w:ascii="Times New Roman" w:hAnsi="Times New Roman" w:cs="Times New Roman"/>
                <w:sz w:val="21"/>
                <w:szCs w:val="21"/>
              </w:rPr>
              <w:t>0-20</w:t>
            </w:r>
            <w:r w:rsidR="00B231F9">
              <w:rPr>
                <w:rFonts w:ascii="Times New Roman" w:hAnsi="Times New Roman" w:cs="Times New Roman" w:hint="eastAsia"/>
                <w:sz w:val="21"/>
                <w:szCs w:val="21"/>
              </w:rPr>
              <w:t>19</w:t>
            </w:r>
          </w:p>
        </w:tc>
        <w:tc>
          <w:tcPr>
            <w:tcW w:w="2174" w:type="pct"/>
            <w:hideMark/>
          </w:tcPr>
          <w:p w14:paraId="6EBAD84E" w14:textId="71D10931"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 xml:space="preserve">National census of Japan </w:t>
            </w:r>
            <w:r w:rsidRPr="000F62FA">
              <w:rPr>
                <w:rFonts w:ascii="Times New Roman" w:hAnsi="Times New Roman" w:cs="Times New Roman"/>
                <w:sz w:val="21"/>
                <w:szCs w:val="21"/>
              </w:rPr>
              <w:fldChar w:fldCharType="begin"/>
            </w:r>
            <w:r w:rsidR="00786D6A">
              <w:rPr>
                <w:rFonts w:ascii="Times New Roman" w:hAnsi="Times New Roman" w:cs="Times New Roman"/>
                <w:sz w:val="21"/>
                <w:szCs w:val="21"/>
              </w:rPr>
              <w:instrText xml:space="preserve"> ADDIN EN.CITE &lt;EndNote&gt;&lt;Cite&gt;&lt;Author&gt;SBJ&lt;/Author&gt;&lt;Year&gt;2021&lt;/Year&gt;&lt;RecNum&gt;217&lt;/RecNum&gt;&lt;DisplayText&gt;&lt;style face="superscript"&gt;17&lt;/style&gt;&lt;/DisplayText&gt;&lt;record&gt;&lt;rec-number&gt;217&lt;/rec-number&gt;&lt;foreign-keys&gt;&lt;key app="EN" db-id="200xxs0psrtaz4eze9pp5vvrdraszefpsp0w" timestamp="1708916730"&gt;217&lt;/key&gt;&lt;/foreign-keys&gt;&lt;ref-type name="Report"&gt;27&lt;/ref-type&gt;&lt;contributors&gt;&lt;authors&gt;&lt;author&gt;SBJ&lt;/author&gt;&lt;/authors&gt;&lt;/contributors&gt;&lt;titles&gt;&lt;title&gt;2020 Population Census&lt;/title&gt;&lt;/titles&gt;&lt;dates&gt;&lt;year&gt;2021&lt;/year&gt;&lt;/dates&gt;&lt;pub-location&gt;Tokyo&lt;/pub-location&gt;&lt;publisher&gt;Statistics Bureau of Japan (SBJ)&lt;/publisher&gt;&lt;urls&gt;&lt;/urls&gt;&lt;/record&gt;&lt;/Cite&gt;&lt;/EndNote&gt;</w:instrText>
            </w:r>
            <w:r w:rsidRPr="000F62FA">
              <w:rPr>
                <w:rFonts w:ascii="Times New Roman" w:hAnsi="Times New Roman" w:cs="Times New Roman"/>
                <w:sz w:val="21"/>
                <w:szCs w:val="21"/>
              </w:rPr>
              <w:fldChar w:fldCharType="separate"/>
            </w:r>
            <w:r w:rsidR="00786D6A" w:rsidRPr="00786D6A">
              <w:rPr>
                <w:rFonts w:ascii="Times New Roman" w:hAnsi="Times New Roman" w:cs="Times New Roman"/>
                <w:noProof/>
                <w:sz w:val="21"/>
                <w:szCs w:val="21"/>
                <w:vertAlign w:val="superscript"/>
              </w:rPr>
              <w:t>17</w:t>
            </w:r>
            <w:r w:rsidRPr="000F62FA">
              <w:rPr>
                <w:rFonts w:ascii="Times New Roman" w:hAnsi="Times New Roman" w:cs="Times New Roman"/>
                <w:sz w:val="21"/>
                <w:szCs w:val="21"/>
              </w:rPr>
              <w:fldChar w:fldCharType="end"/>
            </w:r>
          </w:p>
        </w:tc>
        <w:tc>
          <w:tcPr>
            <w:tcW w:w="622" w:type="pct"/>
            <w:hideMark/>
          </w:tcPr>
          <w:p w14:paraId="1109223F"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Statistic value</w:t>
            </w:r>
          </w:p>
        </w:tc>
      </w:tr>
      <w:tr w:rsidR="003246A9" w:rsidRPr="000F62FA" w14:paraId="33F153A8" w14:textId="77777777" w:rsidTr="00E91F52">
        <w:trPr>
          <w:trHeight w:val="366"/>
        </w:trPr>
        <w:tc>
          <w:tcPr>
            <w:tcW w:w="1674" w:type="pct"/>
            <w:hideMark/>
          </w:tcPr>
          <w:p w14:paraId="3AD16448"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Average household income</w:t>
            </w:r>
          </w:p>
        </w:tc>
        <w:tc>
          <w:tcPr>
            <w:tcW w:w="530" w:type="pct"/>
            <w:hideMark/>
          </w:tcPr>
          <w:p w14:paraId="0E00EF28" w14:textId="47219CD0"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2005‐20</w:t>
            </w:r>
            <w:r w:rsidR="009C0235">
              <w:rPr>
                <w:rFonts w:ascii="Times New Roman" w:hAnsi="Times New Roman" w:cs="Times New Roman" w:hint="eastAsia"/>
                <w:sz w:val="21"/>
                <w:szCs w:val="21"/>
              </w:rPr>
              <w:t>18</w:t>
            </w:r>
          </w:p>
        </w:tc>
        <w:tc>
          <w:tcPr>
            <w:tcW w:w="2174" w:type="pct"/>
            <w:hideMark/>
          </w:tcPr>
          <w:p w14:paraId="54E39291" w14:textId="6FAE0A64" w:rsidR="003246A9" w:rsidRPr="000F62FA" w:rsidRDefault="003246A9" w:rsidP="00C04851">
            <w:pPr>
              <w:rPr>
                <w:rFonts w:ascii="Times New Roman" w:hAnsi="Times New Roman" w:cs="Times New Roman"/>
                <w:sz w:val="21"/>
                <w:szCs w:val="21"/>
              </w:rPr>
            </w:pPr>
            <w:bookmarkStart w:id="14" w:name="OLE_LINK1"/>
            <w:r w:rsidRPr="000F62FA">
              <w:rPr>
                <w:rFonts w:ascii="Times New Roman" w:hAnsi="Times New Roman" w:cs="Times New Roman"/>
                <w:sz w:val="21"/>
                <w:szCs w:val="21"/>
              </w:rPr>
              <w:t>Comprehensive Survey of Living Conditions</w:t>
            </w:r>
            <w:bookmarkEnd w:id="14"/>
            <w:r w:rsidRPr="000F62FA">
              <w:rPr>
                <w:rFonts w:ascii="Times New Roman" w:hAnsi="Times New Roman" w:cs="Times New Roman"/>
                <w:sz w:val="21"/>
                <w:szCs w:val="21"/>
              </w:rPr>
              <w:t xml:space="preserve"> </w:t>
            </w:r>
            <w:r w:rsidRPr="000F62FA">
              <w:rPr>
                <w:rFonts w:ascii="Times New Roman" w:hAnsi="Times New Roman" w:cs="Times New Roman"/>
                <w:sz w:val="21"/>
                <w:szCs w:val="21"/>
              </w:rPr>
              <w:fldChar w:fldCharType="begin"/>
            </w:r>
            <w:r w:rsidR="00786D6A">
              <w:rPr>
                <w:rFonts w:ascii="Times New Roman" w:hAnsi="Times New Roman" w:cs="Times New Roman"/>
                <w:sz w:val="21"/>
                <w:szCs w:val="21"/>
              </w:rPr>
              <w:instrText xml:space="preserve"> ADDIN EN.CITE &lt;EndNote&gt;&lt;Cite&gt;&lt;Author&gt;MHLWJ&lt;/Author&gt;&lt;Year&gt;2019&lt;/Year&gt;&lt;RecNum&gt;218&lt;/RecNum&gt;&lt;DisplayText&gt;&lt;style face="superscript"&gt;18&lt;/style&gt;&lt;/DisplayText&gt;&lt;record&gt;&lt;rec-number&gt;218&lt;/rec-number&gt;&lt;foreign-keys&gt;&lt;key app="EN" db-id="200xxs0psrtaz4eze9pp5vvrdraszefpsp0w" timestamp="1708916959"&gt;218&lt;/key&gt;&lt;/foreign-keys&gt;&lt;ref-type name="Report"&gt;27&lt;/ref-type&gt;&lt;contributors&gt;&lt;authors&gt;&lt;author&gt;MHLWJ&lt;/author&gt;&lt;/authors&gt;&lt;/contributors&gt;&lt;titles&gt;&lt;title&gt;Comprehensive Survey of Living Conditions (2005-2018)&lt;/title&gt;&lt;/titles&gt;&lt;dates&gt;&lt;year&gt;2019&lt;/year&gt;&lt;/dates&gt;&lt;pub-location&gt;Tokyo&lt;/pub-location&gt;&lt;publisher&gt;Ministry of Health, Labour and Welfare of Japan (MHLWJ)&lt;/publisher&gt;&lt;urls&gt;&lt;/urls&gt;&lt;/record&gt;&lt;/Cite&gt;&lt;/EndNote&gt;</w:instrText>
            </w:r>
            <w:r w:rsidRPr="000F62FA">
              <w:rPr>
                <w:rFonts w:ascii="Times New Roman" w:hAnsi="Times New Roman" w:cs="Times New Roman"/>
                <w:sz w:val="21"/>
                <w:szCs w:val="21"/>
              </w:rPr>
              <w:fldChar w:fldCharType="separate"/>
            </w:r>
            <w:r w:rsidR="00786D6A" w:rsidRPr="00786D6A">
              <w:rPr>
                <w:rFonts w:ascii="Times New Roman" w:hAnsi="Times New Roman" w:cs="Times New Roman"/>
                <w:noProof/>
                <w:sz w:val="21"/>
                <w:szCs w:val="21"/>
                <w:vertAlign w:val="superscript"/>
              </w:rPr>
              <w:t>18</w:t>
            </w:r>
            <w:r w:rsidRPr="000F62FA">
              <w:rPr>
                <w:rFonts w:ascii="Times New Roman" w:hAnsi="Times New Roman" w:cs="Times New Roman"/>
                <w:sz w:val="21"/>
                <w:szCs w:val="21"/>
              </w:rPr>
              <w:fldChar w:fldCharType="end"/>
            </w:r>
          </w:p>
        </w:tc>
        <w:tc>
          <w:tcPr>
            <w:tcW w:w="622" w:type="pct"/>
            <w:hideMark/>
          </w:tcPr>
          <w:p w14:paraId="397AB7FE"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Statistic value</w:t>
            </w:r>
          </w:p>
        </w:tc>
      </w:tr>
      <w:tr w:rsidR="003246A9" w:rsidRPr="000F62FA" w14:paraId="6BBDD785" w14:textId="77777777" w:rsidTr="00E91F52">
        <w:trPr>
          <w:trHeight w:val="366"/>
        </w:trPr>
        <w:tc>
          <w:tcPr>
            <w:tcW w:w="1674" w:type="pct"/>
            <w:hideMark/>
          </w:tcPr>
          <w:p w14:paraId="4C231957"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Average purchase price of passenger vehicles</w:t>
            </w:r>
          </w:p>
        </w:tc>
        <w:tc>
          <w:tcPr>
            <w:tcW w:w="530" w:type="pct"/>
            <w:hideMark/>
          </w:tcPr>
          <w:p w14:paraId="798FF91E" w14:textId="0E2A4214"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2005-20</w:t>
            </w:r>
            <w:r w:rsidR="009C0235">
              <w:rPr>
                <w:rFonts w:ascii="Times New Roman" w:hAnsi="Times New Roman" w:cs="Times New Roman" w:hint="eastAsia"/>
                <w:sz w:val="21"/>
                <w:szCs w:val="21"/>
              </w:rPr>
              <w:t>23</w:t>
            </w:r>
          </w:p>
        </w:tc>
        <w:tc>
          <w:tcPr>
            <w:tcW w:w="2174" w:type="pct"/>
            <w:hideMark/>
          </w:tcPr>
          <w:p w14:paraId="2354DDED" w14:textId="21B6AC9E"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 xml:space="preserve">Current Survey of Production </w:t>
            </w:r>
            <w:r w:rsidRPr="000F62FA">
              <w:rPr>
                <w:rFonts w:ascii="Times New Roman" w:hAnsi="Times New Roman" w:cs="Times New Roman"/>
                <w:sz w:val="21"/>
                <w:szCs w:val="21"/>
              </w:rPr>
              <w:fldChar w:fldCharType="begin"/>
            </w:r>
            <w:r w:rsidR="00786D6A">
              <w:rPr>
                <w:rFonts w:ascii="Times New Roman" w:hAnsi="Times New Roman" w:cs="Times New Roman"/>
                <w:sz w:val="21"/>
                <w:szCs w:val="21"/>
              </w:rPr>
              <w:instrText xml:space="preserve"> ADDIN EN.CITE &lt;EndNote&gt;&lt;Cite&gt;&lt;Author&gt;METI&lt;/Author&gt;&lt;Year&gt;2020&lt;/Year&gt;&lt;RecNum&gt;219&lt;/RecNum&gt;&lt;DisplayText&gt;&lt;style face="superscript"&gt;19&lt;/style&gt;&lt;/DisplayText&gt;&lt;record&gt;&lt;rec-number&gt;219&lt;/rec-number&gt;&lt;foreign-keys&gt;&lt;key app="EN" db-id="200xxs0psrtaz4eze9pp5vvrdraszefpsp0w" timestamp="1708917079"&gt;219&lt;/key&gt;&lt;/foreign-keys&gt;&lt;ref-type name="Report"&gt;27&lt;/ref-type&gt;&lt;contributors&gt;&lt;authors&gt;&lt;author&gt;METI&lt;/author&gt;&lt;/authors&gt;&lt;/contributors&gt;&lt;titles&gt;&lt;title&gt;Current Survey of Production 2005-2019&lt;/title&gt;&lt;/titles&gt;&lt;dates&gt;&lt;year&gt;2020&lt;/year&gt;&lt;/dates&gt;&lt;pub-location&gt;Tokyo&lt;/pub-location&gt;&lt;publisher&gt;Ministry of Economy, Trade and Industry of Japan (METI)&lt;/publisher&gt;&lt;urls&gt;&lt;/urls&gt;&lt;/record&gt;&lt;/Cite&gt;&lt;/EndNote&gt;</w:instrText>
            </w:r>
            <w:r w:rsidRPr="000F62FA">
              <w:rPr>
                <w:rFonts w:ascii="Times New Roman" w:hAnsi="Times New Roman" w:cs="Times New Roman"/>
                <w:sz w:val="21"/>
                <w:szCs w:val="21"/>
              </w:rPr>
              <w:fldChar w:fldCharType="separate"/>
            </w:r>
            <w:r w:rsidR="00786D6A" w:rsidRPr="00786D6A">
              <w:rPr>
                <w:rFonts w:ascii="Times New Roman" w:hAnsi="Times New Roman" w:cs="Times New Roman"/>
                <w:noProof/>
                <w:sz w:val="21"/>
                <w:szCs w:val="21"/>
                <w:vertAlign w:val="superscript"/>
              </w:rPr>
              <w:t>19</w:t>
            </w:r>
            <w:r w:rsidRPr="000F62FA">
              <w:rPr>
                <w:rFonts w:ascii="Times New Roman" w:hAnsi="Times New Roman" w:cs="Times New Roman"/>
                <w:sz w:val="21"/>
                <w:szCs w:val="21"/>
              </w:rPr>
              <w:fldChar w:fldCharType="end"/>
            </w:r>
          </w:p>
        </w:tc>
        <w:tc>
          <w:tcPr>
            <w:tcW w:w="622" w:type="pct"/>
            <w:hideMark/>
          </w:tcPr>
          <w:p w14:paraId="09D2817A"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Statistic value</w:t>
            </w:r>
          </w:p>
        </w:tc>
      </w:tr>
      <w:tr w:rsidR="003246A9" w:rsidRPr="000F62FA" w14:paraId="50C3CE03" w14:textId="77777777" w:rsidTr="00E91F52">
        <w:trPr>
          <w:trHeight w:val="354"/>
        </w:trPr>
        <w:tc>
          <w:tcPr>
            <w:tcW w:w="1674" w:type="pct"/>
            <w:hideMark/>
          </w:tcPr>
          <w:p w14:paraId="6D01FDFA"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lastRenderedPageBreak/>
              <w:t>Number of car-sharing members</w:t>
            </w:r>
          </w:p>
        </w:tc>
        <w:tc>
          <w:tcPr>
            <w:tcW w:w="530" w:type="pct"/>
            <w:hideMark/>
          </w:tcPr>
          <w:p w14:paraId="007958FC" w14:textId="7C90C694"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2002‐202</w:t>
            </w:r>
            <w:r w:rsidR="002C5699">
              <w:rPr>
                <w:rFonts w:ascii="Times New Roman" w:hAnsi="Times New Roman" w:cs="Times New Roman" w:hint="eastAsia"/>
                <w:sz w:val="21"/>
                <w:szCs w:val="21"/>
              </w:rPr>
              <w:t>3</w:t>
            </w:r>
          </w:p>
        </w:tc>
        <w:tc>
          <w:tcPr>
            <w:tcW w:w="2174" w:type="pct"/>
            <w:hideMark/>
          </w:tcPr>
          <w:p w14:paraId="4A576415" w14:textId="154DC952"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 xml:space="preserve">Survey by Foundation for Promoting Personal Mobility and Ecological Transportation </w:t>
            </w:r>
            <w:r w:rsidRPr="000F62FA">
              <w:rPr>
                <w:rFonts w:ascii="Times New Roman" w:hAnsi="Times New Roman" w:cs="Times New Roman"/>
                <w:sz w:val="21"/>
                <w:szCs w:val="21"/>
              </w:rPr>
              <w:fldChar w:fldCharType="begin"/>
            </w:r>
            <w:r w:rsidR="00786D6A">
              <w:rPr>
                <w:rFonts w:ascii="Times New Roman" w:hAnsi="Times New Roman" w:cs="Times New Roman"/>
                <w:sz w:val="21"/>
                <w:szCs w:val="21"/>
              </w:rPr>
              <w:instrText xml:space="preserve"> ADDIN EN.CITE &lt;EndNote&gt;&lt;Cite&gt;&lt;Author&gt;ECOMO&lt;/Author&gt;&lt;Year&gt;2021&lt;/Year&gt;&lt;RecNum&gt;213&lt;/RecNum&gt;&lt;DisplayText&gt;&lt;style face="superscript"&gt;20&lt;/style&gt;&lt;/DisplayText&gt;&lt;record&gt;&lt;rec-number&gt;213&lt;/rec-number&gt;&lt;foreign-keys&gt;&lt;key app="EN" db-id="200xxs0psrtaz4eze9pp5vvrdraszefpsp0w" timestamp="1708572767"&gt;213&lt;/key&gt;&lt;/foreign-keys&gt;&lt;ref-type name="Report"&gt;27&lt;/ref-type&gt;&lt;contributors&gt;&lt;authors&gt;&lt;author&gt;ECOMO&lt;/author&gt;&lt;/authors&gt;&lt;/contributors&gt;&lt;titles&gt;&lt;title&gt;Number of car-sharing members in Japan (2002-2020)&lt;/title&gt;&lt;/titles&gt;&lt;dates&gt;&lt;year&gt;2021&lt;/year&gt;&lt;/dates&gt;&lt;pub-location&gt;Tokyo&lt;/pub-location&gt;&lt;publisher&gt;Foundation for Promoting Personal Mobility and Ecological Transportation (ECOMO)&lt;/publisher&gt;&lt;urls&gt;&lt;/urls&gt;&lt;/record&gt;&lt;/Cite&gt;&lt;/EndNote&gt;</w:instrText>
            </w:r>
            <w:r w:rsidRPr="000F62FA">
              <w:rPr>
                <w:rFonts w:ascii="Times New Roman" w:hAnsi="Times New Roman" w:cs="Times New Roman"/>
                <w:sz w:val="21"/>
                <w:szCs w:val="21"/>
              </w:rPr>
              <w:fldChar w:fldCharType="separate"/>
            </w:r>
            <w:r w:rsidR="00786D6A" w:rsidRPr="00786D6A">
              <w:rPr>
                <w:rFonts w:ascii="Times New Roman" w:hAnsi="Times New Roman" w:cs="Times New Roman"/>
                <w:noProof/>
                <w:sz w:val="21"/>
                <w:szCs w:val="21"/>
                <w:vertAlign w:val="superscript"/>
              </w:rPr>
              <w:t>20</w:t>
            </w:r>
            <w:r w:rsidRPr="000F62FA">
              <w:rPr>
                <w:rFonts w:ascii="Times New Roman" w:hAnsi="Times New Roman" w:cs="Times New Roman"/>
                <w:sz w:val="21"/>
                <w:szCs w:val="21"/>
              </w:rPr>
              <w:fldChar w:fldCharType="end"/>
            </w:r>
          </w:p>
        </w:tc>
        <w:tc>
          <w:tcPr>
            <w:tcW w:w="622" w:type="pct"/>
            <w:hideMark/>
          </w:tcPr>
          <w:p w14:paraId="15A75DBD"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Statistic value</w:t>
            </w:r>
          </w:p>
        </w:tc>
      </w:tr>
      <w:tr w:rsidR="003246A9" w:rsidRPr="000F62FA" w14:paraId="60FEF91B" w14:textId="77777777" w:rsidTr="00E91F52">
        <w:trPr>
          <w:trHeight w:val="354"/>
        </w:trPr>
        <w:tc>
          <w:tcPr>
            <w:tcW w:w="1674" w:type="pct"/>
            <w:hideMark/>
          </w:tcPr>
          <w:p w14:paraId="02C32555"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Fleet composition of passenger vehicles</w:t>
            </w:r>
          </w:p>
        </w:tc>
        <w:tc>
          <w:tcPr>
            <w:tcW w:w="530" w:type="pct"/>
            <w:hideMark/>
          </w:tcPr>
          <w:p w14:paraId="137BD1FF"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2019.3</w:t>
            </w:r>
          </w:p>
        </w:tc>
        <w:tc>
          <w:tcPr>
            <w:tcW w:w="2174" w:type="pct"/>
            <w:hideMark/>
          </w:tcPr>
          <w:p w14:paraId="1033EC3F" w14:textId="77AD1D49"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 xml:space="preserve">Automobile Inspection &amp; Registration Information Association </w:t>
            </w:r>
            <w:r w:rsidRPr="000F62FA">
              <w:rPr>
                <w:rFonts w:ascii="Times New Roman" w:hAnsi="Times New Roman" w:cs="Times New Roman"/>
                <w:sz w:val="21"/>
                <w:szCs w:val="21"/>
              </w:rPr>
              <w:fldChar w:fldCharType="begin"/>
            </w:r>
            <w:r w:rsidR="00786D6A">
              <w:rPr>
                <w:rFonts w:ascii="Times New Roman" w:hAnsi="Times New Roman" w:cs="Times New Roman"/>
                <w:sz w:val="21"/>
                <w:szCs w:val="21"/>
              </w:rPr>
              <w:instrText xml:space="preserve"> ADDIN EN.CITE &lt;EndNote&gt;&lt;Cite&gt;&lt;Author&gt;AIRIA&lt;/Author&gt;&lt;Year&gt;2024&lt;/Year&gt;&lt;RecNum&gt;215&lt;/RecNum&gt;&lt;DisplayText&gt;&lt;style face="superscript"&gt;21&lt;/style&gt;&lt;/DisplayText&gt;&lt;record&gt;&lt;rec-number&gt;215&lt;/rec-number&gt;&lt;foreign-keys&gt;&lt;key app="EN" db-id="200xxs0psrtaz4eze9pp5vvrdraszefpsp0w" timestamp="1708607591"&gt;215&lt;/key&gt;&lt;/foreign-keys&gt;&lt;ref-type name="Report"&gt;27&lt;/ref-type&gt;&lt;contributors&gt;&lt;authors&gt;&lt;author&gt;AIRIA&lt;/author&gt;&lt;/authors&gt;&lt;/contributors&gt;&lt;titles&gt;&lt;title&gt;Fleet composition of the passenger vehicles in Japan&lt;/title&gt;&lt;/titles&gt;&lt;dates&gt;&lt;year&gt;2024&lt;/year&gt;&lt;/dates&gt;&lt;pub-location&gt;Tokyo&lt;/pub-location&gt;&lt;publisher&gt;Automobile Inspection &amp;amp; Registration Information Association&lt;/publisher&gt;&lt;urls&gt;&lt;/urls&gt;&lt;/record&gt;&lt;/Cite&gt;&lt;/EndNote&gt;</w:instrText>
            </w:r>
            <w:r w:rsidRPr="000F62FA">
              <w:rPr>
                <w:rFonts w:ascii="Times New Roman" w:hAnsi="Times New Roman" w:cs="Times New Roman"/>
                <w:sz w:val="21"/>
                <w:szCs w:val="21"/>
              </w:rPr>
              <w:fldChar w:fldCharType="separate"/>
            </w:r>
            <w:r w:rsidR="00786D6A" w:rsidRPr="00786D6A">
              <w:rPr>
                <w:rFonts w:ascii="Times New Roman" w:hAnsi="Times New Roman" w:cs="Times New Roman"/>
                <w:noProof/>
                <w:sz w:val="21"/>
                <w:szCs w:val="21"/>
                <w:vertAlign w:val="superscript"/>
              </w:rPr>
              <w:t>21</w:t>
            </w:r>
            <w:r w:rsidRPr="000F62FA">
              <w:rPr>
                <w:rFonts w:ascii="Times New Roman" w:hAnsi="Times New Roman" w:cs="Times New Roman"/>
                <w:sz w:val="21"/>
                <w:szCs w:val="21"/>
              </w:rPr>
              <w:fldChar w:fldCharType="end"/>
            </w:r>
          </w:p>
        </w:tc>
        <w:tc>
          <w:tcPr>
            <w:tcW w:w="622" w:type="pct"/>
            <w:hideMark/>
          </w:tcPr>
          <w:p w14:paraId="32FAF7BE"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Statistic value</w:t>
            </w:r>
          </w:p>
        </w:tc>
      </w:tr>
      <w:tr w:rsidR="003246A9" w:rsidRPr="000F62FA" w14:paraId="2A39B185" w14:textId="77777777" w:rsidTr="00E91F52">
        <w:trPr>
          <w:trHeight w:val="354"/>
        </w:trPr>
        <w:tc>
          <w:tcPr>
            <w:tcW w:w="1674" w:type="pct"/>
            <w:hideMark/>
          </w:tcPr>
          <w:p w14:paraId="30A76CC8"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Prospects of number of households</w:t>
            </w:r>
          </w:p>
        </w:tc>
        <w:tc>
          <w:tcPr>
            <w:tcW w:w="530" w:type="pct"/>
            <w:hideMark/>
          </w:tcPr>
          <w:p w14:paraId="220504AF" w14:textId="4860180D"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2021-20</w:t>
            </w:r>
            <w:r w:rsidR="00213B45">
              <w:rPr>
                <w:rFonts w:ascii="Times New Roman" w:hAnsi="Times New Roman" w:cs="Times New Roman" w:hint="eastAsia"/>
                <w:sz w:val="21"/>
                <w:szCs w:val="21"/>
              </w:rPr>
              <w:t>5</w:t>
            </w:r>
            <w:r w:rsidRPr="000F62FA">
              <w:rPr>
                <w:rFonts w:ascii="Times New Roman" w:hAnsi="Times New Roman" w:cs="Times New Roman"/>
                <w:sz w:val="21"/>
                <w:szCs w:val="21"/>
              </w:rPr>
              <w:t>0</w:t>
            </w:r>
          </w:p>
        </w:tc>
        <w:tc>
          <w:tcPr>
            <w:tcW w:w="2174" w:type="pct"/>
            <w:hideMark/>
          </w:tcPr>
          <w:p w14:paraId="359160C0" w14:textId="4EDEAAB9"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 xml:space="preserve">“Future prospection of number of households in Japan” by National Institute of Population and Social Security Research </w:t>
            </w:r>
            <w:r w:rsidRPr="000F62FA">
              <w:rPr>
                <w:rFonts w:ascii="Times New Roman" w:hAnsi="Times New Roman" w:cs="Times New Roman"/>
                <w:sz w:val="21"/>
                <w:szCs w:val="21"/>
              </w:rPr>
              <w:fldChar w:fldCharType="begin"/>
            </w:r>
            <w:r w:rsidR="00786D6A">
              <w:rPr>
                <w:rFonts w:ascii="Times New Roman" w:hAnsi="Times New Roman" w:cs="Times New Roman"/>
                <w:sz w:val="21"/>
                <w:szCs w:val="21"/>
              </w:rPr>
              <w:instrText xml:space="preserve"> ADDIN EN.CITE &lt;EndNote&gt;&lt;Cite&gt;&lt;Author&gt;IPSS&lt;/Author&gt;&lt;Year&gt;2018&lt;/Year&gt;&lt;RecNum&gt;211&lt;/RecNum&gt;&lt;DisplayText&gt;&lt;style face="superscript"&gt;22&lt;/style&gt;&lt;/DisplayText&gt;&lt;record&gt;&lt;rec-number&gt;211&lt;/rec-number&gt;&lt;foreign-keys&gt;&lt;key app="EN" db-id="200xxs0psrtaz4eze9pp5vvrdraszefpsp0w" timestamp="1708519675"&gt;211&lt;/key&gt;&lt;/foreign-keys&gt;&lt;ref-type name="Report"&gt;27&lt;/ref-type&gt;&lt;contributors&gt;&lt;authors&gt;&lt;author&gt;IPSS&lt;/author&gt;&lt;/authors&gt;&lt;/contributors&gt;&lt;titles&gt;&lt;title&gt;Household Projection for Japan : 2015-2050&lt;/title&gt;&lt;/titles&gt;&lt;dates&gt;&lt;year&gt;2018&lt;/year&gt;&lt;/dates&gt;&lt;pub-location&gt;Tokyo&lt;/pub-location&gt;&lt;publisher&gt;National Institute of Population and Social Security Research&lt;/publisher&gt;&lt;urls&gt;&lt;/urls&gt;&lt;/record&gt;&lt;/Cite&gt;&lt;/EndNote&gt;</w:instrText>
            </w:r>
            <w:r w:rsidRPr="000F62FA">
              <w:rPr>
                <w:rFonts w:ascii="Times New Roman" w:hAnsi="Times New Roman" w:cs="Times New Roman"/>
                <w:sz w:val="21"/>
                <w:szCs w:val="21"/>
              </w:rPr>
              <w:fldChar w:fldCharType="separate"/>
            </w:r>
            <w:r w:rsidR="00786D6A" w:rsidRPr="00786D6A">
              <w:rPr>
                <w:rFonts w:ascii="Times New Roman" w:hAnsi="Times New Roman" w:cs="Times New Roman"/>
                <w:noProof/>
                <w:sz w:val="21"/>
                <w:szCs w:val="21"/>
                <w:vertAlign w:val="superscript"/>
              </w:rPr>
              <w:t>22</w:t>
            </w:r>
            <w:r w:rsidRPr="000F62FA">
              <w:rPr>
                <w:rFonts w:ascii="Times New Roman" w:hAnsi="Times New Roman" w:cs="Times New Roman"/>
                <w:sz w:val="21"/>
                <w:szCs w:val="21"/>
              </w:rPr>
              <w:fldChar w:fldCharType="end"/>
            </w:r>
          </w:p>
        </w:tc>
        <w:tc>
          <w:tcPr>
            <w:tcW w:w="622" w:type="pct"/>
            <w:hideMark/>
          </w:tcPr>
          <w:p w14:paraId="253981EA"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Estimated value</w:t>
            </w:r>
          </w:p>
        </w:tc>
      </w:tr>
      <w:tr w:rsidR="003246A9" w:rsidRPr="000F62FA" w14:paraId="0E83EB15" w14:textId="77777777" w:rsidTr="00E91F52">
        <w:trPr>
          <w:trHeight w:val="354"/>
        </w:trPr>
        <w:tc>
          <w:tcPr>
            <w:tcW w:w="1674" w:type="pct"/>
            <w:hideMark/>
          </w:tcPr>
          <w:p w14:paraId="025C080C"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Prospects of population</w:t>
            </w:r>
          </w:p>
        </w:tc>
        <w:tc>
          <w:tcPr>
            <w:tcW w:w="530" w:type="pct"/>
            <w:hideMark/>
          </w:tcPr>
          <w:p w14:paraId="1FAD67D6" w14:textId="0ED2C980"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2021-20</w:t>
            </w:r>
            <w:r w:rsidR="00747BD4">
              <w:rPr>
                <w:rFonts w:ascii="Times New Roman" w:hAnsi="Times New Roman" w:cs="Times New Roman" w:hint="eastAsia"/>
                <w:sz w:val="21"/>
                <w:szCs w:val="21"/>
              </w:rPr>
              <w:t>50</w:t>
            </w:r>
          </w:p>
        </w:tc>
        <w:tc>
          <w:tcPr>
            <w:tcW w:w="2174" w:type="pct"/>
            <w:hideMark/>
          </w:tcPr>
          <w:p w14:paraId="5A754E6A" w14:textId="0D19F839"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 xml:space="preserve">“Future prospection of population in Japan” by National Institute of Population and Social Security Research </w:t>
            </w:r>
            <w:r w:rsidRPr="000F62FA">
              <w:rPr>
                <w:rFonts w:ascii="Times New Roman" w:hAnsi="Times New Roman" w:cs="Times New Roman"/>
                <w:sz w:val="21"/>
                <w:szCs w:val="21"/>
              </w:rPr>
              <w:fldChar w:fldCharType="begin"/>
            </w:r>
            <w:r w:rsidR="00786D6A">
              <w:rPr>
                <w:rFonts w:ascii="Times New Roman" w:hAnsi="Times New Roman" w:cs="Times New Roman"/>
                <w:sz w:val="21"/>
                <w:szCs w:val="21"/>
              </w:rPr>
              <w:instrText xml:space="preserve"> ADDIN EN.CITE &lt;EndNote&gt;&lt;Cite&gt;&lt;Author&gt;IPSS&lt;/Author&gt;&lt;Year&gt;2023&lt;/Year&gt;&lt;RecNum&gt;210&lt;/RecNum&gt;&lt;DisplayText&gt;&lt;style face="superscript"&gt;23&lt;/style&gt;&lt;/DisplayText&gt;&lt;record&gt;&lt;rec-number&gt;210&lt;/rec-number&gt;&lt;foreign-keys&gt;&lt;key app="EN" db-id="200xxs0psrtaz4eze9pp5vvrdraszefpsp0w" timestamp="1708519227"&gt;210&lt;/key&gt;&lt;/foreign-keys&gt;&lt;ref-type name="Report"&gt;27&lt;/ref-type&gt;&lt;contributors&gt;&lt;authors&gt;&lt;author&gt;IPSS&lt;/author&gt;&lt;/authors&gt;&lt;/contributors&gt;&lt;titles&gt;&lt;title&gt;Population Projections for Japan (2021-2070)&lt;/title&gt;&lt;/titles&gt;&lt;dates&gt;&lt;year&gt;2023&lt;/year&gt;&lt;/dates&gt;&lt;pub-location&gt;Tokyo&lt;/pub-location&gt;&lt;publisher&gt;National Institute of Population and Social Security Research (IPSS)&lt;/publisher&gt;&lt;urls&gt;&lt;/urls&gt;&lt;/record&gt;&lt;/Cite&gt;&lt;/EndNote&gt;</w:instrText>
            </w:r>
            <w:r w:rsidRPr="000F62FA">
              <w:rPr>
                <w:rFonts w:ascii="Times New Roman" w:hAnsi="Times New Roman" w:cs="Times New Roman"/>
                <w:sz w:val="21"/>
                <w:szCs w:val="21"/>
              </w:rPr>
              <w:fldChar w:fldCharType="separate"/>
            </w:r>
            <w:r w:rsidR="00786D6A" w:rsidRPr="00786D6A">
              <w:rPr>
                <w:rFonts w:ascii="Times New Roman" w:hAnsi="Times New Roman" w:cs="Times New Roman"/>
                <w:noProof/>
                <w:sz w:val="21"/>
                <w:szCs w:val="21"/>
                <w:vertAlign w:val="superscript"/>
              </w:rPr>
              <w:t>23</w:t>
            </w:r>
            <w:r w:rsidRPr="000F62FA">
              <w:rPr>
                <w:rFonts w:ascii="Times New Roman" w:hAnsi="Times New Roman" w:cs="Times New Roman"/>
                <w:sz w:val="21"/>
                <w:szCs w:val="21"/>
              </w:rPr>
              <w:fldChar w:fldCharType="end"/>
            </w:r>
          </w:p>
        </w:tc>
        <w:tc>
          <w:tcPr>
            <w:tcW w:w="622" w:type="pct"/>
            <w:hideMark/>
          </w:tcPr>
          <w:p w14:paraId="614E28E6" w14:textId="77777777" w:rsidR="003246A9" w:rsidRPr="000F62FA" w:rsidRDefault="003246A9" w:rsidP="00C04851">
            <w:pPr>
              <w:rPr>
                <w:rFonts w:ascii="Times New Roman" w:hAnsi="Times New Roman" w:cs="Times New Roman"/>
                <w:sz w:val="21"/>
                <w:szCs w:val="21"/>
              </w:rPr>
            </w:pPr>
            <w:r w:rsidRPr="000F62FA">
              <w:rPr>
                <w:rFonts w:ascii="Times New Roman" w:hAnsi="Times New Roman" w:cs="Times New Roman"/>
                <w:sz w:val="21"/>
                <w:szCs w:val="21"/>
              </w:rPr>
              <w:t>Estimated value</w:t>
            </w:r>
          </w:p>
        </w:tc>
      </w:tr>
      <w:tr w:rsidR="00FB589D" w:rsidRPr="000625FF" w14:paraId="290628D4" w14:textId="77777777" w:rsidTr="00E91F52">
        <w:trPr>
          <w:trHeight w:val="354"/>
        </w:trPr>
        <w:tc>
          <w:tcPr>
            <w:tcW w:w="1674" w:type="pct"/>
          </w:tcPr>
          <w:p w14:paraId="5CDE4D02" w14:textId="5E439395" w:rsidR="00FB589D" w:rsidRPr="000625FF" w:rsidRDefault="008C7DA8" w:rsidP="00C04851">
            <w:pPr>
              <w:rPr>
                <w:rFonts w:ascii="Times New Roman" w:hAnsi="Times New Roman" w:cs="Times New Roman"/>
                <w:sz w:val="21"/>
                <w:szCs w:val="21"/>
              </w:rPr>
            </w:pPr>
            <w:r w:rsidRPr="000625FF">
              <w:rPr>
                <w:rFonts w:ascii="Times New Roman" w:hAnsi="Times New Roman" w:cs="Times New Roman" w:hint="eastAsia"/>
                <w:sz w:val="21"/>
                <w:szCs w:val="21"/>
              </w:rPr>
              <w:t>New passenger cars export</w:t>
            </w:r>
          </w:p>
        </w:tc>
        <w:tc>
          <w:tcPr>
            <w:tcW w:w="530" w:type="pct"/>
          </w:tcPr>
          <w:p w14:paraId="573D3FDC" w14:textId="06FF1D35" w:rsidR="00FB589D" w:rsidRPr="000625FF" w:rsidRDefault="008C7DA8" w:rsidP="00C04851">
            <w:pPr>
              <w:rPr>
                <w:rFonts w:ascii="Times New Roman" w:hAnsi="Times New Roman" w:cs="Times New Roman"/>
                <w:sz w:val="21"/>
                <w:szCs w:val="21"/>
              </w:rPr>
            </w:pPr>
            <w:r w:rsidRPr="000625FF">
              <w:rPr>
                <w:rFonts w:ascii="Times New Roman" w:hAnsi="Times New Roman" w:cs="Times New Roman" w:hint="eastAsia"/>
                <w:sz w:val="21"/>
                <w:szCs w:val="21"/>
              </w:rPr>
              <w:t>2017-2023</w:t>
            </w:r>
          </w:p>
        </w:tc>
        <w:tc>
          <w:tcPr>
            <w:tcW w:w="2174" w:type="pct"/>
          </w:tcPr>
          <w:p w14:paraId="63C7B79B" w14:textId="235DF135" w:rsidR="00FB589D" w:rsidRPr="000625FF" w:rsidRDefault="00C10F47" w:rsidP="00C04851">
            <w:pPr>
              <w:rPr>
                <w:rFonts w:ascii="Times New Roman" w:hAnsi="Times New Roman" w:cs="Times New Roman"/>
                <w:sz w:val="21"/>
                <w:szCs w:val="21"/>
              </w:rPr>
            </w:pPr>
            <w:r w:rsidRPr="000625FF">
              <w:rPr>
                <w:rFonts w:ascii="Times New Roman" w:hAnsi="Times New Roman" w:cs="Times New Roman" w:hint="eastAsia"/>
                <w:sz w:val="21"/>
                <w:szCs w:val="21"/>
              </w:rPr>
              <w:t>T</w:t>
            </w:r>
            <w:r w:rsidR="008C7DA8" w:rsidRPr="000625FF">
              <w:rPr>
                <w:rFonts w:ascii="Times New Roman" w:hAnsi="Times New Roman" w:cs="Times New Roman"/>
                <w:sz w:val="21"/>
                <w:szCs w:val="21"/>
              </w:rPr>
              <w:t>he statistics of trade</w:t>
            </w:r>
            <w:r w:rsidRPr="000625FF">
              <w:rPr>
                <w:rFonts w:ascii="Times New Roman" w:hAnsi="Times New Roman" w:cs="Times New Roman"/>
                <w:sz w:val="21"/>
                <w:szCs w:val="21"/>
              </w:rPr>
              <w:fldChar w:fldCharType="begin"/>
            </w:r>
            <w:r w:rsidRPr="000625FF">
              <w:rPr>
                <w:rFonts w:ascii="Times New Roman" w:hAnsi="Times New Roman" w:cs="Times New Roman"/>
                <w:sz w:val="21"/>
                <w:szCs w:val="21"/>
              </w:rPr>
              <w:instrText xml:space="preserve"> ADDIN EN.CITE &lt;EndNote&gt;&lt;Cite&gt;&lt;Author&gt;MOF&lt;/Author&gt;&lt;Year&gt;2024&lt;/Year&gt;&lt;RecNum&gt;243&lt;/RecNum&gt;&lt;DisplayText&gt;&lt;style face="superscript"&gt;24&lt;/style&gt;&lt;/DisplayText&gt;&lt;record&gt;&lt;rec-number&gt;243&lt;/rec-number&gt;&lt;foreign-keys&gt;&lt;key app="EN" db-id="200xxs0psrtaz4eze9pp5vvrdraszefpsp0w" timestamp="1742822354"&gt;243&lt;/key&gt;&lt;/foreign-keys&gt;&lt;ref-type name="Report"&gt;27&lt;/ref-type&gt;&lt;contributors&gt;&lt;authors&gt;&lt;author&gt;MOF&lt;/author&gt;&lt;/authors&gt;&lt;/contributors&gt;&lt;titles&gt;&lt;title&gt;Trade Statistics of Japan&lt;/title&gt;&lt;/titles&gt;&lt;dates&gt;&lt;year&gt;2024&lt;/year&gt;&lt;/dates&gt;&lt;pub-location&gt;Tokyo&lt;/pub-location&gt;&lt;publisher&gt;Ministry of Finance of Japan (MOF)&lt;/publisher&gt;&lt;urls&gt;&lt;/urls&gt;&lt;/record&gt;&lt;/Cite&gt;&lt;/EndNote&gt;</w:instrText>
            </w:r>
            <w:r w:rsidRPr="000625FF">
              <w:rPr>
                <w:rFonts w:ascii="Times New Roman" w:hAnsi="Times New Roman" w:cs="Times New Roman"/>
                <w:sz w:val="21"/>
                <w:szCs w:val="21"/>
              </w:rPr>
              <w:fldChar w:fldCharType="separate"/>
            </w:r>
            <w:r w:rsidRPr="000625FF">
              <w:rPr>
                <w:rFonts w:ascii="Times New Roman" w:hAnsi="Times New Roman" w:cs="Times New Roman"/>
                <w:noProof/>
                <w:sz w:val="21"/>
                <w:szCs w:val="21"/>
                <w:vertAlign w:val="superscript"/>
              </w:rPr>
              <w:t>24</w:t>
            </w:r>
            <w:r w:rsidRPr="000625FF">
              <w:rPr>
                <w:rFonts w:ascii="Times New Roman" w:hAnsi="Times New Roman" w:cs="Times New Roman"/>
                <w:sz w:val="21"/>
                <w:szCs w:val="21"/>
              </w:rPr>
              <w:fldChar w:fldCharType="end"/>
            </w:r>
          </w:p>
        </w:tc>
        <w:tc>
          <w:tcPr>
            <w:tcW w:w="622" w:type="pct"/>
          </w:tcPr>
          <w:p w14:paraId="7FDBA998" w14:textId="6FBD90CF" w:rsidR="00FB589D" w:rsidRPr="000625FF" w:rsidRDefault="00C10F47" w:rsidP="00C04851">
            <w:pPr>
              <w:rPr>
                <w:rFonts w:ascii="Times New Roman" w:hAnsi="Times New Roman" w:cs="Times New Roman"/>
                <w:sz w:val="21"/>
                <w:szCs w:val="21"/>
              </w:rPr>
            </w:pPr>
            <w:r w:rsidRPr="000625FF">
              <w:rPr>
                <w:rFonts w:ascii="Times New Roman" w:hAnsi="Times New Roman" w:cs="Times New Roman"/>
                <w:sz w:val="21"/>
                <w:szCs w:val="21"/>
              </w:rPr>
              <w:t>Statistic value</w:t>
            </w:r>
          </w:p>
        </w:tc>
      </w:tr>
      <w:tr w:rsidR="00E91F52" w:rsidRPr="000F62FA" w14:paraId="71BB1D24" w14:textId="77777777" w:rsidTr="00E91F52">
        <w:trPr>
          <w:trHeight w:val="354"/>
        </w:trPr>
        <w:tc>
          <w:tcPr>
            <w:tcW w:w="1674" w:type="pct"/>
          </w:tcPr>
          <w:p w14:paraId="1E41FA34" w14:textId="254ECEE5" w:rsidR="00E91F52" w:rsidRPr="000625FF" w:rsidRDefault="00E91F52" w:rsidP="00E91F52">
            <w:pPr>
              <w:rPr>
                <w:rFonts w:ascii="Times New Roman" w:hAnsi="Times New Roman" w:cs="Times New Roman"/>
                <w:sz w:val="21"/>
                <w:szCs w:val="21"/>
              </w:rPr>
            </w:pPr>
            <w:r w:rsidRPr="000625FF">
              <w:rPr>
                <w:rFonts w:ascii="Times New Roman" w:hAnsi="Times New Roman" w:cs="Times New Roman" w:hint="eastAsia"/>
                <w:sz w:val="21"/>
                <w:szCs w:val="21"/>
              </w:rPr>
              <w:t>Used-car export</w:t>
            </w:r>
          </w:p>
        </w:tc>
        <w:tc>
          <w:tcPr>
            <w:tcW w:w="530" w:type="pct"/>
          </w:tcPr>
          <w:p w14:paraId="64285C0E" w14:textId="5FF37DC4" w:rsidR="00E91F52" w:rsidRPr="000625FF" w:rsidRDefault="00E91F52" w:rsidP="00E91F52">
            <w:pPr>
              <w:rPr>
                <w:rFonts w:ascii="Times New Roman" w:hAnsi="Times New Roman" w:cs="Times New Roman"/>
                <w:sz w:val="21"/>
                <w:szCs w:val="21"/>
              </w:rPr>
            </w:pPr>
            <w:r w:rsidRPr="000625FF">
              <w:rPr>
                <w:rFonts w:ascii="Times New Roman" w:hAnsi="Times New Roman" w:cs="Times New Roman" w:hint="eastAsia"/>
                <w:sz w:val="21"/>
                <w:szCs w:val="21"/>
              </w:rPr>
              <w:t>2017-2023</w:t>
            </w:r>
          </w:p>
        </w:tc>
        <w:tc>
          <w:tcPr>
            <w:tcW w:w="2174" w:type="pct"/>
          </w:tcPr>
          <w:p w14:paraId="7B6063A4" w14:textId="74C035C9" w:rsidR="00E91F52" w:rsidRPr="000625FF" w:rsidRDefault="00C10F47" w:rsidP="00E91F52">
            <w:pPr>
              <w:rPr>
                <w:rFonts w:ascii="Times New Roman" w:hAnsi="Times New Roman" w:cs="Times New Roman"/>
                <w:sz w:val="21"/>
                <w:szCs w:val="21"/>
              </w:rPr>
            </w:pPr>
            <w:r w:rsidRPr="000625FF">
              <w:rPr>
                <w:rFonts w:ascii="Times New Roman" w:hAnsi="Times New Roman" w:cs="Times New Roman" w:hint="eastAsia"/>
                <w:sz w:val="21"/>
                <w:szCs w:val="21"/>
              </w:rPr>
              <w:t>T</w:t>
            </w:r>
            <w:r w:rsidR="00E91F52" w:rsidRPr="000625FF">
              <w:rPr>
                <w:rFonts w:ascii="Times New Roman" w:hAnsi="Times New Roman" w:cs="Times New Roman"/>
                <w:sz w:val="21"/>
                <w:szCs w:val="21"/>
              </w:rPr>
              <w:t>he statistics of trade</w:t>
            </w:r>
            <w:r w:rsidRPr="000625FF">
              <w:rPr>
                <w:rFonts w:ascii="Times New Roman" w:hAnsi="Times New Roman" w:cs="Times New Roman"/>
                <w:sz w:val="21"/>
                <w:szCs w:val="21"/>
              </w:rPr>
              <w:fldChar w:fldCharType="begin"/>
            </w:r>
            <w:r w:rsidRPr="000625FF">
              <w:rPr>
                <w:rFonts w:ascii="Times New Roman" w:hAnsi="Times New Roman" w:cs="Times New Roman"/>
                <w:sz w:val="21"/>
                <w:szCs w:val="21"/>
              </w:rPr>
              <w:instrText xml:space="preserve"> ADDIN EN.CITE &lt;EndNote&gt;&lt;Cite&gt;&lt;Author&gt;MOF&lt;/Author&gt;&lt;Year&gt;2024&lt;/Year&gt;&lt;RecNum&gt;243&lt;/RecNum&gt;&lt;DisplayText&gt;&lt;style face="superscript"&gt;24&lt;/style&gt;&lt;/DisplayText&gt;&lt;record&gt;&lt;rec-number&gt;243&lt;/rec-number&gt;&lt;foreign-keys&gt;&lt;key app="EN" db-id="200xxs0psrtaz4eze9pp5vvrdraszefpsp0w" timestamp="1742822354"&gt;243&lt;/key&gt;&lt;/foreign-keys&gt;&lt;ref-type name="Report"&gt;27&lt;/ref-type&gt;&lt;contributors&gt;&lt;authors&gt;&lt;author&gt;MOF&lt;/author&gt;&lt;/authors&gt;&lt;/contributors&gt;&lt;titles&gt;&lt;title&gt;Trade Statistics of Japan&lt;/title&gt;&lt;/titles&gt;&lt;dates&gt;&lt;year&gt;2024&lt;/year&gt;&lt;/dates&gt;&lt;pub-location&gt;Tokyo&lt;/pub-location&gt;&lt;publisher&gt;Ministry of Finance of Japan (MOF)&lt;/publisher&gt;&lt;urls&gt;&lt;/urls&gt;&lt;/record&gt;&lt;/Cite&gt;&lt;/EndNote&gt;</w:instrText>
            </w:r>
            <w:r w:rsidRPr="000625FF">
              <w:rPr>
                <w:rFonts w:ascii="Times New Roman" w:hAnsi="Times New Roman" w:cs="Times New Roman"/>
                <w:sz w:val="21"/>
                <w:szCs w:val="21"/>
              </w:rPr>
              <w:fldChar w:fldCharType="separate"/>
            </w:r>
            <w:r w:rsidRPr="000625FF">
              <w:rPr>
                <w:rFonts w:ascii="Times New Roman" w:hAnsi="Times New Roman" w:cs="Times New Roman"/>
                <w:noProof/>
                <w:sz w:val="21"/>
                <w:szCs w:val="21"/>
                <w:vertAlign w:val="superscript"/>
              </w:rPr>
              <w:t>24</w:t>
            </w:r>
            <w:r w:rsidRPr="000625FF">
              <w:rPr>
                <w:rFonts w:ascii="Times New Roman" w:hAnsi="Times New Roman" w:cs="Times New Roman"/>
                <w:sz w:val="21"/>
                <w:szCs w:val="21"/>
              </w:rPr>
              <w:fldChar w:fldCharType="end"/>
            </w:r>
          </w:p>
        </w:tc>
        <w:tc>
          <w:tcPr>
            <w:tcW w:w="622" w:type="pct"/>
          </w:tcPr>
          <w:p w14:paraId="3BDB939F" w14:textId="5669594C" w:rsidR="00E91F52" w:rsidRPr="000F62FA" w:rsidRDefault="00C10F47" w:rsidP="00E91F52">
            <w:pPr>
              <w:rPr>
                <w:rFonts w:ascii="Times New Roman" w:hAnsi="Times New Roman" w:cs="Times New Roman"/>
                <w:sz w:val="21"/>
                <w:szCs w:val="21"/>
              </w:rPr>
            </w:pPr>
            <w:r w:rsidRPr="000625FF">
              <w:rPr>
                <w:rFonts w:ascii="Times New Roman" w:hAnsi="Times New Roman" w:cs="Times New Roman"/>
                <w:sz w:val="21"/>
                <w:szCs w:val="21"/>
              </w:rPr>
              <w:t>Statistic value</w:t>
            </w:r>
          </w:p>
        </w:tc>
      </w:tr>
    </w:tbl>
    <w:p w14:paraId="75DE2AD7" w14:textId="77777777" w:rsidR="003246A9" w:rsidRPr="000F62FA" w:rsidRDefault="003246A9" w:rsidP="003246A9">
      <w:pPr>
        <w:rPr>
          <w:rFonts w:ascii="Times New Roman" w:hAnsi="Times New Roman" w:cs="Times New Roman"/>
        </w:rPr>
      </w:pPr>
    </w:p>
    <w:p w14:paraId="129C1702" w14:textId="4ED70C14" w:rsidR="00EB56C6" w:rsidRDefault="00FE6D8A" w:rsidP="003246A9">
      <w:pPr>
        <w:rPr>
          <w:rFonts w:ascii="Times New Roman" w:eastAsiaTheme="minorEastAsia" w:hAnsi="Times New Roman" w:cs="Times New Roman"/>
          <w:sz w:val="21"/>
          <w:szCs w:val="21"/>
        </w:rPr>
      </w:pPr>
      <w:r w:rsidRPr="00FE6D8A">
        <w:rPr>
          <w:rFonts w:ascii="Times New Roman" w:eastAsia="DengXian" w:hAnsi="Times New Roman" w:cs="Times New Roman"/>
          <w:sz w:val="21"/>
          <w:szCs w:val="21"/>
          <w:lang w:eastAsia="zh-CN"/>
        </w:rPr>
        <w:t>Table S3 summarizes the referenced sources used to estimate future socio-economic changes related to purchasing power in the domestic passenger car market.</w:t>
      </w:r>
    </w:p>
    <w:p w14:paraId="6930194E" w14:textId="77777777" w:rsidR="00FE6D8A" w:rsidRPr="00FE6D8A" w:rsidRDefault="00FE6D8A" w:rsidP="003246A9">
      <w:pPr>
        <w:rPr>
          <w:rFonts w:ascii="Times New Roman" w:eastAsiaTheme="minorEastAsia" w:hAnsi="Times New Roman" w:cs="Times New Roman"/>
        </w:rPr>
      </w:pPr>
    </w:p>
    <w:p w14:paraId="7DBE2459" w14:textId="4F7E5FF4" w:rsidR="00810E8C" w:rsidRPr="00E82720" w:rsidRDefault="00810E8C" w:rsidP="00E82720">
      <w:pPr>
        <w:pStyle w:val="af"/>
        <w:rPr>
          <w:rFonts w:ascii="Times New Roman" w:hAnsi="Times New Roman" w:cs="Times New Roman"/>
        </w:rPr>
      </w:pPr>
      <w:bookmarkStart w:id="15" w:name="_Toc199865708"/>
      <w:bookmarkStart w:id="16" w:name="_Toc208439364"/>
      <w:r w:rsidRPr="0000146C">
        <w:rPr>
          <w:rFonts w:ascii="Times New Roman" w:hAnsi="Times New Roman" w:cs="Times New Roman"/>
        </w:rPr>
        <w:t xml:space="preserve">Table </w:t>
      </w:r>
      <w:r w:rsidRPr="0000146C">
        <w:rPr>
          <w:rFonts w:ascii="Times New Roman" w:eastAsia="DengXian" w:hAnsi="Times New Roman" w:cs="Times New Roman"/>
          <w:lang w:eastAsia="zh-CN"/>
        </w:rPr>
        <w:t>S</w:t>
      </w:r>
      <w:r w:rsidRPr="0000146C">
        <w:rPr>
          <w:rFonts w:ascii="Times New Roman" w:hAnsi="Times New Roman" w:cs="Times New Roman"/>
        </w:rPr>
        <w:fldChar w:fldCharType="begin"/>
      </w:r>
      <w:r w:rsidRPr="0000146C">
        <w:rPr>
          <w:rFonts w:ascii="Times New Roman" w:hAnsi="Times New Roman" w:cs="Times New Roman"/>
        </w:rPr>
        <w:instrText xml:space="preserve"> SEQ </w:instrText>
      </w:r>
      <w:r w:rsidRPr="0000146C">
        <w:rPr>
          <w:rFonts w:ascii="Times New Roman" w:hAnsi="Times New Roman" w:cs="Times New Roman"/>
        </w:rPr>
        <w:instrText>表格</w:instrText>
      </w:r>
      <w:r w:rsidRPr="0000146C">
        <w:rPr>
          <w:rFonts w:ascii="Times New Roman" w:hAnsi="Times New Roman" w:cs="Times New Roman"/>
        </w:rPr>
        <w:instrText xml:space="preserve"> \* ARABIC </w:instrText>
      </w:r>
      <w:r w:rsidRPr="0000146C">
        <w:rPr>
          <w:rFonts w:ascii="Times New Roman" w:hAnsi="Times New Roman" w:cs="Times New Roman"/>
        </w:rPr>
        <w:fldChar w:fldCharType="separate"/>
      </w:r>
      <w:r w:rsidRPr="0000146C">
        <w:rPr>
          <w:rFonts w:ascii="Times New Roman" w:hAnsi="Times New Roman" w:cs="Times New Roman"/>
          <w:noProof/>
        </w:rPr>
        <w:t>3</w:t>
      </w:r>
      <w:r w:rsidRPr="0000146C">
        <w:rPr>
          <w:rFonts w:ascii="Times New Roman" w:hAnsi="Times New Roman" w:cs="Times New Roman"/>
        </w:rPr>
        <w:fldChar w:fldCharType="end"/>
      </w:r>
      <w:r w:rsidRPr="0000146C">
        <w:rPr>
          <w:rFonts w:ascii="Times New Roman" w:hAnsi="Times New Roman" w:cs="Times New Roman" w:hint="eastAsia"/>
        </w:rPr>
        <w:t>.</w:t>
      </w:r>
      <w:r w:rsidRPr="0000146C">
        <w:rPr>
          <w:rFonts w:ascii="Times New Roman" w:hAnsi="Times New Roman" w:cs="Times New Roman"/>
        </w:rPr>
        <w:t xml:space="preserve"> Parameter setting</w:t>
      </w:r>
      <w:r w:rsidR="00A00D37" w:rsidRPr="0000146C">
        <w:rPr>
          <w:rFonts w:ascii="Times New Roman" w:hAnsi="Times New Roman" w:cs="Times New Roman" w:hint="eastAsia"/>
        </w:rPr>
        <w:t>s</w:t>
      </w:r>
      <w:r w:rsidRPr="0000146C">
        <w:rPr>
          <w:rFonts w:ascii="Times New Roman" w:hAnsi="Times New Roman" w:cs="Times New Roman"/>
        </w:rPr>
        <w:t xml:space="preserve"> regarding the future socio-economic changes of Japan</w:t>
      </w:r>
      <w:r w:rsidRPr="0000146C">
        <w:rPr>
          <w:rFonts w:ascii="Times New Roman" w:hAnsi="Times New Roman" w:cs="Times New Roman" w:hint="eastAsia"/>
        </w:rPr>
        <w:t>.</w:t>
      </w:r>
      <w:bookmarkEnd w:id="15"/>
      <w:bookmarkEnd w:id="16"/>
    </w:p>
    <w:tbl>
      <w:tblPr>
        <w:tblStyle w:val="a7"/>
        <w:tblW w:w="5000" w:type="pct"/>
        <w:tblLook w:val="0600" w:firstRow="0" w:lastRow="0" w:firstColumn="0" w:lastColumn="0" w:noHBand="1" w:noVBand="1"/>
      </w:tblPr>
      <w:tblGrid>
        <w:gridCol w:w="2071"/>
        <w:gridCol w:w="963"/>
        <w:gridCol w:w="759"/>
        <w:gridCol w:w="3552"/>
        <w:gridCol w:w="1149"/>
      </w:tblGrid>
      <w:tr w:rsidR="003246A9" w:rsidRPr="000F62FA" w14:paraId="7AAC038B" w14:textId="77777777" w:rsidTr="008B613B">
        <w:trPr>
          <w:trHeight w:val="313"/>
        </w:trPr>
        <w:tc>
          <w:tcPr>
            <w:tcW w:w="1219" w:type="pct"/>
            <w:hideMark/>
          </w:tcPr>
          <w:p w14:paraId="79D9D81B"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Socio-economic prospection</w:t>
            </w:r>
          </w:p>
        </w:tc>
        <w:tc>
          <w:tcPr>
            <w:tcW w:w="567" w:type="pct"/>
            <w:hideMark/>
          </w:tcPr>
          <w:p w14:paraId="35447B52"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Period</w:t>
            </w:r>
          </w:p>
        </w:tc>
        <w:tc>
          <w:tcPr>
            <w:tcW w:w="447" w:type="pct"/>
            <w:hideMark/>
          </w:tcPr>
          <w:p w14:paraId="1F3BC7D7"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Value</w:t>
            </w:r>
          </w:p>
        </w:tc>
        <w:tc>
          <w:tcPr>
            <w:tcW w:w="2091" w:type="pct"/>
            <w:hideMark/>
          </w:tcPr>
          <w:p w14:paraId="536E4EC8"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Reference</w:t>
            </w:r>
          </w:p>
        </w:tc>
        <w:tc>
          <w:tcPr>
            <w:tcW w:w="676" w:type="pct"/>
            <w:hideMark/>
          </w:tcPr>
          <w:p w14:paraId="49D13A07"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Status</w:t>
            </w:r>
          </w:p>
        </w:tc>
      </w:tr>
      <w:tr w:rsidR="003246A9" w:rsidRPr="000F62FA" w14:paraId="7EFBBBB6" w14:textId="77777777" w:rsidTr="008B613B">
        <w:trPr>
          <w:trHeight w:val="302"/>
        </w:trPr>
        <w:tc>
          <w:tcPr>
            <w:tcW w:w="1219" w:type="pct"/>
            <w:hideMark/>
          </w:tcPr>
          <w:p w14:paraId="3D997254"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Average purchase price of passenger vehicles</w:t>
            </w:r>
          </w:p>
        </w:tc>
        <w:tc>
          <w:tcPr>
            <w:tcW w:w="567" w:type="pct"/>
            <w:hideMark/>
          </w:tcPr>
          <w:p w14:paraId="42C3DAA8"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2021-50</w:t>
            </w:r>
          </w:p>
        </w:tc>
        <w:tc>
          <w:tcPr>
            <w:tcW w:w="447" w:type="pct"/>
            <w:hideMark/>
          </w:tcPr>
          <w:p w14:paraId="6EA83D37"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 xml:space="preserve">　</w:t>
            </w:r>
            <w:r w:rsidRPr="000F62FA">
              <w:rPr>
                <w:rFonts w:ascii="Times New Roman" w:hAnsi="Times New Roman" w:cs="Times New Roman"/>
                <w:sz w:val="21"/>
                <w:szCs w:val="21"/>
              </w:rPr>
              <w:t>-</w:t>
            </w:r>
          </w:p>
        </w:tc>
        <w:tc>
          <w:tcPr>
            <w:tcW w:w="2091" w:type="pct"/>
            <w:hideMark/>
          </w:tcPr>
          <w:p w14:paraId="47414D2F" w14:textId="3294CBEA"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 xml:space="preserve">Assume to follow the changes of CPI </w:t>
            </w:r>
            <w:r w:rsidRPr="000F62FA">
              <w:rPr>
                <w:rFonts w:ascii="Times New Roman" w:hAnsi="Times New Roman" w:cs="Times New Roman"/>
                <w:sz w:val="21"/>
                <w:szCs w:val="21"/>
              </w:rPr>
              <w:fldChar w:fldCharType="begin"/>
            </w:r>
            <w:r w:rsidR="00C10F47">
              <w:rPr>
                <w:rFonts w:ascii="Times New Roman" w:hAnsi="Times New Roman" w:cs="Times New Roman"/>
                <w:sz w:val="21"/>
                <w:szCs w:val="21"/>
              </w:rPr>
              <w:instrText xml:space="preserve"> ADDIN EN.CITE &lt;EndNote&gt;&lt;Cite&gt;&lt;Author&gt;MRI&lt;/Author&gt;&lt;Year&gt;2022&lt;/Year&gt;&lt;RecNum&gt;185&lt;/RecNum&gt;&lt;DisplayText&gt;&lt;style face="superscript"&gt;25&lt;/style&gt;&lt;/DisplayText&gt;&lt;record&gt;&lt;rec-number&gt;185&lt;/rec-number&gt;&lt;foreign-keys&gt;&lt;key app="EN" db-id="200xxs0psrtaz4eze9pp5vvrdraszefpsp0w" timestamp="1706944056"&gt;185&lt;/key&gt;&lt;/foreign-keys&gt;&lt;ref-type name="Report"&gt;27&lt;/ref-type&gt;&lt;contributors&gt;&lt;authors&gt;&lt;author&gt;MRI&lt;/author&gt;&lt;/authors&gt;&lt;/contributors&gt;&lt;titles&gt;&lt;title&gt;Social and Economic Impacts of Carbon Neutrality in 2050&lt;/title&gt;&lt;/titles&gt;&lt;dates&gt;&lt;year&gt;2022&lt;/year&gt;&lt;/dates&gt;&lt;pub-location&gt;Tokyo&lt;/pub-location&gt;&lt;publisher&gt;Mitsubishi Research Institute (MRI)&lt;/publisher&gt;&lt;urls&gt;&lt;related-urls&gt;&lt;url&gt;https://www.mri.co.jp/en/news/dia6ou000004s1st-att/nr20221104.pdf&lt;/url&gt;&lt;/related-urls&gt;&lt;/urls&gt;&lt;/record&gt;&lt;/Cite&gt;&lt;/EndNote&gt;</w:instrText>
            </w:r>
            <w:r w:rsidRPr="000F62FA">
              <w:rPr>
                <w:rFonts w:ascii="Times New Roman" w:hAnsi="Times New Roman" w:cs="Times New Roman"/>
                <w:sz w:val="21"/>
                <w:szCs w:val="21"/>
              </w:rPr>
              <w:fldChar w:fldCharType="separate"/>
            </w:r>
            <w:r w:rsidR="00C10F47" w:rsidRPr="00C10F47">
              <w:rPr>
                <w:rFonts w:ascii="Times New Roman" w:hAnsi="Times New Roman" w:cs="Times New Roman"/>
                <w:noProof/>
                <w:sz w:val="21"/>
                <w:szCs w:val="21"/>
                <w:vertAlign w:val="superscript"/>
              </w:rPr>
              <w:t>25</w:t>
            </w:r>
            <w:r w:rsidRPr="000F62FA">
              <w:rPr>
                <w:rFonts w:ascii="Times New Roman" w:hAnsi="Times New Roman" w:cs="Times New Roman"/>
                <w:sz w:val="21"/>
                <w:szCs w:val="21"/>
              </w:rPr>
              <w:fldChar w:fldCharType="end"/>
            </w:r>
          </w:p>
        </w:tc>
        <w:tc>
          <w:tcPr>
            <w:tcW w:w="676" w:type="pct"/>
            <w:hideMark/>
          </w:tcPr>
          <w:p w14:paraId="2F3AD4A0"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Referential value</w:t>
            </w:r>
          </w:p>
        </w:tc>
      </w:tr>
      <w:tr w:rsidR="003246A9" w:rsidRPr="000F62FA" w14:paraId="7E48ACA7" w14:textId="77777777" w:rsidTr="008B613B">
        <w:trPr>
          <w:trHeight w:val="302"/>
        </w:trPr>
        <w:tc>
          <w:tcPr>
            <w:tcW w:w="1219" w:type="pct"/>
            <w:vMerge w:val="restart"/>
            <w:hideMark/>
          </w:tcPr>
          <w:p w14:paraId="1A5D4129"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Annual increase of employees' income</w:t>
            </w:r>
          </w:p>
        </w:tc>
        <w:tc>
          <w:tcPr>
            <w:tcW w:w="567" w:type="pct"/>
            <w:hideMark/>
          </w:tcPr>
          <w:p w14:paraId="0699881B"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2021-30</w:t>
            </w:r>
          </w:p>
        </w:tc>
        <w:tc>
          <w:tcPr>
            <w:tcW w:w="447" w:type="pct"/>
            <w:hideMark/>
          </w:tcPr>
          <w:p w14:paraId="4B072EDA"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1.6%</w:t>
            </w:r>
          </w:p>
        </w:tc>
        <w:tc>
          <w:tcPr>
            <w:tcW w:w="2091" w:type="pct"/>
            <w:vMerge w:val="restart"/>
            <w:hideMark/>
          </w:tcPr>
          <w:p w14:paraId="6D9D4021" w14:textId="731B4CC3"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 xml:space="preserve">“Initiative of Future Society 2050” by Mitsubishi Research Institute </w:t>
            </w:r>
            <w:r w:rsidRPr="000F62FA">
              <w:rPr>
                <w:rFonts w:ascii="Times New Roman" w:hAnsi="Times New Roman" w:cs="Times New Roman"/>
                <w:sz w:val="21"/>
                <w:szCs w:val="21"/>
              </w:rPr>
              <w:fldChar w:fldCharType="begin"/>
            </w:r>
            <w:r w:rsidR="00C10F47">
              <w:rPr>
                <w:rFonts w:ascii="Times New Roman" w:hAnsi="Times New Roman" w:cs="Times New Roman"/>
                <w:sz w:val="21"/>
                <w:szCs w:val="21"/>
              </w:rPr>
              <w:instrText xml:space="preserve"> ADDIN EN.CITE &lt;EndNote&gt;&lt;Cite&gt;&lt;Author&gt;MRI&lt;/Author&gt;&lt;Year&gt;2022&lt;/Year&gt;&lt;RecNum&gt;185&lt;/RecNum&gt;&lt;DisplayText&gt;&lt;style face="superscript"&gt;25&lt;/style&gt;&lt;/DisplayText&gt;&lt;record&gt;&lt;rec-number&gt;185&lt;/rec-number&gt;&lt;foreign-keys&gt;&lt;key app="EN" db-id="200xxs0psrtaz4eze9pp5vvrdraszefpsp0w" timestamp="1706944056"&gt;185&lt;/key&gt;&lt;/foreign-keys&gt;&lt;ref-type name="Report"&gt;27&lt;/ref-type&gt;&lt;contributors&gt;&lt;authors&gt;&lt;author&gt;MRI&lt;/author&gt;&lt;/authors&gt;&lt;/contributors&gt;&lt;titles&gt;&lt;title&gt;Social and Economic Impacts of Carbon Neutrality in 2050&lt;/title&gt;&lt;/titles&gt;&lt;dates&gt;&lt;year&gt;2022&lt;/year&gt;&lt;/dates&gt;&lt;pub-location&gt;Tokyo&lt;/pub-location&gt;&lt;publisher&gt;Mitsubishi Research Institute (MRI)&lt;/publisher&gt;&lt;urls&gt;&lt;related-urls&gt;&lt;url&gt;https://www.mri.co.jp/en/news/dia6ou000004s1st-att/nr20221104.pdf&lt;/url&gt;&lt;/related-urls&gt;&lt;/urls&gt;&lt;/record&gt;&lt;/Cite&gt;&lt;/EndNote&gt;</w:instrText>
            </w:r>
            <w:r w:rsidRPr="000F62FA">
              <w:rPr>
                <w:rFonts w:ascii="Times New Roman" w:hAnsi="Times New Roman" w:cs="Times New Roman"/>
                <w:sz w:val="21"/>
                <w:szCs w:val="21"/>
              </w:rPr>
              <w:fldChar w:fldCharType="separate"/>
            </w:r>
            <w:r w:rsidR="00C10F47" w:rsidRPr="00C10F47">
              <w:rPr>
                <w:rFonts w:ascii="Times New Roman" w:hAnsi="Times New Roman" w:cs="Times New Roman"/>
                <w:noProof/>
                <w:sz w:val="21"/>
                <w:szCs w:val="21"/>
                <w:vertAlign w:val="superscript"/>
              </w:rPr>
              <w:t>25</w:t>
            </w:r>
            <w:r w:rsidRPr="000F62FA">
              <w:rPr>
                <w:rFonts w:ascii="Times New Roman" w:hAnsi="Times New Roman" w:cs="Times New Roman"/>
                <w:sz w:val="21"/>
                <w:szCs w:val="21"/>
              </w:rPr>
              <w:fldChar w:fldCharType="end"/>
            </w:r>
          </w:p>
        </w:tc>
        <w:tc>
          <w:tcPr>
            <w:tcW w:w="676" w:type="pct"/>
            <w:vMerge w:val="restart"/>
            <w:hideMark/>
          </w:tcPr>
          <w:p w14:paraId="44B21126"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Referential value</w:t>
            </w:r>
          </w:p>
        </w:tc>
      </w:tr>
      <w:tr w:rsidR="003246A9" w:rsidRPr="000F62FA" w14:paraId="20F89642" w14:textId="77777777" w:rsidTr="008B613B">
        <w:trPr>
          <w:trHeight w:val="302"/>
        </w:trPr>
        <w:tc>
          <w:tcPr>
            <w:tcW w:w="1219" w:type="pct"/>
            <w:vMerge/>
            <w:hideMark/>
          </w:tcPr>
          <w:p w14:paraId="4514784E" w14:textId="77777777" w:rsidR="003246A9" w:rsidRPr="000F62FA" w:rsidRDefault="003246A9" w:rsidP="00C04851">
            <w:pPr>
              <w:jc w:val="center"/>
              <w:rPr>
                <w:rFonts w:ascii="Times New Roman" w:hAnsi="Times New Roman" w:cs="Times New Roman"/>
                <w:sz w:val="21"/>
                <w:szCs w:val="21"/>
              </w:rPr>
            </w:pPr>
          </w:p>
        </w:tc>
        <w:tc>
          <w:tcPr>
            <w:tcW w:w="567" w:type="pct"/>
            <w:hideMark/>
          </w:tcPr>
          <w:p w14:paraId="3D582912"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2031-40</w:t>
            </w:r>
          </w:p>
        </w:tc>
        <w:tc>
          <w:tcPr>
            <w:tcW w:w="447" w:type="pct"/>
            <w:hideMark/>
          </w:tcPr>
          <w:p w14:paraId="7A2C5E1E"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1%</w:t>
            </w:r>
          </w:p>
        </w:tc>
        <w:tc>
          <w:tcPr>
            <w:tcW w:w="2091" w:type="pct"/>
            <w:vMerge/>
            <w:hideMark/>
          </w:tcPr>
          <w:p w14:paraId="1323A926" w14:textId="77777777" w:rsidR="003246A9" w:rsidRPr="000F62FA" w:rsidRDefault="003246A9" w:rsidP="00C04851">
            <w:pPr>
              <w:jc w:val="center"/>
              <w:rPr>
                <w:rFonts w:ascii="Times New Roman" w:hAnsi="Times New Roman" w:cs="Times New Roman"/>
                <w:sz w:val="21"/>
                <w:szCs w:val="21"/>
              </w:rPr>
            </w:pPr>
          </w:p>
        </w:tc>
        <w:tc>
          <w:tcPr>
            <w:tcW w:w="676" w:type="pct"/>
            <w:vMerge/>
            <w:hideMark/>
          </w:tcPr>
          <w:p w14:paraId="5A1CE135" w14:textId="77777777" w:rsidR="003246A9" w:rsidRPr="000F62FA" w:rsidRDefault="003246A9" w:rsidP="00C04851">
            <w:pPr>
              <w:jc w:val="center"/>
              <w:rPr>
                <w:rFonts w:ascii="Times New Roman" w:hAnsi="Times New Roman" w:cs="Times New Roman"/>
                <w:sz w:val="21"/>
                <w:szCs w:val="21"/>
              </w:rPr>
            </w:pPr>
          </w:p>
        </w:tc>
      </w:tr>
      <w:tr w:rsidR="003246A9" w:rsidRPr="000F62FA" w14:paraId="0C0E5031" w14:textId="77777777" w:rsidTr="008B613B">
        <w:trPr>
          <w:trHeight w:val="302"/>
        </w:trPr>
        <w:tc>
          <w:tcPr>
            <w:tcW w:w="1219" w:type="pct"/>
            <w:vMerge/>
            <w:hideMark/>
          </w:tcPr>
          <w:p w14:paraId="7BA919F2" w14:textId="77777777" w:rsidR="003246A9" w:rsidRPr="000F62FA" w:rsidRDefault="003246A9" w:rsidP="00C04851">
            <w:pPr>
              <w:jc w:val="center"/>
              <w:rPr>
                <w:rFonts w:ascii="Times New Roman" w:hAnsi="Times New Roman" w:cs="Times New Roman"/>
                <w:sz w:val="21"/>
                <w:szCs w:val="21"/>
              </w:rPr>
            </w:pPr>
          </w:p>
        </w:tc>
        <w:tc>
          <w:tcPr>
            <w:tcW w:w="567" w:type="pct"/>
            <w:hideMark/>
          </w:tcPr>
          <w:p w14:paraId="21554D0E"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2041-50</w:t>
            </w:r>
          </w:p>
        </w:tc>
        <w:tc>
          <w:tcPr>
            <w:tcW w:w="447" w:type="pct"/>
            <w:hideMark/>
          </w:tcPr>
          <w:p w14:paraId="6079DA8A"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0.9%</w:t>
            </w:r>
          </w:p>
        </w:tc>
        <w:tc>
          <w:tcPr>
            <w:tcW w:w="2091" w:type="pct"/>
            <w:vMerge/>
            <w:hideMark/>
          </w:tcPr>
          <w:p w14:paraId="3DC1D2C6" w14:textId="77777777" w:rsidR="003246A9" w:rsidRPr="000F62FA" w:rsidRDefault="003246A9" w:rsidP="00C04851">
            <w:pPr>
              <w:jc w:val="center"/>
              <w:rPr>
                <w:rFonts w:ascii="Times New Roman" w:hAnsi="Times New Roman" w:cs="Times New Roman"/>
                <w:sz w:val="21"/>
                <w:szCs w:val="21"/>
              </w:rPr>
            </w:pPr>
          </w:p>
        </w:tc>
        <w:tc>
          <w:tcPr>
            <w:tcW w:w="676" w:type="pct"/>
            <w:vMerge/>
            <w:hideMark/>
          </w:tcPr>
          <w:p w14:paraId="4FBFCC52" w14:textId="77777777" w:rsidR="003246A9" w:rsidRPr="000F62FA" w:rsidRDefault="003246A9" w:rsidP="00C04851">
            <w:pPr>
              <w:jc w:val="center"/>
              <w:rPr>
                <w:rFonts w:ascii="Times New Roman" w:hAnsi="Times New Roman" w:cs="Times New Roman"/>
                <w:sz w:val="21"/>
                <w:szCs w:val="21"/>
              </w:rPr>
            </w:pPr>
          </w:p>
        </w:tc>
      </w:tr>
      <w:tr w:rsidR="003246A9" w:rsidRPr="000F62FA" w14:paraId="0878F11B" w14:textId="77777777" w:rsidTr="008B613B">
        <w:trPr>
          <w:trHeight w:val="302"/>
        </w:trPr>
        <w:tc>
          <w:tcPr>
            <w:tcW w:w="1219" w:type="pct"/>
            <w:vMerge w:val="restart"/>
            <w:hideMark/>
          </w:tcPr>
          <w:p w14:paraId="1C271895"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Consumer Price Index</w:t>
            </w:r>
          </w:p>
        </w:tc>
        <w:tc>
          <w:tcPr>
            <w:tcW w:w="567" w:type="pct"/>
            <w:hideMark/>
          </w:tcPr>
          <w:p w14:paraId="22E6C91F"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2021-30</w:t>
            </w:r>
          </w:p>
        </w:tc>
        <w:tc>
          <w:tcPr>
            <w:tcW w:w="447" w:type="pct"/>
            <w:hideMark/>
          </w:tcPr>
          <w:p w14:paraId="0ABE7E8F"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1.6%</w:t>
            </w:r>
          </w:p>
        </w:tc>
        <w:tc>
          <w:tcPr>
            <w:tcW w:w="2091" w:type="pct"/>
            <w:vMerge/>
            <w:hideMark/>
          </w:tcPr>
          <w:p w14:paraId="4909F4B0" w14:textId="77777777" w:rsidR="003246A9" w:rsidRPr="000F62FA" w:rsidRDefault="003246A9" w:rsidP="00C04851">
            <w:pPr>
              <w:jc w:val="center"/>
              <w:rPr>
                <w:rFonts w:ascii="Times New Roman" w:hAnsi="Times New Roman" w:cs="Times New Roman"/>
                <w:sz w:val="21"/>
                <w:szCs w:val="21"/>
              </w:rPr>
            </w:pPr>
          </w:p>
        </w:tc>
        <w:tc>
          <w:tcPr>
            <w:tcW w:w="676" w:type="pct"/>
            <w:vMerge w:val="restart"/>
            <w:hideMark/>
          </w:tcPr>
          <w:p w14:paraId="1DFCDB62"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Referential value</w:t>
            </w:r>
          </w:p>
        </w:tc>
      </w:tr>
      <w:tr w:rsidR="003246A9" w:rsidRPr="000F62FA" w14:paraId="38A92A31" w14:textId="77777777" w:rsidTr="008B613B">
        <w:trPr>
          <w:trHeight w:val="302"/>
        </w:trPr>
        <w:tc>
          <w:tcPr>
            <w:tcW w:w="1219" w:type="pct"/>
            <w:vMerge/>
            <w:hideMark/>
          </w:tcPr>
          <w:p w14:paraId="22C65C9F" w14:textId="77777777" w:rsidR="003246A9" w:rsidRPr="000F62FA" w:rsidRDefault="003246A9" w:rsidP="00C04851">
            <w:pPr>
              <w:jc w:val="center"/>
              <w:rPr>
                <w:rFonts w:ascii="Times New Roman" w:hAnsi="Times New Roman" w:cs="Times New Roman"/>
                <w:sz w:val="21"/>
                <w:szCs w:val="21"/>
              </w:rPr>
            </w:pPr>
          </w:p>
        </w:tc>
        <w:tc>
          <w:tcPr>
            <w:tcW w:w="567" w:type="pct"/>
            <w:hideMark/>
          </w:tcPr>
          <w:p w14:paraId="2EDC0200"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2031-40</w:t>
            </w:r>
          </w:p>
        </w:tc>
        <w:tc>
          <w:tcPr>
            <w:tcW w:w="447" w:type="pct"/>
            <w:hideMark/>
          </w:tcPr>
          <w:p w14:paraId="4945835B"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1.7%</w:t>
            </w:r>
          </w:p>
        </w:tc>
        <w:tc>
          <w:tcPr>
            <w:tcW w:w="2091" w:type="pct"/>
            <w:vMerge/>
            <w:hideMark/>
          </w:tcPr>
          <w:p w14:paraId="0ACD0D3C" w14:textId="77777777" w:rsidR="003246A9" w:rsidRPr="000F62FA" w:rsidRDefault="003246A9" w:rsidP="00C04851">
            <w:pPr>
              <w:jc w:val="center"/>
              <w:rPr>
                <w:rFonts w:ascii="Times New Roman" w:hAnsi="Times New Roman" w:cs="Times New Roman"/>
                <w:sz w:val="21"/>
                <w:szCs w:val="21"/>
              </w:rPr>
            </w:pPr>
          </w:p>
        </w:tc>
        <w:tc>
          <w:tcPr>
            <w:tcW w:w="676" w:type="pct"/>
            <w:vMerge/>
            <w:hideMark/>
          </w:tcPr>
          <w:p w14:paraId="77815BBC" w14:textId="77777777" w:rsidR="003246A9" w:rsidRPr="000F62FA" w:rsidRDefault="003246A9" w:rsidP="00C04851">
            <w:pPr>
              <w:jc w:val="center"/>
              <w:rPr>
                <w:rFonts w:ascii="Times New Roman" w:hAnsi="Times New Roman" w:cs="Times New Roman"/>
                <w:sz w:val="21"/>
                <w:szCs w:val="21"/>
              </w:rPr>
            </w:pPr>
          </w:p>
        </w:tc>
      </w:tr>
      <w:tr w:rsidR="003246A9" w:rsidRPr="000F62FA" w14:paraId="0E787412" w14:textId="77777777" w:rsidTr="008B613B">
        <w:trPr>
          <w:trHeight w:val="302"/>
        </w:trPr>
        <w:tc>
          <w:tcPr>
            <w:tcW w:w="1219" w:type="pct"/>
            <w:vMerge/>
            <w:hideMark/>
          </w:tcPr>
          <w:p w14:paraId="4CC46D0C" w14:textId="77777777" w:rsidR="003246A9" w:rsidRPr="000F62FA" w:rsidRDefault="003246A9" w:rsidP="00C04851">
            <w:pPr>
              <w:jc w:val="center"/>
              <w:rPr>
                <w:rFonts w:ascii="Times New Roman" w:hAnsi="Times New Roman" w:cs="Times New Roman"/>
                <w:sz w:val="21"/>
                <w:szCs w:val="21"/>
              </w:rPr>
            </w:pPr>
          </w:p>
        </w:tc>
        <w:tc>
          <w:tcPr>
            <w:tcW w:w="567" w:type="pct"/>
            <w:hideMark/>
          </w:tcPr>
          <w:p w14:paraId="269837A2"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2041-50</w:t>
            </w:r>
          </w:p>
        </w:tc>
        <w:tc>
          <w:tcPr>
            <w:tcW w:w="447" w:type="pct"/>
            <w:hideMark/>
          </w:tcPr>
          <w:p w14:paraId="389B0643" w14:textId="77777777" w:rsidR="003246A9" w:rsidRPr="000F62FA" w:rsidRDefault="003246A9" w:rsidP="00C04851">
            <w:pPr>
              <w:jc w:val="center"/>
              <w:rPr>
                <w:rFonts w:ascii="Times New Roman" w:hAnsi="Times New Roman" w:cs="Times New Roman"/>
                <w:sz w:val="21"/>
                <w:szCs w:val="21"/>
              </w:rPr>
            </w:pPr>
            <w:r w:rsidRPr="000F62FA">
              <w:rPr>
                <w:rFonts w:ascii="Times New Roman" w:hAnsi="Times New Roman" w:cs="Times New Roman"/>
                <w:sz w:val="21"/>
                <w:szCs w:val="21"/>
              </w:rPr>
              <w:t>1.9%</w:t>
            </w:r>
          </w:p>
        </w:tc>
        <w:tc>
          <w:tcPr>
            <w:tcW w:w="2091" w:type="pct"/>
            <w:vMerge/>
            <w:hideMark/>
          </w:tcPr>
          <w:p w14:paraId="2E4C0BF6" w14:textId="77777777" w:rsidR="003246A9" w:rsidRPr="000F62FA" w:rsidRDefault="003246A9" w:rsidP="00C04851">
            <w:pPr>
              <w:jc w:val="center"/>
              <w:rPr>
                <w:rFonts w:ascii="Times New Roman" w:hAnsi="Times New Roman" w:cs="Times New Roman"/>
                <w:sz w:val="21"/>
                <w:szCs w:val="21"/>
              </w:rPr>
            </w:pPr>
          </w:p>
        </w:tc>
        <w:tc>
          <w:tcPr>
            <w:tcW w:w="676" w:type="pct"/>
            <w:vMerge/>
            <w:hideMark/>
          </w:tcPr>
          <w:p w14:paraId="3673AB1E" w14:textId="77777777" w:rsidR="003246A9" w:rsidRPr="000F62FA" w:rsidRDefault="003246A9" w:rsidP="00C04851">
            <w:pPr>
              <w:jc w:val="center"/>
              <w:rPr>
                <w:rFonts w:ascii="Times New Roman" w:hAnsi="Times New Roman" w:cs="Times New Roman"/>
                <w:sz w:val="21"/>
                <w:szCs w:val="21"/>
              </w:rPr>
            </w:pPr>
          </w:p>
        </w:tc>
      </w:tr>
    </w:tbl>
    <w:p w14:paraId="3E0985AB" w14:textId="77777777" w:rsidR="003246A9" w:rsidRDefault="003246A9" w:rsidP="003246A9">
      <w:pPr>
        <w:jc w:val="center"/>
        <w:rPr>
          <w:rFonts w:ascii="Times New Roman" w:hAnsi="Times New Roman" w:cs="Times New Roman"/>
        </w:rPr>
      </w:pPr>
    </w:p>
    <w:p w14:paraId="7164F888" w14:textId="77777777" w:rsidR="009F1AE8" w:rsidRPr="000F62FA" w:rsidRDefault="009F1AE8">
      <w:pPr>
        <w:rPr>
          <w:rFonts w:ascii="Times New Roman" w:eastAsia="DengXian" w:hAnsi="Times New Roman" w:cs="Times New Roman"/>
          <w:sz w:val="21"/>
          <w:szCs w:val="21"/>
          <w:lang w:eastAsia="zh-CN"/>
        </w:rPr>
      </w:pPr>
    </w:p>
    <w:p w14:paraId="6D8FF473" w14:textId="7A312F97" w:rsidR="002F61B3" w:rsidRPr="000F62FA" w:rsidRDefault="002F61B3" w:rsidP="002F61B3">
      <w:pPr>
        <w:pStyle w:val="1"/>
        <w:rPr>
          <w:rFonts w:eastAsia="DengXian" w:cs="Times New Roman"/>
          <w:lang w:eastAsia="zh-CN"/>
        </w:rPr>
      </w:pPr>
      <w:bookmarkStart w:id="17" w:name="_Toc199865014"/>
      <w:r w:rsidRPr="000F62FA">
        <w:rPr>
          <w:rFonts w:eastAsia="DengXian" w:cs="Times New Roman"/>
          <w:lang w:eastAsia="zh-CN"/>
        </w:rPr>
        <w:lastRenderedPageBreak/>
        <w:t>2. Submodules</w:t>
      </w:r>
      <w:r w:rsidR="00D57BC2">
        <w:rPr>
          <w:rFonts w:eastAsia="DengXian" w:cs="Times New Roman" w:hint="eastAsia"/>
          <w:lang w:eastAsia="zh-CN"/>
        </w:rPr>
        <w:t xml:space="preserve"> and </w:t>
      </w:r>
      <w:r w:rsidR="008F79A3">
        <w:rPr>
          <w:rFonts w:eastAsia="DengXian" w:cs="Times New Roman" w:hint="eastAsia"/>
          <w:lang w:eastAsia="zh-CN"/>
        </w:rPr>
        <w:t>I</w:t>
      </w:r>
      <w:r w:rsidR="00D57BC2">
        <w:rPr>
          <w:rFonts w:eastAsia="DengXian" w:cs="Times New Roman" w:hint="eastAsia"/>
          <w:lang w:eastAsia="zh-CN"/>
        </w:rPr>
        <w:t>ntermediate</w:t>
      </w:r>
      <w:r w:rsidR="00E32714">
        <w:rPr>
          <w:rFonts w:eastAsia="DengXian" w:cs="Times New Roman" w:hint="eastAsia"/>
          <w:lang w:eastAsia="zh-CN"/>
        </w:rPr>
        <w:t xml:space="preserve"> </w:t>
      </w:r>
      <w:r w:rsidR="008F79A3">
        <w:rPr>
          <w:rFonts w:eastAsia="DengXian" w:cs="Times New Roman" w:hint="eastAsia"/>
          <w:lang w:eastAsia="zh-CN"/>
        </w:rPr>
        <w:t>C</w:t>
      </w:r>
      <w:r w:rsidR="00E32714">
        <w:rPr>
          <w:rFonts w:eastAsia="DengXian" w:cs="Times New Roman" w:hint="eastAsia"/>
          <w:lang w:eastAsia="zh-CN"/>
        </w:rPr>
        <w:t>alculations</w:t>
      </w:r>
      <w:bookmarkEnd w:id="17"/>
    </w:p>
    <w:p w14:paraId="43D7B2D7" w14:textId="10BF0601" w:rsidR="00C004DA" w:rsidRPr="000F62FA" w:rsidRDefault="00C004DA" w:rsidP="00C004DA">
      <w:pPr>
        <w:pStyle w:val="2"/>
        <w:rPr>
          <w:rFonts w:eastAsia="DengXian"/>
        </w:rPr>
      </w:pPr>
      <w:bookmarkStart w:id="18" w:name="_Toc199865015"/>
      <w:r w:rsidRPr="000F62FA">
        <w:rPr>
          <w:rFonts w:eastAsia="DengXian"/>
        </w:rPr>
        <w:t>2</w:t>
      </w:r>
      <w:r w:rsidRPr="000F62FA">
        <w:t xml:space="preserve">.1 </w:t>
      </w:r>
      <w:r w:rsidR="008F79A3">
        <w:rPr>
          <w:rFonts w:eastAsia="DengXian" w:hint="eastAsia"/>
        </w:rPr>
        <w:t>P</w:t>
      </w:r>
      <w:r w:rsidR="006628FB" w:rsidRPr="000F62FA">
        <w:rPr>
          <w:rFonts w:eastAsia="DengXian"/>
        </w:rPr>
        <w:t xml:space="preserve">assenger </w:t>
      </w:r>
      <w:r w:rsidR="008F79A3">
        <w:rPr>
          <w:rFonts w:eastAsia="DengXian" w:hint="eastAsia"/>
        </w:rPr>
        <w:t>C</w:t>
      </w:r>
      <w:r w:rsidR="004070B0" w:rsidRPr="000F62FA">
        <w:rPr>
          <w:rFonts w:eastAsia="DengXian"/>
        </w:rPr>
        <w:t>ar</w:t>
      </w:r>
      <w:r w:rsidR="008F79A3">
        <w:rPr>
          <w:rFonts w:eastAsia="DengXian" w:hint="eastAsia"/>
        </w:rPr>
        <w:t xml:space="preserve"> Ownership</w:t>
      </w:r>
      <w:bookmarkEnd w:id="18"/>
    </w:p>
    <w:p w14:paraId="2CE89C9B" w14:textId="206D607E" w:rsidR="00966C32" w:rsidRPr="000B2E9C" w:rsidRDefault="00966C32" w:rsidP="00966C32">
      <w:pPr>
        <w:rPr>
          <w:rFonts w:ascii="Times New Roman" w:hAnsi="Times New Roman" w:cs="Times New Roman"/>
          <w:sz w:val="21"/>
          <w:szCs w:val="21"/>
        </w:rPr>
      </w:pPr>
      <w:r w:rsidRPr="000B2E9C">
        <w:rPr>
          <w:rFonts w:ascii="Times New Roman" w:eastAsia="SimSun" w:hAnsi="Times New Roman" w:cs="Times New Roman"/>
          <w:sz w:val="21"/>
          <w:szCs w:val="21"/>
          <w:lang w:eastAsia="zh-CN"/>
        </w:rPr>
        <w:t xml:space="preserve">The passenger car fleet simulation is based on </w:t>
      </w:r>
      <w:r w:rsidR="00DE0B93">
        <w:rPr>
          <w:rFonts w:ascii="Times New Roman" w:eastAsia="SimSun" w:hAnsi="Times New Roman" w:cs="Times New Roman" w:hint="eastAsia"/>
          <w:sz w:val="21"/>
          <w:szCs w:val="21"/>
          <w:lang w:eastAsia="zh-CN"/>
        </w:rPr>
        <w:t>projections</w:t>
      </w:r>
      <w:r w:rsidRPr="000B2E9C">
        <w:rPr>
          <w:rFonts w:ascii="Times New Roman" w:eastAsia="SimSun" w:hAnsi="Times New Roman" w:cs="Times New Roman"/>
          <w:sz w:val="21"/>
          <w:szCs w:val="21"/>
          <w:lang w:eastAsia="zh-CN"/>
        </w:rPr>
        <w:t xml:space="preserve"> of car ownership and the survival curve of passenger cars. </w:t>
      </w:r>
      <w:r w:rsidRPr="000B2E9C">
        <w:rPr>
          <w:rFonts w:ascii="Times New Roman" w:hAnsi="Times New Roman" w:cs="Times New Roman"/>
          <w:sz w:val="21"/>
          <w:szCs w:val="21"/>
        </w:rPr>
        <w:t xml:space="preserve">First, the </w:t>
      </w:r>
      <w:r w:rsidRPr="000B2E9C">
        <w:rPr>
          <w:rFonts w:ascii="Times New Roman" w:eastAsia="SimSun" w:hAnsi="Times New Roman" w:cs="Times New Roman"/>
          <w:sz w:val="21"/>
          <w:szCs w:val="21"/>
          <w:lang w:eastAsia="zh-CN"/>
        </w:rPr>
        <w:t xml:space="preserve">ownership of </w:t>
      </w:r>
      <w:r w:rsidRPr="000B2E9C">
        <w:rPr>
          <w:rFonts w:ascii="Times New Roman" w:hAnsi="Times New Roman" w:cs="Times New Roman"/>
          <w:sz w:val="21"/>
          <w:szCs w:val="21"/>
        </w:rPr>
        <w:t>passenger car</w:t>
      </w:r>
      <w:r w:rsidRPr="000B2E9C">
        <w:rPr>
          <w:rFonts w:ascii="Times New Roman" w:eastAsia="SimSun" w:hAnsi="Times New Roman" w:cs="Times New Roman"/>
          <w:sz w:val="21"/>
          <w:szCs w:val="21"/>
          <w:lang w:eastAsia="zh-CN"/>
        </w:rPr>
        <w:t>s</w:t>
      </w:r>
      <w:r w:rsidRPr="000B2E9C">
        <w:rPr>
          <w:rFonts w:ascii="Times New Roman" w:hAnsi="Times New Roman" w:cs="Times New Roman"/>
          <w:sz w:val="21"/>
          <w:szCs w:val="21"/>
        </w:rPr>
        <w:t xml:space="preserve"> </w:t>
      </w:r>
      <w:r w:rsidRPr="000B2E9C">
        <w:rPr>
          <w:rFonts w:ascii="Times New Roman" w:eastAsia="SimSun" w:hAnsi="Times New Roman" w:cs="Times New Roman"/>
          <w:sz w:val="21"/>
          <w:szCs w:val="21"/>
          <w:lang w:eastAsia="zh-CN"/>
        </w:rPr>
        <w:t>in domestic</w:t>
      </w:r>
      <w:r w:rsidRPr="000B2E9C">
        <w:rPr>
          <w:rFonts w:ascii="Times New Roman" w:hAnsi="Times New Roman" w:cs="Times New Roman"/>
          <w:sz w:val="21"/>
          <w:szCs w:val="21"/>
        </w:rPr>
        <w:t xml:space="preserve"> </w:t>
      </w:r>
      <w:r w:rsidRPr="000B2E9C">
        <w:rPr>
          <w:rFonts w:ascii="Times New Roman" w:eastAsia="SimSun" w:hAnsi="Times New Roman" w:cs="Times New Roman"/>
          <w:sz w:val="21"/>
          <w:szCs w:val="21"/>
          <w:lang w:eastAsia="zh-CN"/>
        </w:rPr>
        <w:t>(</w:t>
      </w:r>
      <m:oMath>
        <m:r>
          <w:rPr>
            <w:rFonts w:ascii="Cambria Math" w:hAnsi="Cambria Math" w:cs="Times New Roman"/>
            <w:sz w:val="21"/>
            <w:szCs w:val="21"/>
          </w:rPr>
          <m:t>S</m:t>
        </m:r>
      </m:oMath>
      <w:r w:rsidRPr="000B2E9C">
        <w:rPr>
          <w:rFonts w:ascii="Times New Roman" w:eastAsia="SimSun" w:hAnsi="Times New Roman" w:cs="Times New Roman"/>
          <w:sz w:val="21"/>
          <w:szCs w:val="21"/>
          <w:lang w:eastAsia="zh-CN"/>
        </w:rPr>
        <w:t>)</w:t>
      </w:r>
      <w:r w:rsidRPr="000B2E9C">
        <w:rPr>
          <w:rFonts w:ascii="Times New Roman" w:hAnsi="Times New Roman" w:cs="Times New Roman"/>
          <w:sz w:val="21"/>
          <w:szCs w:val="21"/>
        </w:rPr>
        <w:t xml:space="preserve"> </w:t>
      </w:r>
      <w:r w:rsidRPr="000B2E9C">
        <w:rPr>
          <w:rFonts w:ascii="Times New Roman" w:eastAsia="SimSun" w:hAnsi="Times New Roman" w:cs="Times New Roman"/>
          <w:sz w:val="21"/>
          <w:szCs w:val="21"/>
          <w:lang w:eastAsia="zh-CN"/>
        </w:rPr>
        <w:t>is</w:t>
      </w:r>
      <w:r w:rsidRPr="000B2E9C">
        <w:rPr>
          <w:rFonts w:ascii="Times New Roman" w:hAnsi="Times New Roman" w:cs="Times New Roman"/>
          <w:sz w:val="21"/>
          <w:szCs w:val="21"/>
        </w:rPr>
        <w:t xml:space="preserve"> calculated as </w:t>
      </w:r>
      <w:r w:rsidR="00856B48">
        <w:rPr>
          <w:rFonts w:ascii="Times New Roman" w:eastAsia="DengXian" w:hAnsi="Times New Roman" w:cs="Times New Roman" w:hint="eastAsia"/>
          <w:sz w:val="21"/>
          <w:szCs w:val="21"/>
          <w:lang w:eastAsia="zh-CN"/>
        </w:rPr>
        <w:t>follows</w:t>
      </w:r>
      <w:r w:rsidRPr="000B2E9C">
        <w:rPr>
          <w:rFonts w:ascii="Times New Roman" w:hAnsi="Times New Roman" w:cs="Times New Roman"/>
          <w:sz w:val="21"/>
          <w:szCs w:val="21"/>
        </w:rPr>
        <w:t>:</w:t>
      </w:r>
    </w:p>
    <w:p w14:paraId="72CCA10D" w14:textId="58A7E5C9" w:rsidR="00966C32" w:rsidRPr="000B2E9C" w:rsidRDefault="00966C32" w:rsidP="00966C32">
      <w:pPr>
        <w:pStyle w:val="Equation"/>
        <w:spacing w:after="200" w:line="240" w:lineRule="auto"/>
        <w:jc w:val="right"/>
        <w:rPr>
          <w:color w:val="auto"/>
        </w:rPr>
      </w:pPr>
      <w:r w:rsidRPr="000B2E9C">
        <w:rPr>
          <w:color w:val="auto"/>
        </w:rPr>
        <w:tab/>
      </w:r>
      <m:oMath>
        <m:r>
          <w:rPr>
            <w:rFonts w:ascii="Cambria Math" w:hAnsi="Cambria Math"/>
            <w:color w:val="auto"/>
            <w:sz w:val="28"/>
            <w:szCs w:val="28"/>
          </w:rPr>
          <m:t>S</m:t>
        </m:r>
        <m:r>
          <m:rPr>
            <m:sty m:val="p"/>
          </m:rPr>
          <w:rPr>
            <w:rFonts w:ascii="Cambria Math" w:hAnsi="Cambria Math"/>
            <w:color w:val="auto"/>
            <w:sz w:val="28"/>
            <w:szCs w:val="28"/>
          </w:rPr>
          <m:t>=</m:t>
        </m:r>
        <m:f>
          <m:fPr>
            <m:ctrlPr>
              <w:rPr>
                <w:rFonts w:ascii="Cambria Math" w:hAnsi="Cambria Math"/>
                <w:color w:val="auto"/>
                <w:sz w:val="28"/>
                <w:szCs w:val="28"/>
              </w:rPr>
            </m:ctrlPr>
          </m:fPr>
          <m:num>
            <w:bookmarkStart w:id="19" w:name="OLE_LINK2"/>
            <m:r>
              <w:rPr>
                <w:rFonts w:ascii="Cambria Math" w:hAnsi="Cambria Math"/>
                <w:color w:val="auto"/>
                <w:sz w:val="28"/>
                <w:szCs w:val="28"/>
              </w:rPr>
              <m:t>N</m:t>
            </m:r>
            <m:r>
              <m:rPr>
                <m:sty m:val="p"/>
              </m:rPr>
              <w:rPr>
                <w:rFonts w:ascii="Cambria Math" w:hAnsi="Cambria Math"/>
                <w:color w:val="auto"/>
                <w:sz w:val="28"/>
                <w:szCs w:val="28"/>
              </w:rPr>
              <m:t>·</m:t>
            </m:r>
            <m:r>
              <w:rPr>
                <w:rFonts w:ascii="Cambria Math" w:hAnsi="Cambria Math"/>
                <w:color w:val="auto"/>
                <w:sz w:val="28"/>
                <w:szCs w:val="28"/>
              </w:rPr>
              <m:t>γ</m:t>
            </m:r>
            <m:r>
              <m:rPr>
                <m:sty m:val="p"/>
              </m:rPr>
              <w:rPr>
                <w:rFonts w:ascii="Cambria Math" w:hAnsi="Cambria Math"/>
                <w:color w:val="auto"/>
                <w:sz w:val="28"/>
                <w:szCs w:val="28"/>
              </w:rPr>
              <m:t>·(1-</m:t>
            </m:r>
            <m:r>
              <w:rPr>
                <w:rFonts w:ascii="Cambria Math" w:hAnsi="Cambria Math"/>
                <w:color w:val="auto"/>
                <w:sz w:val="28"/>
                <w:szCs w:val="28"/>
              </w:rPr>
              <m:t>η</m:t>
            </m:r>
            <m:r>
              <m:rPr>
                <m:sty m:val="p"/>
              </m:rPr>
              <w:rPr>
                <w:rFonts w:ascii="Cambria Math" w:hAnsi="Cambria Math"/>
                <w:color w:val="auto"/>
                <w:sz w:val="28"/>
                <w:szCs w:val="28"/>
              </w:rPr>
              <m:t>·</m:t>
            </m:r>
            <m:r>
              <w:rPr>
                <w:rFonts w:ascii="Cambria Math" w:hAnsi="Cambria Math"/>
                <w:color w:val="auto"/>
                <w:sz w:val="28"/>
                <w:szCs w:val="28"/>
              </w:rPr>
              <m:t>δ</m:t>
            </m:r>
            <m:r>
              <m:rPr>
                <m:sty m:val="p"/>
              </m:rPr>
              <w:rPr>
                <w:rFonts w:ascii="Cambria Math" w:hAnsi="Cambria Math"/>
                <w:color w:val="auto"/>
                <w:sz w:val="28"/>
                <w:szCs w:val="28"/>
              </w:rPr>
              <m:t>)</m:t>
            </m:r>
            <w:bookmarkEnd w:id="19"/>
          </m:num>
          <m:den>
            <m:r>
              <m:rPr>
                <m:sty m:val="p"/>
              </m:rPr>
              <w:rPr>
                <w:rFonts w:ascii="Cambria Math" w:hAnsi="Cambria Math"/>
                <w:color w:val="auto"/>
                <w:sz w:val="28"/>
                <w:szCs w:val="28"/>
              </w:rPr>
              <m:t>1+</m:t>
            </m:r>
            <m:r>
              <w:rPr>
                <w:rFonts w:ascii="Cambria Math" w:hAnsi="Cambria Math"/>
                <w:color w:val="auto"/>
                <w:sz w:val="28"/>
                <w:szCs w:val="28"/>
              </w:rPr>
              <m:t>α</m:t>
            </m:r>
            <m:r>
              <m:rPr>
                <m:sty m:val="p"/>
              </m:rPr>
              <w:rPr>
                <w:rFonts w:ascii="Cambria Math" w:hAnsi="Cambria Math"/>
                <w:color w:val="auto"/>
                <w:sz w:val="28"/>
                <w:szCs w:val="28"/>
              </w:rPr>
              <m:t>·exp⁡(-</m:t>
            </m:r>
            <m:r>
              <w:rPr>
                <w:rFonts w:ascii="Cambria Math" w:hAnsi="Cambria Math"/>
                <w:color w:val="auto"/>
                <w:sz w:val="28"/>
                <w:szCs w:val="28"/>
              </w:rPr>
              <m:t>β</m:t>
            </m:r>
            <m:r>
              <m:rPr>
                <m:sty m:val="p"/>
              </m:rPr>
              <w:rPr>
                <w:rFonts w:ascii="Cambria Math" w:hAnsi="Cambria Math"/>
                <w:color w:val="auto"/>
                <w:sz w:val="28"/>
                <w:szCs w:val="28"/>
              </w:rPr>
              <m:t>·</m:t>
            </m:r>
            <m:box>
              <m:boxPr>
                <m:ctrlPr>
                  <w:rPr>
                    <w:rFonts w:ascii="Cambria Math" w:hAnsi="Cambria Math"/>
                    <w:color w:val="auto"/>
                    <w:sz w:val="28"/>
                    <w:szCs w:val="28"/>
                  </w:rPr>
                </m:ctrlPr>
              </m:boxPr>
              <m:e>
                <m:argPr>
                  <m:argSz m:val="-1"/>
                </m:argPr>
                <m:f>
                  <m:fPr>
                    <m:ctrlPr>
                      <w:rPr>
                        <w:rFonts w:ascii="Cambria Math" w:hAnsi="Cambria Math"/>
                        <w:color w:val="auto"/>
                        <w:sz w:val="28"/>
                        <w:szCs w:val="28"/>
                      </w:rPr>
                    </m:ctrlPr>
                  </m:fPr>
                  <m:num>
                    <m:acc>
                      <m:accPr>
                        <m:chr m:val="̅"/>
                        <m:ctrlPr>
                          <w:rPr>
                            <w:rFonts w:ascii="Cambria Math" w:hAnsi="Cambria Math"/>
                            <w:color w:val="auto"/>
                            <w:sz w:val="28"/>
                            <w:szCs w:val="28"/>
                          </w:rPr>
                        </m:ctrlPr>
                      </m:accPr>
                      <m:e>
                        <m:r>
                          <w:rPr>
                            <w:rFonts w:ascii="Cambria Math" w:hAnsi="Cambria Math"/>
                            <w:color w:val="auto"/>
                            <w:sz w:val="28"/>
                            <w:szCs w:val="28"/>
                          </w:rPr>
                          <m:t>I</m:t>
                        </m:r>
                      </m:e>
                    </m:acc>
                  </m:num>
                  <m:den>
                    <m:acc>
                      <m:accPr>
                        <m:chr m:val="̅"/>
                        <m:ctrlPr>
                          <w:rPr>
                            <w:rFonts w:ascii="Cambria Math" w:hAnsi="Cambria Math"/>
                            <w:color w:val="auto"/>
                            <w:sz w:val="28"/>
                            <w:szCs w:val="28"/>
                          </w:rPr>
                        </m:ctrlPr>
                      </m:accPr>
                      <m:e>
                        <m:r>
                          <w:rPr>
                            <w:rFonts w:ascii="Cambria Math" w:hAnsi="Cambria Math"/>
                            <w:color w:val="auto"/>
                            <w:sz w:val="28"/>
                            <w:szCs w:val="28"/>
                          </w:rPr>
                          <m:t>P</m:t>
                        </m:r>
                      </m:e>
                    </m:acc>
                  </m:den>
                </m:f>
              </m:e>
            </m:box>
            <m:r>
              <m:rPr>
                <m:sty m:val="p"/>
              </m:rPr>
              <w:rPr>
                <w:rFonts w:ascii="Cambria Math" w:hAnsi="Cambria Math"/>
                <w:color w:val="auto"/>
                <w:sz w:val="28"/>
                <w:szCs w:val="28"/>
              </w:rPr>
              <m:t>)</m:t>
            </m:r>
          </m:den>
        </m:f>
      </m:oMath>
      <w:r w:rsidRPr="000B2E9C">
        <w:rPr>
          <w:color w:val="auto"/>
        </w:rPr>
        <w:t xml:space="preserve">                     (Equation </w:t>
      </w:r>
      <w:r w:rsidR="00364E76">
        <w:rPr>
          <w:rFonts w:hint="eastAsia"/>
          <w:color w:val="auto"/>
        </w:rPr>
        <w:t>4</w:t>
      </w:r>
      <w:r w:rsidRPr="000B2E9C">
        <w:rPr>
          <w:color w:val="auto"/>
        </w:rPr>
        <w:t>)</w:t>
      </w:r>
    </w:p>
    <w:p w14:paraId="1EA8FDE9" w14:textId="7A018914" w:rsidR="00DC16B2" w:rsidRDefault="00966C32" w:rsidP="00966C32">
      <w:pPr>
        <w:rPr>
          <w:rFonts w:ascii="Times New Roman" w:eastAsia="SimSun" w:hAnsi="Times New Roman" w:cs="Times New Roman"/>
          <w:sz w:val="21"/>
          <w:szCs w:val="21"/>
          <w:lang w:eastAsia="zh-CN"/>
        </w:rPr>
      </w:pPr>
      <w:r w:rsidRPr="000B2E9C">
        <w:rPr>
          <w:rFonts w:ascii="Times New Roman" w:hAnsi="Times New Roman" w:cs="Times New Roman"/>
          <w:sz w:val="21"/>
          <w:szCs w:val="21"/>
        </w:rPr>
        <w:t xml:space="preserve">where </w:t>
      </w:r>
      <m:oMath>
        <m:r>
          <w:rPr>
            <w:rFonts w:ascii="Cambria Math" w:hAnsi="Cambria Math" w:cs="Times New Roman"/>
            <w:sz w:val="21"/>
            <w:szCs w:val="21"/>
          </w:rPr>
          <m:t>N·γ·(1-η·δ)</m:t>
        </m:r>
      </m:oMath>
      <w:r w:rsidRPr="000B2E9C">
        <w:rPr>
          <w:rFonts w:ascii="Times New Roman" w:hAnsi="Times New Roman" w:cs="Times New Roman"/>
          <w:sz w:val="21"/>
          <w:szCs w:val="21"/>
        </w:rPr>
        <w:t xml:space="preserve"> represents the potential passenger car market, </w:t>
      </w:r>
      <w:r w:rsidR="00DE0B93">
        <w:rPr>
          <w:rFonts w:ascii="Times New Roman" w:eastAsia="DengXian" w:hAnsi="Times New Roman" w:cs="Times New Roman" w:hint="eastAsia"/>
          <w:sz w:val="21"/>
          <w:szCs w:val="21"/>
          <w:lang w:eastAsia="zh-CN"/>
        </w:rPr>
        <w:t xml:space="preserve">which is </w:t>
      </w:r>
      <w:r w:rsidRPr="000B2E9C">
        <w:rPr>
          <w:rFonts w:ascii="Times New Roman" w:hAnsi="Times New Roman" w:cs="Times New Roman"/>
          <w:sz w:val="21"/>
          <w:szCs w:val="21"/>
        </w:rPr>
        <w:t xml:space="preserve">negatively affected by the </w:t>
      </w:r>
      <w:r w:rsidR="00ED1A43">
        <w:rPr>
          <w:rFonts w:ascii="Times New Roman" w:eastAsia="DengXian" w:hAnsi="Times New Roman" w:cs="Times New Roman" w:hint="eastAsia"/>
          <w:sz w:val="21"/>
          <w:szCs w:val="21"/>
          <w:lang w:eastAsia="zh-CN"/>
        </w:rPr>
        <w:t>ratio</w:t>
      </w:r>
      <w:r w:rsidRPr="000B2E9C">
        <w:rPr>
          <w:rFonts w:ascii="Times New Roman" w:hAnsi="Times New Roman" w:cs="Times New Roman"/>
          <w:sz w:val="21"/>
          <w:szCs w:val="21"/>
        </w:rPr>
        <w:t xml:space="preserve"> of average annual</w:t>
      </w:r>
      <w:r w:rsidR="00ED1A43">
        <w:rPr>
          <w:rFonts w:ascii="Times New Roman" w:eastAsia="DengXian" w:hAnsi="Times New Roman" w:cs="Times New Roman" w:hint="eastAsia"/>
          <w:sz w:val="21"/>
          <w:szCs w:val="21"/>
          <w:lang w:eastAsia="zh-CN"/>
        </w:rPr>
        <w:t xml:space="preserve"> household</w:t>
      </w:r>
      <w:r w:rsidRPr="000B2E9C">
        <w:rPr>
          <w:rFonts w:ascii="Times New Roman" w:hAnsi="Times New Roman" w:cs="Times New Roman"/>
          <w:sz w:val="21"/>
          <w:szCs w:val="21"/>
        </w:rPr>
        <w:t xml:space="preserve"> income </w:t>
      </w:r>
      <m:oMath>
        <m:acc>
          <m:accPr>
            <m:chr m:val="̅"/>
            <m:ctrlPr>
              <w:rPr>
                <w:rFonts w:ascii="Cambria Math" w:hAnsi="Cambria Math" w:cs="Times New Roman"/>
                <w:i/>
                <w:iCs/>
                <w:sz w:val="21"/>
                <w:szCs w:val="21"/>
              </w:rPr>
            </m:ctrlPr>
          </m:accPr>
          <m:e>
            <m:r>
              <w:rPr>
                <w:rFonts w:ascii="Cambria Math" w:hAnsi="Cambria Math" w:cs="Times New Roman"/>
                <w:sz w:val="21"/>
                <w:szCs w:val="21"/>
              </w:rPr>
              <m:t>I</m:t>
            </m:r>
          </m:e>
        </m:acc>
      </m:oMath>
      <w:r w:rsidRPr="000B2E9C">
        <w:rPr>
          <w:rFonts w:ascii="Times New Roman" w:hAnsi="Times New Roman" w:cs="Times New Roman"/>
          <w:sz w:val="21"/>
          <w:szCs w:val="21"/>
        </w:rPr>
        <w:t xml:space="preserve"> </w:t>
      </w:r>
      <w:r w:rsidR="00ED1A43">
        <w:rPr>
          <w:rFonts w:ascii="Times New Roman" w:eastAsia="DengXian" w:hAnsi="Times New Roman" w:cs="Times New Roman" w:hint="eastAsia"/>
          <w:sz w:val="21"/>
          <w:szCs w:val="21"/>
          <w:lang w:eastAsia="zh-CN"/>
        </w:rPr>
        <w:t>to</w:t>
      </w:r>
      <w:r w:rsidRPr="000B2E9C">
        <w:rPr>
          <w:rFonts w:ascii="Times New Roman" w:hAnsi="Times New Roman" w:cs="Times New Roman"/>
          <w:sz w:val="21"/>
          <w:szCs w:val="21"/>
        </w:rPr>
        <w:t xml:space="preserve"> average </w:t>
      </w:r>
      <w:r w:rsidR="00D904B8">
        <w:rPr>
          <w:rFonts w:ascii="Times New Roman" w:eastAsia="DengXian" w:hAnsi="Times New Roman" w:cs="Times New Roman" w:hint="eastAsia"/>
          <w:sz w:val="21"/>
          <w:szCs w:val="21"/>
          <w:lang w:eastAsia="zh-CN"/>
        </w:rPr>
        <w:t xml:space="preserve">vehicle </w:t>
      </w:r>
      <w:r w:rsidRPr="000B2E9C">
        <w:rPr>
          <w:rFonts w:ascii="Times New Roman" w:hAnsi="Times New Roman" w:cs="Times New Roman"/>
          <w:sz w:val="21"/>
          <w:szCs w:val="21"/>
        </w:rPr>
        <w:t xml:space="preserve">purchase price </w:t>
      </w:r>
      <m:oMath>
        <m:acc>
          <m:accPr>
            <m:chr m:val="̅"/>
            <m:ctrlPr>
              <w:rPr>
                <w:rFonts w:ascii="Cambria Math" w:hAnsi="Cambria Math" w:cs="Times New Roman"/>
                <w:i/>
                <w:iCs/>
                <w:sz w:val="21"/>
                <w:szCs w:val="21"/>
              </w:rPr>
            </m:ctrlPr>
          </m:accPr>
          <m:e>
            <m:r>
              <w:rPr>
                <w:rFonts w:ascii="Cambria Math" w:hAnsi="Cambria Math" w:cs="Times New Roman"/>
                <w:sz w:val="21"/>
                <w:szCs w:val="21"/>
              </w:rPr>
              <m:t>P</m:t>
            </m:r>
          </m:e>
        </m:acc>
      </m:oMath>
      <w:r w:rsidRPr="000B2E9C">
        <w:rPr>
          <w:rFonts w:ascii="Times New Roman" w:hAnsi="Times New Roman" w:cs="Times New Roman"/>
          <w:sz w:val="21"/>
          <w:szCs w:val="21"/>
        </w:rPr>
        <w:t xml:space="preserve">. </w:t>
      </w:r>
      <m:oMath>
        <m:r>
          <w:rPr>
            <w:rFonts w:ascii="Cambria Math" w:hAnsi="Cambria Math" w:cs="Times New Roman"/>
            <w:sz w:val="21"/>
            <w:szCs w:val="21"/>
          </w:rPr>
          <m:t>N</m:t>
        </m:r>
      </m:oMath>
      <w:r w:rsidRPr="000B2E9C">
        <w:rPr>
          <w:rFonts w:ascii="Times New Roman" w:hAnsi="Times New Roman" w:cs="Times New Roman"/>
          <w:sz w:val="21"/>
          <w:szCs w:val="21"/>
        </w:rPr>
        <w:t xml:space="preserve"> is the number of households in Japan, </w:t>
      </w:r>
      <m:oMath>
        <m:r>
          <w:rPr>
            <w:rFonts w:ascii="Cambria Math" w:hAnsi="Cambria Math" w:cs="Times New Roman"/>
            <w:sz w:val="21"/>
            <w:szCs w:val="21"/>
          </w:rPr>
          <m:t>η</m:t>
        </m:r>
      </m:oMath>
      <w:r w:rsidRPr="000B2E9C">
        <w:rPr>
          <w:rFonts w:ascii="Times New Roman" w:hAnsi="Times New Roman" w:cs="Times New Roman"/>
          <w:sz w:val="21"/>
          <w:szCs w:val="21"/>
        </w:rPr>
        <w:t xml:space="preserve"> is the </w:t>
      </w:r>
      <w:r w:rsidR="002C1201" w:rsidRPr="000B2E9C">
        <w:rPr>
          <w:rFonts w:ascii="Times New Roman" w:hAnsi="Times New Roman" w:cs="Times New Roman"/>
          <w:sz w:val="21"/>
          <w:szCs w:val="21"/>
        </w:rPr>
        <w:t xml:space="preserve">car-sharing membership </w:t>
      </w:r>
      <w:r w:rsidRPr="000B2E9C">
        <w:rPr>
          <w:rFonts w:ascii="Times New Roman" w:hAnsi="Times New Roman" w:cs="Times New Roman"/>
          <w:sz w:val="21"/>
          <w:szCs w:val="21"/>
        </w:rPr>
        <w:t xml:space="preserve">rate, and </w:t>
      </w:r>
      <m:oMath>
        <m:r>
          <w:rPr>
            <w:rFonts w:ascii="Cambria Math" w:hAnsi="Cambria Math" w:cs="Times New Roman"/>
            <w:sz w:val="21"/>
            <w:szCs w:val="21"/>
          </w:rPr>
          <m:t>δ</m:t>
        </m:r>
      </m:oMath>
      <w:r w:rsidRPr="000B2E9C">
        <w:rPr>
          <w:rFonts w:ascii="Times New Roman" w:hAnsi="Times New Roman" w:cs="Times New Roman"/>
          <w:sz w:val="21"/>
          <w:szCs w:val="21"/>
        </w:rPr>
        <w:t xml:space="preserve"> is the </w:t>
      </w:r>
      <w:r w:rsidR="00FC44A6">
        <w:rPr>
          <w:rFonts w:ascii="Times New Roman" w:eastAsia="DengXian" w:hAnsi="Times New Roman" w:cs="Times New Roman" w:hint="eastAsia"/>
          <w:sz w:val="21"/>
          <w:szCs w:val="21"/>
          <w:lang w:eastAsia="zh-CN"/>
        </w:rPr>
        <w:t>reduction</w:t>
      </w:r>
      <w:r w:rsidRPr="000B2E9C">
        <w:rPr>
          <w:rFonts w:ascii="Times New Roman" w:hAnsi="Times New Roman" w:cs="Times New Roman"/>
          <w:sz w:val="21"/>
          <w:szCs w:val="21"/>
        </w:rPr>
        <w:t xml:space="preserve"> rate </w:t>
      </w:r>
      <w:r w:rsidR="00F1110A">
        <w:rPr>
          <w:rFonts w:ascii="Times New Roman" w:eastAsia="DengXian" w:hAnsi="Times New Roman" w:cs="Times New Roman" w:hint="eastAsia"/>
          <w:sz w:val="21"/>
          <w:szCs w:val="21"/>
          <w:lang w:eastAsia="zh-CN"/>
        </w:rPr>
        <w:t>in</w:t>
      </w:r>
      <w:r w:rsidRPr="000B2E9C">
        <w:rPr>
          <w:rFonts w:ascii="Times New Roman" w:hAnsi="Times New Roman" w:cs="Times New Roman"/>
          <w:sz w:val="21"/>
          <w:szCs w:val="21"/>
        </w:rPr>
        <w:t xml:space="preserve"> car ownership </w:t>
      </w:r>
      <w:r w:rsidR="00F1110A">
        <w:rPr>
          <w:rFonts w:ascii="Times New Roman" w:eastAsia="DengXian" w:hAnsi="Times New Roman" w:cs="Times New Roman" w:hint="eastAsia"/>
          <w:sz w:val="21"/>
          <w:szCs w:val="21"/>
          <w:lang w:eastAsia="zh-CN"/>
        </w:rPr>
        <w:t>due to</w:t>
      </w:r>
      <w:r w:rsidRPr="000B2E9C">
        <w:rPr>
          <w:rFonts w:ascii="Times New Roman" w:hAnsi="Times New Roman" w:cs="Times New Roman"/>
          <w:sz w:val="21"/>
          <w:szCs w:val="21"/>
        </w:rPr>
        <w:t xml:space="preserve"> car sharing</w:t>
      </w:r>
      <w:r w:rsidR="00346651">
        <w:rPr>
          <w:rFonts w:ascii="Times New Roman" w:eastAsia="DengXian" w:hAnsi="Times New Roman" w:cs="Times New Roman" w:hint="eastAsia"/>
          <w:sz w:val="21"/>
          <w:szCs w:val="21"/>
          <w:lang w:eastAsia="zh-CN"/>
        </w:rPr>
        <w:t xml:space="preserve">. This equation is </w:t>
      </w:r>
      <w:r w:rsidR="00DC22AB">
        <w:rPr>
          <w:rFonts w:ascii="Times New Roman" w:eastAsia="DengXian" w:hAnsi="Times New Roman" w:cs="Times New Roman" w:hint="eastAsia"/>
          <w:sz w:val="21"/>
          <w:szCs w:val="21"/>
          <w:lang w:eastAsia="zh-CN"/>
        </w:rPr>
        <w:t>adapted</w:t>
      </w:r>
      <w:r w:rsidR="00346651">
        <w:rPr>
          <w:rFonts w:ascii="Times New Roman" w:eastAsia="DengXian" w:hAnsi="Times New Roman" w:cs="Times New Roman" w:hint="eastAsia"/>
          <w:sz w:val="21"/>
          <w:szCs w:val="21"/>
          <w:lang w:eastAsia="zh-CN"/>
        </w:rPr>
        <w:t xml:space="preserve"> from the study</w:t>
      </w:r>
      <w:r w:rsidR="00B53079">
        <w:rPr>
          <w:rFonts w:ascii="Times New Roman" w:eastAsia="DengXian" w:hAnsi="Times New Roman" w:cs="Times New Roman" w:hint="eastAsia"/>
          <w:sz w:val="21"/>
          <w:szCs w:val="21"/>
          <w:lang w:eastAsia="zh-CN"/>
        </w:rPr>
        <w:t xml:space="preserve"> by Nakamura et al. </w:t>
      </w:r>
      <w:r w:rsidR="0068752F" w:rsidRPr="006164C0">
        <w:rPr>
          <w:rFonts w:ascii="Times New Roman" w:eastAsia="SimSun" w:hAnsi="Times New Roman" w:cs="Times New Roman"/>
          <w:sz w:val="21"/>
          <w:szCs w:val="21"/>
          <w:lang w:eastAsia="zh-CN"/>
        </w:rPr>
        <w:fldChar w:fldCharType="begin"/>
      </w:r>
      <w:r w:rsidR="00C10F47">
        <w:rPr>
          <w:rFonts w:ascii="Times New Roman" w:eastAsia="SimSun" w:hAnsi="Times New Roman" w:cs="Times New Roman"/>
          <w:sz w:val="21"/>
          <w:szCs w:val="21"/>
          <w:lang w:eastAsia="zh-CN"/>
        </w:rPr>
        <w:instrText xml:space="preserve"> ADDIN EN.CITE &lt;EndNote&gt;&lt;Cite&gt;&lt;Author&gt;Nakamura&lt;/Author&gt;&lt;Year&gt;2012&lt;/Year&gt;&lt;RecNum&gt;183&lt;/RecNum&gt;&lt;DisplayText&gt;&lt;style face="superscript"&gt;28&lt;/style&gt;&lt;/DisplayText&gt;&lt;record&gt;&lt;rec-number&gt;183&lt;/rec-number&gt;&lt;foreign-keys&gt;&lt;key app="EN" db-id="200xxs0psrtaz4eze9pp5vvrdraszefpsp0w" timestamp="1706795427"&gt;183&lt;/key&gt;&lt;/foreign-keys&gt;&lt;ref-type name="Journal Article"&gt;17&lt;/ref-type&gt;&lt;contributors&gt;&lt;authors&gt;&lt;author&gt;Nakamura, Kazuki&lt;/author&gt;&lt;author&gt;Kato, Hirokazu&lt;/author&gt;&lt;author&gt;Hayashi, Yoshitsugu&lt;/author&gt;&lt;/authors&gt;&lt;/contributors&gt;&lt;titles&gt;&lt;title&gt;Forecast of Motorization Progress Considering Railway Improvement Timing In Asian Developing Mega-Cities&lt;/title&gt;&lt;secondary-title&gt;Journal of Japan Society of Civil Engineers, Ser. D3 (Infrastructure Planning and Management)&lt;/secondary-title&gt;&lt;/titles&gt;&lt;periodical&gt;&lt;full-title&gt;Journal of Japan Society of Civil Engineers, Ser. D3 (Infrastructure Planning and Management)&lt;/full-title&gt;&lt;/periodical&gt;&lt;pages&gt;I_823-I_830&lt;/pages&gt;&lt;volume&gt;68&lt;/volume&gt;&lt;number&gt;5&lt;/number&gt;&lt;dates&gt;&lt;year&gt;2012&lt;/year&gt;&lt;/dates&gt;&lt;urls&gt;&lt;/urls&gt;&lt;electronic-resource-num&gt;10.2208/jscejipm.68.I_823&lt;/electronic-resource-num&gt;&lt;/record&gt;&lt;/Cite&gt;&lt;/EndNote&gt;</w:instrText>
      </w:r>
      <w:r w:rsidR="0068752F" w:rsidRPr="006164C0">
        <w:rPr>
          <w:rFonts w:ascii="Times New Roman" w:eastAsia="SimSun" w:hAnsi="Times New Roman" w:cs="Times New Roman"/>
          <w:sz w:val="21"/>
          <w:szCs w:val="21"/>
          <w:lang w:eastAsia="zh-CN"/>
        </w:rPr>
        <w:fldChar w:fldCharType="separate"/>
      </w:r>
      <w:r w:rsidR="00C10F47" w:rsidRPr="00C10F47">
        <w:rPr>
          <w:rFonts w:ascii="Times New Roman" w:eastAsia="SimSun" w:hAnsi="Times New Roman" w:cs="Times New Roman"/>
          <w:noProof/>
          <w:sz w:val="21"/>
          <w:szCs w:val="21"/>
          <w:vertAlign w:val="superscript"/>
          <w:lang w:eastAsia="zh-CN"/>
        </w:rPr>
        <w:t>28</w:t>
      </w:r>
      <w:r w:rsidR="0068752F" w:rsidRPr="006164C0">
        <w:rPr>
          <w:rFonts w:ascii="Times New Roman" w:eastAsia="SimSun" w:hAnsi="Times New Roman" w:cs="Times New Roman"/>
          <w:sz w:val="21"/>
          <w:szCs w:val="21"/>
          <w:lang w:eastAsia="zh-CN"/>
        </w:rPr>
        <w:fldChar w:fldCharType="end"/>
      </w:r>
      <w:r w:rsidR="002B5FC2">
        <w:rPr>
          <w:rFonts w:ascii="Times New Roman" w:eastAsia="DengXian" w:hAnsi="Times New Roman" w:cs="Times New Roman" w:hint="eastAsia"/>
          <w:sz w:val="21"/>
          <w:szCs w:val="21"/>
          <w:lang w:eastAsia="zh-CN"/>
        </w:rPr>
        <w:t>,</w:t>
      </w:r>
      <w:r w:rsidR="0000250C">
        <w:rPr>
          <w:rFonts w:ascii="Times New Roman" w:eastAsia="DengXian" w:hAnsi="Times New Roman" w:cs="Times New Roman" w:hint="eastAsia"/>
          <w:sz w:val="21"/>
          <w:szCs w:val="21"/>
          <w:lang w:eastAsia="zh-CN"/>
        </w:rPr>
        <w:t xml:space="preserve"> </w:t>
      </w:r>
      <w:r w:rsidR="002B5FC2">
        <w:rPr>
          <w:rFonts w:ascii="Times New Roman" w:eastAsia="DengXian" w:hAnsi="Times New Roman" w:cs="Times New Roman" w:hint="eastAsia"/>
          <w:sz w:val="21"/>
          <w:szCs w:val="21"/>
          <w:lang w:eastAsia="zh-CN"/>
        </w:rPr>
        <w:t xml:space="preserve">with modifications to incorporate </w:t>
      </w:r>
      <w:r w:rsidR="0000250C">
        <w:rPr>
          <w:rFonts w:ascii="Times New Roman" w:eastAsia="DengXian" w:hAnsi="Times New Roman" w:cs="Times New Roman" w:hint="eastAsia"/>
          <w:sz w:val="21"/>
          <w:szCs w:val="21"/>
          <w:lang w:eastAsia="zh-CN"/>
        </w:rPr>
        <w:t xml:space="preserve">the </w:t>
      </w:r>
      <w:r w:rsidR="0000250C">
        <w:rPr>
          <w:rFonts w:ascii="Times New Roman" w:eastAsia="DengXian" w:hAnsi="Times New Roman" w:cs="Times New Roman"/>
          <w:sz w:val="21"/>
          <w:szCs w:val="21"/>
          <w:lang w:eastAsia="zh-CN"/>
        </w:rPr>
        <w:t>substitut</w:t>
      </w:r>
      <w:r w:rsidR="003B0776">
        <w:rPr>
          <w:rFonts w:ascii="Times New Roman" w:eastAsia="DengXian" w:hAnsi="Times New Roman" w:cs="Times New Roman" w:hint="eastAsia"/>
          <w:sz w:val="21"/>
          <w:szCs w:val="21"/>
          <w:lang w:eastAsia="zh-CN"/>
        </w:rPr>
        <w:t>ion</w:t>
      </w:r>
      <w:r w:rsidR="0000250C">
        <w:rPr>
          <w:rFonts w:ascii="Times New Roman" w:eastAsia="DengXian" w:hAnsi="Times New Roman" w:cs="Times New Roman" w:hint="eastAsia"/>
          <w:sz w:val="21"/>
          <w:szCs w:val="21"/>
          <w:lang w:eastAsia="zh-CN"/>
        </w:rPr>
        <w:t xml:space="preserve"> effect of car-sharing </w:t>
      </w:r>
      <w:r w:rsidR="0068752F">
        <w:rPr>
          <w:rFonts w:ascii="Times New Roman" w:eastAsia="DengXian" w:hAnsi="Times New Roman" w:cs="Times New Roman" w:hint="eastAsia"/>
          <w:sz w:val="21"/>
          <w:szCs w:val="21"/>
          <w:lang w:eastAsia="zh-CN"/>
        </w:rPr>
        <w:t>on passenger car ownership</w:t>
      </w:r>
      <w:r w:rsidR="003B0776">
        <w:rPr>
          <w:rFonts w:ascii="Times New Roman" w:eastAsia="DengXian" w:hAnsi="Times New Roman" w:cs="Times New Roman" w:hint="eastAsia"/>
          <w:sz w:val="21"/>
          <w:szCs w:val="21"/>
          <w:lang w:eastAsia="zh-CN"/>
        </w:rPr>
        <w:t>,</w:t>
      </w:r>
      <w:r w:rsidR="00B53079">
        <w:rPr>
          <w:rFonts w:ascii="Times New Roman" w:eastAsia="DengXian" w:hAnsi="Times New Roman" w:cs="Times New Roman" w:hint="eastAsia"/>
          <w:sz w:val="21"/>
          <w:szCs w:val="21"/>
          <w:lang w:eastAsia="zh-CN"/>
        </w:rPr>
        <w:t xml:space="preserve"> </w:t>
      </w:r>
      <w:r w:rsidR="003B0776">
        <w:rPr>
          <w:rFonts w:ascii="Times New Roman" w:eastAsia="DengXian" w:hAnsi="Times New Roman" w:cs="Times New Roman" w:hint="eastAsia"/>
          <w:sz w:val="21"/>
          <w:szCs w:val="21"/>
          <w:lang w:eastAsia="zh-CN"/>
        </w:rPr>
        <w:t>based on findings from</w:t>
      </w:r>
      <w:r w:rsidR="00B53079">
        <w:rPr>
          <w:rFonts w:ascii="Times New Roman" w:eastAsia="DengXian" w:hAnsi="Times New Roman" w:cs="Times New Roman" w:hint="eastAsia"/>
          <w:sz w:val="21"/>
          <w:szCs w:val="21"/>
          <w:lang w:eastAsia="zh-CN"/>
        </w:rPr>
        <w:t xml:space="preserve"> </w:t>
      </w:r>
      <w:r w:rsidR="003B0776">
        <w:rPr>
          <w:rFonts w:ascii="Times New Roman" w:eastAsia="DengXian" w:hAnsi="Times New Roman" w:cs="Times New Roman" w:hint="eastAsia"/>
          <w:sz w:val="21"/>
          <w:szCs w:val="21"/>
          <w:lang w:eastAsia="zh-CN"/>
        </w:rPr>
        <w:t>a</w:t>
      </w:r>
      <w:r w:rsidR="00B53079">
        <w:rPr>
          <w:rFonts w:ascii="Times New Roman" w:eastAsia="DengXian" w:hAnsi="Times New Roman" w:cs="Times New Roman" w:hint="eastAsia"/>
          <w:sz w:val="21"/>
          <w:szCs w:val="21"/>
          <w:lang w:eastAsia="zh-CN"/>
        </w:rPr>
        <w:t xml:space="preserve"> </w:t>
      </w:r>
      <w:r w:rsidR="00FE7350">
        <w:rPr>
          <w:rFonts w:ascii="Times New Roman" w:eastAsia="DengXian" w:hAnsi="Times New Roman" w:cs="Times New Roman" w:hint="eastAsia"/>
          <w:sz w:val="21"/>
          <w:szCs w:val="21"/>
          <w:lang w:eastAsia="zh-CN"/>
        </w:rPr>
        <w:t xml:space="preserve">report </w:t>
      </w:r>
      <w:r w:rsidR="003059E6" w:rsidRPr="003059E6">
        <w:rPr>
          <w:rFonts w:ascii="Times New Roman" w:eastAsia="DengXian" w:hAnsi="Times New Roman" w:cs="Times New Roman"/>
          <w:sz w:val="21"/>
          <w:szCs w:val="21"/>
          <w:lang w:eastAsia="zh-CN"/>
        </w:rPr>
        <w:t>on the environmental load reduction due to car-sharing</w:t>
      </w:r>
      <w:r w:rsidR="003059E6" w:rsidRPr="003059E6">
        <w:rPr>
          <w:rFonts w:ascii="Times New Roman" w:eastAsia="DengXian" w:hAnsi="Times New Roman" w:cs="Times New Roman" w:hint="eastAsia"/>
          <w:sz w:val="21"/>
          <w:szCs w:val="21"/>
          <w:lang w:eastAsia="zh-CN"/>
        </w:rPr>
        <w:t xml:space="preserve"> </w:t>
      </w:r>
      <w:r w:rsidR="00FE7350">
        <w:rPr>
          <w:rFonts w:ascii="Times New Roman" w:eastAsia="DengXian" w:hAnsi="Times New Roman" w:cs="Times New Roman" w:hint="eastAsia"/>
          <w:sz w:val="21"/>
          <w:szCs w:val="21"/>
          <w:lang w:eastAsia="zh-CN"/>
        </w:rPr>
        <w:t xml:space="preserve">by </w:t>
      </w:r>
      <w:r w:rsidR="00EE3E6D">
        <w:rPr>
          <w:rFonts w:ascii="Times New Roman" w:eastAsia="DengXian" w:hAnsi="Times New Roman" w:cs="Times New Roman" w:hint="eastAsia"/>
          <w:sz w:val="21"/>
          <w:szCs w:val="21"/>
          <w:lang w:eastAsia="zh-CN"/>
        </w:rPr>
        <w:t xml:space="preserve">the </w:t>
      </w:r>
      <w:r w:rsidR="00D300F8" w:rsidRPr="00D300F8">
        <w:rPr>
          <w:rFonts w:ascii="Times New Roman" w:eastAsia="DengXian" w:hAnsi="Times New Roman" w:cs="Times New Roman"/>
          <w:sz w:val="21"/>
          <w:szCs w:val="21"/>
          <w:lang w:eastAsia="zh-CN"/>
        </w:rPr>
        <w:t>Foundation for Promoting Personal Mobility and Ecological Transportation</w:t>
      </w:r>
      <w:r w:rsidRPr="000B2E9C">
        <w:rPr>
          <w:rFonts w:ascii="Times New Roman" w:hAnsi="Times New Roman" w:cs="Times New Roman"/>
          <w:sz w:val="21"/>
          <w:szCs w:val="21"/>
        </w:rPr>
        <w:fldChar w:fldCharType="begin"/>
      </w:r>
      <w:r w:rsidR="00C10F47">
        <w:rPr>
          <w:rFonts w:ascii="Times New Roman" w:hAnsi="Times New Roman" w:cs="Times New Roman"/>
          <w:sz w:val="21"/>
          <w:szCs w:val="21"/>
        </w:rPr>
        <w:instrText xml:space="preserve"> ADDIN EN.CITE &lt;EndNote&gt;&lt;Cite&gt;&lt;Author&gt;ECOMO&lt;/Author&gt;&lt;Year&gt;2013&lt;/Year&gt;&lt;RecNum&gt;214&lt;/RecNum&gt;&lt;DisplayText&gt;&lt;style face="superscript"&gt;29&lt;/style&gt;&lt;/DisplayText&gt;&lt;record&gt;&lt;rec-number&gt;214&lt;/rec-number&gt;&lt;foreign-keys&gt;&lt;key app="EN" db-id="200xxs0psrtaz4eze9pp5vvrdraszefpsp0w" timestamp="1708573166"&gt;214&lt;/key&gt;&lt;/foreign-keys&gt;&lt;ref-type name="Report"&gt;27&lt;/ref-type&gt;&lt;contributors&gt;&lt;authors&gt;&lt;author&gt;ECOMO&lt;/author&gt;&lt;/authors&gt;&lt;/contributors&gt;&lt;titles&gt;&lt;title&gt;Verification of the eco effects brought about from car-sharing&lt;/title&gt;&lt;/titles&gt;&lt;dates&gt;&lt;year&gt;2013&lt;/year&gt;&lt;/dates&gt;&lt;pub-location&gt;Tokyo&lt;/pub-location&gt;&lt;publisher&gt;Foundation for Promoting Personal Mobility and Ecological Transportation (ECOMO)&lt;/publisher&gt;&lt;urls&gt;&lt;/urls&gt;&lt;/record&gt;&lt;/Cite&gt;&lt;/EndNote&gt;</w:instrText>
      </w:r>
      <w:r w:rsidRPr="000B2E9C">
        <w:rPr>
          <w:rFonts w:ascii="Times New Roman" w:hAnsi="Times New Roman" w:cs="Times New Roman"/>
          <w:sz w:val="21"/>
          <w:szCs w:val="21"/>
        </w:rPr>
        <w:fldChar w:fldCharType="separate"/>
      </w:r>
      <w:r w:rsidR="00C10F47" w:rsidRPr="00C10F47">
        <w:rPr>
          <w:rFonts w:ascii="Times New Roman" w:hAnsi="Times New Roman" w:cs="Times New Roman"/>
          <w:noProof/>
          <w:sz w:val="21"/>
          <w:szCs w:val="21"/>
          <w:vertAlign w:val="superscript"/>
        </w:rPr>
        <w:t>29</w:t>
      </w:r>
      <w:r w:rsidRPr="000B2E9C">
        <w:rPr>
          <w:rFonts w:ascii="Times New Roman" w:hAnsi="Times New Roman" w:cs="Times New Roman"/>
          <w:sz w:val="21"/>
          <w:szCs w:val="21"/>
        </w:rPr>
        <w:fldChar w:fldCharType="end"/>
      </w:r>
      <w:r w:rsidRPr="000B2E9C">
        <w:rPr>
          <w:rFonts w:ascii="Times New Roman" w:hAnsi="Times New Roman" w:cs="Times New Roman"/>
          <w:sz w:val="21"/>
          <w:szCs w:val="21"/>
        </w:rPr>
        <w:t>.</w:t>
      </w:r>
      <w:r w:rsidR="002B4A80">
        <w:rPr>
          <w:rFonts w:ascii="Times New Roman" w:eastAsia="DengXian" w:hAnsi="Times New Roman" w:cs="Times New Roman" w:hint="eastAsia"/>
          <w:sz w:val="21"/>
          <w:szCs w:val="21"/>
          <w:lang w:eastAsia="zh-CN"/>
        </w:rPr>
        <w:t xml:space="preserve"> </w:t>
      </w:r>
      <w:r w:rsidR="00003C8C" w:rsidRPr="00003C8C">
        <w:rPr>
          <w:rFonts w:ascii="Times New Roman" w:hAnsi="Times New Roman" w:cs="Times New Roman"/>
          <w:sz w:val="21"/>
          <w:szCs w:val="21"/>
        </w:rPr>
        <w:t xml:space="preserve">The parameter </w:t>
      </w:r>
      <m:oMath>
        <m:r>
          <w:rPr>
            <w:rFonts w:ascii="Cambria Math" w:hAnsi="Cambria Math" w:cs="Times New Roman"/>
            <w:sz w:val="21"/>
            <w:szCs w:val="21"/>
          </w:rPr>
          <m:t>γ</m:t>
        </m:r>
      </m:oMath>
      <w:r w:rsidR="00003C8C" w:rsidRPr="00003C8C">
        <w:rPr>
          <w:rFonts w:ascii="Times New Roman" w:hAnsi="Times New Roman" w:cs="Times New Roman"/>
          <w:sz w:val="21"/>
          <w:szCs w:val="21"/>
        </w:rPr>
        <w:t xml:space="preserve"> </w:t>
      </w:r>
      <w:r w:rsidR="00003C8C" w:rsidRPr="00003C8C">
        <w:rPr>
          <w:rFonts w:ascii="Times New Roman" w:eastAsia="SimSun" w:hAnsi="Times New Roman" w:cs="Times New Roman"/>
          <w:sz w:val="21"/>
          <w:szCs w:val="21"/>
          <w:lang w:eastAsia="zh-CN"/>
        </w:rPr>
        <w:t>is</w:t>
      </w:r>
      <w:r w:rsidR="00003C8C" w:rsidRPr="00003C8C">
        <w:rPr>
          <w:rFonts w:ascii="Times New Roman" w:hAnsi="Times New Roman" w:cs="Times New Roman"/>
          <w:sz w:val="21"/>
          <w:szCs w:val="21"/>
        </w:rPr>
        <w:t xml:space="preserve"> estimated as </w:t>
      </w:r>
      <w:r w:rsidR="00003C8C" w:rsidRPr="00003C8C">
        <w:rPr>
          <w:rFonts w:ascii="Times New Roman" w:eastAsia="SimSun" w:hAnsi="Times New Roman" w:cs="Times New Roman"/>
          <w:sz w:val="21"/>
          <w:szCs w:val="21"/>
          <w:lang w:eastAsia="zh-CN"/>
        </w:rPr>
        <w:t>shown below:</w:t>
      </w:r>
    </w:p>
    <w:p w14:paraId="110B7734" w14:textId="46A2E167" w:rsidR="006164C0" w:rsidRPr="006164C0" w:rsidRDefault="006164C0" w:rsidP="006164C0">
      <w:pPr>
        <w:pStyle w:val="Equation"/>
        <w:spacing w:after="200" w:line="240" w:lineRule="auto"/>
        <w:jc w:val="right"/>
        <w:rPr>
          <w:color w:val="auto"/>
        </w:rPr>
      </w:pPr>
      <w:r w:rsidRPr="006164C0">
        <w:rPr>
          <w:color w:val="auto"/>
        </w:rPr>
        <w:tab/>
      </w:r>
      <m:oMath>
        <m:r>
          <w:rPr>
            <w:rFonts w:ascii="Cambria Math" w:hAnsi="Cambria Math"/>
            <w:color w:val="auto"/>
          </w:rPr>
          <m:t>γ</m:t>
        </m:r>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ε</m:t>
            </m:r>
          </m:e>
          <m:sub>
            <m:r>
              <w:rPr>
                <w:rFonts w:ascii="Cambria Math" w:hAnsi="Cambria Math"/>
                <w:color w:val="auto"/>
              </w:rPr>
              <m:t>1</m:t>
            </m:r>
          </m:sub>
        </m:sSub>
        <m:r>
          <w:rPr>
            <w:rFonts w:ascii="Cambria Math" w:hAnsi="Cambria Math"/>
            <w:color w:val="auto"/>
          </w:rPr>
          <m:t>·</m:t>
        </m:r>
        <m:sSup>
          <m:sSupPr>
            <m:ctrlPr>
              <w:rPr>
                <w:rFonts w:ascii="Cambria Math" w:hAnsi="Cambria Math"/>
                <w:i/>
                <w:color w:val="auto"/>
              </w:rPr>
            </m:ctrlPr>
          </m:sSupPr>
          <m:e>
            <m:r>
              <w:rPr>
                <w:rFonts w:ascii="Cambria Math" w:hAnsi="Cambria Math"/>
                <w:color w:val="auto"/>
              </w:rPr>
              <m:t>r</m:t>
            </m:r>
          </m:e>
          <m:sup>
            <m:sSub>
              <m:sSubPr>
                <m:ctrlPr>
                  <w:rPr>
                    <w:rFonts w:ascii="Cambria Math" w:hAnsi="Cambria Math"/>
                    <w:i/>
                    <w:color w:val="auto"/>
                  </w:rPr>
                </m:ctrlPr>
              </m:sSubPr>
              <m:e>
                <m:r>
                  <w:rPr>
                    <w:rFonts w:ascii="Cambria Math" w:hAnsi="Cambria Math"/>
                    <w:color w:val="auto"/>
                  </w:rPr>
                  <m:t>ε</m:t>
                </m:r>
              </m:e>
              <m:sub>
                <m:r>
                  <w:rPr>
                    <w:rFonts w:ascii="Cambria Math" w:hAnsi="Cambria Math"/>
                    <w:color w:val="auto"/>
                  </w:rPr>
                  <m:t>2</m:t>
                </m:r>
              </m:sub>
            </m:sSub>
          </m:sup>
        </m:sSup>
        <m:r>
          <w:rPr>
            <w:rFonts w:ascii="Cambria Math" w:hAnsi="Cambria Math"/>
            <w:color w:val="auto"/>
          </w:rPr>
          <m:t>·</m:t>
        </m:r>
        <m:sSup>
          <m:sSupPr>
            <m:ctrlPr>
              <w:rPr>
                <w:rFonts w:ascii="Cambria Math" w:hAnsi="Cambria Math"/>
                <w:i/>
                <w:color w:val="auto"/>
              </w:rPr>
            </m:ctrlPr>
          </m:sSupPr>
          <m:e>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DID</m:t>
                </m:r>
              </m:sub>
            </m:sSub>
          </m:e>
          <m: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ε</m:t>
                </m:r>
              </m:e>
              <m:sub>
                <m:r>
                  <w:rPr>
                    <w:rFonts w:ascii="Cambria Math" w:hAnsi="Cambria Math"/>
                    <w:color w:val="auto"/>
                  </w:rPr>
                  <m:t>3</m:t>
                </m:r>
              </m:sub>
            </m:sSub>
          </m:sup>
        </m:sSup>
      </m:oMath>
      <w:r w:rsidRPr="006164C0">
        <w:rPr>
          <w:color w:val="auto"/>
        </w:rPr>
        <w:t xml:space="preserve">                     (Equation </w:t>
      </w:r>
      <w:r w:rsidR="00364E76">
        <w:rPr>
          <w:rFonts w:hint="eastAsia"/>
          <w:color w:val="auto"/>
        </w:rPr>
        <w:t>5</w:t>
      </w:r>
      <w:r w:rsidRPr="006164C0">
        <w:rPr>
          <w:color w:val="auto"/>
        </w:rPr>
        <w:t>)</w:t>
      </w:r>
    </w:p>
    <w:p w14:paraId="6B6A6D61" w14:textId="143ACCDA" w:rsidR="00F17F49" w:rsidRPr="006164C0" w:rsidRDefault="006164C0" w:rsidP="006164C0">
      <w:pPr>
        <w:rPr>
          <w:rFonts w:ascii="Times New Roman" w:eastAsia="SimSun" w:hAnsi="Times New Roman" w:cs="Times New Roman"/>
          <w:sz w:val="21"/>
          <w:szCs w:val="21"/>
          <w:lang w:eastAsia="zh-CN"/>
        </w:rPr>
      </w:pPr>
      <w:r w:rsidRPr="006164C0">
        <w:rPr>
          <w:rFonts w:ascii="Times New Roman" w:eastAsia="SimSun" w:hAnsi="Times New Roman" w:cs="Times New Roman"/>
          <w:sz w:val="21"/>
          <w:szCs w:val="21"/>
          <w:lang w:eastAsia="zh-CN"/>
        </w:rPr>
        <w:t xml:space="preserve">where </w:t>
      </w:r>
      <m:oMath>
        <m:r>
          <w:rPr>
            <w:rFonts w:ascii="Cambria Math" w:hAnsi="Cambria Math" w:cs="Times New Roman"/>
            <w:sz w:val="21"/>
            <w:szCs w:val="21"/>
          </w:rPr>
          <m:t>r</m:t>
        </m:r>
      </m:oMath>
      <w:r w:rsidRPr="006164C0">
        <w:rPr>
          <w:rFonts w:ascii="Times New Roman" w:eastAsia="SimSun" w:hAnsi="Times New Roman" w:cs="Times New Roman"/>
          <w:sz w:val="21"/>
          <w:szCs w:val="21"/>
          <w:lang w:eastAsia="zh-CN"/>
        </w:rPr>
        <w:t xml:space="preserve"> is the length of paved road</w:t>
      </w:r>
      <w:r w:rsidR="00833CEE">
        <w:rPr>
          <w:rFonts w:ascii="Times New Roman" w:eastAsia="SimSun" w:hAnsi="Times New Roman" w:cs="Times New Roman" w:hint="eastAsia"/>
          <w:sz w:val="21"/>
          <w:szCs w:val="21"/>
          <w:lang w:eastAsia="zh-CN"/>
        </w:rPr>
        <w:t>s</w:t>
      </w:r>
      <w:r w:rsidRPr="006164C0">
        <w:rPr>
          <w:rFonts w:ascii="Times New Roman" w:eastAsia="SimSun" w:hAnsi="Times New Roman" w:cs="Times New Roman"/>
          <w:sz w:val="21"/>
          <w:szCs w:val="21"/>
          <w:lang w:eastAsia="zh-CN"/>
        </w:rPr>
        <w:t xml:space="preserve"> per capita</w:t>
      </w:r>
      <w:r w:rsidR="003C3C4F">
        <w:rPr>
          <w:rFonts w:ascii="Times New Roman" w:eastAsia="SimSun" w:hAnsi="Times New Roman" w:cs="Times New Roman" w:hint="eastAsia"/>
          <w:sz w:val="21"/>
          <w:szCs w:val="21"/>
          <w:lang w:eastAsia="zh-CN"/>
        </w:rPr>
        <w:t xml:space="preserve"> and</w:t>
      </w:r>
      <w:r w:rsidRPr="006164C0">
        <w:rPr>
          <w:rFonts w:ascii="Times New Roman" w:eastAsia="SimSun" w:hAnsi="Times New Roman" w:cs="Times New Roman"/>
          <w:sz w:val="21"/>
          <w:szCs w:val="21"/>
          <w:lang w:eastAsia="zh-CN"/>
        </w:rPr>
        <w:t xml:space="preserve"> </w:t>
      </w:r>
      <m:oMath>
        <m:sSub>
          <m:sSubPr>
            <m:ctrlPr>
              <w:rPr>
                <w:rFonts w:ascii="Cambria Math" w:eastAsia="DengXian" w:hAnsi="Cambria Math" w:cs="Times New Roman"/>
                <w:i/>
                <w:iCs/>
                <w:snapToGrid w:val="0"/>
                <w:sz w:val="21"/>
                <w:szCs w:val="21"/>
                <w:lang w:eastAsia="zh-CN"/>
              </w:rPr>
            </m:ctrlPr>
          </m:sSubPr>
          <m:e>
            <m:r>
              <w:rPr>
                <w:rFonts w:ascii="Cambria Math" w:hAnsi="Cambria Math" w:cs="Times New Roman"/>
                <w:sz w:val="21"/>
                <w:szCs w:val="21"/>
              </w:rPr>
              <m:t>D</m:t>
            </m:r>
          </m:e>
          <m:sub>
            <m:r>
              <w:rPr>
                <w:rFonts w:ascii="Cambria Math" w:hAnsi="Cambria Math" w:cs="Times New Roman"/>
                <w:sz w:val="21"/>
                <w:szCs w:val="21"/>
              </w:rPr>
              <m:t>DID</m:t>
            </m:r>
          </m:sub>
        </m:sSub>
      </m:oMath>
      <w:r w:rsidRPr="006164C0">
        <w:rPr>
          <w:rFonts w:ascii="Times New Roman" w:eastAsia="SimSun" w:hAnsi="Times New Roman" w:cs="Times New Roman"/>
          <w:sz w:val="21"/>
          <w:szCs w:val="21"/>
          <w:lang w:eastAsia="zh-CN"/>
        </w:rPr>
        <w:t xml:space="preserve"> is the population density of densely inhabited district (DID)</w:t>
      </w:r>
      <w:r w:rsidR="00171B3C">
        <w:rPr>
          <w:rFonts w:ascii="Times New Roman" w:eastAsia="SimSun" w:hAnsi="Times New Roman" w:cs="Times New Roman" w:hint="eastAsia"/>
          <w:sz w:val="21"/>
          <w:szCs w:val="21"/>
          <w:lang w:eastAsia="zh-CN"/>
        </w:rPr>
        <w:t>.</w:t>
      </w:r>
      <w:r w:rsidRPr="006164C0">
        <w:rPr>
          <w:rFonts w:ascii="Times New Roman" w:eastAsia="SimSun" w:hAnsi="Times New Roman" w:cs="Times New Roman"/>
          <w:sz w:val="21"/>
          <w:szCs w:val="21"/>
          <w:lang w:eastAsia="zh-CN"/>
        </w:rPr>
        <w:t xml:space="preserve"> </w:t>
      </w:r>
      <w:r w:rsidR="009B3C97" w:rsidRPr="009B3C97">
        <w:rPr>
          <w:rFonts w:ascii="Times New Roman" w:hAnsi="Times New Roman" w:cs="Times New Roman"/>
          <w:sz w:val="20"/>
          <w:szCs w:val="20"/>
        </w:rPr>
        <w:t xml:space="preserve">The </w:t>
      </w:r>
      <w:r w:rsidR="003C3C4F">
        <w:rPr>
          <w:rFonts w:ascii="Times New Roman" w:eastAsia="DengXian" w:hAnsi="Times New Roman" w:cs="Times New Roman" w:hint="eastAsia"/>
          <w:sz w:val="20"/>
          <w:szCs w:val="20"/>
          <w:lang w:eastAsia="zh-CN"/>
        </w:rPr>
        <w:t>coefficients</w:t>
      </w:r>
      <w:r w:rsidR="009B3C97" w:rsidRPr="009B3C97">
        <w:rPr>
          <w:rFonts w:ascii="Times New Roman" w:hAnsi="Times New Roman" w:cs="Times New Roman"/>
          <w:sz w:val="20"/>
          <w:szCs w:val="20"/>
        </w:rPr>
        <w:t xml:space="preserve"> </w:t>
      </w:r>
      <m:oMath>
        <m:r>
          <w:rPr>
            <w:rFonts w:ascii="Cambria Math" w:hAnsi="Cambria Math" w:cs="Times New Roman"/>
            <w:sz w:val="20"/>
            <w:szCs w:val="20"/>
          </w:rPr>
          <m:t>α</m:t>
        </m:r>
      </m:oMath>
      <w:r w:rsidR="009B3C97">
        <w:rPr>
          <w:rFonts w:ascii="Times New Roman" w:eastAsia="DengXian" w:hAnsi="Times New Roman" w:cs="Times New Roman" w:hint="eastAsia"/>
          <w:sz w:val="20"/>
          <w:szCs w:val="20"/>
          <w:lang w:eastAsia="zh-CN"/>
        </w:rPr>
        <w:t>,</w:t>
      </w:r>
      <w:r w:rsidR="009B3C97" w:rsidRPr="009B3C97">
        <w:rPr>
          <w:rFonts w:ascii="Times New Roman" w:hAnsi="Times New Roman" w:cs="Times New Roman"/>
          <w:sz w:val="20"/>
          <w:szCs w:val="20"/>
        </w:rPr>
        <w:t xml:space="preserve"> </w:t>
      </w:r>
      <m:oMath>
        <m:r>
          <w:rPr>
            <w:rFonts w:ascii="Cambria Math" w:hAnsi="Cambria Math" w:cs="Times New Roman"/>
            <w:sz w:val="20"/>
            <w:szCs w:val="20"/>
          </w:rPr>
          <m:t>β</m:t>
        </m:r>
      </m:oMath>
      <w:r w:rsidR="007C7A32">
        <w:rPr>
          <w:rFonts w:ascii="Times New Roman" w:eastAsia="DengXian" w:hAnsi="Times New Roman" w:cs="Times New Roman" w:hint="eastAsia"/>
          <w:sz w:val="20"/>
          <w:szCs w:val="20"/>
          <w:lang w:eastAsia="zh-CN"/>
        </w:rPr>
        <w:t>,</w:t>
      </w:r>
      <w:r w:rsidR="009B3C97" w:rsidRPr="009B3C97">
        <w:rPr>
          <w:rFonts w:ascii="Times New Roman" w:hAnsi="Times New Roman" w:cs="Times New Roman"/>
          <w:sz w:val="20"/>
          <w:szCs w:val="20"/>
        </w:rPr>
        <w:t xml:space="preserve"> </w:t>
      </w:r>
      <m:oMath>
        <m:sSub>
          <m:sSubPr>
            <m:ctrlPr>
              <w:rPr>
                <w:rFonts w:ascii="Cambria Math" w:eastAsia="DengXian" w:hAnsi="Cambria Math" w:cs="Times New Roman"/>
                <w:iCs/>
                <w:snapToGrid w:val="0"/>
                <w:sz w:val="21"/>
                <w:szCs w:val="21"/>
                <w:lang w:eastAsia="zh-CN"/>
              </w:rPr>
            </m:ctrlPr>
          </m:sSubPr>
          <m:e>
            <m:r>
              <w:rPr>
                <w:rFonts w:ascii="Cambria Math" w:hAnsi="Cambria Math" w:cs="Times New Roman"/>
                <w:sz w:val="21"/>
                <w:szCs w:val="21"/>
              </w:rPr>
              <m:t>ε</m:t>
            </m:r>
          </m:e>
          <m:sub>
            <m:r>
              <w:rPr>
                <w:rFonts w:ascii="Cambria Math" w:hAnsi="Cambria Math" w:cs="Times New Roman"/>
                <w:sz w:val="21"/>
                <w:szCs w:val="21"/>
              </w:rPr>
              <m:t>1</m:t>
            </m:r>
          </m:sub>
        </m:sSub>
      </m:oMath>
      <w:r w:rsidRPr="006164C0">
        <w:rPr>
          <w:rFonts w:ascii="Times New Roman" w:eastAsia="SimSun" w:hAnsi="Times New Roman" w:cs="Times New Roman"/>
          <w:sz w:val="21"/>
          <w:szCs w:val="21"/>
          <w:lang w:eastAsia="zh-CN"/>
        </w:rPr>
        <w:t xml:space="preserve">, </w:t>
      </w:r>
      <m:oMath>
        <m:sSub>
          <m:sSubPr>
            <m:ctrlPr>
              <w:rPr>
                <w:rFonts w:ascii="Cambria Math" w:eastAsia="DengXian" w:hAnsi="Cambria Math" w:cs="Times New Roman"/>
                <w:i/>
                <w:iCs/>
                <w:snapToGrid w:val="0"/>
                <w:sz w:val="21"/>
                <w:szCs w:val="21"/>
                <w:lang w:eastAsia="zh-CN"/>
              </w:rPr>
            </m:ctrlPr>
          </m:sSubPr>
          <m:e>
            <m:r>
              <w:rPr>
                <w:rFonts w:ascii="Cambria Math" w:hAnsi="Cambria Math" w:cs="Times New Roman"/>
                <w:sz w:val="21"/>
                <w:szCs w:val="21"/>
              </w:rPr>
              <m:t>ε</m:t>
            </m:r>
          </m:e>
          <m:sub>
            <m:r>
              <w:rPr>
                <w:rFonts w:ascii="Cambria Math" w:hAnsi="Cambria Math" w:cs="Times New Roman"/>
                <w:sz w:val="21"/>
                <w:szCs w:val="21"/>
              </w:rPr>
              <m:t>2</m:t>
            </m:r>
          </m:sub>
        </m:sSub>
      </m:oMath>
      <w:r w:rsidR="007C7A32">
        <w:rPr>
          <w:rFonts w:ascii="Times New Roman" w:eastAsia="SimSun" w:hAnsi="Times New Roman" w:cs="Times New Roman" w:hint="eastAsia"/>
          <w:sz w:val="21"/>
          <w:szCs w:val="21"/>
          <w:lang w:eastAsia="zh-CN"/>
        </w:rPr>
        <w:t xml:space="preserve"> and</w:t>
      </w:r>
      <w:r w:rsidRPr="006164C0">
        <w:rPr>
          <w:rFonts w:ascii="Times New Roman" w:eastAsia="SimSun" w:hAnsi="Times New Roman" w:cs="Times New Roman"/>
          <w:sz w:val="21"/>
          <w:szCs w:val="21"/>
          <w:lang w:eastAsia="zh-CN"/>
        </w:rPr>
        <w:t xml:space="preserve"> </w:t>
      </w:r>
      <m:oMath>
        <m:sSub>
          <m:sSubPr>
            <m:ctrlPr>
              <w:rPr>
                <w:rFonts w:ascii="Cambria Math" w:eastAsia="DengXian" w:hAnsi="Cambria Math" w:cs="Times New Roman"/>
                <w:i/>
                <w:iCs/>
                <w:snapToGrid w:val="0"/>
                <w:sz w:val="21"/>
                <w:szCs w:val="21"/>
                <w:lang w:eastAsia="zh-CN"/>
              </w:rPr>
            </m:ctrlPr>
          </m:sSubPr>
          <m:e>
            <m:r>
              <w:rPr>
                <w:rFonts w:ascii="Cambria Math" w:hAnsi="Cambria Math" w:cs="Times New Roman"/>
                <w:sz w:val="21"/>
                <w:szCs w:val="21"/>
              </w:rPr>
              <m:t>ε</m:t>
            </m:r>
          </m:e>
          <m:sub>
            <m:r>
              <w:rPr>
                <w:rFonts w:ascii="Cambria Math" w:hAnsi="Cambria Math" w:cs="Times New Roman"/>
                <w:sz w:val="21"/>
                <w:szCs w:val="21"/>
              </w:rPr>
              <m:t>3</m:t>
            </m:r>
          </m:sub>
        </m:sSub>
      </m:oMath>
      <w:r w:rsidRPr="006164C0">
        <w:rPr>
          <w:rFonts w:ascii="Times New Roman" w:eastAsia="SimSun" w:hAnsi="Times New Roman" w:cs="Times New Roman"/>
          <w:sz w:val="21"/>
          <w:szCs w:val="21"/>
          <w:lang w:eastAsia="zh-CN"/>
        </w:rPr>
        <w:t xml:space="preserve"> are parameters </w:t>
      </w:r>
      <w:r w:rsidR="004C46FC">
        <w:rPr>
          <w:rFonts w:ascii="Times New Roman" w:eastAsia="SimSun" w:hAnsi="Times New Roman" w:cs="Times New Roman"/>
          <w:sz w:val="21"/>
          <w:szCs w:val="21"/>
          <w:lang w:eastAsia="zh-CN"/>
        </w:rPr>
        <w:t>calibrated</w:t>
      </w:r>
      <w:r w:rsidR="004C46FC">
        <w:rPr>
          <w:rFonts w:ascii="Times New Roman" w:eastAsia="SimSun" w:hAnsi="Times New Roman" w:cs="Times New Roman" w:hint="eastAsia"/>
          <w:sz w:val="21"/>
          <w:szCs w:val="21"/>
          <w:lang w:eastAsia="zh-CN"/>
        </w:rPr>
        <w:t xml:space="preserve"> for the Japanese context, </w:t>
      </w:r>
      <w:r w:rsidRPr="006164C0">
        <w:rPr>
          <w:rFonts w:ascii="Times New Roman" w:eastAsia="SimSun" w:hAnsi="Times New Roman" w:cs="Times New Roman"/>
          <w:sz w:val="21"/>
          <w:szCs w:val="21"/>
          <w:lang w:eastAsia="zh-CN"/>
        </w:rPr>
        <w:t xml:space="preserve">as </w:t>
      </w:r>
      <w:r w:rsidR="007C7A32">
        <w:rPr>
          <w:rFonts w:ascii="Times New Roman" w:eastAsia="SimSun" w:hAnsi="Times New Roman" w:cs="Times New Roman" w:hint="eastAsia"/>
          <w:sz w:val="21"/>
          <w:szCs w:val="21"/>
          <w:lang w:eastAsia="zh-CN"/>
        </w:rPr>
        <w:t>summarized in Table S</w:t>
      </w:r>
      <w:r w:rsidR="008A6C4F">
        <w:rPr>
          <w:rFonts w:ascii="Times New Roman" w:eastAsiaTheme="minorEastAsia" w:hAnsi="Times New Roman" w:cs="Times New Roman" w:hint="eastAsia"/>
          <w:sz w:val="21"/>
          <w:szCs w:val="21"/>
        </w:rPr>
        <w:t>4</w:t>
      </w:r>
      <w:r w:rsidRPr="006164C0">
        <w:rPr>
          <w:rFonts w:ascii="Times New Roman" w:eastAsia="SimSun" w:hAnsi="Times New Roman" w:cs="Times New Roman"/>
          <w:sz w:val="21"/>
          <w:szCs w:val="21"/>
          <w:lang w:eastAsia="zh-CN"/>
        </w:rPr>
        <w:t>.</w:t>
      </w:r>
    </w:p>
    <w:p w14:paraId="208A6607" w14:textId="77777777" w:rsidR="00F17F49" w:rsidRPr="00003C8C" w:rsidRDefault="00F17F49" w:rsidP="00966C32">
      <w:pPr>
        <w:rPr>
          <w:rFonts w:ascii="Times New Roman" w:eastAsia="DengXian" w:hAnsi="Times New Roman" w:cs="Times New Roman"/>
          <w:sz w:val="22"/>
          <w:szCs w:val="22"/>
          <w:lang w:eastAsia="zh-CN"/>
        </w:rPr>
      </w:pPr>
    </w:p>
    <w:p w14:paraId="33F0C6EF" w14:textId="21FAB2F6" w:rsidR="003573A7" w:rsidRPr="003573A7" w:rsidRDefault="00AE530A" w:rsidP="008838E0">
      <w:pPr>
        <w:jc w:val="center"/>
        <w:rPr>
          <w:rFonts w:ascii="Times New Roman" w:eastAsia="DengXian" w:hAnsi="Times New Roman" w:cs="Times New Roman"/>
          <w:b/>
          <w:bCs/>
          <w:sz w:val="21"/>
          <w:szCs w:val="21"/>
          <w:lang w:eastAsia="zh-CN"/>
        </w:rPr>
      </w:pPr>
      <w:bookmarkStart w:id="20" w:name="_Toc199865710"/>
      <w:bookmarkStart w:id="21" w:name="_Toc208439365"/>
      <w:r w:rsidRPr="003573A7">
        <w:rPr>
          <w:rFonts w:ascii="Times New Roman" w:hAnsi="Times New Roman" w:cs="Times New Roman"/>
          <w:b/>
          <w:bCs/>
          <w:sz w:val="21"/>
          <w:szCs w:val="21"/>
        </w:rPr>
        <w:t xml:space="preserve">Table </w:t>
      </w:r>
      <w:r w:rsidRPr="003573A7">
        <w:rPr>
          <w:rFonts w:ascii="Times New Roman" w:eastAsia="DengXian" w:hAnsi="Times New Roman" w:cs="Times New Roman"/>
          <w:b/>
          <w:bCs/>
          <w:sz w:val="21"/>
          <w:szCs w:val="21"/>
          <w:lang w:eastAsia="zh-CN"/>
        </w:rPr>
        <w:t>S</w:t>
      </w:r>
      <w:r w:rsidRPr="003573A7">
        <w:rPr>
          <w:rFonts w:ascii="Times New Roman" w:hAnsi="Times New Roman" w:cs="Times New Roman"/>
          <w:b/>
          <w:bCs/>
          <w:sz w:val="21"/>
          <w:szCs w:val="21"/>
        </w:rPr>
        <w:fldChar w:fldCharType="begin"/>
      </w:r>
      <w:r w:rsidRPr="003573A7">
        <w:rPr>
          <w:rFonts w:ascii="Times New Roman" w:hAnsi="Times New Roman" w:cs="Times New Roman"/>
          <w:b/>
          <w:bCs/>
          <w:sz w:val="21"/>
          <w:szCs w:val="21"/>
        </w:rPr>
        <w:instrText xml:space="preserve"> SEQ </w:instrText>
      </w:r>
      <w:r w:rsidRPr="003573A7">
        <w:rPr>
          <w:rFonts w:ascii="Times New Roman" w:hAnsi="Times New Roman" w:cs="Times New Roman"/>
          <w:b/>
          <w:bCs/>
          <w:sz w:val="21"/>
          <w:szCs w:val="21"/>
        </w:rPr>
        <w:instrText>表格</w:instrText>
      </w:r>
      <w:r w:rsidRPr="003573A7">
        <w:rPr>
          <w:rFonts w:ascii="Times New Roman" w:hAnsi="Times New Roman" w:cs="Times New Roman"/>
          <w:b/>
          <w:bCs/>
          <w:sz w:val="21"/>
          <w:szCs w:val="21"/>
        </w:rPr>
        <w:instrText xml:space="preserve"> \* ARABIC </w:instrText>
      </w:r>
      <w:r w:rsidRPr="003573A7">
        <w:rPr>
          <w:rFonts w:ascii="Times New Roman" w:hAnsi="Times New Roman" w:cs="Times New Roman"/>
          <w:b/>
          <w:bCs/>
          <w:sz w:val="21"/>
          <w:szCs w:val="21"/>
        </w:rPr>
        <w:fldChar w:fldCharType="separate"/>
      </w:r>
      <w:r w:rsidR="009864BC">
        <w:rPr>
          <w:rFonts w:ascii="Times New Roman" w:hAnsi="Times New Roman" w:cs="Times New Roman"/>
          <w:b/>
          <w:bCs/>
          <w:noProof/>
          <w:sz w:val="21"/>
          <w:szCs w:val="21"/>
        </w:rPr>
        <w:t>4</w:t>
      </w:r>
      <w:r w:rsidRPr="003573A7">
        <w:rPr>
          <w:rFonts w:ascii="Times New Roman" w:hAnsi="Times New Roman" w:cs="Times New Roman"/>
          <w:b/>
          <w:bCs/>
          <w:sz w:val="21"/>
          <w:szCs w:val="21"/>
        </w:rPr>
        <w:fldChar w:fldCharType="end"/>
      </w:r>
      <w:r w:rsidRPr="003573A7">
        <w:rPr>
          <w:rFonts w:ascii="Times New Roman" w:hAnsi="Times New Roman" w:cs="Times New Roman"/>
          <w:b/>
          <w:bCs/>
          <w:sz w:val="21"/>
          <w:szCs w:val="21"/>
        </w:rPr>
        <w:t xml:space="preserve">. </w:t>
      </w:r>
      <w:r w:rsidR="00FF7282">
        <w:rPr>
          <w:rFonts w:ascii="Times New Roman" w:eastAsia="DengXian" w:hAnsi="Times New Roman" w:cs="Times New Roman" w:hint="eastAsia"/>
          <w:b/>
          <w:bCs/>
          <w:sz w:val="21"/>
          <w:szCs w:val="21"/>
          <w:lang w:eastAsia="zh-CN"/>
        </w:rPr>
        <w:t>Coefficients calibrated</w:t>
      </w:r>
      <w:r w:rsidR="005F6F98">
        <w:rPr>
          <w:rFonts w:ascii="Times New Roman" w:eastAsia="DengXian" w:hAnsi="Times New Roman" w:cs="Times New Roman" w:hint="eastAsia"/>
          <w:b/>
          <w:bCs/>
          <w:sz w:val="21"/>
          <w:szCs w:val="21"/>
          <w:lang w:eastAsia="zh-CN"/>
        </w:rPr>
        <w:t xml:space="preserve"> for estimating passenger car ownership</w:t>
      </w:r>
      <w:bookmarkEnd w:id="20"/>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87"/>
        <w:gridCol w:w="926"/>
        <w:gridCol w:w="1097"/>
        <w:gridCol w:w="1182"/>
        <w:gridCol w:w="1097"/>
        <w:gridCol w:w="1097"/>
        <w:gridCol w:w="1208"/>
      </w:tblGrid>
      <w:tr w:rsidR="00AB1CAF" w:rsidRPr="00691053" w14:paraId="0606FDB8" w14:textId="673FF29C" w:rsidTr="00B50A09">
        <w:trPr>
          <w:trHeight w:val="345"/>
          <w:jc w:val="center"/>
        </w:trPr>
        <w:tc>
          <w:tcPr>
            <w:tcW w:w="1110" w:type="pct"/>
          </w:tcPr>
          <w:p w14:paraId="503C74CA" w14:textId="316006D8" w:rsidR="00AB1CAF" w:rsidRPr="00691053" w:rsidRDefault="00D51A7F" w:rsidP="00030ECE">
            <w:pPr>
              <w:jc w:val="center"/>
              <w:rPr>
                <w:rFonts w:ascii="Times New Roman" w:eastAsia="DengXian" w:hAnsi="Times New Roman" w:cs="Times New Roman"/>
                <w:b/>
                <w:bCs/>
                <w:sz w:val="21"/>
                <w:szCs w:val="21"/>
                <w:lang w:eastAsia="zh-CN"/>
              </w:rPr>
            </w:pPr>
            <w:r>
              <w:rPr>
                <w:rFonts w:ascii="Times New Roman" w:eastAsia="DengXian" w:hAnsi="Times New Roman" w:cs="Times New Roman" w:hint="eastAsia"/>
                <w:b/>
                <w:bCs/>
                <w:sz w:val="21"/>
                <w:szCs w:val="21"/>
                <w:lang w:eastAsia="zh-CN"/>
              </w:rPr>
              <w:t>Coefficients</w:t>
            </w:r>
          </w:p>
        </w:tc>
        <w:tc>
          <w:tcPr>
            <w:tcW w:w="545" w:type="pct"/>
            <w:noWrap/>
            <w:vAlign w:val="center"/>
            <w:hideMark/>
          </w:tcPr>
          <w:p w14:paraId="13B239CC" w14:textId="68A36B6C" w:rsidR="00AB1CAF" w:rsidRPr="00691053" w:rsidRDefault="00AB1CAF" w:rsidP="00030ECE">
            <w:pPr>
              <w:jc w:val="center"/>
              <w:rPr>
                <w:rFonts w:ascii="Times New Roman" w:hAnsi="Times New Roman" w:cs="Times New Roman"/>
                <w:color w:val="000000"/>
                <w:sz w:val="21"/>
                <w:szCs w:val="21"/>
              </w:rPr>
            </w:pPr>
            <m:oMathPara>
              <m:oMath>
                <m:r>
                  <w:rPr>
                    <w:rFonts w:ascii="Cambria Math" w:hAnsi="Cambria Math" w:cs="Times New Roman"/>
                    <w:sz w:val="21"/>
                    <w:szCs w:val="21"/>
                  </w:rPr>
                  <m:t>α</m:t>
                </m:r>
              </m:oMath>
            </m:oMathPara>
          </w:p>
        </w:tc>
        <w:tc>
          <w:tcPr>
            <w:tcW w:w="646" w:type="pct"/>
            <w:noWrap/>
            <w:vAlign w:val="center"/>
            <w:hideMark/>
          </w:tcPr>
          <w:p w14:paraId="376008BF" w14:textId="6A594EE1" w:rsidR="00AB1CAF" w:rsidRPr="00691053" w:rsidRDefault="00AB1CAF" w:rsidP="00030ECE">
            <w:pPr>
              <w:jc w:val="center"/>
              <w:rPr>
                <w:rFonts w:ascii="Times New Roman" w:hAnsi="Times New Roman" w:cs="Times New Roman"/>
                <w:color w:val="000000"/>
                <w:sz w:val="21"/>
                <w:szCs w:val="21"/>
              </w:rPr>
            </w:pPr>
            <m:oMathPara>
              <m:oMath>
                <m:r>
                  <w:rPr>
                    <w:rFonts w:ascii="Cambria Math" w:hAnsi="Cambria Math" w:cs="Times New Roman"/>
                    <w:sz w:val="21"/>
                    <w:szCs w:val="21"/>
                  </w:rPr>
                  <m:t>β</m:t>
                </m:r>
              </m:oMath>
            </m:oMathPara>
          </w:p>
        </w:tc>
        <w:tc>
          <w:tcPr>
            <w:tcW w:w="696" w:type="pct"/>
            <w:noWrap/>
            <w:vAlign w:val="center"/>
            <w:hideMark/>
          </w:tcPr>
          <w:p w14:paraId="7A3C65B8" w14:textId="6BF6E4C5" w:rsidR="00AB1CAF" w:rsidRPr="00691053" w:rsidRDefault="00000000" w:rsidP="00030ECE">
            <w:pPr>
              <w:jc w:val="center"/>
              <w:rPr>
                <w:rFonts w:ascii="Times New Roman" w:hAnsi="Times New Roman" w:cs="Times New Roman"/>
                <w:color w:val="000000"/>
                <w:sz w:val="21"/>
                <w:szCs w:val="21"/>
              </w:rPr>
            </w:pPr>
            <m:oMathPara>
              <m:oMath>
                <m:sSub>
                  <m:sSubPr>
                    <m:ctrlPr>
                      <w:rPr>
                        <w:rFonts w:ascii="Cambria Math" w:eastAsia="DengXian" w:hAnsi="Cambria Math" w:cs="Times New Roman"/>
                        <w:iCs/>
                        <w:snapToGrid w:val="0"/>
                        <w:sz w:val="21"/>
                        <w:szCs w:val="21"/>
                        <w:lang w:eastAsia="zh-CN"/>
                      </w:rPr>
                    </m:ctrlPr>
                  </m:sSubPr>
                  <m:e>
                    <m:r>
                      <w:rPr>
                        <w:rFonts w:ascii="Cambria Math" w:hAnsi="Cambria Math" w:cs="Times New Roman"/>
                        <w:sz w:val="21"/>
                        <w:szCs w:val="21"/>
                      </w:rPr>
                      <m:t>ε</m:t>
                    </m:r>
                  </m:e>
                  <m:sub>
                    <m:r>
                      <w:rPr>
                        <w:rFonts w:ascii="Cambria Math" w:hAnsi="Cambria Math" w:cs="Times New Roman"/>
                        <w:sz w:val="21"/>
                        <w:szCs w:val="21"/>
                      </w:rPr>
                      <m:t>1</m:t>
                    </m:r>
                  </m:sub>
                </m:sSub>
              </m:oMath>
            </m:oMathPara>
          </w:p>
        </w:tc>
        <w:tc>
          <w:tcPr>
            <w:tcW w:w="646" w:type="pct"/>
            <w:noWrap/>
            <w:vAlign w:val="center"/>
            <w:hideMark/>
          </w:tcPr>
          <w:p w14:paraId="7A1737FB" w14:textId="3E99AB01" w:rsidR="00AB1CAF" w:rsidRPr="00691053" w:rsidRDefault="00000000" w:rsidP="00030ECE">
            <w:pPr>
              <w:jc w:val="center"/>
              <w:rPr>
                <w:rFonts w:ascii="Times New Roman" w:hAnsi="Times New Roman" w:cs="Times New Roman"/>
                <w:color w:val="000000"/>
                <w:sz w:val="21"/>
                <w:szCs w:val="21"/>
              </w:rPr>
            </w:pPr>
            <m:oMathPara>
              <m:oMath>
                <m:sSub>
                  <m:sSubPr>
                    <m:ctrlPr>
                      <w:rPr>
                        <w:rFonts w:ascii="Cambria Math" w:eastAsia="DengXian" w:hAnsi="Cambria Math" w:cs="Times New Roman"/>
                        <w:i/>
                        <w:iCs/>
                        <w:snapToGrid w:val="0"/>
                        <w:sz w:val="21"/>
                        <w:szCs w:val="21"/>
                        <w:lang w:eastAsia="zh-CN"/>
                      </w:rPr>
                    </m:ctrlPr>
                  </m:sSubPr>
                  <m:e>
                    <m:r>
                      <w:rPr>
                        <w:rFonts w:ascii="Cambria Math" w:hAnsi="Cambria Math" w:cs="Times New Roman"/>
                        <w:sz w:val="21"/>
                        <w:szCs w:val="21"/>
                      </w:rPr>
                      <m:t>ε</m:t>
                    </m:r>
                  </m:e>
                  <m:sub>
                    <m:r>
                      <w:rPr>
                        <w:rFonts w:ascii="Cambria Math" w:hAnsi="Cambria Math" w:cs="Times New Roman"/>
                        <w:sz w:val="21"/>
                        <w:szCs w:val="21"/>
                      </w:rPr>
                      <m:t>2</m:t>
                    </m:r>
                  </m:sub>
                </m:sSub>
              </m:oMath>
            </m:oMathPara>
          </w:p>
        </w:tc>
        <w:tc>
          <w:tcPr>
            <w:tcW w:w="646" w:type="pct"/>
            <w:noWrap/>
            <w:vAlign w:val="center"/>
            <w:hideMark/>
          </w:tcPr>
          <w:p w14:paraId="67CB8700" w14:textId="634EA760" w:rsidR="00AB1CAF" w:rsidRPr="00691053" w:rsidRDefault="00000000" w:rsidP="00030ECE">
            <w:pPr>
              <w:jc w:val="center"/>
              <w:rPr>
                <w:rFonts w:ascii="Times New Roman" w:hAnsi="Times New Roman" w:cs="Times New Roman"/>
                <w:color w:val="000000"/>
                <w:sz w:val="21"/>
                <w:szCs w:val="21"/>
              </w:rPr>
            </w:pPr>
            <m:oMathPara>
              <m:oMath>
                <m:sSub>
                  <m:sSubPr>
                    <m:ctrlPr>
                      <w:rPr>
                        <w:rFonts w:ascii="Cambria Math" w:eastAsia="DengXian" w:hAnsi="Cambria Math" w:cs="Times New Roman"/>
                        <w:i/>
                        <w:iCs/>
                        <w:snapToGrid w:val="0"/>
                        <w:sz w:val="21"/>
                        <w:szCs w:val="21"/>
                        <w:lang w:eastAsia="zh-CN"/>
                      </w:rPr>
                    </m:ctrlPr>
                  </m:sSubPr>
                  <m:e>
                    <m:r>
                      <w:rPr>
                        <w:rFonts w:ascii="Cambria Math" w:hAnsi="Cambria Math" w:cs="Times New Roman"/>
                        <w:sz w:val="21"/>
                        <w:szCs w:val="21"/>
                      </w:rPr>
                      <m:t>ε</m:t>
                    </m:r>
                  </m:e>
                  <m:sub>
                    <m:r>
                      <w:rPr>
                        <w:rFonts w:ascii="Cambria Math" w:hAnsi="Cambria Math" w:cs="Times New Roman"/>
                        <w:sz w:val="21"/>
                        <w:szCs w:val="21"/>
                      </w:rPr>
                      <m:t>3</m:t>
                    </m:r>
                  </m:sub>
                </m:sSub>
              </m:oMath>
            </m:oMathPara>
          </w:p>
        </w:tc>
        <w:tc>
          <w:tcPr>
            <w:tcW w:w="713" w:type="pct"/>
          </w:tcPr>
          <w:p w14:paraId="1B4B3E37" w14:textId="49DCE7B5" w:rsidR="00AB1CAF" w:rsidRPr="00691053" w:rsidRDefault="00AB1CAF" w:rsidP="00030ECE">
            <w:pPr>
              <w:jc w:val="center"/>
              <w:rPr>
                <w:rFonts w:ascii="Times New Roman" w:hAnsi="Times New Roman" w:cs="Times New Roman"/>
                <w:iCs/>
                <w:snapToGrid w:val="0"/>
                <w:sz w:val="21"/>
                <w:szCs w:val="21"/>
                <w:lang w:eastAsia="zh-CN"/>
              </w:rPr>
            </w:pPr>
            <m:oMathPara>
              <m:oMath>
                <m:r>
                  <w:rPr>
                    <w:rFonts w:ascii="Cambria Math" w:hAnsi="Cambria Math" w:cs="Times New Roman"/>
                    <w:sz w:val="21"/>
                    <w:szCs w:val="21"/>
                  </w:rPr>
                  <m:t>δ</m:t>
                </m:r>
              </m:oMath>
            </m:oMathPara>
          </w:p>
        </w:tc>
      </w:tr>
      <w:tr w:rsidR="00AB1CAF" w:rsidRPr="00691053" w14:paraId="330A4486" w14:textId="3A63BFB5" w:rsidTr="00B50A09">
        <w:trPr>
          <w:trHeight w:val="345"/>
          <w:jc w:val="center"/>
        </w:trPr>
        <w:tc>
          <w:tcPr>
            <w:tcW w:w="1110" w:type="pct"/>
          </w:tcPr>
          <w:p w14:paraId="2D5C79CC" w14:textId="23A37681" w:rsidR="00AB1CAF" w:rsidRPr="00691053" w:rsidRDefault="00AB1CAF" w:rsidP="00030ECE">
            <w:pPr>
              <w:jc w:val="center"/>
              <w:rPr>
                <w:rFonts w:ascii="Times New Roman" w:eastAsia="DengXian" w:hAnsi="Times New Roman" w:cs="Times New Roman"/>
                <w:b/>
                <w:bCs/>
                <w:color w:val="000000"/>
                <w:sz w:val="21"/>
                <w:szCs w:val="21"/>
                <w:lang w:eastAsia="zh-CN"/>
              </w:rPr>
            </w:pPr>
            <w:r w:rsidRPr="00691053">
              <w:rPr>
                <w:rFonts w:ascii="Times New Roman" w:eastAsia="DengXian" w:hAnsi="Times New Roman" w:cs="Times New Roman"/>
                <w:b/>
                <w:bCs/>
                <w:color w:val="000000"/>
                <w:sz w:val="21"/>
                <w:szCs w:val="21"/>
                <w:lang w:eastAsia="zh-CN"/>
              </w:rPr>
              <w:t>Value</w:t>
            </w:r>
          </w:p>
        </w:tc>
        <w:tc>
          <w:tcPr>
            <w:tcW w:w="545" w:type="pct"/>
            <w:noWrap/>
            <w:vAlign w:val="center"/>
            <w:hideMark/>
          </w:tcPr>
          <w:p w14:paraId="554032D7" w14:textId="3D52D259" w:rsidR="00AB1CAF" w:rsidRPr="00691053" w:rsidRDefault="00AB1CAF" w:rsidP="00F23004">
            <w:pPr>
              <w:jc w:val="center"/>
              <w:rPr>
                <w:rFonts w:ascii="Times New Roman" w:hAnsi="Times New Roman" w:cs="Times New Roman"/>
                <w:color w:val="000000"/>
                <w:sz w:val="21"/>
                <w:szCs w:val="21"/>
              </w:rPr>
            </w:pPr>
            <w:r w:rsidRPr="00691053">
              <w:rPr>
                <w:rFonts w:ascii="Times New Roman" w:hAnsi="Times New Roman" w:cs="Times New Roman"/>
                <w:color w:val="000000"/>
                <w:sz w:val="21"/>
                <w:szCs w:val="21"/>
              </w:rPr>
              <w:t>10.5</w:t>
            </w:r>
          </w:p>
        </w:tc>
        <w:tc>
          <w:tcPr>
            <w:tcW w:w="646" w:type="pct"/>
            <w:noWrap/>
            <w:vAlign w:val="center"/>
            <w:hideMark/>
          </w:tcPr>
          <w:p w14:paraId="1AEB4863" w14:textId="77777777" w:rsidR="00AB1CAF" w:rsidRPr="00691053" w:rsidRDefault="00AB1CAF" w:rsidP="00F23004">
            <w:pPr>
              <w:jc w:val="center"/>
              <w:rPr>
                <w:rFonts w:ascii="Times New Roman" w:hAnsi="Times New Roman" w:cs="Times New Roman"/>
                <w:color w:val="000000"/>
                <w:sz w:val="21"/>
                <w:szCs w:val="21"/>
              </w:rPr>
            </w:pPr>
            <w:r w:rsidRPr="00691053">
              <w:rPr>
                <w:rFonts w:ascii="Times New Roman" w:hAnsi="Times New Roman" w:cs="Times New Roman"/>
                <w:color w:val="000000"/>
                <w:sz w:val="21"/>
                <w:szCs w:val="21"/>
              </w:rPr>
              <w:t>0.791</w:t>
            </w:r>
          </w:p>
        </w:tc>
        <w:tc>
          <w:tcPr>
            <w:tcW w:w="696" w:type="pct"/>
            <w:noWrap/>
            <w:vAlign w:val="center"/>
            <w:hideMark/>
          </w:tcPr>
          <w:p w14:paraId="4F44AF1E" w14:textId="77777777" w:rsidR="00AB1CAF" w:rsidRPr="00691053" w:rsidRDefault="00AB1CAF" w:rsidP="00F23004">
            <w:pPr>
              <w:jc w:val="center"/>
              <w:rPr>
                <w:rFonts w:ascii="Times New Roman" w:hAnsi="Times New Roman" w:cs="Times New Roman"/>
                <w:color w:val="000000"/>
                <w:sz w:val="21"/>
                <w:szCs w:val="21"/>
              </w:rPr>
            </w:pPr>
            <w:r w:rsidRPr="00691053">
              <w:rPr>
                <w:rFonts w:ascii="Times New Roman" w:hAnsi="Times New Roman" w:cs="Times New Roman"/>
                <w:color w:val="000000"/>
                <w:sz w:val="21"/>
                <w:szCs w:val="21"/>
              </w:rPr>
              <w:t>19900</w:t>
            </w:r>
          </w:p>
        </w:tc>
        <w:tc>
          <w:tcPr>
            <w:tcW w:w="646" w:type="pct"/>
            <w:noWrap/>
            <w:vAlign w:val="center"/>
            <w:hideMark/>
          </w:tcPr>
          <w:p w14:paraId="18FEF1BC" w14:textId="77777777" w:rsidR="00AB1CAF" w:rsidRPr="00691053" w:rsidRDefault="00AB1CAF" w:rsidP="00F23004">
            <w:pPr>
              <w:jc w:val="center"/>
              <w:rPr>
                <w:rFonts w:ascii="Times New Roman" w:hAnsi="Times New Roman" w:cs="Times New Roman"/>
                <w:color w:val="000000"/>
                <w:sz w:val="21"/>
                <w:szCs w:val="21"/>
              </w:rPr>
            </w:pPr>
            <w:r w:rsidRPr="00691053">
              <w:rPr>
                <w:rFonts w:ascii="Times New Roman" w:hAnsi="Times New Roman" w:cs="Times New Roman"/>
                <w:color w:val="000000"/>
                <w:sz w:val="21"/>
                <w:szCs w:val="21"/>
              </w:rPr>
              <w:t>0.299</w:t>
            </w:r>
          </w:p>
        </w:tc>
        <w:tc>
          <w:tcPr>
            <w:tcW w:w="646" w:type="pct"/>
            <w:noWrap/>
            <w:vAlign w:val="center"/>
            <w:hideMark/>
          </w:tcPr>
          <w:p w14:paraId="078C78FD" w14:textId="77777777" w:rsidR="00AB1CAF" w:rsidRPr="00691053" w:rsidRDefault="00AB1CAF" w:rsidP="00F23004">
            <w:pPr>
              <w:jc w:val="center"/>
              <w:rPr>
                <w:rFonts w:ascii="Times New Roman" w:hAnsi="Times New Roman" w:cs="Times New Roman"/>
                <w:color w:val="000000"/>
                <w:sz w:val="21"/>
                <w:szCs w:val="21"/>
              </w:rPr>
            </w:pPr>
            <w:r w:rsidRPr="00691053">
              <w:rPr>
                <w:rFonts w:ascii="Times New Roman" w:hAnsi="Times New Roman" w:cs="Times New Roman"/>
                <w:color w:val="000000"/>
                <w:sz w:val="21"/>
                <w:szCs w:val="21"/>
              </w:rPr>
              <w:t>0.487</w:t>
            </w:r>
          </w:p>
        </w:tc>
        <w:tc>
          <w:tcPr>
            <w:tcW w:w="713" w:type="pct"/>
          </w:tcPr>
          <w:p w14:paraId="1FBE6237" w14:textId="780E2CB4" w:rsidR="00AB1CAF" w:rsidRPr="00691053" w:rsidRDefault="007F2784" w:rsidP="00F23004">
            <w:pPr>
              <w:jc w:val="center"/>
              <w:rPr>
                <w:rFonts w:ascii="Times New Roman" w:hAnsi="Times New Roman" w:cs="Times New Roman"/>
                <w:color w:val="000000"/>
                <w:sz w:val="21"/>
                <w:szCs w:val="21"/>
              </w:rPr>
            </w:pPr>
            <w:r w:rsidRPr="000B2E9C">
              <w:rPr>
                <w:rFonts w:ascii="Times New Roman" w:hAnsi="Times New Roman" w:cs="Times New Roman"/>
                <w:sz w:val="21"/>
                <w:szCs w:val="21"/>
              </w:rPr>
              <w:t>62.2%</w:t>
            </w:r>
          </w:p>
        </w:tc>
      </w:tr>
    </w:tbl>
    <w:p w14:paraId="214D03CC" w14:textId="77777777" w:rsidR="007C6A9F" w:rsidRPr="00A02757" w:rsidRDefault="007C6A9F" w:rsidP="00A02757">
      <w:pPr>
        <w:rPr>
          <w:rFonts w:ascii="Times New Roman" w:eastAsia="DengXian" w:hAnsi="Times New Roman" w:cs="Times New Roman"/>
          <w:sz w:val="21"/>
          <w:szCs w:val="21"/>
          <w:lang w:eastAsia="zh-CN"/>
        </w:rPr>
      </w:pPr>
    </w:p>
    <w:p w14:paraId="4D9574C0" w14:textId="5A73254D" w:rsidR="00550620" w:rsidRDefault="00550620" w:rsidP="00550620">
      <w:pPr>
        <w:rPr>
          <w:rFonts w:ascii="Times New Roman" w:eastAsia="DengXian" w:hAnsi="Times New Roman" w:cs="Times New Roman"/>
          <w:sz w:val="21"/>
          <w:szCs w:val="21"/>
          <w:lang w:eastAsia="zh-CN"/>
        </w:rPr>
      </w:pPr>
      <w:r w:rsidRPr="00550620">
        <w:rPr>
          <w:rFonts w:ascii="Times New Roman" w:eastAsiaTheme="minorEastAsia" w:hAnsi="Times New Roman" w:cs="Times New Roman"/>
          <w:sz w:val="21"/>
          <w:szCs w:val="21"/>
        </w:rPr>
        <w:t>The estimation of future changes in the number of households in Japan from 2021 to 2050 is based on projections of total population and average household size published by the National Institute of Population and Social Security Research</w:t>
      </w:r>
      <w:r w:rsidR="00031BE4" w:rsidRPr="00A02757">
        <w:rPr>
          <w:rFonts w:ascii="Times New Roman" w:hAnsi="Times New Roman" w:cs="Times New Roman"/>
          <w:sz w:val="21"/>
          <w:szCs w:val="21"/>
        </w:rPr>
        <w:fldChar w:fldCharType="begin"/>
      </w:r>
      <w:r w:rsidR="00031BE4" w:rsidRPr="00A02757">
        <w:rPr>
          <w:rFonts w:ascii="Times New Roman" w:hAnsi="Times New Roman" w:cs="Times New Roman"/>
          <w:sz w:val="21"/>
          <w:szCs w:val="21"/>
        </w:rPr>
        <w:instrText xml:space="preserve"> ADDIN EN.CITE &lt;EndNote&gt;&lt;Cite&gt;&lt;Author&gt;IPSS&lt;/Author&gt;&lt;Year&gt;2023&lt;/Year&gt;&lt;RecNum&gt;210&lt;/RecNum&gt;&lt;DisplayText&gt;&lt;style face="superscript"&gt;23&lt;/style&gt;&lt;/DisplayText&gt;&lt;record&gt;&lt;rec-number&gt;210&lt;/rec-number&gt;&lt;foreign-keys&gt;&lt;key app="EN" db-id="200xxs0psrtaz4eze9pp5vvrdraszefpsp0w" timestamp="1708519227"&gt;210&lt;/key&gt;&lt;/foreign-keys&gt;&lt;ref-type name="Report"&gt;27&lt;/ref-type&gt;&lt;contributors&gt;&lt;authors&gt;&lt;author&gt;IPSS&lt;/author&gt;&lt;/authors&gt;&lt;/contributors&gt;&lt;titles&gt;&lt;title&gt;Population Projections for Japan (2021-2070)&lt;/title&gt;&lt;/titles&gt;&lt;dates&gt;&lt;year&gt;2023&lt;/year&gt;&lt;/dates&gt;&lt;pub-location&gt;Tokyo&lt;/pub-location&gt;&lt;publisher&gt;National Institute of Population and Social Security Research (IPSS)&lt;/publisher&gt;&lt;urls&gt;&lt;/urls&gt;&lt;/record&gt;&lt;/Cite&gt;&lt;/EndNote&gt;</w:instrText>
      </w:r>
      <w:r w:rsidR="00031BE4" w:rsidRPr="00A02757">
        <w:rPr>
          <w:rFonts w:ascii="Times New Roman" w:hAnsi="Times New Roman" w:cs="Times New Roman"/>
          <w:sz w:val="21"/>
          <w:szCs w:val="21"/>
        </w:rPr>
        <w:fldChar w:fldCharType="separate"/>
      </w:r>
      <w:r w:rsidR="00031BE4" w:rsidRPr="00A02757">
        <w:rPr>
          <w:rFonts w:ascii="Times New Roman" w:hAnsi="Times New Roman" w:cs="Times New Roman"/>
          <w:noProof/>
          <w:sz w:val="21"/>
          <w:szCs w:val="21"/>
          <w:vertAlign w:val="superscript"/>
        </w:rPr>
        <w:t>23</w:t>
      </w:r>
      <w:r w:rsidR="00031BE4" w:rsidRPr="00A02757">
        <w:rPr>
          <w:rFonts w:ascii="Times New Roman" w:hAnsi="Times New Roman" w:cs="Times New Roman"/>
          <w:sz w:val="21"/>
          <w:szCs w:val="21"/>
        </w:rPr>
        <w:fldChar w:fldCharType="end"/>
      </w:r>
      <w:r w:rsidRPr="00550620">
        <w:rPr>
          <w:rFonts w:ascii="Times New Roman" w:eastAsiaTheme="minorEastAsia" w:hAnsi="Times New Roman" w:cs="Times New Roman"/>
          <w:sz w:val="21"/>
          <w:szCs w:val="21"/>
        </w:rPr>
        <w:t>. The population forecast includes nine scenarios, combining three levels of birth rates and three levels of death rates (low, medium, and high).</w:t>
      </w:r>
      <w:r w:rsidR="008B757A">
        <w:rPr>
          <w:rFonts w:ascii="Times New Roman" w:eastAsia="DengXian" w:hAnsi="Times New Roman" w:cs="Times New Roman" w:hint="eastAsia"/>
          <w:sz w:val="21"/>
          <w:szCs w:val="21"/>
          <w:lang w:eastAsia="zh-CN"/>
        </w:rPr>
        <w:t xml:space="preserve"> </w:t>
      </w:r>
      <w:r w:rsidRPr="00550620">
        <w:rPr>
          <w:rFonts w:ascii="Times New Roman" w:eastAsiaTheme="minorEastAsia" w:hAnsi="Times New Roman" w:cs="Times New Roman"/>
          <w:sz w:val="21"/>
          <w:szCs w:val="21"/>
        </w:rPr>
        <w:t>As shown in Figure S5, our simulation adopts the medium-birth-rate and medium-death-rate scenario, which lies between the highest and lowest projections, with a difference of approximately 5 million people by 2050. In this medium scenario, Japan’s population is projected to decline from 126.15 million in 2020 to 104.69 million in 2050.</w:t>
      </w:r>
    </w:p>
    <w:p w14:paraId="65C1D56D" w14:textId="77777777" w:rsidR="000C4324" w:rsidRPr="00A02757" w:rsidRDefault="000C4324" w:rsidP="00A02757">
      <w:pPr>
        <w:rPr>
          <w:rFonts w:ascii="Times New Roman" w:eastAsiaTheme="minorEastAsia" w:hAnsi="Times New Roman" w:cs="Times New Roman"/>
          <w:sz w:val="21"/>
          <w:szCs w:val="21"/>
        </w:rPr>
      </w:pPr>
    </w:p>
    <w:p w14:paraId="7A12A779" w14:textId="77777777" w:rsidR="00DC16B2" w:rsidRPr="000F62FA" w:rsidRDefault="00DC16B2" w:rsidP="00DC16B2">
      <w:pPr>
        <w:jc w:val="center"/>
        <w:rPr>
          <w:rFonts w:ascii="Times New Roman" w:eastAsia="Microsoft YaHei" w:hAnsi="Times New Roman" w:cs="Times New Roman"/>
          <w:sz w:val="21"/>
          <w:szCs w:val="21"/>
          <w:lang w:eastAsia="zh-CN"/>
        </w:rPr>
      </w:pPr>
      <w:r w:rsidRPr="000F62FA">
        <w:rPr>
          <w:rFonts w:ascii="Times New Roman" w:hAnsi="Times New Roman" w:cs="Times New Roman"/>
          <w:noProof/>
        </w:rPr>
        <w:lastRenderedPageBreak/>
        <w:drawing>
          <wp:inline distT="0" distB="0" distL="0" distR="0" wp14:anchorId="10F5CB49" wp14:editId="40846A90">
            <wp:extent cx="4572000" cy="3342323"/>
            <wp:effectExtent l="0" t="0" r="0" b="0"/>
            <wp:docPr id="414080840" name="グラフ 1">
              <a:extLst xmlns:a="http://schemas.openxmlformats.org/drawingml/2006/main">
                <a:ext uri="{FF2B5EF4-FFF2-40B4-BE49-F238E27FC236}">
                  <a16:creationId xmlns:a16="http://schemas.microsoft.com/office/drawing/2014/main" id="{5153AE06-51F6-D2A3-71A3-1D5C823B4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C1EA65" w14:textId="4058149B" w:rsidR="00BC194E" w:rsidRPr="00D64CFC" w:rsidRDefault="00BC194E" w:rsidP="00BC194E">
      <w:pPr>
        <w:pStyle w:val="af"/>
        <w:jc w:val="center"/>
        <w:rPr>
          <w:rFonts w:ascii="Times New Roman" w:eastAsiaTheme="minorEastAsia" w:hAnsi="Times New Roman" w:cs="Times New Roman"/>
        </w:rPr>
      </w:pPr>
      <w:bookmarkStart w:id="22" w:name="_Toc208439471"/>
      <w:bookmarkStart w:id="23" w:name="_Hlk197635192"/>
      <w:r w:rsidRPr="000F62FA">
        <w:rPr>
          <w:rFonts w:ascii="Times New Roman" w:eastAsia="Microsoft YaHei" w:hAnsi="Times New Roman" w:cs="Times New Roman"/>
          <w:lang w:eastAsia="zh-CN"/>
        </w:rPr>
        <w:t>Figure</w:t>
      </w:r>
      <w:r w:rsidRPr="000F62FA">
        <w:rPr>
          <w:rFonts w:ascii="Times New Roman" w:hAnsi="Times New Roman" w:cs="Times New Roman"/>
        </w:rPr>
        <w:t xml:space="preserve"> </w:t>
      </w:r>
      <w:r w:rsidRPr="000F62FA">
        <w:rPr>
          <w:rFonts w:ascii="Times New Roman" w:eastAsia="DengXian" w:hAnsi="Times New Roman" w:cs="Times New Roman"/>
          <w:lang w:eastAsia="zh-CN"/>
        </w:rPr>
        <w:t>S</w:t>
      </w:r>
      <w:r w:rsidRPr="000F62FA">
        <w:rPr>
          <w:rFonts w:ascii="Times New Roman" w:hAnsi="Times New Roman" w:cs="Times New Roman"/>
        </w:rPr>
        <w:fldChar w:fldCharType="begin"/>
      </w:r>
      <w:r w:rsidRPr="000F62FA">
        <w:rPr>
          <w:rFonts w:ascii="Times New Roman" w:hAnsi="Times New Roman" w:cs="Times New Roman"/>
        </w:rPr>
        <w:instrText xml:space="preserve"> SEQ </w:instrText>
      </w:r>
      <w:r w:rsidRPr="000F62FA">
        <w:rPr>
          <w:rFonts w:ascii="Microsoft YaHei" w:eastAsia="Microsoft YaHei" w:hAnsi="Microsoft YaHei" w:cs="Microsoft YaHei" w:hint="eastAsia"/>
        </w:rPr>
        <w:instrText>图</w:instrText>
      </w:r>
      <w:r w:rsidRPr="000F62FA">
        <w:rPr>
          <w:rFonts w:hint="eastAsia"/>
        </w:rPr>
        <w:instrText>表</w:instrText>
      </w:r>
      <w:r w:rsidRPr="000F62FA">
        <w:rPr>
          <w:rFonts w:ascii="Times New Roman" w:hAnsi="Times New Roman" w:cs="Times New Roman"/>
        </w:rPr>
        <w:instrText xml:space="preserve"> \* ARABIC </w:instrText>
      </w:r>
      <w:r w:rsidRPr="000F62FA">
        <w:rPr>
          <w:rFonts w:ascii="Times New Roman" w:hAnsi="Times New Roman" w:cs="Times New Roman"/>
        </w:rPr>
        <w:fldChar w:fldCharType="separate"/>
      </w:r>
      <w:r w:rsidR="00B433BC">
        <w:rPr>
          <w:rFonts w:ascii="Times New Roman" w:hAnsi="Times New Roman" w:cs="Times New Roman"/>
          <w:noProof/>
        </w:rPr>
        <w:t>5</w:t>
      </w:r>
      <w:r w:rsidRPr="000F62FA">
        <w:rPr>
          <w:rFonts w:ascii="Times New Roman" w:hAnsi="Times New Roman" w:cs="Times New Roman"/>
        </w:rPr>
        <w:fldChar w:fldCharType="end"/>
      </w:r>
      <w:r>
        <w:rPr>
          <w:rFonts w:ascii="Times New Roman" w:hAnsi="Times New Roman" w:cs="Times New Roman"/>
        </w:rPr>
        <w:t xml:space="preserve">. </w:t>
      </w:r>
      <w:r w:rsidRPr="00BC194E">
        <w:rPr>
          <w:rFonts w:ascii="Times New Roman" w:eastAsiaTheme="minorEastAsia" w:hAnsi="Times New Roman" w:cs="Times New Roman"/>
        </w:rPr>
        <w:t>Population of Japan (1990-2019) and its prediction (2020-2070).</w:t>
      </w:r>
      <w:bookmarkEnd w:id="22"/>
    </w:p>
    <w:bookmarkEnd w:id="23"/>
    <w:p w14:paraId="42F3D868" w14:textId="77777777" w:rsidR="00BC194E" w:rsidRPr="00BC194E" w:rsidRDefault="00BC194E" w:rsidP="00DC16B2">
      <w:pPr>
        <w:rPr>
          <w:rFonts w:ascii="Times New Roman" w:eastAsia="DengXian" w:hAnsi="Times New Roman" w:cs="Times New Roman"/>
          <w:sz w:val="21"/>
          <w:szCs w:val="21"/>
          <w:lang w:eastAsia="zh-CN"/>
        </w:rPr>
      </w:pPr>
    </w:p>
    <w:p w14:paraId="2E5FDBE7" w14:textId="467174CC" w:rsidR="00DC16B2" w:rsidRPr="000F62FA" w:rsidRDefault="00DD6D9E" w:rsidP="00DC16B2">
      <w:pPr>
        <w:rPr>
          <w:rFonts w:ascii="Times New Roman" w:eastAsia="DengXian" w:hAnsi="Times New Roman" w:cs="Times New Roman"/>
          <w:sz w:val="21"/>
          <w:szCs w:val="21"/>
          <w:lang w:eastAsia="zh-CN"/>
        </w:rPr>
      </w:pPr>
      <w:r w:rsidRPr="00DD6D9E">
        <w:rPr>
          <w:rFonts w:ascii="Times New Roman" w:eastAsia="DengXian" w:hAnsi="Times New Roman" w:cs="Times New Roman"/>
          <w:sz w:val="21"/>
          <w:szCs w:val="21"/>
          <w:lang w:eastAsia="zh-CN"/>
        </w:rPr>
        <w:t>As shown in Figure S6, the future trend in average household size in Japan mirrors the projected decline in total population, based on estimates from the same research institute mentioned above</w:t>
      </w:r>
      <w:r w:rsidRPr="000F62FA">
        <w:rPr>
          <w:rFonts w:ascii="Times New Roman" w:eastAsia="DengXian" w:hAnsi="Times New Roman" w:cs="Times New Roman"/>
          <w:sz w:val="21"/>
          <w:szCs w:val="21"/>
          <w:lang w:eastAsia="zh-CN"/>
        </w:rPr>
        <w:fldChar w:fldCharType="begin"/>
      </w:r>
      <w:r>
        <w:rPr>
          <w:rFonts w:ascii="Times New Roman" w:eastAsia="DengXian" w:hAnsi="Times New Roman" w:cs="Times New Roman"/>
          <w:sz w:val="21"/>
          <w:szCs w:val="21"/>
          <w:lang w:eastAsia="zh-CN"/>
        </w:rPr>
        <w:instrText xml:space="preserve"> ADDIN EN.CITE &lt;EndNote&gt;&lt;Cite&gt;&lt;Author&gt;IPSS&lt;/Author&gt;&lt;Year&gt;2018&lt;/Year&gt;&lt;RecNum&gt;211&lt;/RecNum&gt;&lt;DisplayText&gt;&lt;style face="superscript"&gt;22&lt;/style&gt;&lt;/DisplayText&gt;&lt;record&gt;&lt;rec-number&gt;211&lt;/rec-number&gt;&lt;foreign-keys&gt;&lt;key app="EN" db-id="200xxs0psrtaz4eze9pp5vvrdraszefpsp0w" timestamp="1708519675"&gt;211&lt;/key&gt;&lt;/foreign-keys&gt;&lt;ref-type name="Report"&gt;27&lt;/ref-type&gt;&lt;contributors&gt;&lt;authors&gt;&lt;author&gt;IPSS&lt;/author&gt;&lt;/authors&gt;&lt;/contributors&gt;&lt;titles&gt;&lt;title&gt;Household Projection for Japan : 2015-2050&lt;/title&gt;&lt;/titles&gt;&lt;dates&gt;&lt;year&gt;2018&lt;/year&gt;&lt;/dates&gt;&lt;pub-location&gt;Tokyo&lt;/pub-location&gt;&lt;publisher&gt;National Institute of Population and Social Security Research&lt;/publisher&gt;&lt;urls&gt;&lt;/urls&gt;&lt;/record&gt;&lt;/Cite&gt;&lt;/EndNote&gt;</w:instrText>
      </w:r>
      <w:r w:rsidRPr="000F62FA">
        <w:rPr>
          <w:rFonts w:ascii="Times New Roman" w:eastAsia="DengXian" w:hAnsi="Times New Roman" w:cs="Times New Roman"/>
          <w:sz w:val="21"/>
          <w:szCs w:val="21"/>
          <w:lang w:eastAsia="zh-CN"/>
        </w:rPr>
        <w:fldChar w:fldCharType="separate"/>
      </w:r>
      <w:r w:rsidRPr="00786D6A">
        <w:rPr>
          <w:rFonts w:ascii="Times New Roman" w:eastAsia="DengXian" w:hAnsi="Times New Roman" w:cs="Times New Roman"/>
          <w:noProof/>
          <w:sz w:val="21"/>
          <w:szCs w:val="21"/>
          <w:vertAlign w:val="superscript"/>
          <w:lang w:eastAsia="zh-CN"/>
        </w:rPr>
        <w:t>22</w:t>
      </w:r>
      <w:r w:rsidRPr="000F62FA">
        <w:rPr>
          <w:rFonts w:ascii="Times New Roman" w:eastAsia="DengXian" w:hAnsi="Times New Roman" w:cs="Times New Roman"/>
          <w:sz w:val="21"/>
          <w:szCs w:val="21"/>
          <w:lang w:eastAsia="zh-CN"/>
        </w:rPr>
        <w:fldChar w:fldCharType="end"/>
      </w:r>
      <w:r w:rsidRPr="00DD6D9E">
        <w:rPr>
          <w:rFonts w:ascii="Times New Roman" w:eastAsia="DengXian" w:hAnsi="Times New Roman" w:cs="Times New Roman"/>
          <w:sz w:val="21"/>
          <w:szCs w:val="21"/>
          <w:lang w:eastAsia="zh-CN"/>
        </w:rPr>
        <w:t>. By 2019, the average household size had already declined to 2.27, and it is projected to decrease further to 1.92 by 2050. Consequently, the total number of households is expected to increase to nearly 60 million by 2030, before declining to 54.62 million by 2050.</w:t>
      </w:r>
    </w:p>
    <w:p w14:paraId="2E83FEAB" w14:textId="77777777" w:rsidR="00DC16B2" w:rsidRPr="000F62FA" w:rsidRDefault="00DC16B2" w:rsidP="00DC16B2">
      <w:pPr>
        <w:rPr>
          <w:rFonts w:ascii="Times New Roman" w:hAnsi="Times New Roman" w:cs="Times New Roman"/>
        </w:rPr>
      </w:pPr>
    </w:p>
    <w:p w14:paraId="18CDA01E" w14:textId="77777777" w:rsidR="00DC16B2" w:rsidRPr="000F62FA" w:rsidRDefault="00DC16B2" w:rsidP="00DC16B2">
      <w:pPr>
        <w:jc w:val="center"/>
        <w:rPr>
          <w:rFonts w:ascii="Times New Roman" w:eastAsia="Microsoft YaHei" w:hAnsi="Times New Roman" w:cs="Times New Roman"/>
          <w:sz w:val="21"/>
          <w:szCs w:val="21"/>
          <w:lang w:eastAsia="zh-CN"/>
        </w:rPr>
      </w:pPr>
      <w:r w:rsidRPr="000F62FA">
        <w:rPr>
          <w:rFonts w:ascii="Times New Roman" w:hAnsi="Times New Roman" w:cs="Times New Roman"/>
          <w:noProof/>
        </w:rPr>
        <w:drawing>
          <wp:inline distT="0" distB="0" distL="0" distR="0" wp14:anchorId="32F8F53F" wp14:editId="47A54846">
            <wp:extent cx="5400040" cy="2954477"/>
            <wp:effectExtent l="0" t="0" r="0" b="0"/>
            <wp:docPr id="1998101439" name="グラフ 1">
              <a:extLst xmlns:a="http://schemas.openxmlformats.org/drawingml/2006/main">
                <a:ext uri="{FF2B5EF4-FFF2-40B4-BE49-F238E27FC236}">
                  <a16:creationId xmlns:a16="http://schemas.microsoft.com/office/drawing/2014/main" id="{2502A872-750B-3FB0-E300-C700FD01C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686D84" w14:textId="3080433F" w:rsidR="00D22F42" w:rsidRPr="00D64CFC" w:rsidRDefault="00D22F42" w:rsidP="00D22F42">
      <w:pPr>
        <w:pStyle w:val="af"/>
        <w:jc w:val="center"/>
        <w:rPr>
          <w:rFonts w:ascii="Times New Roman" w:eastAsiaTheme="minorEastAsia" w:hAnsi="Times New Roman" w:cs="Times New Roman"/>
        </w:rPr>
      </w:pPr>
      <w:bookmarkStart w:id="24" w:name="_Toc208439472"/>
      <w:r w:rsidRPr="000F62FA">
        <w:rPr>
          <w:rFonts w:ascii="Times New Roman" w:eastAsia="Microsoft YaHei" w:hAnsi="Times New Roman" w:cs="Times New Roman"/>
          <w:lang w:eastAsia="zh-CN"/>
        </w:rPr>
        <w:lastRenderedPageBreak/>
        <w:t>Figure</w:t>
      </w:r>
      <w:r w:rsidRPr="000F62FA">
        <w:rPr>
          <w:rFonts w:ascii="Times New Roman" w:hAnsi="Times New Roman" w:cs="Times New Roman"/>
        </w:rPr>
        <w:t xml:space="preserve"> </w:t>
      </w:r>
      <w:r w:rsidRPr="000F62FA">
        <w:rPr>
          <w:rFonts w:ascii="Times New Roman" w:eastAsia="DengXian" w:hAnsi="Times New Roman" w:cs="Times New Roman"/>
          <w:lang w:eastAsia="zh-CN"/>
        </w:rPr>
        <w:t>S</w:t>
      </w:r>
      <w:r w:rsidRPr="000F62FA">
        <w:rPr>
          <w:rFonts w:ascii="Times New Roman" w:hAnsi="Times New Roman" w:cs="Times New Roman"/>
        </w:rPr>
        <w:fldChar w:fldCharType="begin"/>
      </w:r>
      <w:r w:rsidRPr="000F62FA">
        <w:rPr>
          <w:rFonts w:ascii="Times New Roman" w:hAnsi="Times New Roman" w:cs="Times New Roman"/>
        </w:rPr>
        <w:instrText xml:space="preserve"> SEQ </w:instrText>
      </w:r>
      <w:r w:rsidRPr="000F62FA">
        <w:rPr>
          <w:rFonts w:ascii="Microsoft YaHei" w:eastAsia="Microsoft YaHei" w:hAnsi="Microsoft YaHei" w:cs="Microsoft YaHei" w:hint="eastAsia"/>
        </w:rPr>
        <w:instrText>图</w:instrText>
      </w:r>
      <w:r w:rsidRPr="000F62FA">
        <w:rPr>
          <w:rFonts w:hint="eastAsia"/>
        </w:rPr>
        <w:instrText>表</w:instrText>
      </w:r>
      <w:r w:rsidRPr="000F62FA">
        <w:rPr>
          <w:rFonts w:ascii="Times New Roman" w:hAnsi="Times New Roman" w:cs="Times New Roman"/>
        </w:rPr>
        <w:instrText xml:space="preserve"> \* ARABIC </w:instrText>
      </w:r>
      <w:r w:rsidRPr="000F62FA">
        <w:rPr>
          <w:rFonts w:ascii="Times New Roman" w:hAnsi="Times New Roman" w:cs="Times New Roman"/>
        </w:rPr>
        <w:fldChar w:fldCharType="separate"/>
      </w:r>
      <w:r w:rsidR="00C7656B">
        <w:rPr>
          <w:rFonts w:ascii="Times New Roman" w:hAnsi="Times New Roman" w:cs="Times New Roman"/>
          <w:noProof/>
        </w:rPr>
        <w:t>6</w:t>
      </w:r>
      <w:r w:rsidRPr="000F62FA">
        <w:rPr>
          <w:rFonts w:ascii="Times New Roman" w:hAnsi="Times New Roman" w:cs="Times New Roman"/>
        </w:rPr>
        <w:fldChar w:fldCharType="end"/>
      </w:r>
      <w:r>
        <w:rPr>
          <w:rFonts w:ascii="Times New Roman" w:hAnsi="Times New Roman" w:cs="Times New Roman"/>
        </w:rPr>
        <w:t xml:space="preserve">. </w:t>
      </w:r>
      <w:r w:rsidR="001D20C9">
        <w:rPr>
          <w:rFonts w:ascii="Times New Roman" w:eastAsia="DengXian" w:hAnsi="Times New Roman" w:cs="Times New Roman" w:hint="eastAsia"/>
          <w:lang w:eastAsia="zh-CN"/>
        </w:rPr>
        <w:t xml:space="preserve">The changes of the number of households and household size </w:t>
      </w:r>
      <w:r w:rsidRPr="00D22F42">
        <w:rPr>
          <w:rFonts w:ascii="Times New Roman" w:eastAsiaTheme="minorEastAsia" w:hAnsi="Times New Roman" w:cs="Times New Roman"/>
        </w:rPr>
        <w:t xml:space="preserve">in Japan </w:t>
      </w:r>
      <w:r w:rsidR="00E64BCC">
        <w:rPr>
          <w:rFonts w:ascii="Times New Roman" w:eastAsia="DengXian" w:hAnsi="Times New Roman" w:cs="Times New Roman" w:hint="eastAsia"/>
          <w:lang w:eastAsia="zh-CN"/>
        </w:rPr>
        <w:t xml:space="preserve">(1970-2019) and the projections </w:t>
      </w:r>
      <w:r w:rsidRPr="00D22F42">
        <w:rPr>
          <w:rFonts w:ascii="Times New Roman" w:eastAsiaTheme="minorEastAsia" w:hAnsi="Times New Roman" w:cs="Times New Roman"/>
        </w:rPr>
        <w:t>(2020-2050).</w:t>
      </w:r>
      <w:bookmarkEnd w:id="24"/>
    </w:p>
    <w:p w14:paraId="58E10F63" w14:textId="77777777" w:rsidR="00D22F42" w:rsidRPr="00D22F42" w:rsidRDefault="00D22F42" w:rsidP="00DC16B2">
      <w:pPr>
        <w:rPr>
          <w:rFonts w:ascii="Times New Roman" w:eastAsia="DengXian" w:hAnsi="Times New Roman" w:cs="Times New Roman"/>
          <w:sz w:val="21"/>
          <w:szCs w:val="21"/>
          <w:lang w:eastAsia="zh-CN"/>
        </w:rPr>
      </w:pPr>
    </w:p>
    <w:p w14:paraId="43C64483" w14:textId="77777777" w:rsidR="000F42B4" w:rsidRDefault="000F42B4" w:rsidP="00DC16B2">
      <w:pPr>
        <w:rPr>
          <w:rFonts w:ascii="Times New Roman" w:eastAsia="DengXian" w:hAnsi="Times New Roman" w:cs="Times New Roman"/>
          <w:sz w:val="21"/>
          <w:szCs w:val="21"/>
          <w:lang w:eastAsia="zh-CN"/>
        </w:rPr>
      </w:pPr>
      <w:r w:rsidRPr="000F42B4">
        <w:rPr>
          <w:rFonts w:ascii="Times New Roman" w:eastAsia="DengXian" w:hAnsi="Times New Roman" w:cs="Times New Roman"/>
          <w:sz w:val="21"/>
          <w:szCs w:val="21"/>
          <w:lang w:eastAsia="zh-CN"/>
        </w:rPr>
        <w:t>As there is currently no authoritative projection for the future uptake of car-sharing services in Japan, we estimate future growth based on a polynomial approximation of the observed trend from 2005 to 2024, as shown in Figure S7. According to this approximation, the proportion of registered car-sharing users relative to the total population is projected to increase steadily, reaching approximately 20% by 2050.</w:t>
      </w:r>
    </w:p>
    <w:p w14:paraId="433F7936" w14:textId="77777777" w:rsidR="00414E1E" w:rsidRPr="00414E1E" w:rsidRDefault="00414E1E" w:rsidP="00DC16B2">
      <w:pPr>
        <w:rPr>
          <w:rFonts w:ascii="Times New Roman" w:eastAsia="DengXian" w:hAnsi="Times New Roman" w:cs="Times New Roman"/>
          <w:sz w:val="21"/>
          <w:szCs w:val="21"/>
          <w:lang w:eastAsia="zh-CN"/>
        </w:rPr>
      </w:pPr>
    </w:p>
    <w:p w14:paraId="5726DB24" w14:textId="77777777" w:rsidR="00414E1E" w:rsidRPr="000F62FA" w:rsidRDefault="00414E1E" w:rsidP="00414E1E">
      <w:pPr>
        <w:jc w:val="center"/>
        <w:rPr>
          <w:rFonts w:ascii="Times New Roman" w:eastAsia="DengXian" w:hAnsi="Times New Roman" w:cs="Times New Roman"/>
          <w:lang w:eastAsia="zh-CN"/>
        </w:rPr>
      </w:pPr>
      <w:r w:rsidRPr="000F62FA">
        <w:rPr>
          <w:rFonts w:ascii="Times New Roman" w:hAnsi="Times New Roman" w:cs="Times New Roman"/>
          <w:noProof/>
        </w:rPr>
        <w:drawing>
          <wp:inline distT="0" distB="0" distL="0" distR="0" wp14:anchorId="0A4A7393" wp14:editId="5A0FBC78">
            <wp:extent cx="4549140" cy="2952166"/>
            <wp:effectExtent l="0" t="0" r="3810" b="635"/>
            <wp:docPr id="2015562341" name="グラフ 1">
              <a:extLst xmlns:a="http://schemas.openxmlformats.org/drawingml/2006/main">
                <a:ext uri="{FF2B5EF4-FFF2-40B4-BE49-F238E27FC236}">
                  <a16:creationId xmlns:a16="http://schemas.microsoft.com/office/drawing/2014/main" id="{C2C9D7A7-CCC8-471F-AC14-6200F59FC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B1CC6C" w14:textId="2C9AE09F" w:rsidR="00414E1E" w:rsidRPr="007F5CA8" w:rsidRDefault="00414E1E" w:rsidP="00414E1E">
      <w:pPr>
        <w:pStyle w:val="af"/>
        <w:jc w:val="center"/>
        <w:rPr>
          <w:rFonts w:ascii="Times New Roman" w:eastAsiaTheme="minorEastAsia" w:hAnsi="Times New Roman" w:cs="Times New Roman"/>
        </w:rPr>
      </w:pPr>
      <w:bookmarkStart w:id="25" w:name="_Toc208439473"/>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0514A1">
        <w:rPr>
          <w:rFonts w:ascii="Times New Roman" w:hAnsi="Times New Roman" w:cs="Times New Roman"/>
          <w:noProof/>
        </w:rPr>
        <w:t>7</w:t>
      </w:r>
      <w:r w:rsidRPr="007F5CA8">
        <w:rPr>
          <w:rFonts w:ascii="Times New Roman" w:hAnsi="Times New Roman" w:cs="Times New Roman"/>
        </w:rPr>
        <w:fldChar w:fldCharType="end"/>
      </w:r>
      <w:r w:rsidRPr="007F5CA8">
        <w:rPr>
          <w:rFonts w:ascii="Times New Roman" w:hAnsi="Times New Roman" w:cs="Times New Roman"/>
        </w:rPr>
        <w:t xml:space="preserve">. </w:t>
      </w:r>
      <w:r w:rsidR="00D91B71">
        <w:rPr>
          <w:rFonts w:ascii="Times New Roman" w:eastAsia="DengXian" w:hAnsi="Times New Roman" w:cs="Times New Roman" w:hint="eastAsia"/>
          <w:lang w:eastAsia="zh-CN"/>
        </w:rPr>
        <w:t xml:space="preserve">The </w:t>
      </w:r>
      <w:r w:rsidR="006967E2">
        <w:rPr>
          <w:rFonts w:ascii="Times New Roman" w:eastAsia="DengXian" w:hAnsi="Times New Roman" w:cs="Times New Roman" w:hint="eastAsia"/>
          <w:lang w:eastAsia="zh-CN"/>
        </w:rPr>
        <w:t>proportion</w:t>
      </w:r>
      <w:r w:rsidR="00D91B71">
        <w:rPr>
          <w:rFonts w:ascii="Times New Roman" w:eastAsia="DengXian" w:hAnsi="Times New Roman" w:cs="Times New Roman" w:hint="eastAsia"/>
          <w:lang w:eastAsia="zh-CN"/>
        </w:rPr>
        <w:t xml:space="preserve"> of </w:t>
      </w:r>
      <w:r w:rsidR="00D91B71">
        <w:rPr>
          <w:rFonts w:ascii="Times New Roman" w:eastAsia="DengXian" w:hAnsi="Times New Roman" w:cs="Times New Roman"/>
          <w:lang w:eastAsia="zh-CN"/>
        </w:rPr>
        <w:t>registered</w:t>
      </w:r>
      <w:r w:rsidR="00D91B71">
        <w:rPr>
          <w:rFonts w:ascii="Times New Roman" w:eastAsia="DengXian" w:hAnsi="Times New Roman" w:cs="Times New Roman" w:hint="eastAsia"/>
          <w:lang w:eastAsia="zh-CN"/>
        </w:rPr>
        <w:t xml:space="preserve"> car-sharing </w:t>
      </w:r>
      <w:r w:rsidR="006967E2">
        <w:rPr>
          <w:rFonts w:ascii="Times New Roman" w:eastAsia="DengXian" w:hAnsi="Times New Roman" w:cs="Times New Roman" w:hint="eastAsia"/>
          <w:lang w:eastAsia="zh-CN"/>
        </w:rPr>
        <w:t xml:space="preserve">users </w:t>
      </w:r>
      <w:r w:rsidR="00081363">
        <w:rPr>
          <w:rFonts w:ascii="Times New Roman" w:eastAsia="DengXian" w:hAnsi="Times New Roman" w:cs="Times New Roman" w:hint="eastAsia"/>
          <w:lang w:eastAsia="zh-CN"/>
        </w:rPr>
        <w:t>relative to the total</w:t>
      </w:r>
      <w:r w:rsidR="00112318">
        <w:rPr>
          <w:rFonts w:ascii="Times New Roman" w:eastAsia="DengXian" w:hAnsi="Times New Roman" w:cs="Times New Roman" w:hint="eastAsia"/>
          <w:lang w:eastAsia="zh-CN"/>
        </w:rPr>
        <w:t xml:space="preserve"> population</w:t>
      </w:r>
      <w:r w:rsidR="00112318" w:rsidRPr="007F5CA8">
        <w:rPr>
          <w:rFonts w:ascii="Times New Roman" w:hAnsi="Times New Roman" w:cs="Times New Roman"/>
        </w:rPr>
        <w:t xml:space="preserve"> (</w:t>
      </w:r>
      <w:r w:rsidR="00950058">
        <w:rPr>
          <w:rFonts w:ascii="Times New Roman" w:eastAsia="DengXian" w:hAnsi="Times New Roman" w:cs="Times New Roman" w:hint="eastAsia"/>
          <w:lang w:eastAsia="zh-CN"/>
        </w:rPr>
        <w:t>2005</w:t>
      </w:r>
      <w:r w:rsidR="00112318" w:rsidRPr="007F5CA8">
        <w:rPr>
          <w:rFonts w:ascii="Times New Roman" w:hAnsi="Times New Roman" w:cs="Times New Roman"/>
        </w:rPr>
        <w:t>-20</w:t>
      </w:r>
      <w:r w:rsidR="00950058">
        <w:rPr>
          <w:rFonts w:ascii="Times New Roman" w:eastAsia="DengXian" w:hAnsi="Times New Roman" w:cs="Times New Roman" w:hint="eastAsia"/>
          <w:lang w:eastAsia="zh-CN"/>
        </w:rPr>
        <w:t>24</w:t>
      </w:r>
      <w:r w:rsidR="00112318" w:rsidRPr="007F5CA8">
        <w:rPr>
          <w:rFonts w:ascii="Times New Roman" w:hAnsi="Times New Roman" w:cs="Times New Roman"/>
        </w:rPr>
        <w:t>)</w:t>
      </w:r>
      <w:r w:rsidR="00112318">
        <w:rPr>
          <w:rFonts w:ascii="Times New Roman" w:eastAsia="DengXian" w:hAnsi="Times New Roman" w:cs="Times New Roman" w:hint="eastAsia"/>
          <w:lang w:eastAsia="zh-CN"/>
        </w:rPr>
        <w:t xml:space="preserve"> and its projection</w:t>
      </w:r>
      <w:r w:rsidRPr="007F5CA8">
        <w:rPr>
          <w:rFonts w:ascii="Times New Roman" w:hAnsi="Times New Roman" w:cs="Times New Roman"/>
        </w:rPr>
        <w:t xml:space="preserve"> (</w:t>
      </w:r>
      <w:r w:rsidR="00950058">
        <w:rPr>
          <w:rFonts w:ascii="Times New Roman" w:eastAsia="DengXian" w:hAnsi="Times New Roman" w:cs="Times New Roman" w:hint="eastAsia"/>
          <w:lang w:eastAsia="zh-CN"/>
        </w:rPr>
        <w:t>2025</w:t>
      </w:r>
      <w:r w:rsidRPr="007F5CA8">
        <w:rPr>
          <w:rFonts w:ascii="Times New Roman" w:hAnsi="Times New Roman" w:cs="Times New Roman"/>
        </w:rPr>
        <w:t>-20</w:t>
      </w:r>
      <w:r w:rsidR="00950058">
        <w:rPr>
          <w:rFonts w:ascii="Times New Roman" w:eastAsia="DengXian" w:hAnsi="Times New Roman" w:cs="Times New Roman" w:hint="eastAsia"/>
          <w:lang w:eastAsia="zh-CN"/>
        </w:rPr>
        <w:t>50</w:t>
      </w:r>
      <w:r w:rsidRPr="007F5CA8">
        <w:rPr>
          <w:rFonts w:ascii="Times New Roman" w:hAnsi="Times New Roman" w:cs="Times New Roman"/>
        </w:rPr>
        <w:t>).</w:t>
      </w:r>
      <w:bookmarkEnd w:id="25"/>
    </w:p>
    <w:p w14:paraId="27FC04A2" w14:textId="77777777" w:rsidR="00414E1E" w:rsidRPr="00D664A3" w:rsidRDefault="00414E1E" w:rsidP="00414E1E">
      <w:pPr>
        <w:rPr>
          <w:rFonts w:ascii="Times New Roman" w:eastAsia="DengXian" w:hAnsi="Times New Roman" w:cs="Times New Roman"/>
          <w:sz w:val="21"/>
          <w:szCs w:val="21"/>
          <w:lang w:eastAsia="zh-CN"/>
        </w:rPr>
      </w:pPr>
    </w:p>
    <w:p w14:paraId="06CAFC60" w14:textId="77777777" w:rsidR="00D53AA9" w:rsidRDefault="007E0C3A" w:rsidP="007E0C3A">
      <w:pPr>
        <w:rPr>
          <w:rFonts w:ascii="Times New Roman" w:eastAsia="DengXian" w:hAnsi="Times New Roman" w:cs="Times New Roman"/>
          <w:sz w:val="21"/>
          <w:szCs w:val="21"/>
          <w:lang w:eastAsia="zh-CN"/>
        </w:rPr>
      </w:pPr>
      <w:r w:rsidRPr="007E0C3A">
        <w:rPr>
          <w:rFonts w:ascii="Times New Roman" w:eastAsia="DengXian" w:hAnsi="Times New Roman" w:cs="Times New Roman"/>
          <w:sz w:val="21"/>
          <w:szCs w:val="21"/>
          <w:lang w:eastAsia="zh-CN"/>
        </w:rPr>
        <w:t>The factors described above provide a baseline perspective on future socioeconomic changes in Japan. In addition, two further factors are considered to be policy-dependent, particularly through compact city planning, which may influence long-term passenger car ownership. In this context, compact city planning refers to the reconsolidation of populations from remote areas into regions along established public transit networks, thereby maintaining the population density of Densely Inhabited Districts (DIDs).</w:t>
      </w:r>
      <w:r>
        <w:rPr>
          <w:rFonts w:ascii="Times New Roman" w:eastAsia="DengXian" w:hAnsi="Times New Roman" w:cs="Times New Roman" w:hint="eastAsia"/>
          <w:sz w:val="21"/>
          <w:szCs w:val="21"/>
          <w:lang w:eastAsia="zh-CN"/>
        </w:rPr>
        <w:t xml:space="preserve"> </w:t>
      </w:r>
    </w:p>
    <w:p w14:paraId="2CFD7B40" w14:textId="77777777" w:rsidR="00D53AA9" w:rsidRDefault="00D53AA9" w:rsidP="007E0C3A">
      <w:pPr>
        <w:rPr>
          <w:rFonts w:ascii="Times New Roman" w:eastAsia="DengXian" w:hAnsi="Times New Roman" w:cs="Times New Roman"/>
          <w:sz w:val="21"/>
          <w:szCs w:val="21"/>
          <w:lang w:eastAsia="zh-CN"/>
        </w:rPr>
      </w:pPr>
    </w:p>
    <w:p w14:paraId="632018E9" w14:textId="3440976A" w:rsidR="007E0C3A" w:rsidRDefault="007E0C3A" w:rsidP="007E0C3A">
      <w:pPr>
        <w:rPr>
          <w:rFonts w:ascii="Times New Roman" w:eastAsia="DengXian" w:hAnsi="Times New Roman" w:cs="Times New Roman"/>
          <w:sz w:val="21"/>
          <w:szCs w:val="21"/>
          <w:lang w:eastAsia="zh-CN"/>
        </w:rPr>
      </w:pPr>
      <w:r w:rsidRPr="007E0C3A">
        <w:rPr>
          <w:rFonts w:ascii="Times New Roman" w:eastAsia="DengXian" w:hAnsi="Times New Roman" w:cs="Times New Roman"/>
          <w:sz w:val="21"/>
          <w:szCs w:val="21"/>
          <w:lang w:eastAsia="zh-CN"/>
        </w:rPr>
        <w:t xml:space="preserve">The first factor is the total actual length of paved roads in Japan, which increased from approximately 0.8 million km in 1990 to over 1 million km by 2024. In the baseline scenario—where urban form remains unchanged—it is assumed that this value has peaked in 2024 and will remain constant thereafter. In contrast, under a compact city planning scenario, the total paved road </w:t>
      </w:r>
      <w:r w:rsidRPr="007E0C3A">
        <w:rPr>
          <w:rFonts w:ascii="Times New Roman" w:eastAsia="DengXian" w:hAnsi="Times New Roman" w:cs="Times New Roman"/>
          <w:sz w:val="21"/>
          <w:szCs w:val="21"/>
          <w:lang w:eastAsia="zh-CN"/>
        </w:rPr>
        <w:lastRenderedPageBreak/>
        <w:t>length is assumed to decrease proportionally with national depopulation, in order to maintain DID density. Given that highways and national roads account for approximately 20% of the paved road network, and local roads make up the remaining 80%, only the latter are assumed to decline in proportion to population reduction. The equation used to estimate the future total length of paved roads is defined as follows:</w:t>
      </w:r>
    </w:p>
    <w:p w14:paraId="54C351F6" w14:textId="3C60E194" w:rsidR="00A84E9D" w:rsidRPr="006164C0" w:rsidRDefault="00A84E9D" w:rsidP="00A84E9D">
      <w:pPr>
        <w:pStyle w:val="Equation"/>
        <w:spacing w:after="200" w:line="240" w:lineRule="auto"/>
        <w:jc w:val="right"/>
        <w:rPr>
          <w:color w:val="auto"/>
        </w:rPr>
      </w:pPr>
      <w:r w:rsidRPr="006164C0">
        <w:rPr>
          <w:color w:val="auto"/>
        </w:rPr>
        <w:tab/>
      </w:r>
      <m:oMath>
        <m:sSub>
          <m:sSubPr>
            <m:ctrlPr>
              <w:rPr>
                <w:rFonts w:ascii="Cambria Math" w:hAnsi="Cambria Math"/>
                <w:i/>
                <w:color w:val="auto"/>
                <w:sz w:val="24"/>
                <w:szCs w:val="24"/>
              </w:rPr>
            </m:ctrlPr>
          </m:sSubPr>
          <m:e>
            <m:r>
              <w:rPr>
                <w:rFonts w:ascii="Cambria Math" w:hAnsi="Cambria Math"/>
                <w:color w:val="auto"/>
                <w:sz w:val="24"/>
                <w:szCs w:val="24"/>
              </w:rPr>
              <m:t>r</m:t>
            </m:r>
          </m:e>
          <m:sub>
            <m:r>
              <w:rPr>
                <w:rFonts w:ascii="Cambria Math" w:hAnsi="Cambria Math"/>
                <w:color w:val="auto"/>
                <w:sz w:val="24"/>
                <w:szCs w:val="24"/>
              </w:rPr>
              <m:t>t</m:t>
            </m:r>
          </m:sub>
        </m:sSub>
        <m:r>
          <m:rPr>
            <m:sty m:val="p"/>
          </m:rPr>
          <w:rPr>
            <w:rFonts w:ascii="Cambria Math" w:hAnsi="Cambria Math"/>
            <w:color w:val="auto"/>
            <w:sz w:val="24"/>
            <w:szCs w:val="24"/>
          </w:rPr>
          <m:t>=</m:t>
        </m:r>
        <m:sSub>
          <m:sSubPr>
            <m:ctrlPr>
              <w:rPr>
                <w:rFonts w:ascii="Cambria Math" w:hAnsi="Cambria Math"/>
                <w:color w:val="auto"/>
                <w:sz w:val="24"/>
                <w:szCs w:val="24"/>
              </w:rPr>
            </m:ctrlPr>
          </m:sSubPr>
          <m:e>
            <m:r>
              <w:rPr>
                <w:rFonts w:ascii="Cambria Math" w:hAnsi="Cambria Math"/>
                <w:color w:val="auto"/>
                <w:sz w:val="24"/>
                <w:szCs w:val="24"/>
              </w:rPr>
              <m:t>r</m:t>
            </m:r>
          </m:e>
          <m:sub>
            <m:r>
              <w:rPr>
                <w:rFonts w:ascii="Cambria Math" w:hAnsi="Cambria Math"/>
                <w:color w:val="auto"/>
                <w:sz w:val="24"/>
                <w:szCs w:val="24"/>
              </w:rPr>
              <m:t>t0</m:t>
            </m:r>
          </m:sub>
        </m:sSub>
        <m:r>
          <w:rPr>
            <w:rFonts w:ascii="Cambria Math" w:hAnsi="Cambria Math"/>
            <w:color w:val="auto"/>
            <w:sz w:val="24"/>
            <w:szCs w:val="24"/>
          </w:rPr>
          <m:t>·(0.2+0.8</m:t>
        </m:r>
        <m:r>
          <w:rPr>
            <w:rFonts w:ascii="Cambria Math" w:hAnsi="Cambria Math" w:hint="eastAsia"/>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POP</m:t>
                </m:r>
              </m:e>
              <m:sub>
                <m:r>
                  <w:rPr>
                    <w:rFonts w:ascii="Cambria Math" w:hAnsi="Cambria Math"/>
                    <w:color w:val="auto"/>
                    <w:sz w:val="24"/>
                    <w:szCs w:val="24"/>
                  </w:rPr>
                  <m:t>t</m:t>
                </m:r>
              </m:sub>
            </m:sSub>
          </m:num>
          <m:den>
            <m:sSub>
              <m:sSubPr>
                <m:ctrlPr>
                  <w:rPr>
                    <w:rFonts w:ascii="Cambria Math" w:hAnsi="Cambria Math"/>
                    <w:i/>
                    <w:color w:val="auto"/>
                    <w:sz w:val="24"/>
                    <w:szCs w:val="24"/>
                  </w:rPr>
                </m:ctrlPr>
              </m:sSubPr>
              <m:e>
                <m:r>
                  <w:rPr>
                    <w:rFonts w:ascii="Cambria Math" w:hAnsi="Cambria Math"/>
                    <w:color w:val="auto"/>
                    <w:sz w:val="24"/>
                    <w:szCs w:val="24"/>
                  </w:rPr>
                  <m:t>POP</m:t>
                </m:r>
              </m:e>
              <m:sub>
                <m:r>
                  <w:rPr>
                    <w:rFonts w:ascii="Cambria Math" w:hAnsi="Cambria Math"/>
                    <w:color w:val="auto"/>
                    <w:sz w:val="24"/>
                    <w:szCs w:val="24"/>
                  </w:rPr>
                  <m:t>t0</m:t>
                </m:r>
              </m:sub>
            </m:sSub>
          </m:den>
        </m:f>
        <m:r>
          <w:rPr>
            <w:rFonts w:ascii="Cambria Math" w:hAnsi="Cambria Math"/>
            <w:color w:val="auto"/>
            <w:sz w:val="24"/>
            <w:szCs w:val="24"/>
          </w:rPr>
          <m:t>)</m:t>
        </m:r>
      </m:oMath>
      <w:r w:rsidRPr="006164C0">
        <w:rPr>
          <w:color w:val="auto"/>
        </w:rPr>
        <w:t xml:space="preserve">                     (Equation </w:t>
      </w:r>
      <w:r w:rsidR="00364E76">
        <w:rPr>
          <w:rFonts w:hint="eastAsia"/>
          <w:color w:val="auto"/>
        </w:rPr>
        <w:t>6</w:t>
      </w:r>
      <w:r w:rsidRPr="006164C0">
        <w:rPr>
          <w:color w:val="auto"/>
        </w:rPr>
        <w:t>)</w:t>
      </w:r>
    </w:p>
    <w:p w14:paraId="563B053A" w14:textId="140A4FB2" w:rsidR="00DC16B2" w:rsidRPr="006313C1" w:rsidRDefault="000315F9" w:rsidP="00DC16B2">
      <w:pPr>
        <w:rPr>
          <w:rFonts w:ascii="Times New Roman" w:eastAsia="DengXian" w:hAnsi="Times New Roman" w:cs="Times New Roman"/>
          <w:sz w:val="21"/>
          <w:szCs w:val="21"/>
          <w:lang w:val="en-GB" w:eastAsia="zh-CN"/>
        </w:rPr>
      </w:pPr>
      <w:r w:rsidRPr="006313C1">
        <w:rPr>
          <w:rFonts w:ascii="Times New Roman" w:eastAsia="DengXian" w:hAnsi="Times New Roman" w:cs="Times New Roman" w:hint="eastAsia"/>
          <w:sz w:val="21"/>
          <w:szCs w:val="21"/>
          <w:lang w:val="en-GB" w:eastAsia="zh-CN"/>
        </w:rPr>
        <w:t xml:space="preserve">where </w:t>
      </w:r>
      <m:oMath>
        <m:sSub>
          <m:sSubPr>
            <m:ctrlPr>
              <w:rPr>
                <w:rFonts w:ascii="Cambria Math" w:eastAsia="DengXian" w:hAnsi="Cambria Math" w:cs="Times New Roman"/>
                <w:i/>
                <w:iCs/>
                <w:snapToGrid w:val="0"/>
                <w:sz w:val="21"/>
                <w:szCs w:val="21"/>
                <w:lang w:val="en-GB" w:eastAsia="zh-CN"/>
              </w:rPr>
            </m:ctrlPr>
          </m:sSubPr>
          <m:e>
            <m:r>
              <w:rPr>
                <w:rFonts w:ascii="Cambria Math" w:hAnsi="Cambria Math"/>
                <w:sz w:val="21"/>
                <w:szCs w:val="21"/>
              </w:rPr>
              <m:t>r</m:t>
            </m:r>
          </m:e>
          <m:sub>
            <m:r>
              <w:rPr>
                <w:rFonts w:ascii="Cambria Math" w:hAnsi="Cambria Math"/>
                <w:sz w:val="21"/>
                <w:szCs w:val="21"/>
              </w:rPr>
              <m:t>t</m:t>
            </m:r>
          </m:sub>
        </m:sSub>
      </m:oMath>
      <w:r w:rsidRPr="006313C1">
        <w:rPr>
          <w:rFonts w:ascii="Times New Roman" w:eastAsia="DengXian" w:hAnsi="Times New Roman" w:cs="Times New Roman" w:hint="eastAsia"/>
          <w:sz w:val="21"/>
          <w:szCs w:val="21"/>
          <w:lang w:val="en-GB" w:eastAsia="zh-CN"/>
        </w:rPr>
        <w:t xml:space="preserve"> </w:t>
      </w:r>
      <w:r w:rsidR="009F2A92" w:rsidRPr="006313C1">
        <w:rPr>
          <w:rFonts w:ascii="Times New Roman" w:eastAsia="DengXian" w:hAnsi="Times New Roman" w:cs="Times New Roman" w:hint="eastAsia"/>
          <w:sz w:val="21"/>
          <w:szCs w:val="21"/>
          <w:lang w:val="en-GB" w:eastAsia="zh-CN"/>
        </w:rPr>
        <w:t>and</w:t>
      </w:r>
      <m:oMath>
        <m:r>
          <w:rPr>
            <w:rFonts w:ascii="Cambria Math" w:eastAsia="DengXian" w:hAnsi="Cambria Math" w:cs="Times New Roman"/>
            <w:sz w:val="21"/>
            <w:szCs w:val="21"/>
            <w:lang w:val="en-GB" w:eastAsia="zh-CN"/>
          </w:rPr>
          <m:t xml:space="preserve"> </m:t>
        </m:r>
        <m:sSub>
          <m:sSubPr>
            <m:ctrlPr>
              <w:rPr>
                <w:rFonts w:ascii="Cambria Math" w:hAnsi="Cambria Math" w:cs="Times New Roman"/>
                <w:sz w:val="21"/>
                <w:szCs w:val="21"/>
              </w:rPr>
            </m:ctrlPr>
          </m:sSubPr>
          <m:e>
            <m:r>
              <w:rPr>
                <w:rFonts w:ascii="Cambria Math" w:hAnsi="Cambria Math"/>
                <w:sz w:val="21"/>
                <w:szCs w:val="21"/>
              </w:rPr>
              <m:t>r</m:t>
            </m:r>
          </m:e>
          <m:sub>
            <m:r>
              <w:rPr>
                <w:rFonts w:ascii="Cambria Math" w:hAnsi="Cambria Math"/>
                <w:sz w:val="21"/>
                <w:szCs w:val="21"/>
              </w:rPr>
              <m:t>t0</m:t>
            </m:r>
          </m:sub>
        </m:sSub>
      </m:oMath>
      <w:r w:rsidR="009F2A92" w:rsidRPr="006313C1">
        <w:rPr>
          <w:rFonts w:ascii="Times New Roman" w:eastAsia="DengXian" w:hAnsi="Times New Roman" w:cs="Times New Roman" w:hint="eastAsia"/>
          <w:sz w:val="21"/>
          <w:szCs w:val="21"/>
          <w:lang w:val="en-GB" w:eastAsia="zh-CN"/>
        </w:rPr>
        <w:t xml:space="preserve"> </w:t>
      </w:r>
      <w:r w:rsidR="00CD04EE" w:rsidRPr="006313C1">
        <w:rPr>
          <w:rFonts w:ascii="Times New Roman" w:eastAsia="DengXian" w:hAnsi="Times New Roman" w:cs="Times New Roman"/>
          <w:sz w:val="21"/>
          <w:szCs w:val="21"/>
          <w:lang w:val="en-GB" w:eastAsia="zh-CN"/>
        </w:rPr>
        <w:t>represent the total length of paved roads in the current year</w:t>
      </w:r>
      <w:r w:rsidR="00D20AE9" w:rsidRPr="006313C1">
        <w:rPr>
          <w:rFonts w:ascii="Times New Roman" w:eastAsia="DengXian" w:hAnsi="Times New Roman" w:cs="Times New Roman" w:hint="eastAsia"/>
          <w:sz w:val="21"/>
          <w:szCs w:val="21"/>
          <w:lang w:val="en-GB" w:eastAsia="zh-CN"/>
        </w:rPr>
        <w:t xml:space="preserve"> </w:t>
      </w:r>
      <m:oMath>
        <m:r>
          <w:rPr>
            <w:rFonts w:ascii="Cambria Math" w:hAnsi="Cambria Math"/>
            <w:sz w:val="21"/>
            <w:szCs w:val="21"/>
          </w:rPr>
          <m:t>t</m:t>
        </m:r>
      </m:oMath>
      <w:r w:rsidR="009F2A92" w:rsidRPr="006313C1">
        <w:rPr>
          <w:rFonts w:ascii="Times New Roman" w:eastAsia="DengXian" w:hAnsi="Times New Roman" w:cs="Times New Roman" w:hint="eastAsia"/>
          <w:sz w:val="21"/>
          <w:szCs w:val="21"/>
          <w:lang w:val="en-GB" w:eastAsia="zh-CN"/>
        </w:rPr>
        <w:t xml:space="preserve"> and base year </w:t>
      </w:r>
      <m:oMath>
        <m:r>
          <w:rPr>
            <w:rFonts w:ascii="Cambria Math" w:hAnsi="Cambria Math"/>
            <w:sz w:val="21"/>
            <w:szCs w:val="21"/>
          </w:rPr>
          <m:t>t0</m:t>
        </m:r>
      </m:oMath>
      <w:r w:rsidR="00E609E0" w:rsidRPr="006313C1">
        <w:rPr>
          <w:rFonts w:ascii="Times New Roman" w:eastAsia="DengXian" w:hAnsi="Times New Roman" w:cs="Times New Roman" w:hint="eastAsia"/>
          <w:sz w:val="21"/>
          <w:szCs w:val="21"/>
          <w:lang w:val="en-GB" w:eastAsia="zh-CN"/>
        </w:rPr>
        <w:t xml:space="preserve">, </w:t>
      </w:r>
      <w:r w:rsidR="00C774E1" w:rsidRPr="006313C1">
        <w:rPr>
          <w:rFonts w:ascii="Times New Roman" w:eastAsia="DengXian" w:hAnsi="Times New Roman" w:cs="Times New Roman" w:hint="eastAsia"/>
          <w:sz w:val="21"/>
          <w:szCs w:val="21"/>
          <w:lang w:val="en-GB" w:eastAsia="zh-CN"/>
        </w:rPr>
        <w:t xml:space="preserve">respectively, </w:t>
      </w:r>
      <w:r w:rsidR="002E5E8F" w:rsidRPr="006313C1">
        <w:rPr>
          <w:rFonts w:ascii="Times New Roman" w:eastAsia="DengXian" w:hAnsi="Times New Roman" w:cs="Times New Roman" w:hint="eastAsia"/>
          <w:sz w:val="21"/>
          <w:szCs w:val="21"/>
          <w:lang w:val="en-GB" w:eastAsia="zh-CN"/>
        </w:rPr>
        <w:t xml:space="preserve">and </w:t>
      </w:r>
      <m:oMath>
        <m:sSub>
          <m:sSubPr>
            <m:ctrlPr>
              <w:rPr>
                <w:rFonts w:ascii="Cambria Math" w:eastAsia="DengXian" w:hAnsi="Cambria Math" w:cs="Times New Roman"/>
                <w:i/>
                <w:iCs/>
                <w:snapToGrid w:val="0"/>
                <w:sz w:val="21"/>
                <w:szCs w:val="21"/>
                <w:lang w:val="en-GB" w:eastAsia="zh-CN"/>
              </w:rPr>
            </m:ctrlPr>
          </m:sSubPr>
          <m:e>
            <m:r>
              <w:rPr>
                <w:rFonts w:ascii="Cambria Math" w:hAnsi="Cambria Math"/>
                <w:sz w:val="21"/>
                <w:szCs w:val="21"/>
              </w:rPr>
              <m:t>POP</m:t>
            </m:r>
          </m:e>
          <m:sub>
            <m:r>
              <w:rPr>
                <w:rFonts w:ascii="Cambria Math" w:hAnsi="Cambria Math"/>
                <w:sz w:val="21"/>
                <w:szCs w:val="21"/>
              </w:rPr>
              <m:t>t</m:t>
            </m:r>
          </m:sub>
        </m:sSub>
      </m:oMath>
      <w:r w:rsidR="00757BE1" w:rsidRPr="006313C1">
        <w:rPr>
          <w:rFonts w:ascii="Times New Roman" w:eastAsia="DengXian" w:hAnsi="Times New Roman" w:cs="Times New Roman" w:hint="eastAsia"/>
          <w:sz w:val="21"/>
          <w:szCs w:val="21"/>
          <w:lang w:val="en-GB" w:eastAsia="zh-CN"/>
        </w:rPr>
        <w:t xml:space="preserve"> and </w:t>
      </w:r>
      <m:oMath>
        <m:sSub>
          <m:sSubPr>
            <m:ctrlPr>
              <w:rPr>
                <w:rFonts w:ascii="Cambria Math" w:eastAsia="DengXian" w:hAnsi="Cambria Math" w:cs="Times New Roman"/>
                <w:i/>
                <w:iCs/>
                <w:snapToGrid w:val="0"/>
                <w:sz w:val="21"/>
                <w:szCs w:val="21"/>
                <w:lang w:val="en-GB" w:eastAsia="zh-CN"/>
              </w:rPr>
            </m:ctrlPr>
          </m:sSubPr>
          <m:e>
            <m:r>
              <w:rPr>
                <w:rFonts w:ascii="Cambria Math" w:hAnsi="Cambria Math"/>
                <w:sz w:val="21"/>
                <w:szCs w:val="21"/>
              </w:rPr>
              <m:t>POP</m:t>
            </m:r>
          </m:e>
          <m:sub>
            <m:r>
              <w:rPr>
                <w:rFonts w:ascii="Cambria Math" w:hAnsi="Cambria Math"/>
                <w:sz w:val="21"/>
                <w:szCs w:val="21"/>
              </w:rPr>
              <m:t>t0</m:t>
            </m:r>
          </m:sub>
        </m:sSub>
      </m:oMath>
      <w:r w:rsidR="00757BE1" w:rsidRPr="006313C1">
        <w:rPr>
          <w:rFonts w:ascii="Times New Roman" w:eastAsia="DengXian" w:hAnsi="Times New Roman" w:cs="Times New Roman" w:hint="eastAsia"/>
          <w:sz w:val="21"/>
          <w:szCs w:val="21"/>
          <w:lang w:val="en-GB" w:eastAsia="zh-CN"/>
        </w:rPr>
        <w:t xml:space="preserve"> </w:t>
      </w:r>
      <w:r w:rsidR="002E5E8F" w:rsidRPr="006313C1">
        <w:rPr>
          <w:rFonts w:ascii="Times New Roman" w:eastAsia="DengXian" w:hAnsi="Times New Roman" w:cs="Times New Roman" w:hint="eastAsia"/>
          <w:sz w:val="21"/>
          <w:szCs w:val="21"/>
          <w:lang w:val="en-GB" w:eastAsia="zh-CN"/>
        </w:rPr>
        <w:t xml:space="preserve">denote </w:t>
      </w:r>
      <w:r w:rsidR="00757BE1" w:rsidRPr="006313C1">
        <w:rPr>
          <w:rFonts w:ascii="Times New Roman" w:eastAsia="DengXian" w:hAnsi="Times New Roman" w:cs="Times New Roman" w:hint="eastAsia"/>
          <w:sz w:val="21"/>
          <w:szCs w:val="21"/>
          <w:lang w:val="en-GB" w:eastAsia="zh-CN"/>
        </w:rPr>
        <w:t xml:space="preserve">the population </w:t>
      </w:r>
      <w:r w:rsidR="006313C1" w:rsidRPr="006313C1">
        <w:rPr>
          <w:rFonts w:ascii="Times New Roman" w:eastAsia="DengXian" w:hAnsi="Times New Roman" w:cs="Times New Roman"/>
          <w:sz w:val="21"/>
          <w:szCs w:val="21"/>
          <w:lang w:val="en-GB" w:eastAsia="zh-CN"/>
        </w:rPr>
        <w:t>in the current year</w:t>
      </w:r>
      <w:r w:rsidR="006313C1" w:rsidRPr="006313C1">
        <w:rPr>
          <w:rFonts w:ascii="Times New Roman" w:eastAsia="DengXian" w:hAnsi="Times New Roman" w:cs="Times New Roman" w:hint="eastAsia"/>
          <w:sz w:val="21"/>
          <w:szCs w:val="21"/>
          <w:lang w:val="en-GB" w:eastAsia="zh-CN"/>
        </w:rPr>
        <w:t xml:space="preserve"> </w:t>
      </w:r>
      <m:oMath>
        <m:r>
          <w:rPr>
            <w:rFonts w:ascii="Cambria Math" w:hAnsi="Cambria Math"/>
            <w:sz w:val="21"/>
            <w:szCs w:val="21"/>
          </w:rPr>
          <m:t>t</m:t>
        </m:r>
      </m:oMath>
      <w:r w:rsidR="006313C1" w:rsidRPr="006313C1">
        <w:rPr>
          <w:rFonts w:ascii="Times New Roman" w:eastAsia="DengXian" w:hAnsi="Times New Roman" w:cs="Times New Roman" w:hint="eastAsia"/>
          <w:sz w:val="21"/>
          <w:szCs w:val="21"/>
          <w:lang w:val="en-GB" w:eastAsia="zh-CN"/>
        </w:rPr>
        <w:t xml:space="preserve"> and base year </w:t>
      </w:r>
      <m:oMath>
        <m:r>
          <w:rPr>
            <w:rFonts w:ascii="Cambria Math" w:hAnsi="Cambria Math"/>
            <w:sz w:val="21"/>
            <w:szCs w:val="21"/>
          </w:rPr>
          <m:t>t0</m:t>
        </m:r>
      </m:oMath>
      <w:r w:rsidR="006313C1" w:rsidRPr="006313C1">
        <w:rPr>
          <w:rFonts w:ascii="Times New Roman" w:eastAsia="DengXian" w:hAnsi="Times New Roman" w:cs="Times New Roman" w:hint="eastAsia"/>
          <w:sz w:val="21"/>
          <w:szCs w:val="21"/>
          <w:lang w:val="en-GB" w:eastAsia="zh-CN"/>
        </w:rPr>
        <w:t>, respectively</w:t>
      </w:r>
      <w:r w:rsidR="00757BE1" w:rsidRPr="006313C1">
        <w:rPr>
          <w:rFonts w:ascii="Times New Roman" w:eastAsia="DengXian" w:hAnsi="Times New Roman" w:cs="Times New Roman" w:hint="eastAsia"/>
          <w:sz w:val="21"/>
          <w:szCs w:val="21"/>
          <w:lang w:val="en-GB" w:eastAsia="zh-CN"/>
        </w:rPr>
        <w:t xml:space="preserve">. </w:t>
      </w:r>
      <w:r w:rsidR="006313C1">
        <w:rPr>
          <w:rFonts w:ascii="Times New Roman" w:eastAsia="DengXian" w:hAnsi="Times New Roman" w:cs="Times New Roman" w:hint="eastAsia"/>
          <w:sz w:val="21"/>
          <w:szCs w:val="21"/>
          <w:lang w:val="en-GB" w:eastAsia="zh-CN"/>
        </w:rPr>
        <w:t xml:space="preserve">The result is shown as Figure S8. </w:t>
      </w:r>
    </w:p>
    <w:p w14:paraId="2E963D88" w14:textId="77777777" w:rsidR="00A84E9D" w:rsidRDefault="00A84E9D" w:rsidP="00DC16B2">
      <w:pPr>
        <w:rPr>
          <w:rFonts w:ascii="Times New Roman" w:eastAsia="DengXian" w:hAnsi="Times New Roman" w:cs="Times New Roman"/>
          <w:sz w:val="18"/>
          <w:szCs w:val="18"/>
          <w:lang w:eastAsia="zh-CN"/>
        </w:rPr>
      </w:pPr>
    </w:p>
    <w:p w14:paraId="0262F055" w14:textId="6D327673" w:rsidR="008A0643" w:rsidRPr="008A0643" w:rsidRDefault="008A0643" w:rsidP="008A0643">
      <w:pPr>
        <w:jc w:val="center"/>
        <w:rPr>
          <w:rFonts w:ascii="Times New Roman" w:eastAsia="DengXian" w:hAnsi="Times New Roman" w:cs="Times New Roman"/>
          <w:lang w:eastAsia="zh-CN"/>
        </w:rPr>
      </w:pPr>
      <w:r w:rsidRPr="000F62FA">
        <w:rPr>
          <w:rFonts w:ascii="Times New Roman" w:hAnsi="Times New Roman" w:cs="Times New Roman"/>
          <w:noProof/>
        </w:rPr>
        <w:drawing>
          <wp:inline distT="0" distB="0" distL="0" distR="0" wp14:anchorId="32CE4C24" wp14:editId="2F4BDC1E">
            <wp:extent cx="4558777" cy="3206396"/>
            <wp:effectExtent l="0" t="0" r="0" b="0"/>
            <wp:docPr id="1699173076" name="グラフ 1">
              <a:extLst xmlns:a="http://schemas.openxmlformats.org/drawingml/2006/main">
                <a:ext uri="{FF2B5EF4-FFF2-40B4-BE49-F238E27FC236}">
                  <a16:creationId xmlns:a16="http://schemas.microsoft.com/office/drawing/2014/main" id="{026B1F95-5E1B-7F64-0692-65788FB5D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529C28" w14:textId="1C7C386D" w:rsidR="00C7656B" w:rsidRPr="007F5CA8" w:rsidRDefault="00C7656B" w:rsidP="00C7656B">
      <w:pPr>
        <w:pStyle w:val="af"/>
        <w:jc w:val="center"/>
        <w:rPr>
          <w:rFonts w:ascii="Times New Roman" w:eastAsiaTheme="minorEastAsia" w:hAnsi="Times New Roman" w:cs="Times New Roman"/>
        </w:rPr>
      </w:pPr>
      <w:bookmarkStart w:id="26" w:name="_Toc208439474"/>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E04616">
        <w:rPr>
          <w:rFonts w:ascii="Times New Roman" w:hAnsi="Times New Roman" w:cs="Times New Roman"/>
          <w:noProof/>
        </w:rPr>
        <w:t>8</w:t>
      </w:r>
      <w:r w:rsidRPr="007F5CA8">
        <w:rPr>
          <w:rFonts w:ascii="Times New Roman" w:hAnsi="Times New Roman" w:cs="Times New Roman"/>
        </w:rPr>
        <w:fldChar w:fldCharType="end"/>
      </w:r>
      <w:r w:rsidRPr="007F5CA8">
        <w:rPr>
          <w:rFonts w:ascii="Times New Roman" w:hAnsi="Times New Roman" w:cs="Times New Roman"/>
        </w:rPr>
        <w:t xml:space="preserve">. </w:t>
      </w:r>
      <w:r w:rsidR="00B26744">
        <w:rPr>
          <w:rFonts w:ascii="Times New Roman" w:eastAsia="DengXian" w:hAnsi="Times New Roman" w:cs="Times New Roman" w:hint="eastAsia"/>
          <w:lang w:eastAsia="zh-CN"/>
        </w:rPr>
        <w:t>Total actual length of paved roads in Japan</w:t>
      </w:r>
      <w:r w:rsidRPr="007F5CA8">
        <w:rPr>
          <w:rFonts w:ascii="Times New Roman" w:hAnsi="Times New Roman" w:cs="Times New Roman"/>
        </w:rPr>
        <w:t xml:space="preserve"> (19</w:t>
      </w:r>
      <w:r w:rsidR="00B26744">
        <w:rPr>
          <w:rFonts w:ascii="Times New Roman" w:eastAsia="DengXian" w:hAnsi="Times New Roman" w:cs="Times New Roman" w:hint="eastAsia"/>
          <w:lang w:eastAsia="zh-CN"/>
        </w:rPr>
        <w:t>9</w:t>
      </w:r>
      <w:r w:rsidRPr="007F5CA8">
        <w:rPr>
          <w:rFonts w:ascii="Times New Roman" w:hAnsi="Times New Roman" w:cs="Times New Roman"/>
        </w:rPr>
        <w:t>0-202</w:t>
      </w:r>
      <w:r w:rsidR="00D22D15">
        <w:rPr>
          <w:rFonts w:ascii="Times New Roman" w:eastAsia="DengXian" w:hAnsi="Times New Roman" w:cs="Times New Roman" w:hint="eastAsia"/>
          <w:lang w:eastAsia="zh-CN"/>
        </w:rPr>
        <w:t>4</w:t>
      </w:r>
      <w:r w:rsidRPr="007F5CA8">
        <w:rPr>
          <w:rFonts w:ascii="Times New Roman" w:hAnsi="Times New Roman" w:cs="Times New Roman"/>
        </w:rPr>
        <w:t>)</w:t>
      </w:r>
      <w:r w:rsidR="00D22D15">
        <w:rPr>
          <w:rFonts w:ascii="Times New Roman" w:eastAsia="DengXian" w:hAnsi="Times New Roman" w:cs="Times New Roman" w:hint="eastAsia"/>
          <w:lang w:eastAsia="zh-CN"/>
        </w:rPr>
        <w:t xml:space="preserve"> and its projection</w:t>
      </w:r>
      <w:r w:rsidR="00B24CA2">
        <w:rPr>
          <w:rFonts w:ascii="Times New Roman" w:eastAsia="DengXian" w:hAnsi="Times New Roman" w:cs="Times New Roman" w:hint="eastAsia"/>
          <w:lang w:eastAsia="zh-CN"/>
        </w:rPr>
        <w:t xml:space="preserve"> (2025-2050)</w:t>
      </w:r>
      <w:r w:rsidRPr="007F5CA8">
        <w:rPr>
          <w:rFonts w:ascii="Times New Roman" w:hAnsi="Times New Roman" w:cs="Times New Roman"/>
        </w:rPr>
        <w:t>.</w:t>
      </w:r>
      <w:bookmarkEnd w:id="26"/>
    </w:p>
    <w:p w14:paraId="174189DD" w14:textId="77777777" w:rsidR="00C7656B" w:rsidRDefault="00C7656B" w:rsidP="00ED1E4E">
      <w:pPr>
        <w:rPr>
          <w:rFonts w:ascii="Times New Roman" w:eastAsia="DengXian" w:hAnsi="Times New Roman" w:cs="Times New Roman"/>
          <w:sz w:val="21"/>
          <w:szCs w:val="21"/>
          <w:lang w:eastAsia="zh-CN"/>
        </w:rPr>
      </w:pPr>
    </w:p>
    <w:p w14:paraId="427A3CC6" w14:textId="77777777" w:rsidR="0004404F" w:rsidRDefault="0004404F" w:rsidP="00ED1E4E">
      <w:pPr>
        <w:rPr>
          <w:rFonts w:ascii="Times New Roman" w:eastAsia="DengXian" w:hAnsi="Times New Roman" w:cs="Times New Roman"/>
          <w:sz w:val="21"/>
          <w:szCs w:val="21"/>
          <w:lang w:eastAsia="zh-CN"/>
        </w:rPr>
      </w:pPr>
      <w:r w:rsidRPr="0004404F">
        <w:rPr>
          <w:rFonts w:ascii="Times New Roman" w:eastAsia="DengXian" w:hAnsi="Times New Roman" w:cs="Times New Roman"/>
          <w:sz w:val="21"/>
          <w:szCs w:val="21"/>
          <w:lang w:eastAsia="zh-CN"/>
        </w:rPr>
        <w:t>Accordingly, the other factor—the population density of densely inhabited districts (DID)—is assumed to remain constant in the future under the compact city planning scenario. In contrast, if urban forms remain unchanged, the density is expected to decrease proportionally with Japan’s population decline. From 1970 to 2024, the DID density has already decreased from 8,690 to approximately 6,700 persons/km². Without compact city planning, this figure is projected to decline further to around 5,600 persons/km² by 2050. The scenario results are illustrated in Figure S9.</w:t>
      </w:r>
    </w:p>
    <w:p w14:paraId="2A3E4083" w14:textId="5886FE8A" w:rsidR="00DC16B2" w:rsidRPr="00ED1E4E" w:rsidRDefault="00DC16B2" w:rsidP="00ED1E4E">
      <w:pPr>
        <w:rPr>
          <w:rFonts w:ascii="Times New Roman" w:eastAsia="DengXian" w:hAnsi="Times New Roman" w:cs="Times New Roman"/>
          <w:sz w:val="21"/>
          <w:szCs w:val="21"/>
          <w:lang w:eastAsia="zh-CN"/>
        </w:rPr>
      </w:pPr>
    </w:p>
    <w:p w14:paraId="2507C245" w14:textId="77777777" w:rsidR="00DC16B2" w:rsidRPr="000F62FA" w:rsidRDefault="00DC16B2" w:rsidP="00DC16B2">
      <w:pPr>
        <w:jc w:val="center"/>
        <w:rPr>
          <w:rFonts w:ascii="Times New Roman" w:hAnsi="Times New Roman" w:cs="Times New Roman"/>
        </w:rPr>
      </w:pPr>
      <w:r w:rsidRPr="000F62FA">
        <w:rPr>
          <w:rFonts w:ascii="Times New Roman" w:hAnsi="Times New Roman" w:cs="Times New Roman"/>
          <w:noProof/>
        </w:rPr>
        <w:lastRenderedPageBreak/>
        <w:drawing>
          <wp:inline distT="0" distB="0" distL="0" distR="0" wp14:anchorId="694944A1" wp14:editId="3ADAB2D3">
            <wp:extent cx="4558777" cy="3383785"/>
            <wp:effectExtent l="0" t="0" r="0" b="7620"/>
            <wp:docPr id="387928386" name="グラフ 1">
              <a:extLst xmlns:a="http://schemas.openxmlformats.org/drawingml/2006/main">
                <a:ext uri="{FF2B5EF4-FFF2-40B4-BE49-F238E27FC236}">
                  <a16:creationId xmlns:a16="http://schemas.microsoft.com/office/drawing/2014/main" id="{6284FB71-1D19-4AE4-8414-FF748970F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3C0169" w14:textId="5B0DD414" w:rsidR="00EF4ABA" w:rsidRPr="007F5CA8" w:rsidRDefault="00EF4ABA" w:rsidP="00EF4ABA">
      <w:pPr>
        <w:pStyle w:val="af"/>
        <w:jc w:val="center"/>
        <w:rPr>
          <w:rFonts w:ascii="Times New Roman" w:eastAsiaTheme="minorEastAsia" w:hAnsi="Times New Roman" w:cs="Times New Roman"/>
        </w:rPr>
      </w:pPr>
      <w:bookmarkStart w:id="27" w:name="_Toc208439475"/>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C41875">
        <w:rPr>
          <w:rFonts w:ascii="Times New Roman" w:hAnsi="Times New Roman" w:cs="Times New Roman"/>
          <w:noProof/>
        </w:rPr>
        <w:t>9</w:t>
      </w:r>
      <w:r w:rsidRPr="007F5CA8">
        <w:rPr>
          <w:rFonts w:ascii="Times New Roman" w:hAnsi="Times New Roman" w:cs="Times New Roman"/>
        </w:rPr>
        <w:fldChar w:fldCharType="end"/>
      </w:r>
      <w:r w:rsidRPr="007F5CA8">
        <w:rPr>
          <w:rFonts w:ascii="Times New Roman" w:hAnsi="Times New Roman" w:cs="Times New Roman"/>
        </w:rPr>
        <w:t xml:space="preserve">. </w:t>
      </w:r>
      <w:r w:rsidR="00C41875">
        <w:rPr>
          <w:rFonts w:ascii="Times New Roman" w:eastAsia="DengXian" w:hAnsi="Times New Roman" w:cs="Times New Roman" w:hint="eastAsia"/>
          <w:lang w:eastAsia="zh-CN"/>
        </w:rPr>
        <w:t>The density of densely inhabited district (DID)</w:t>
      </w:r>
      <w:r w:rsidRPr="007F5CA8">
        <w:rPr>
          <w:rFonts w:ascii="Times New Roman" w:hAnsi="Times New Roman" w:cs="Times New Roman"/>
        </w:rPr>
        <w:t xml:space="preserve"> </w:t>
      </w:r>
      <w:r w:rsidR="002E42A1">
        <w:rPr>
          <w:rFonts w:ascii="Times New Roman" w:eastAsia="DengXian" w:hAnsi="Times New Roman" w:cs="Times New Roman" w:hint="eastAsia"/>
          <w:lang w:eastAsia="zh-CN"/>
        </w:rPr>
        <w:t xml:space="preserve">in Japan </w:t>
      </w:r>
      <w:r w:rsidRPr="007F5CA8">
        <w:rPr>
          <w:rFonts w:ascii="Times New Roman" w:hAnsi="Times New Roman" w:cs="Times New Roman"/>
        </w:rPr>
        <w:t>(1970-202</w:t>
      </w:r>
      <w:r w:rsidR="002E42A1">
        <w:rPr>
          <w:rFonts w:ascii="Times New Roman" w:eastAsia="DengXian" w:hAnsi="Times New Roman" w:cs="Times New Roman" w:hint="eastAsia"/>
          <w:lang w:eastAsia="zh-CN"/>
        </w:rPr>
        <w:t>4</w:t>
      </w:r>
      <w:r w:rsidRPr="007F5CA8">
        <w:rPr>
          <w:rFonts w:ascii="Times New Roman" w:hAnsi="Times New Roman" w:cs="Times New Roman"/>
        </w:rPr>
        <w:t>)</w:t>
      </w:r>
      <w:r w:rsidR="002E42A1">
        <w:rPr>
          <w:rFonts w:ascii="Times New Roman" w:eastAsia="DengXian" w:hAnsi="Times New Roman" w:cs="Times New Roman" w:hint="eastAsia"/>
          <w:lang w:eastAsia="zh-CN"/>
        </w:rPr>
        <w:t xml:space="preserve"> and </w:t>
      </w:r>
      <w:r w:rsidR="00E34BCE">
        <w:rPr>
          <w:rFonts w:ascii="Times New Roman" w:eastAsia="DengXian" w:hAnsi="Times New Roman" w:cs="Times New Roman" w:hint="eastAsia"/>
          <w:lang w:eastAsia="zh-CN"/>
        </w:rPr>
        <w:t xml:space="preserve">the assumption on </w:t>
      </w:r>
      <w:r w:rsidR="002E42A1">
        <w:rPr>
          <w:rFonts w:ascii="Times New Roman" w:eastAsia="DengXian" w:hAnsi="Times New Roman" w:cs="Times New Roman" w:hint="eastAsia"/>
          <w:lang w:eastAsia="zh-CN"/>
        </w:rPr>
        <w:t>future changes</w:t>
      </w:r>
      <w:r w:rsidR="00E34BCE">
        <w:rPr>
          <w:rFonts w:ascii="Times New Roman" w:eastAsia="DengXian" w:hAnsi="Times New Roman" w:cs="Times New Roman" w:hint="eastAsia"/>
          <w:lang w:eastAsia="zh-CN"/>
        </w:rPr>
        <w:t xml:space="preserve"> (2025-2050)</w:t>
      </w:r>
      <w:r w:rsidRPr="007F5CA8">
        <w:rPr>
          <w:rFonts w:ascii="Times New Roman" w:hAnsi="Times New Roman" w:cs="Times New Roman"/>
        </w:rPr>
        <w:t>.</w:t>
      </w:r>
      <w:bookmarkEnd w:id="27"/>
    </w:p>
    <w:p w14:paraId="0AD66DB9" w14:textId="77777777" w:rsidR="00EF4ABA" w:rsidRPr="005465FF" w:rsidRDefault="00EF4ABA" w:rsidP="00DC16B2">
      <w:pPr>
        <w:rPr>
          <w:rFonts w:ascii="Times New Roman" w:eastAsia="DengXian" w:hAnsi="Times New Roman" w:cs="Times New Roman"/>
          <w:sz w:val="21"/>
          <w:szCs w:val="21"/>
          <w:lang w:eastAsia="zh-CN"/>
        </w:rPr>
      </w:pPr>
    </w:p>
    <w:p w14:paraId="0D769157" w14:textId="4FE14336" w:rsidR="00593D38" w:rsidRDefault="00192C46" w:rsidP="00DC16B2">
      <w:pPr>
        <w:rPr>
          <w:rFonts w:ascii="Times New Roman" w:eastAsia="DengXian" w:hAnsi="Times New Roman" w:cs="Times New Roman"/>
          <w:sz w:val="21"/>
          <w:szCs w:val="21"/>
          <w:lang w:eastAsia="zh-CN"/>
        </w:rPr>
      </w:pPr>
      <w:r w:rsidRPr="00192C46">
        <w:rPr>
          <w:rFonts w:ascii="Times New Roman" w:eastAsia="DengXian" w:hAnsi="Times New Roman" w:cs="Times New Roman"/>
          <w:sz w:val="21"/>
          <w:szCs w:val="21"/>
          <w:lang w:eastAsia="zh-CN"/>
        </w:rPr>
        <w:t>Taking all the factors mentioned above into account, future changes in passenger car ownership in Japan can be estimated, as illustrated in Figure S10. Historically, car ownership has shown an increasing trend from the 1960s to the 2020s, though the growth rate has gradually slowed. The projections indicate that ownership will peak in the 2020s and then begin to decline by 2050. In the business-as-usual scenario, the number of owned vehicles peaks at over 60 million in 2024 and is expected to decrease to approximately 53 million by 2050. However, with the promotion of car-sharing services and compact city planning, ownership could decline further to around 47 million vehicles.</w:t>
      </w:r>
    </w:p>
    <w:p w14:paraId="759C3BCB" w14:textId="77777777" w:rsidR="004232CB" w:rsidRPr="005465FF" w:rsidRDefault="004232CB" w:rsidP="00DC16B2">
      <w:pPr>
        <w:rPr>
          <w:rFonts w:ascii="Times New Roman" w:eastAsia="DengXian" w:hAnsi="Times New Roman" w:cs="Times New Roman"/>
          <w:sz w:val="21"/>
          <w:szCs w:val="21"/>
          <w:lang w:eastAsia="zh-CN"/>
        </w:rPr>
      </w:pPr>
    </w:p>
    <w:p w14:paraId="48850EA7" w14:textId="77777777" w:rsidR="00593D38" w:rsidRPr="000F62FA" w:rsidRDefault="00593D38" w:rsidP="00593D38">
      <w:pPr>
        <w:jc w:val="center"/>
        <w:rPr>
          <w:rFonts w:ascii="Times New Roman" w:hAnsi="Times New Roman" w:cs="Times New Roman"/>
        </w:rPr>
      </w:pPr>
      <w:r w:rsidRPr="000F62FA">
        <w:rPr>
          <w:rFonts w:ascii="Times New Roman" w:hAnsi="Times New Roman" w:cs="Times New Roman"/>
          <w:noProof/>
        </w:rPr>
        <w:lastRenderedPageBreak/>
        <w:drawing>
          <wp:inline distT="0" distB="0" distL="0" distR="0" wp14:anchorId="36917826" wp14:editId="05BB0D18">
            <wp:extent cx="4566285" cy="2942216"/>
            <wp:effectExtent l="0" t="0" r="5715" b="0"/>
            <wp:docPr id="582118403" name="グラフ 1">
              <a:extLst xmlns:a="http://schemas.openxmlformats.org/drawingml/2006/main">
                <a:ext uri="{FF2B5EF4-FFF2-40B4-BE49-F238E27FC236}">
                  <a16:creationId xmlns:a16="http://schemas.microsoft.com/office/drawing/2014/main" id="{FA554761-D01F-616A-8F45-1BEFDCC26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90015F" w14:textId="7A9C75B3" w:rsidR="00593D38" w:rsidRPr="007F5CA8" w:rsidRDefault="00593D38" w:rsidP="00593D38">
      <w:pPr>
        <w:pStyle w:val="af"/>
        <w:jc w:val="center"/>
        <w:rPr>
          <w:rFonts w:ascii="Times New Roman" w:eastAsiaTheme="minorEastAsia" w:hAnsi="Times New Roman" w:cs="Times New Roman"/>
        </w:rPr>
      </w:pPr>
      <w:bookmarkStart w:id="28" w:name="_Toc208439476"/>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4232CB">
        <w:rPr>
          <w:rFonts w:ascii="Times New Roman" w:hAnsi="Times New Roman" w:cs="Times New Roman"/>
          <w:noProof/>
        </w:rPr>
        <w:t>10</w:t>
      </w:r>
      <w:r w:rsidRPr="007F5CA8">
        <w:rPr>
          <w:rFonts w:ascii="Times New Roman" w:hAnsi="Times New Roman" w:cs="Times New Roman"/>
        </w:rPr>
        <w:fldChar w:fldCharType="end"/>
      </w:r>
      <w:r w:rsidRPr="007F5CA8">
        <w:rPr>
          <w:rFonts w:ascii="Times New Roman" w:hAnsi="Times New Roman" w:cs="Times New Roman"/>
        </w:rPr>
        <w:t xml:space="preserve">. </w:t>
      </w:r>
      <w:r w:rsidRPr="00D25A60">
        <w:rPr>
          <w:rFonts w:ascii="Times New Roman" w:hAnsi="Times New Roman" w:cs="Times New Roman"/>
        </w:rPr>
        <w:t>The ownership of passenger vehicles in Japan (19</w:t>
      </w:r>
      <w:r w:rsidR="002B7051">
        <w:rPr>
          <w:rFonts w:ascii="Times New Roman" w:eastAsia="DengXian" w:hAnsi="Times New Roman" w:cs="Times New Roman" w:hint="eastAsia"/>
          <w:lang w:eastAsia="zh-CN"/>
        </w:rPr>
        <w:t>66</w:t>
      </w:r>
      <w:r w:rsidRPr="00D25A60">
        <w:rPr>
          <w:rFonts w:ascii="Times New Roman" w:hAnsi="Times New Roman" w:cs="Times New Roman"/>
        </w:rPr>
        <w:t>-202</w:t>
      </w:r>
      <w:r w:rsidR="002B7051">
        <w:rPr>
          <w:rFonts w:ascii="Times New Roman" w:eastAsia="DengXian" w:hAnsi="Times New Roman" w:cs="Times New Roman" w:hint="eastAsia"/>
          <w:lang w:eastAsia="zh-CN"/>
        </w:rPr>
        <w:t>4</w:t>
      </w:r>
      <w:r w:rsidRPr="00D25A60">
        <w:rPr>
          <w:rFonts w:ascii="Times New Roman" w:hAnsi="Times New Roman" w:cs="Times New Roman"/>
        </w:rPr>
        <w:t>) and its projection (202</w:t>
      </w:r>
      <w:r w:rsidR="002B7051">
        <w:rPr>
          <w:rFonts w:ascii="Times New Roman" w:eastAsia="DengXian" w:hAnsi="Times New Roman" w:cs="Times New Roman" w:hint="eastAsia"/>
          <w:lang w:eastAsia="zh-CN"/>
        </w:rPr>
        <w:t>5</w:t>
      </w:r>
      <w:r w:rsidRPr="00D25A60">
        <w:rPr>
          <w:rFonts w:ascii="Times New Roman" w:hAnsi="Times New Roman" w:cs="Times New Roman"/>
        </w:rPr>
        <w:t>-2050).</w:t>
      </w:r>
      <w:bookmarkEnd w:id="28"/>
    </w:p>
    <w:p w14:paraId="5EF7BBE8" w14:textId="77777777" w:rsidR="00593D38" w:rsidRPr="00864644" w:rsidRDefault="00593D38" w:rsidP="00864644">
      <w:pPr>
        <w:rPr>
          <w:rFonts w:ascii="Times New Roman" w:eastAsia="DengXian" w:hAnsi="Times New Roman" w:cs="Times New Roman"/>
          <w:sz w:val="21"/>
          <w:szCs w:val="21"/>
          <w:lang w:eastAsia="zh-CN"/>
        </w:rPr>
      </w:pPr>
    </w:p>
    <w:p w14:paraId="33CC6A11" w14:textId="4E70C6C8" w:rsidR="00C91D8A" w:rsidRDefault="00293430" w:rsidP="00864644">
      <w:pPr>
        <w:rPr>
          <w:rFonts w:ascii="Times New Roman" w:eastAsia="DengXian" w:hAnsi="Times New Roman" w:cs="Times New Roman"/>
          <w:sz w:val="21"/>
          <w:szCs w:val="21"/>
          <w:lang w:eastAsia="zh-CN"/>
        </w:rPr>
      </w:pPr>
      <w:r w:rsidRPr="00293430">
        <w:rPr>
          <w:rFonts w:ascii="Times New Roman" w:eastAsia="DengXian" w:hAnsi="Times New Roman" w:cs="Times New Roman"/>
          <w:sz w:val="21"/>
          <w:szCs w:val="21"/>
          <w:lang w:eastAsia="zh-CN"/>
        </w:rPr>
        <w:t>Can the passenger car market account for the majority of LIBs used in the domestic automotive industry? As shown in Figure S11, more than three-quarters of all vehicles are passenger cars, followed by cargo vehicles. Given the longer transport distances typically associated with cargo transport, hydrogen fuel remains a likely option for this sector. Therefore, it is reasonable to focus exclusively on the passenger car market in this simulation.</w:t>
      </w:r>
    </w:p>
    <w:p w14:paraId="26483A8C" w14:textId="77777777" w:rsidR="00293430" w:rsidRPr="00C91D8A" w:rsidRDefault="00293430" w:rsidP="00864644">
      <w:pPr>
        <w:rPr>
          <w:rFonts w:ascii="Times New Roman" w:eastAsia="DengXian" w:hAnsi="Times New Roman" w:cs="Times New Roman"/>
          <w:sz w:val="21"/>
          <w:szCs w:val="21"/>
          <w:lang w:eastAsia="zh-CN"/>
        </w:rPr>
      </w:pPr>
    </w:p>
    <w:p w14:paraId="7305EECE" w14:textId="77777777" w:rsidR="00DC16B2" w:rsidRPr="000F62FA" w:rsidRDefault="00DC16B2" w:rsidP="00DC16B2">
      <w:pPr>
        <w:jc w:val="center"/>
        <w:rPr>
          <w:rFonts w:ascii="Times New Roman" w:hAnsi="Times New Roman" w:cs="Times New Roman"/>
        </w:rPr>
      </w:pPr>
      <w:r w:rsidRPr="000F62FA">
        <w:rPr>
          <w:rFonts w:ascii="Times New Roman" w:hAnsi="Times New Roman" w:cs="Times New Roman"/>
          <w:noProof/>
        </w:rPr>
        <w:lastRenderedPageBreak/>
        <w:drawing>
          <wp:inline distT="0" distB="0" distL="0" distR="0" wp14:anchorId="39C30F7B" wp14:editId="0B35C74A">
            <wp:extent cx="4572000" cy="3589020"/>
            <wp:effectExtent l="0" t="0" r="0" b="0"/>
            <wp:docPr id="1830362312" name="グラフ 1">
              <a:extLst xmlns:a="http://schemas.openxmlformats.org/drawingml/2006/main">
                <a:ext uri="{FF2B5EF4-FFF2-40B4-BE49-F238E27FC236}">
                  <a16:creationId xmlns:a16="http://schemas.microsoft.com/office/drawing/2014/main" id="{8BE03F73-F997-464C-89A7-45991ADA1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7A12BA" w14:textId="25BBA76D" w:rsidR="00D25A60" w:rsidRPr="007F5CA8" w:rsidRDefault="00D25A60" w:rsidP="00D25A60">
      <w:pPr>
        <w:pStyle w:val="af"/>
        <w:jc w:val="center"/>
        <w:rPr>
          <w:rFonts w:ascii="Times New Roman" w:eastAsiaTheme="minorEastAsia" w:hAnsi="Times New Roman" w:cs="Times New Roman"/>
        </w:rPr>
      </w:pPr>
      <w:bookmarkStart w:id="29" w:name="_Toc208439477"/>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632C76">
        <w:rPr>
          <w:rFonts w:ascii="Times New Roman" w:hAnsi="Times New Roman" w:cs="Times New Roman"/>
          <w:noProof/>
        </w:rPr>
        <w:t>11</w:t>
      </w:r>
      <w:r w:rsidRPr="007F5CA8">
        <w:rPr>
          <w:rFonts w:ascii="Times New Roman" w:hAnsi="Times New Roman" w:cs="Times New Roman"/>
        </w:rPr>
        <w:fldChar w:fldCharType="end"/>
      </w:r>
      <w:r w:rsidRPr="007F5CA8">
        <w:rPr>
          <w:rFonts w:ascii="Times New Roman" w:hAnsi="Times New Roman" w:cs="Times New Roman"/>
        </w:rPr>
        <w:t>. The ownership of various vehicles in Japan (19</w:t>
      </w:r>
      <w:r w:rsidR="007D50CF">
        <w:rPr>
          <w:rFonts w:ascii="Times New Roman" w:eastAsia="DengXian" w:hAnsi="Times New Roman" w:cs="Times New Roman" w:hint="eastAsia"/>
          <w:lang w:eastAsia="zh-CN"/>
        </w:rPr>
        <w:t>66</w:t>
      </w:r>
      <w:r w:rsidRPr="007F5CA8">
        <w:rPr>
          <w:rFonts w:ascii="Times New Roman" w:hAnsi="Times New Roman" w:cs="Times New Roman"/>
        </w:rPr>
        <w:t>-2020).</w:t>
      </w:r>
      <w:bookmarkEnd w:id="29"/>
    </w:p>
    <w:p w14:paraId="4C4DEC96" w14:textId="77777777" w:rsidR="00D25A60" w:rsidRDefault="00D25A60" w:rsidP="00DC16B2">
      <w:pPr>
        <w:rPr>
          <w:rFonts w:ascii="Times New Roman" w:eastAsiaTheme="minorEastAsia" w:hAnsi="Times New Roman" w:cs="Times New Roman"/>
          <w:sz w:val="21"/>
          <w:szCs w:val="21"/>
        </w:rPr>
      </w:pPr>
    </w:p>
    <w:p w14:paraId="4C0E7FB9" w14:textId="58F43462" w:rsidR="006102F5" w:rsidRDefault="0069795D" w:rsidP="0069795D">
      <w:pPr>
        <w:rPr>
          <w:rFonts w:ascii="Times New Roman" w:eastAsiaTheme="minorEastAsia" w:hAnsi="Times New Roman" w:cs="Times New Roman"/>
          <w:sz w:val="21"/>
          <w:szCs w:val="21"/>
        </w:rPr>
      </w:pPr>
      <w:r w:rsidRPr="0069795D">
        <w:rPr>
          <w:rFonts w:ascii="Times New Roman" w:eastAsiaTheme="minorEastAsia" w:hAnsi="Times New Roman" w:cs="Times New Roman"/>
          <w:sz w:val="21"/>
          <w:szCs w:val="21"/>
        </w:rPr>
        <w:t>As of 2024, Japan remains the largest automobile exporter in the world. Therefore, our simulation includes the export of electric vehicles (EVs) from Japan, reflecting the Japanese automobile industry's ability to manage global supply chains through its extensive sales network. However, due to the lack of concrete evidence or reliable projections regarding the industry's future global performance, we assume that Japan will maintain its current level of passenger car exports. Accordingly, the material flow analysis (MFA) model estimates the annual export of new passenger cars without incorporating data on global market demand.</w:t>
      </w:r>
      <w:r w:rsidR="00AB34B1">
        <w:rPr>
          <w:rFonts w:ascii="Times New Roman" w:eastAsiaTheme="minorEastAsia" w:hAnsi="Times New Roman" w:cs="Times New Roman" w:hint="eastAsia"/>
          <w:sz w:val="21"/>
          <w:szCs w:val="21"/>
        </w:rPr>
        <w:t xml:space="preserve"> </w:t>
      </w:r>
      <w:r w:rsidRPr="0069795D">
        <w:rPr>
          <w:rFonts w:ascii="Times New Roman" w:eastAsiaTheme="minorEastAsia" w:hAnsi="Times New Roman" w:cs="Times New Roman"/>
          <w:sz w:val="21"/>
          <w:szCs w:val="21"/>
        </w:rPr>
        <w:t>In other words, for the domestic market, material flows are simulated based on in-use stock (passenger car ownership) and outflow (vehicles de-registered) to estimate inflow (new passenger car sales). In contrast, for the overseas market, the simulation uses inflow and outflow data to estimate in-use stock. Further methodological details are provided in the following section.</w:t>
      </w:r>
    </w:p>
    <w:p w14:paraId="1BC74AA2" w14:textId="77777777" w:rsidR="0069795D" w:rsidRPr="004843F2" w:rsidRDefault="0069795D" w:rsidP="0069795D">
      <w:pPr>
        <w:rPr>
          <w:rFonts w:ascii="Times New Roman" w:eastAsiaTheme="minorEastAsia" w:hAnsi="Times New Roman" w:cs="Times New Roman"/>
          <w:sz w:val="21"/>
          <w:szCs w:val="21"/>
        </w:rPr>
      </w:pPr>
    </w:p>
    <w:p w14:paraId="47B55078" w14:textId="50D973F1" w:rsidR="008C5113" w:rsidRPr="009F4922" w:rsidRDefault="008C5113" w:rsidP="008C5113">
      <w:pPr>
        <w:pStyle w:val="2"/>
        <w:rPr>
          <w:rFonts w:eastAsiaTheme="minorEastAsia"/>
          <w:lang w:eastAsia="ja-JP"/>
        </w:rPr>
      </w:pPr>
      <w:bookmarkStart w:id="30" w:name="_Toc199865016"/>
      <w:r w:rsidRPr="000F62FA">
        <w:rPr>
          <w:rFonts w:eastAsia="DengXian"/>
        </w:rPr>
        <w:t>2</w:t>
      </w:r>
      <w:r w:rsidRPr="000F62FA">
        <w:t>.</w:t>
      </w:r>
      <w:r>
        <w:rPr>
          <w:rFonts w:eastAsia="DengXian" w:hint="eastAsia"/>
        </w:rPr>
        <w:t>2</w:t>
      </w:r>
      <w:r w:rsidRPr="000F62FA">
        <w:t xml:space="preserve"> </w:t>
      </w:r>
      <w:r w:rsidR="009F4922">
        <w:rPr>
          <w:rFonts w:eastAsiaTheme="minorEastAsia" w:hint="eastAsia"/>
          <w:lang w:eastAsia="ja-JP"/>
        </w:rPr>
        <w:t xml:space="preserve">Inflow, </w:t>
      </w:r>
      <w:r w:rsidR="008F79A3">
        <w:rPr>
          <w:rFonts w:eastAsia="DengXian" w:hint="eastAsia"/>
        </w:rPr>
        <w:t>O</w:t>
      </w:r>
      <w:r w:rsidR="009F4922">
        <w:rPr>
          <w:rFonts w:eastAsiaTheme="minorEastAsia" w:hint="eastAsia"/>
          <w:lang w:eastAsia="ja-JP"/>
        </w:rPr>
        <w:t>utflow</w:t>
      </w:r>
      <w:r w:rsidR="005E06A3">
        <w:rPr>
          <w:rFonts w:eastAsia="DengXian" w:hint="eastAsia"/>
        </w:rPr>
        <w:t>,</w:t>
      </w:r>
      <w:r w:rsidR="009F4922">
        <w:rPr>
          <w:rFonts w:eastAsiaTheme="minorEastAsia" w:hint="eastAsia"/>
          <w:lang w:eastAsia="ja-JP"/>
        </w:rPr>
        <w:t xml:space="preserve"> and </w:t>
      </w:r>
      <w:r w:rsidR="005E06A3">
        <w:rPr>
          <w:rFonts w:eastAsia="DengXian" w:hint="eastAsia"/>
        </w:rPr>
        <w:t>I</w:t>
      </w:r>
      <w:r w:rsidR="009F4922">
        <w:rPr>
          <w:rFonts w:eastAsiaTheme="minorEastAsia" w:hint="eastAsia"/>
          <w:lang w:eastAsia="ja-JP"/>
        </w:rPr>
        <w:t>n-</w:t>
      </w:r>
      <w:r w:rsidR="005E06A3">
        <w:rPr>
          <w:rFonts w:eastAsia="DengXian" w:hint="eastAsia"/>
        </w:rPr>
        <w:t>U</w:t>
      </w:r>
      <w:r w:rsidR="009F4922">
        <w:rPr>
          <w:rFonts w:eastAsiaTheme="minorEastAsia" w:hint="eastAsia"/>
          <w:lang w:eastAsia="ja-JP"/>
        </w:rPr>
        <w:t xml:space="preserve">se </w:t>
      </w:r>
      <w:r w:rsidR="005E06A3">
        <w:rPr>
          <w:rFonts w:eastAsia="DengXian" w:hint="eastAsia"/>
        </w:rPr>
        <w:t>S</w:t>
      </w:r>
      <w:r w:rsidR="009F4922">
        <w:rPr>
          <w:rFonts w:eastAsiaTheme="minorEastAsia" w:hint="eastAsia"/>
          <w:lang w:eastAsia="ja-JP"/>
        </w:rPr>
        <w:t>tock</w:t>
      </w:r>
      <w:r>
        <w:rPr>
          <w:rFonts w:eastAsia="DengXian" w:hint="eastAsia"/>
        </w:rPr>
        <w:t xml:space="preserve"> </w:t>
      </w:r>
      <w:r w:rsidR="009F4922">
        <w:rPr>
          <w:rFonts w:eastAsiaTheme="minorEastAsia" w:hint="eastAsia"/>
          <w:lang w:eastAsia="ja-JP"/>
        </w:rPr>
        <w:t>in</w:t>
      </w:r>
      <w:r>
        <w:rPr>
          <w:rFonts w:eastAsia="DengXian" w:hint="eastAsia"/>
        </w:rPr>
        <w:t xml:space="preserve"> </w:t>
      </w:r>
      <w:r w:rsidR="005E06A3">
        <w:rPr>
          <w:rFonts w:eastAsia="DengXian" w:hint="eastAsia"/>
        </w:rPr>
        <w:t>the P</w:t>
      </w:r>
      <w:r w:rsidRPr="000F62FA">
        <w:rPr>
          <w:rFonts w:eastAsia="DengXian"/>
        </w:rPr>
        <w:t xml:space="preserve">assenger </w:t>
      </w:r>
      <w:r w:rsidR="005E06A3">
        <w:rPr>
          <w:rFonts w:eastAsia="DengXian" w:hint="eastAsia"/>
        </w:rPr>
        <w:t>C</w:t>
      </w:r>
      <w:r w:rsidRPr="000F62FA">
        <w:rPr>
          <w:rFonts w:eastAsia="DengXian"/>
        </w:rPr>
        <w:t>ar</w:t>
      </w:r>
      <w:r w:rsidR="009F4922">
        <w:rPr>
          <w:rFonts w:eastAsiaTheme="minorEastAsia" w:hint="eastAsia"/>
          <w:lang w:eastAsia="ja-JP"/>
        </w:rPr>
        <w:t xml:space="preserve"> </w:t>
      </w:r>
      <w:r w:rsidR="005E06A3">
        <w:rPr>
          <w:rFonts w:eastAsia="DengXian" w:hint="eastAsia"/>
        </w:rPr>
        <w:t>M</w:t>
      </w:r>
      <w:r w:rsidR="009F4922">
        <w:rPr>
          <w:rFonts w:eastAsiaTheme="minorEastAsia" w:hint="eastAsia"/>
          <w:lang w:eastAsia="ja-JP"/>
        </w:rPr>
        <w:t>arket</w:t>
      </w:r>
      <w:bookmarkEnd w:id="30"/>
    </w:p>
    <w:p w14:paraId="44FCBCBB" w14:textId="411B00FE" w:rsidR="00543744" w:rsidRDefault="00F0769E" w:rsidP="00543744">
      <w:pPr>
        <w:rPr>
          <w:rFonts w:ascii="Times New Roman" w:eastAsia="DengXian" w:hAnsi="Times New Roman" w:cs="Times New Roman"/>
          <w:sz w:val="21"/>
          <w:szCs w:val="21"/>
          <w:lang w:eastAsia="zh-CN"/>
        </w:rPr>
      </w:pPr>
      <w:r w:rsidRPr="00F0769E">
        <w:rPr>
          <w:rFonts w:ascii="Times New Roman" w:eastAsia="DengXian" w:hAnsi="Times New Roman" w:cs="Times New Roman"/>
          <w:sz w:val="21"/>
          <w:szCs w:val="21"/>
          <w:lang w:eastAsia="zh-CN"/>
        </w:rPr>
        <w:t xml:space="preserve">As noted earlier, in the case of Japan's domestic passenger car market, the MFA approach estimates new passenger car sales based on in-use stock (passenger car ownership) and </w:t>
      </w:r>
      <w:r w:rsidR="00AE23DD">
        <w:rPr>
          <w:rFonts w:ascii="Times New Roman" w:eastAsia="DengXian" w:hAnsi="Times New Roman" w:cs="Times New Roman" w:hint="eastAsia"/>
          <w:sz w:val="21"/>
          <w:szCs w:val="21"/>
          <w:lang w:eastAsia="zh-CN"/>
        </w:rPr>
        <w:t>outflow (</w:t>
      </w:r>
      <w:r w:rsidRPr="00F0769E">
        <w:rPr>
          <w:rFonts w:ascii="Times New Roman" w:eastAsia="DengXian" w:hAnsi="Times New Roman" w:cs="Times New Roman"/>
          <w:sz w:val="21"/>
          <w:szCs w:val="21"/>
          <w:lang w:eastAsia="zh-CN"/>
        </w:rPr>
        <w:t>annual vehicle deregistrations</w:t>
      </w:r>
      <w:r w:rsidR="00AE23DD">
        <w:rPr>
          <w:rFonts w:ascii="Times New Roman" w:eastAsia="DengXian" w:hAnsi="Times New Roman" w:cs="Times New Roman" w:hint="eastAsia"/>
          <w:sz w:val="21"/>
          <w:szCs w:val="21"/>
          <w:lang w:eastAsia="zh-CN"/>
        </w:rPr>
        <w:t>)</w:t>
      </w:r>
      <w:r w:rsidRPr="00F0769E">
        <w:rPr>
          <w:rFonts w:ascii="Times New Roman" w:eastAsia="DengXian" w:hAnsi="Times New Roman" w:cs="Times New Roman"/>
          <w:sz w:val="21"/>
          <w:szCs w:val="21"/>
          <w:lang w:eastAsia="zh-CN"/>
        </w:rPr>
        <w:t xml:space="preserve">. To project the number of vehicles deregistered from 2020 to 2050, we apply a survival rate curve based on a Weibull distribution, calibrated using historical data on vehicle </w:t>
      </w:r>
      <w:r w:rsidRPr="00F0769E">
        <w:rPr>
          <w:rFonts w:ascii="Times New Roman" w:eastAsia="DengXian" w:hAnsi="Times New Roman" w:cs="Times New Roman"/>
          <w:sz w:val="21"/>
          <w:szCs w:val="21"/>
          <w:lang w:eastAsia="zh-CN"/>
        </w:rPr>
        <w:lastRenderedPageBreak/>
        <w:t>survival rates by age from a 2019 report by the Automobile Inspection &amp; Registration Information Association</w:t>
      </w:r>
      <w:r w:rsidR="00527869" w:rsidRPr="00632C76">
        <w:rPr>
          <w:rFonts w:ascii="Times New Roman" w:eastAsia="DengXian" w:hAnsi="Times New Roman" w:cs="Times New Roman"/>
          <w:color w:val="000000"/>
          <w:sz w:val="21"/>
          <w:szCs w:val="18"/>
          <w:lang w:eastAsia="zh-CN"/>
        </w:rPr>
        <w:fldChar w:fldCharType="begin"/>
      </w:r>
      <w:r w:rsidR="00527869" w:rsidRPr="00632C76">
        <w:rPr>
          <w:rFonts w:ascii="Times New Roman" w:eastAsia="DengXian" w:hAnsi="Times New Roman" w:cs="Times New Roman"/>
          <w:color w:val="000000"/>
          <w:sz w:val="21"/>
          <w:szCs w:val="18"/>
          <w:lang w:eastAsia="zh-CN"/>
        </w:rPr>
        <w:instrText xml:space="preserve"> ADDIN EN.CITE &lt;EndNote&gt;&lt;Cite&gt;&lt;Author&gt;AIRIA&lt;/Author&gt;&lt;Year&gt;2024&lt;/Year&gt;&lt;RecNum&gt;215&lt;/RecNum&gt;&lt;DisplayText&gt;&lt;style face="superscript"&gt;21&lt;/style&gt;&lt;/DisplayText&gt;&lt;record&gt;&lt;rec-number&gt;215&lt;/rec-number&gt;&lt;foreign-keys&gt;&lt;key app="EN" db-id="200xxs0psrtaz4eze9pp5vvrdraszefpsp0w" timestamp="1708607591"&gt;215&lt;/key&gt;&lt;/foreign-keys&gt;&lt;ref-type name="Report"&gt;27&lt;/ref-type&gt;&lt;contributors&gt;&lt;authors&gt;&lt;author&gt;AIRIA&lt;/author&gt;&lt;/authors&gt;&lt;/contributors&gt;&lt;titles&gt;&lt;title&gt;Fleet composition of the passenger vehicles in Japan&lt;/title&gt;&lt;/titles&gt;&lt;dates&gt;&lt;year&gt;2024&lt;/year&gt;&lt;/dates&gt;&lt;pub-location&gt;Tokyo&lt;/pub-location&gt;&lt;publisher&gt;Automobile Inspection &amp;amp; Registration Information Association&lt;/publisher&gt;&lt;urls&gt;&lt;/urls&gt;&lt;/record&gt;&lt;/Cite&gt;&lt;/EndNote&gt;</w:instrText>
      </w:r>
      <w:r w:rsidR="00527869" w:rsidRPr="00632C76">
        <w:rPr>
          <w:rFonts w:ascii="Times New Roman" w:eastAsia="DengXian" w:hAnsi="Times New Roman" w:cs="Times New Roman"/>
          <w:color w:val="000000"/>
          <w:sz w:val="21"/>
          <w:szCs w:val="18"/>
          <w:lang w:eastAsia="zh-CN"/>
        </w:rPr>
        <w:fldChar w:fldCharType="separate"/>
      </w:r>
      <w:r w:rsidR="00527869" w:rsidRPr="00632C76">
        <w:rPr>
          <w:rFonts w:ascii="Times New Roman" w:eastAsia="DengXian" w:hAnsi="Times New Roman" w:cs="Times New Roman"/>
          <w:noProof/>
          <w:color w:val="000000"/>
          <w:sz w:val="21"/>
          <w:szCs w:val="18"/>
          <w:vertAlign w:val="superscript"/>
          <w:lang w:eastAsia="zh-CN"/>
        </w:rPr>
        <w:t>21</w:t>
      </w:r>
      <w:r w:rsidR="00527869" w:rsidRPr="00632C76">
        <w:rPr>
          <w:rFonts w:ascii="Times New Roman" w:eastAsia="DengXian" w:hAnsi="Times New Roman" w:cs="Times New Roman"/>
          <w:color w:val="000000"/>
          <w:sz w:val="21"/>
          <w:szCs w:val="18"/>
          <w:lang w:eastAsia="zh-CN"/>
        </w:rPr>
        <w:fldChar w:fldCharType="end"/>
      </w:r>
      <w:r w:rsidRPr="00F0769E">
        <w:rPr>
          <w:rFonts w:ascii="Times New Roman" w:eastAsia="DengXian" w:hAnsi="Times New Roman" w:cs="Times New Roman"/>
          <w:sz w:val="21"/>
          <w:szCs w:val="21"/>
          <w:lang w:eastAsia="zh-CN"/>
        </w:rPr>
        <w:t>.</w:t>
      </w:r>
      <w:r w:rsidR="00527869">
        <w:rPr>
          <w:rFonts w:ascii="Times New Roman" w:eastAsia="DengXian" w:hAnsi="Times New Roman" w:cs="Times New Roman" w:hint="eastAsia"/>
          <w:sz w:val="21"/>
          <w:szCs w:val="21"/>
          <w:lang w:eastAsia="zh-CN"/>
        </w:rPr>
        <w:t xml:space="preserve"> </w:t>
      </w:r>
      <w:r w:rsidR="00543744">
        <w:rPr>
          <w:rFonts w:ascii="Times New Roman" w:eastAsia="DengXian" w:hAnsi="Times New Roman" w:cs="Times New Roman" w:hint="eastAsia"/>
          <w:sz w:val="21"/>
          <w:szCs w:val="21"/>
          <w:lang w:eastAsia="zh-CN"/>
        </w:rPr>
        <w:t xml:space="preserve">The equation of Weibull distribution is as follows: </w:t>
      </w:r>
    </w:p>
    <w:p w14:paraId="2EE118D1" w14:textId="77777777" w:rsidR="00543744" w:rsidRPr="005D3E7A" w:rsidRDefault="00543744" w:rsidP="00543744">
      <w:pPr>
        <w:pStyle w:val="Equation"/>
        <w:spacing w:after="200" w:line="240" w:lineRule="auto"/>
        <w:jc w:val="right"/>
        <w:rPr>
          <w:color w:val="auto"/>
        </w:rPr>
      </w:pPr>
      <w:r w:rsidRPr="005D3E7A">
        <w:rPr>
          <w:rFonts w:eastAsiaTheme="minorEastAsia"/>
          <w:color w:val="auto"/>
        </w:rPr>
        <w:tab/>
      </w:r>
      <m:oMath>
        <m:r>
          <w:rPr>
            <w:rFonts w:ascii="Cambria Math" w:hAnsi="Cambria Math"/>
            <w:color w:val="auto"/>
          </w:rPr>
          <m:t>F</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=1-⁡</m:t>
        </m:r>
        <m:sSup>
          <m:sSupPr>
            <m:ctrlPr>
              <w:rPr>
                <w:rFonts w:ascii="Cambria Math" w:hAnsi="Cambria Math"/>
                <w:i/>
                <w:color w:val="auto"/>
              </w:rPr>
            </m:ctrlPr>
          </m:sSupPr>
          <m:e>
            <m:r>
              <w:rPr>
                <w:rFonts w:ascii="Cambria Math" w:hAnsi="Cambria Math"/>
                <w:color w:val="auto"/>
              </w:rPr>
              <m:t>e</m:t>
            </m:r>
          </m:e>
          <m:sup>
            <m:r>
              <w:rPr>
                <w:rFonts w:ascii="Cambria Math" w:hAnsi="Cambria Math"/>
                <w:color w:val="auto"/>
              </w:rPr>
              <m:t>-</m:t>
            </m:r>
            <m:sSup>
              <m:sSupPr>
                <m:ctrlPr>
                  <w:rPr>
                    <w:rFonts w:ascii="Cambria Math" w:hAnsi="Cambria Math"/>
                    <w:i/>
                    <w:color w:val="auto"/>
                  </w:rPr>
                </m:ctrlPr>
              </m:sSupPr>
              <m:e>
                <m:r>
                  <w:rPr>
                    <w:rFonts w:ascii="Cambria Math" w:hAnsi="Cambria Math"/>
                    <w:color w:val="auto"/>
                  </w:rPr>
                  <m:t>(</m:t>
                </m:r>
                <m:f>
                  <m:fPr>
                    <m:ctrlPr>
                      <w:rPr>
                        <w:rFonts w:ascii="Cambria Math" w:hAnsi="Cambria Math"/>
                        <w:i/>
                        <w:color w:val="auto"/>
                      </w:rPr>
                    </m:ctrlPr>
                  </m:fPr>
                  <m:num>
                    <m:r>
                      <w:rPr>
                        <w:rFonts w:ascii="Cambria Math" w:hAnsi="Cambria Math"/>
                        <w:color w:val="auto"/>
                      </w:rPr>
                      <m:t>t</m:t>
                    </m:r>
                  </m:num>
                  <m:den>
                    <m:r>
                      <w:rPr>
                        <w:rFonts w:ascii="Cambria Math" w:hAnsi="Cambria Math"/>
                        <w:i/>
                        <w:color w:val="auto"/>
                      </w:rPr>
                      <w:sym w:font="Symbol" w:char="F06D"/>
                    </m:r>
                  </m:den>
                </m:f>
                <m:r>
                  <w:rPr>
                    <w:rFonts w:ascii="Cambria Math" w:hAnsi="Cambria Math"/>
                    <w:color w:val="auto"/>
                  </w:rPr>
                  <m:t>)</m:t>
                </m:r>
              </m:e>
              <m:sup>
                <m:r>
                  <w:rPr>
                    <w:rFonts w:ascii="Cambria Math" w:hAnsi="Cambria Math"/>
                    <w:color w:val="auto"/>
                  </w:rPr>
                  <m:t>m</m:t>
                </m:r>
              </m:sup>
            </m:sSup>
          </m:sup>
        </m:sSup>
      </m:oMath>
      <w:r w:rsidRPr="005D3E7A">
        <w:rPr>
          <w:rFonts w:eastAsia="SimSun"/>
          <w:color w:val="auto"/>
        </w:rPr>
        <w:t xml:space="preserve">                      </w:t>
      </w:r>
      <w:r w:rsidRPr="005D3E7A">
        <w:rPr>
          <w:color w:val="auto"/>
        </w:rPr>
        <w:t xml:space="preserve">(Equation </w:t>
      </w:r>
      <w:r>
        <w:rPr>
          <w:rFonts w:hint="eastAsia"/>
          <w:color w:val="auto"/>
        </w:rPr>
        <w:t>7</w:t>
      </w:r>
      <w:r w:rsidRPr="005D3E7A">
        <w:rPr>
          <w:color w:val="auto"/>
        </w:rPr>
        <w:t>)</w:t>
      </w:r>
    </w:p>
    <w:p w14:paraId="229574C9" w14:textId="478DD993" w:rsidR="00527869" w:rsidRDefault="00543744" w:rsidP="00F0769E">
      <w:pPr>
        <w:rPr>
          <w:rFonts w:ascii="Times New Roman" w:eastAsia="DengXian" w:hAnsi="Times New Roman" w:cs="Times New Roman"/>
          <w:sz w:val="21"/>
          <w:szCs w:val="21"/>
          <w:lang w:eastAsia="zh-CN"/>
        </w:rPr>
      </w:pPr>
      <w:r w:rsidRPr="005D3E7A">
        <w:rPr>
          <w:rFonts w:ascii="Times New Roman" w:hAnsi="Times New Roman" w:cs="Times New Roman"/>
          <w:sz w:val="21"/>
          <w:szCs w:val="21"/>
        </w:rPr>
        <w:t xml:space="preserve">where </w:t>
      </w:r>
      <m:oMath>
        <m:r>
          <w:rPr>
            <w:rFonts w:ascii="Cambria Math" w:hAnsi="Cambria Math" w:cs="Times New Roman"/>
            <w:sz w:val="21"/>
            <w:szCs w:val="21"/>
          </w:rPr>
          <m:t>F</m:t>
        </m:r>
        <m:d>
          <m:dPr>
            <m:ctrlPr>
              <w:rPr>
                <w:rFonts w:ascii="Cambria Math" w:hAnsi="Cambria Math" w:cs="Times New Roman"/>
                <w:i/>
                <w:iCs/>
                <w:sz w:val="21"/>
                <w:szCs w:val="21"/>
              </w:rPr>
            </m:ctrlPr>
          </m:dPr>
          <m:e>
            <m:r>
              <w:rPr>
                <w:rFonts w:ascii="Cambria Math" w:hAnsi="Cambria Math" w:cs="Times New Roman"/>
                <w:sz w:val="21"/>
                <w:szCs w:val="21"/>
              </w:rPr>
              <m:t>t</m:t>
            </m:r>
          </m:e>
        </m:d>
      </m:oMath>
      <w:r w:rsidRPr="005D3E7A">
        <w:rPr>
          <w:rFonts w:ascii="Times New Roman" w:hAnsi="Times New Roman" w:cs="Times New Roman"/>
          <w:iCs/>
          <w:sz w:val="21"/>
          <w:szCs w:val="21"/>
        </w:rPr>
        <w:t xml:space="preserve"> is the survival rate of a </w:t>
      </w:r>
      <w:r w:rsidRPr="005D3E7A">
        <w:rPr>
          <w:rFonts w:ascii="Times New Roman" w:eastAsia="SimSun" w:hAnsi="Times New Roman" w:cs="Times New Roman"/>
          <w:iCs/>
          <w:sz w:val="21"/>
          <w:szCs w:val="21"/>
          <w:lang w:eastAsia="zh-CN"/>
        </w:rPr>
        <w:t>passenger car</w:t>
      </w:r>
      <w:r w:rsidRPr="005D3E7A">
        <w:rPr>
          <w:rFonts w:ascii="Times New Roman" w:hAnsi="Times New Roman" w:cs="Times New Roman"/>
          <w:iCs/>
          <w:sz w:val="21"/>
          <w:szCs w:val="21"/>
        </w:rPr>
        <w:t xml:space="preserve"> when it services </w:t>
      </w:r>
      <m:oMath>
        <m:r>
          <w:rPr>
            <w:rFonts w:ascii="Cambria Math" w:hAnsi="Cambria Math" w:cs="Times New Roman"/>
            <w:sz w:val="21"/>
            <w:szCs w:val="21"/>
          </w:rPr>
          <m:t>t</m:t>
        </m:r>
      </m:oMath>
      <w:r w:rsidRPr="005D3E7A">
        <w:rPr>
          <w:rFonts w:ascii="Times New Roman" w:hAnsi="Times New Roman" w:cs="Times New Roman"/>
          <w:iCs/>
          <w:sz w:val="21"/>
          <w:szCs w:val="21"/>
        </w:rPr>
        <w:t xml:space="preserve"> years. Parameters </w:t>
      </w:r>
      <m:oMath>
        <m:r>
          <w:rPr>
            <w:rFonts w:ascii="Cambria Math" w:hAnsi="Cambria Math" w:cs="Times New Roman"/>
            <w:sz w:val="21"/>
            <w:szCs w:val="21"/>
          </w:rPr>
          <m:t>m</m:t>
        </m:r>
      </m:oMath>
      <w:r w:rsidRPr="005D3E7A">
        <w:rPr>
          <w:rFonts w:ascii="Times New Roman" w:hAnsi="Times New Roman" w:cs="Times New Roman"/>
          <w:iCs/>
          <w:sz w:val="21"/>
          <w:szCs w:val="21"/>
        </w:rPr>
        <w:t xml:space="preserve"> and</w:t>
      </w:r>
      <w:r w:rsidRPr="005D3E7A">
        <w:rPr>
          <w:rFonts w:ascii="Times New Roman" w:hAnsi="Times New Roman" w:cs="Times New Roman"/>
          <w:i/>
          <w:iCs/>
          <w:sz w:val="21"/>
          <w:szCs w:val="21"/>
        </w:rPr>
        <w:t xml:space="preserve"> </w:t>
      </w:r>
      <w:r w:rsidRPr="005D3E7A">
        <w:rPr>
          <w:rFonts w:ascii="Times New Roman" w:hAnsi="Times New Roman" w:cs="Times New Roman"/>
          <w:i/>
          <w:iCs/>
          <w:sz w:val="21"/>
          <w:szCs w:val="21"/>
        </w:rPr>
        <w:sym w:font="Symbol" w:char="F06D"/>
      </w:r>
      <w:r w:rsidRPr="005D3E7A">
        <w:rPr>
          <w:rFonts w:ascii="Times New Roman" w:hAnsi="Times New Roman" w:cs="Times New Roman"/>
          <w:iCs/>
          <w:sz w:val="21"/>
          <w:szCs w:val="21"/>
        </w:rPr>
        <w:t xml:space="preserve"> are </w:t>
      </w:r>
      <w:r w:rsidRPr="005D3E7A">
        <w:rPr>
          <w:rFonts w:ascii="Times New Roman" w:hAnsi="Times New Roman" w:cs="Times New Roman"/>
          <w:sz w:val="21"/>
          <w:szCs w:val="21"/>
        </w:rPr>
        <w:t xml:space="preserve">calibrated as </w:t>
      </w:r>
      <w:r w:rsidRPr="005D3E7A">
        <w:rPr>
          <w:rFonts w:ascii="Times New Roman" w:eastAsia="SimSun" w:hAnsi="Times New Roman" w:cs="Times New Roman"/>
          <w:sz w:val="21"/>
          <w:szCs w:val="21"/>
          <w:lang w:eastAsia="zh-CN"/>
        </w:rPr>
        <w:t>1.93</w:t>
      </w:r>
      <w:r w:rsidRPr="005D3E7A">
        <w:rPr>
          <w:rFonts w:ascii="Times New Roman" w:hAnsi="Times New Roman" w:cs="Times New Roman"/>
          <w:sz w:val="21"/>
          <w:szCs w:val="21"/>
        </w:rPr>
        <w:t xml:space="preserve"> and </w:t>
      </w:r>
      <w:r w:rsidRPr="005D3E7A">
        <w:rPr>
          <w:rFonts w:ascii="Times New Roman" w:eastAsia="SimSun" w:hAnsi="Times New Roman" w:cs="Times New Roman"/>
          <w:sz w:val="21"/>
          <w:szCs w:val="21"/>
          <w:lang w:eastAsia="zh-CN"/>
        </w:rPr>
        <w:t>16.02</w:t>
      </w:r>
      <w:r w:rsidRPr="005D3E7A">
        <w:rPr>
          <w:rFonts w:ascii="Times New Roman" w:hAnsi="Times New Roman" w:cs="Times New Roman"/>
          <w:sz w:val="21"/>
          <w:szCs w:val="21"/>
        </w:rPr>
        <w:t>, respectively</w:t>
      </w:r>
      <w:r>
        <w:rPr>
          <w:rFonts w:ascii="Times New Roman" w:eastAsia="DengXian" w:hAnsi="Times New Roman" w:cs="Times New Roman" w:hint="eastAsia"/>
          <w:sz w:val="21"/>
          <w:szCs w:val="21"/>
          <w:lang w:eastAsia="zh-CN"/>
        </w:rPr>
        <w:t>.</w:t>
      </w:r>
    </w:p>
    <w:p w14:paraId="6009C9F8" w14:textId="77777777" w:rsidR="00527869" w:rsidRDefault="00527869" w:rsidP="00F0769E">
      <w:pPr>
        <w:rPr>
          <w:rFonts w:ascii="Times New Roman" w:eastAsia="DengXian" w:hAnsi="Times New Roman" w:cs="Times New Roman"/>
          <w:sz w:val="21"/>
          <w:szCs w:val="21"/>
          <w:lang w:eastAsia="zh-CN"/>
        </w:rPr>
      </w:pPr>
    </w:p>
    <w:p w14:paraId="4C55A161" w14:textId="4F968C16" w:rsidR="00173A6A" w:rsidRPr="00632C76" w:rsidRDefault="00E733AF" w:rsidP="00173A6A">
      <w:pP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A</w:t>
      </w:r>
      <w:r w:rsidRPr="00F0769E">
        <w:rPr>
          <w:rFonts w:ascii="Times New Roman" w:eastAsia="DengXian" w:hAnsi="Times New Roman" w:cs="Times New Roman"/>
          <w:sz w:val="21"/>
          <w:szCs w:val="21"/>
          <w:lang w:eastAsia="zh-CN"/>
        </w:rPr>
        <w:t>s illustrated in Figure S12</w:t>
      </w:r>
      <w:r w:rsidR="008F4691" w:rsidRPr="00F0769E">
        <w:rPr>
          <w:rFonts w:ascii="Times New Roman" w:eastAsia="DengXian" w:hAnsi="Times New Roman" w:cs="Times New Roman"/>
          <w:sz w:val="21"/>
          <w:szCs w:val="21"/>
          <w:lang w:eastAsia="zh-CN"/>
        </w:rPr>
        <w:t>, the estimated survival rate declines more rapidly for newer vehicles but more slowly for older ones. This reflects the general trend that newer cars tend to have longer lifespans than older models. While a more accurate approach would involve fitting separate Weibull distributions for vehicles manufactured in different years, such an approach requires extensive statistical data and computational effort.</w:t>
      </w:r>
      <w:r w:rsidR="008F4691">
        <w:rPr>
          <w:rFonts w:ascii="Times New Roman" w:eastAsia="DengXian" w:hAnsi="Times New Roman" w:cs="Times New Roman" w:hint="eastAsia"/>
          <w:sz w:val="21"/>
          <w:szCs w:val="21"/>
          <w:lang w:eastAsia="zh-CN"/>
        </w:rPr>
        <w:t xml:space="preserve"> </w:t>
      </w:r>
      <w:r w:rsidR="008F4691" w:rsidRPr="00F0769E">
        <w:rPr>
          <w:rFonts w:ascii="Times New Roman" w:eastAsia="DengXian" w:hAnsi="Times New Roman" w:cs="Times New Roman"/>
          <w:sz w:val="21"/>
          <w:szCs w:val="21"/>
          <w:lang w:eastAsia="zh-CN"/>
        </w:rPr>
        <w:t>Although recent trends suggest that ICEVs and HEVs have increasingly longer lifespans, there remains considerable uncertainty regarding the longevity of BEVs, which current evidence suggests may have shorter lifespans. Given this uncertainty, we assume that all types of passenger cars follow the same Weibull distribution and that no further extension in lifespan occurs over time.</w:t>
      </w:r>
    </w:p>
    <w:p w14:paraId="22888DFF" w14:textId="77777777" w:rsidR="008F4691" w:rsidRDefault="008F4691" w:rsidP="00173A6A">
      <w:pPr>
        <w:rPr>
          <w:rFonts w:ascii="Times New Roman" w:eastAsia="DengXian" w:hAnsi="Times New Roman" w:cs="Times New Roman"/>
          <w:sz w:val="21"/>
          <w:szCs w:val="21"/>
          <w:lang w:eastAsia="zh-CN"/>
        </w:rPr>
      </w:pPr>
    </w:p>
    <w:p w14:paraId="207CD40A" w14:textId="77777777" w:rsidR="00481C55" w:rsidRPr="000F62FA" w:rsidRDefault="00481C55" w:rsidP="00481C55">
      <w:pPr>
        <w:jc w:val="center"/>
        <w:rPr>
          <w:rFonts w:ascii="Times New Roman" w:hAnsi="Times New Roman" w:cs="Times New Roman"/>
        </w:rPr>
      </w:pPr>
      <w:r w:rsidRPr="000F62FA">
        <w:rPr>
          <w:rFonts w:ascii="Times New Roman" w:hAnsi="Times New Roman" w:cs="Times New Roman"/>
          <w:noProof/>
        </w:rPr>
        <w:drawing>
          <wp:inline distT="0" distB="0" distL="0" distR="0" wp14:anchorId="2F5811B4" wp14:editId="60ABEA93">
            <wp:extent cx="4207398" cy="2575262"/>
            <wp:effectExtent l="0" t="0" r="3175" b="0"/>
            <wp:docPr id="2086655009" name="グラフ 1">
              <a:extLst xmlns:a="http://schemas.openxmlformats.org/drawingml/2006/main">
                <a:ext uri="{FF2B5EF4-FFF2-40B4-BE49-F238E27FC236}">
                  <a16:creationId xmlns:a16="http://schemas.microsoft.com/office/drawing/2014/main" id="{626D1857-CCE8-4296-9BB1-173F78203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DF3B60" w14:textId="77777777" w:rsidR="00481C55" w:rsidRPr="00F13092" w:rsidRDefault="00481C55" w:rsidP="00481C55">
      <w:pPr>
        <w:pStyle w:val="af"/>
        <w:jc w:val="center"/>
        <w:rPr>
          <w:rFonts w:ascii="Times New Roman" w:eastAsia="DengXian" w:hAnsi="Times New Roman" w:cs="Times New Roman"/>
          <w:lang w:eastAsia="zh-CN"/>
        </w:rPr>
      </w:pPr>
      <w:bookmarkStart w:id="31" w:name="_Toc208439478"/>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Pr>
          <w:rFonts w:ascii="Times New Roman" w:hAnsi="Times New Roman" w:cs="Times New Roman"/>
          <w:noProof/>
        </w:rPr>
        <w:t>12</w:t>
      </w:r>
      <w:r w:rsidRPr="007F5CA8">
        <w:rPr>
          <w:rFonts w:ascii="Times New Roman" w:hAnsi="Times New Roman" w:cs="Times New Roman"/>
        </w:rPr>
        <w:fldChar w:fldCharType="end"/>
      </w:r>
      <w:r w:rsidRPr="007F5CA8">
        <w:rPr>
          <w:rFonts w:ascii="Times New Roman" w:hAnsi="Times New Roman" w:cs="Times New Roman"/>
        </w:rPr>
        <w:t xml:space="preserve">. </w:t>
      </w:r>
      <w:r w:rsidRPr="00F13092">
        <w:rPr>
          <w:rFonts w:ascii="Times New Roman" w:hAnsi="Times New Roman" w:cs="Times New Roman"/>
        </w:rPr>
        <w:t>Actual survival rate of passenger cars in Japan (2019) and its fitted curve by Weibull distribution.</w:t>
      </w:r>
      <w:bookmarkEnd w:id="31"/>
    </w:p>
    <w:p w14:paraId="61F5D778" w14:textId="77777777" w:rsidR="00481C55" w:rsidRDefault="00481C55" w:rsidP="00481C55">
      <w:pPr>
        <w:rPr>
          <w:rFonts w:ascii="Times New Roman" w:eastAsia="DengXian" w:hAnsi="Times New Roman" w:cs="Times New Roman"/>
          <w:sz w:val="21"/>
          <w:szCs w:val="21"/>
          <w:lang w:eastAsia="zh-CN"/>
        </w:rPr>
      </w:pPr>
    </w:p>
    <w:p w14:paraId="52FC25D6" w14:textId="139DA9D2" w:rsidR="00757485" w:rsidRDefault="00B65C67" w:rsidP="00173A6A">
      <w:pPr>
        <w:rPr>
          <w:rFonts w:ascii="Times New Roman" w:eastAsia="DengXian" w:hAnsi="Times New Roman" w:cs="Times New Roman"/>
          <w:sz w:val="21"/>
          <w:szCs w:val="21"/>
          <w:lang w:eastAsia="zh-CN"/>
        </w:rPr>
      </w:pPr>
      <w:r w:rsidRPr="00B65C67">
        <w:rPr>
          <w:rFonts w:ascii="Times New Roman" w:eastAsia="DengXian" w:hAnsi="Times New Roman" w:cs="Times New Roman"/>
          <w:sz w:val="21"/>
          <w:szCs w:val="21"/>
          <w:lang w:eastAsia="zh-CN"/>
        </w:rPr>
        <w:t>Since the dynamic MFA model requires information on historical passenger car fleets and their age distribution to estimate future deregistrations, we applied a Weibull distribution to retrodict the car fleet composition from 2019 back to 1993. However, this approach tends to slightly underestimate the total number of passenger cars compared to actual records</w:t>
      </w:r>
      <w:r w:rsidR="00214F70">
        <w:rPr>
          <w:rFonts w:ascii="Times New Roman" w:eastAsia="DengXian" w:hAnsi="Times New Roman" w:cs="Times New Roman" w:hint="eastAsia"/>
          <w:sz w:val="21"/>
          <w:szCs w:val="21"/>
          <w:lang w:eastAsia="zh-CN"/>
        </w:rPr>
        <w:t xml:space="preserve"> (Figure S13)</w:t>
      </w:r>
      <w:r w:rsidRPr="00B65C67">
        <w:rPr>
          <w:rFonts w:ascii="Times New Roman" w:eastAsia="DengXian" w:hAnsi="Times New Roman" w:cs="Times New Roman"/>
          <w:sz w:val="21"/>
          <w:szCs w:val="21"/>
          <w:lang w:eastAsia="zh-CN"/>
        </w:rPr>
        <w:t>, likely due to a higher proportion of older vehicles in the fleet during the early 2000s, particularly between 2000 and 2005.</w:t>
      </w:r>
    </w:p>
    <w:p w14:paraId="6AC0BAF8" w14:textId="77777777" w:rsidR="005B3D2F" w:rsidRPr="005C1E01" w:rsidRDefault="005B3D2F" w:rsidP="00173A6A">
      <w:pPr>
        <w:rPr>
          <w:rFonts w:ascii="Times New Roman" w:eastAsia="DengXian" w:hAnsi="Times New Roman" w:cs="Times New Roman"/>
          <w:sz w:val="21"/>
          <w:szCs w:val="21"/>
          <w:lang w:eastAsia="zh-CN"/>
        </w:rPr>
      </w:pPr>
    </w:p>
    <w:p w14:paraId="4926A3F3" w14:textId="77777777" w:rsidR="00173A6A" w:rsidRPr="000F62FA" w:rsidRDefault="00173A6A" w:rsidP="00173A6A">
      <w:pPr>
        <w:jc w:val="center"/>
        <w:rPr>
          <w:rFonts w:ascii="Times New Roman" w:hAnsi="Times New Roman" w:cs="Times New Roman"/>
        </w:rPr>
      </w:pPr>
      <w:r w:rsidRPr="000F62FA">
        <w:rPr>
          <w:rFonts w:ascii="Times New Roman" w:hAnsi="Times New Roman" w:cs="Times New Roman"/>
          <w:noProof/>
        </w:rPr>
        <w:drawing>
          <wp:inline distT="0" distB="0" distL="0" distR="0" wp14:anchorId="514F65A5" wp14:editId="036A14BC">
            <wp:extent cx="4813935" cy="3409950"/>
            <wp:effectExtent l="0" t="0" r="5715" b="0"/>
            <wp:docPr id="2050758527" name="グラフ 1">
              <a:extLst xmlns:a="http://schemas.openxmlformats.org/drawingml/2006/main">
                <a:ext uri="{FF2B5EF4-FFF2-40B4-BE49-F238E27FC236}">
                  <a16:creationId xmlns:a16="http://schemas.microsoft.com/office/drawing/2014/main" id="{CC4C524A-8CD6-4F60-A8A0-2E5467E2F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6C72A6" w14:textId="67EE2642" w:rsidR="00173A6A" w:rsidRPr="00F13092" w:rsidRDefault="00173A6A" w:rsidP="00173A6A">
      <w:pPr>
        <w:pStyle w:val="af"/>
        <w:jc w:val="center"/>
        <w:rPr>
          <w:rFonts w:ascii="Times New Roman" w:eastAsia="DengXian" w:hAnsi="Times New Roman" w:cs="Times New Roman"/>
          <w:lang w:eastAsia="zh-CN"/>
        </w:rPr>
      </w:pPr>
      <w:bookmarkStart w:id="32" w:name="_Toc208439479"/>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214F70">
        <w:rPr>
          <w:rFonts w:ascii="Times New Roman" w:hAnsi="Times New Roman" w:cs="Times New Roman"/>
          <w:noProof/>
        </w:rPr>
        <w:t>13</w:t>
      </w:r>
      <w:r w:rsidRPr="007F5CA8">
        <w:rPr>
          <w:rFonts w:ascii="Times New Roman" w:hAnsi="Times New Roman" w:cs="Times New Roman"/>
        </w:rPr>
        <w:fldChar w:fldCharType="end"/>
      </w:r>
      <w:r w:rsidRPr="007F5CA8">
        <w:rPr>
          <w:rFonts w:ascii="Times New Roman" w:hAnsi="Times New Roman" w:cs="Times New Roman"/>
        </w:rPr>
        <w:t xml:space="preserve">. </w:t>
      </w:r>
      <w:r w:rsidRPr="00F13092">
        <w:rPr>
          <w:rFonts w:ascii="Times New Roman" w:hAnsi="Times New Roman" w:cs="Times New Roman"/>
        </w:rPr>
        <w:t>Actual passenger car ownership (1993-2019) and the comparison to the calculation result backwards from 2019.</w:t>
      </w:r>
      <w:bookmarkEnd w:id="32"/>
    </w:p>
    <w:p w14:paraId="5D772E2F" w14:textId="77777777" w:rsidR="00173A6A" w:rsidRPr="002F367B" w:rsidRDefault="00173A6A" w:rsidP="00173A6A">
      <w:pPr>
        <w:rPr>
          <w:rFonts w:ascii="Times New Roman" w:eastAsiaTheme="minorEastAsia" w:hAnsi="Times New Roman" w:cs="Times New Roman"/>
          <w:sz w:val="21"/>
          <w:szCs w:val="21"/>
        </w:rPr>
      </w:pPr>
    </w:p>
    <w:p w14:paraId="2377AE38" w14:textId="2A7BC6F1" w:rsidR="0015542A" w:rsidRDefault="000E578B" w:rsidP="00173A6A">
      <w:pPr>
        <w:rPr>
          <w:rFonts w:ascii="Times New Roman" w:eastAsia="DengXian" w:hAnsi="Times New Roman" w:cs="Times New Roman"/>
          <w:sz w:val="21"/>
          <w:szCs w:val="21"/>
          <w:lang w:eastAsia="zh-CN"/>
        </w:rPr>
      </w:pPr>
      <w:r w:rsidRPr="000E578B">
        <w:rPr>
          <w:rFonts w:ascii="Times New Roman" w:eastAsia="DengXian" w:hAnsi="Times New Roman" w:cs="Times New Roman"/>
          <w:sz w:val="21"/>
          <w:szCs w:val="21"/>
          <w:lang w:eastAsia="zh-CN"/>
        </w:rPr>
        <w:t>To align with the actual historical ownership of passenger cars, the estimated age distribution retrodicted from 2019 was proportionally adjusted so that the total number of passenger cars matches observed data. Figure S14 illustrates a portion of the estimated changes in vehicle age distribution over time.</w:t>
      </w:r>
    </w:p>
    <w:p w14:paraId="06CFCA59" w14:textId="77777777" w:rsidR="000E578B" w:rsidRPr="002F367B" w:rsidRDefault="000E578B" w:rsidP="00173A6A">
      <w:pPr>
        <w:rPr>
          <w:rFonts w:ascii="Times New Roman" w:eastAsia="DengXian" w:hAnsi="Times New Roman" w:cs="Times New Roman"/>
          <w:sz w:val="21"/>
          <w:szCs w:val="21"/>
          <w:lang w:eastAsia="zh-CN"/>
        </w:rPr>
      </w:pPr>
    </w:p>
    <w:p w14:paraId="1E814B5A" w14:textId="1851C0EA" w:rsidR="0015542A" w:rsidRPr="0015542A" w:rsidRDefault="00B133DC" w:rsidP="00173A6A">
      <w:pPr>
        <w:rPr>
          <w:rFonts w:ascii="Times New Roman" w:eastAsia="DengXian" w:hAnsi="Times New Roman" w:cs="Times New Roman"/>
          <w:lang w:eastAsia="zh-CN"/>
        </w:rPr>
      </w:pPr>
      <w:r>
        <w:rPr>
          <w:noProof/>
        </w:rPr>
        <w:drawing>
          <wp:inline distT="0" distB="0" distL="0" distR="0" wp14:anchorId="13628AEE" wp14:editId="2D18E586">
            <wp:extent cx="5400040" cy="1905635"/>
            <wp:effectExtent l="0" t="0" r="0" b="0"/>
            <wp:docPr id="292910601" name="グラフ 1">
              <a:extLst xmlns:a="http://schemas.openxmlformats.org/drawingml/2006/main">
                <a:ext uri="{FF2B5EF4-FFF2-40B4-BE49-F238E27FC236}">
                  <a16:creationId xmlns:a16="http://schemas.microsoft.com/office/drawing/2014/main" id="{B8A1FEDD-DC19-B57A-6B85-0466C30C4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B6D06F" w14:textId="7AF4B520" w:rsidR="009F13C2" w:rsidRPr="00C15A2A" w:rsidRDefault="009F13C2" w:rsidP="009F13C2">
      <w:pPr>
        <w:pStyle w:val="af"/>
        <w:jc w:val="center"/>
        <w:rPr>
          <w:rFonts w:ascii="Times New Roman" w:eastAsia="DengXian" w:hAnsi="Times New Roman" w:cs="Times New Roman"/>
          <w:lang w:eastAsia="zh-CN"/>
        </w:rPr>
      </w:pPr>
      <w:bookmarkStart w:id="33" w:name="_Toc208439480"/>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B133DC">
        <w:rPr>
          <w:rFonts w:ascii="Times New Roman" w:hAnsi="Times New Roman" w:cs="Times New Roman"/>
          <w:noProof/>
        </w:rPr>
        <w:t>14</w:t>
      </w:r>
      <w:r w:rsidRPr="007F5CA8">
        <w:rPr>
          <w:rFonts w:ascii="Times New Roman" w:hAnsi="Times New Roman" w:cs="Times New Roman"/>
        </w:rPr>
        <w:fldChar w:fldCharType="end"/>
      </w:r>
      <w:r w:rsidRPr="007F5CA8">
        <w:rPr>
          <w:rFonts w:ascii="Times New Roman" w:hAnsi="Times New Roman" w:cs="Times New Roman"/>
        </w:rPr>
        <w:t xml:space="preserve">. </w:t>
      </w:r>
      <w:r w:rsidR="00C15A2A">
        <w:rPr>
          <w:rFonts w:ascii="Times New Roman" w:eastAsia="DengXian" w:hAnsi="Times New Roman" w:cs="Times New Roman" w:hint="eastAsia"/>
          <w:lang w:eastAsia="zh-CN"/>
        </w:rPr>
        <w:t xml:space="preserve">Estimated changes </w:t>
      </w:r>
      <w:r w:rsidR="009A79FF">
        <w:rPr>
          <w:rFonts w:ascii="Times New Roman" w:eastAsiaTheme="minorEastAsia" w:hAnsi="Times New Roman" w:cs="Times New Roman" w:hint="eastAsia"/>
        </w:rPr>
        <w:t>in</w:t>
      </w:r>
      <w:r w:rsidR="00C15A2A">
        <w:rPr>
          <w:rFonts w:ascii="Times New Roman" w:eastAsia="DengXian" w:hAnsi="Times New Roman" w:cs="Times New Roman" w:hint="eastAsia"/>
          <w:lang w:eastAsia="zh-CN"/>
        </w:rPr>
        <w:t xml:space="preserve"> vehicle age distribution </w:t>
      </w:r>
      <w:r w:rsidR="002A5D79">
        <w:rPr>
          <w:rFonts w:ascii="Times New Roman" w:eastAsia="DengXian" w:hAnsi="Times New Roman" w:cs="Times New Roman" w:hint="eastAsia"/>
          <w:lang w:eastAsia="zh-CN"/>
        </w:rPr>
        <w:t xml:space="preserve">of </w:t>
      </w:r>
      <w:r w:rsidR="002A5D79">
        <w:rPr>
          <w:rFonts w:ascii="Times New Roman" w:eastAsia="DengXian" w:hAnsi="Times New Roman" w:cs="Times New Roman"/>
          <w:lang w:eastAsia="zh-CN"/>
        </w:rPr>
        <w:t>passenger</w:t>
      </w:r>
      <w:r w:rsidR="002A5D79">
        <w:rPr>
          <w:rFonts w:ascii="Times New Roman" w:eastAsia="DengXian" w:hAnsi="Times New Roman" w:cs="Times New Roman" w:hint="eastAsia"/>
          <w:lang w:eastAsia="zh-CN"/>
        </w:rPr>
        <w:t xml:space="preserve"> cars </w:t>
      </w:r>
      <w:r w:rsidR="00C15A2A">
        <w:rPr>
          <w:rFonts w:ascii="Times New Roman" w:eastAsia="DengXian" w:hAnsi="Times New Roman" w:cs="Times New Roman" w:hint="eastAsia"/>
          <w:lang w:eastAsia="zh-CN"/>
        </w:rPr>
        <w:t>in the past</w:t>
      </w:r>
      <w:r w:rsidR="00313A03">
        <w:rPr>
          <w:rFonts w:ascii="Times New Roman" w:eastAsia="DengXian" w:hAnsi="Times New Roman" w:cs="Times New Roman" w:hint="eastAsia"/>
          <w:lang w:eastAsia="zh-CN"/>
        </w:rPr>
        <w:t xml:space="preserve"> (adjusted with actual ownership)</w:t>
      </w:r>
      <w:bookmarkEnd w:id="33"/>
    </w:p>
    <w:p w14:paraId="0B66E7E7" w14:textId="77777777" w:rsidR="009F13C2" w:rsidRPr="002869E9" w:rsidRDefault="009F13C2" w:rsidP="009F13C2">
      <w:pPr>
        <w:rPr>
          <w:rFonts w:ascii="Times New Roman" w:eastAsia="DengXian" w:hAnsi="Times New Roman" w:cs="Times New Roman"/>
          <w:sz w:val="21"/>
          <w:szCs w:val="21"/>
          <w:lang w:eastAsia="zh-CN"/>
        </w:rPr>
      </w:pPr>
    </w:p>
    <w:p w14:paraId="31FB0CC2" w14:textId="3E088CF5" w:rsidR="008E59B5" w:rsidRPr="002869E9" w:rsidRDefault="00114F5E" w:rsidP="00173A6A">
      <w:pPr>
        <w:rPr>
          <w:rFonts w:ascii="Times New Roman" w:eastAsia="DengXian" w:hAnsi="Times New Roman" w:cs="Times New Roman"/>
          <w:sz w:val="21"/>
          <w:szCs w:val="21"/>
          <w:lang w:eastAsia="zh-CN"/>
        </w:rPr>
      </w:pPr>
      <w:r w:rsidRPr="00114F5E">
        <w:rPr>
          <w:rFonts w:ascii="Times New Roman" w:eastAsia="DengXian" w:hAnsi="Times New Roman" w:cs="Times New Roman"/>
          <w:sz w:val="21"/>
          <w:szCs w:val="21"/>
          <w:lang w:eastAsia="zh-CN"/>
        </w:rPr>
        <w:lastRenderedPageBreak/>
        <w:t>Accordingly, it is possible to project future changes in the age distribution of passenger cars, as shown in Figure S15. Notably, the ownership of new passenger cars declines more significantly under scenarios that promote car-sharing and compact city planning.</w:t>
      </w:r>
    </w:p>
    <w:p w14:paraId="4C090988" w14:textId="29A27250" w:rsidR="00C320B1" w:rsidRDefault="00C320B1" w:rsidP="002D0F33">
      <w:pPr>
        <w:jc w:val="center"/>
        <w:rPr>
          <w:rFonts w:ascii="Times New Roman" w:eastAsia="DengXian" w:hAnsi="Times New Roman" w:cs="Times New Roman"/>
          <w:lang w:eastAsia="zh-CN"/>
        </w:rPr>
      </w:pPr>
      <w:r>
        <w:rPr>
          <w:noProof/>
        </w:rPr>
        <w:drawing>
          <wp:inline distT="0" distB="0" distL="0" distR="0" wp14:anchorId="5808355D" wp14:editId="06D88B18">
            <wp:extent cx="5400040" cy="1904365"/>
            <wp:effectExtent l="0" t="0" r="0" b="635"/>
            <wp:docPr id="946057679" name="グラフ 1">
              <a:extLst xmlns:a="http://schemas.openxmlformats.org/drawingml/2006/main">
                <a:ext uri="{FF2B5EF4-FFF2-40B4-BE49-F238E27FC236}">
                  <a16:creationId xmlns:a16="http://schemas.microsoft.com/office/drawing/2014/main" id="{E61AA628-3305-41B7-99BF-9C41516E0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7524D7" w14:textId="0BE2F625" w:rsidR="00D64779" w:rsidRPr="0000482B" w:rsidRDefault="00D64779" w:rsidP="002D0F33">
      <w:pPr>
        <w:jc w:val="center"/>
        <w:rPr>
          <w:rFonts w:ascii="Times New Roman" w:eastAsia="DengXian" w:hAnsi="Times New Roman" w:cs="Times New Roman"/>
          <w:sz w:val="21"/>
          <w:szCs w:val="21"/>
          <w:lang w:eastAsia="zh-CN"/>
        </w:rPr>
      </w:pPr>
      <w:r w:rsidRPr="0000482B">
        <w:rPr>
          <w:rFonts w:ascii="Times New Roman" w:eastAsia="DengXian" w:hAnsi="Times New Roman" w:cs="Times New Roman" w:hint="eastAsia"/>
          <w:sz w:val="21"/>
          <w:szCs w:val="21"/>
          <w:lang w:eastAsia="zh-CN"/>
        </w:rPr>
        <w:t>a</w:t>
      </w:r>
      <w:r w:rsidR="002D0F33" w:rsidRPr="0000482B">
        <w:rPr>
          <w:rFonts w:ascii="Times New Roman" w:eastAsia="DengXian" w:hAnsi="Times New Roman" w:cs="Times New Roman" w:hint="eastAsia"/>
          <w:sz w:val="21"/>
          <w:szCs w:val="21"/>
          <w:lang w:eastAsia="zh-CN"/>
        </w:rPr>
        <w:t xml:space="preserve">. </w:t>
      </w:r>
      <w:r w:rsidR="0000482B" w:rsidRPr="0000482B">
        <w:rPr>
          <w:rFonts w:ascii="Times New Roman" w:eastAsia="DengXian" w:hAnsi="Times New Roman" w:cs="Times New Roman" w:hint="eastAsia"/>
          <w:sz w:val="21"/>
          <w:szCs w:val="21"/>
          <w:lang w:eastAsia="zh-CN"/>
        </w:rPr>
        <w:t>urban forms unchange</w:t>
      </w:r>
      <w:r w:rsidR="0000482B">
        <w:rPr>
          <w:rFonts w:ascii="Times New Roman" w:eastAsia="DengXian" w:hAnsi="Times New Roman" w:cs="Times New Roman" w:hint="eastAsia"/>
          <w:sz w:val="21"/>
          <w:szCs w:val="21"/>
          <w:lang w:eastAsia="zh-CN"/>
        </w:rPr>
        <w:t>d</w:t>
      </w:r>
    </w:p>
    <w:p w14:paraId="7DE371C7" w14:textId="530F0E3E" w:rsidR="00D64779" w:rsidRDefault="00B51600" w:rsidP="002D0F33">
      <w:pPr>
        <w:jc w:val="center"/>
        <w:rPr>
          <w:rFonts w:ascii="Times New Roman" w:eastAsia="DengXian" w:hAnsi="Times New Roman" w:cs="Times New Roman"/>
          <w:lang w:eastAsia="zh-CN"/>
        </w:rPr>
      </w:pPr>
      <w:r>
        <w:rPr>
          <w:noProof/>
        </w:rPr>
        <w:drawing>
          <wp:inline distT="0" distB="0" distL="0" distR="0" wp14:anchorId="03A24BFA" wp14:editId="58000310">
            <wp:extent cx="5400040" cy="1904365"/>
            <wp:effectExtent l="0" t="0" r="0" b="635"/>
            <wp:docPr id="357194901" name="グラフ 1">
              <a:extLst xmlns:a="http://schemas.openxmlformats.org/drawingml/2006/main">
                <a:ext uri="{FF2B5EF4-FFF2-40B4-BE49-F238E27FC236}">
                  <a16:creationId xmlns:a16="http://schemas.microsoft.com/office/drawing/2014/main" id="{E61AA628-3305-41B7-99BF-9C41516E0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1765AD" w14:textId="099FEBFB" w:rsidR="00D64779" w:rsidRPr="0000482B" w:rsidRDefault="00D64779" w:rsidP="002D0F33">
      <w:pPr>
        <w:jc w:val="center"/>
        <w:rPr>
          <w:rFonts w:ascii="Times New Roman" w:eastAsia="DengXian" w:hAnsi="Times New Roman" w:cs="Times New Roman"/>
          <w:sz w:val="21"/>
          <w:szCs w:val="21"/>
          <w:lang w:eastAsia="zh-CN"/>
        </w:rPr>
      </w:pPr>
      <w:r w:rsidRPr="0000482B">
        <w:rPr>
          <w:rFonts w:ascii="Times New Roman" w:eastAsia="DengXian" w:hAnsi="Times New Roman" w:cs="Times New Roman" w:hint="eastAsia"/>
          <w:sz w:val="21"/>
          <w:szCs w:val="21"/>
          <w:lang w:eastAsia="zh-CN"/>
        </w:rPr>
        <w:t>b</w:t>
      </w:r>
      <w:r w:rsidR="0000482B" w:rsidRPr="0000482B">
        <w:rPr>
          <w:rFonts w:ascii="Times New Roman" w:eastAsia="DengXian" w:hAnsi="Times New Roman" w:cs="Times New Roman" w:hint="eastAsia"/>
          <w:sz w:val="21"/>
          <w:szCs w:val="21"/>
          <w:lang w:eastAsia="zh-CN"/>
        </w:rPr>
        <w:t>. car</w:t>
      </w:r>
      <w:r w:rsidR="003326E4">
        <w:rPr>
          <w:rFonts w:ascii="Times New Roman" w:eastAsia="DengXian" w:hAnsi="Times New Roman" w:cs="Times New Roman" w:hint="eastAsia"/>
          <w:sz w:val="21"/>
          <w:szCs w:val="21"/>
          <w:lang w:eastAsia="zh-CN"/>
        </w:rPr>
        <w:t>-</w:t>
      </w:r>
      <w:r w:rsidR="0000482B" w:rsidRPr="0000482B">
        <w:rPr>
          <w:rFonts w:ascii="Times New Roman" w:eastAsia="DengXian" w:hAnsi="Times New Roman" w:cs="Times New Roman" w:hint="eastAsia"/>
          <w:sz w:val="21"/>
          <w:szCs w:val="21"/>
          <w:lang w:eastAsia="zh-CN"/>
        </w:rPr>
        <w:t>sharing &amp; compact city</w:t>
      </w:r>
      <w:r w:rsidR="003326E4">
        <w:rPr>
          <w:rFonts w:ascii="Times New Roman" w:eastAsia="DengXian" w:hAnsi="Times New Roman" w:cs="Times New Roman" w:hint="eastAsia"/>
          <w:sz w:val="21"/>
          <w:szCs w:val="21"/>
          <w:lang w:eastAsia="zh-CN"/>
        </w:rPr>
        <w:t xml:space="preserve"> planning</w:t>
      </w:r>
    </w:p>
    <w:p w14:paraId="2602FFF3" w14:textId="35BADB63" w:rsidR="00C320B1" w:rsidRPr="00C15A2A" w:rsidRDefault="00C320B1" w:rsidP="00C320B1">
      <w:pPr>
        <w:pStyle w:val="af"/>
        <w:jc w:val="center"/>
        <w:rPr>
          <w:rFonts w:ascii="Times New Roman" w:eastAsia="DengXian" w:hAnsi="Times New Roman" w:cs="Times New Roman"/>
          <w:lang w:eastAsia="zh-CN"/>
        </w:rPr>
      </w:pPr>
      <w:bookmarkStart w:id="34" w:name="_Toc208439481"/>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Pr>
          <w:rFonts w:ascii="Times New Roman" w:hAnsi="Times New Roman" w:cs="Times New Roman"/>
          <w:noProof/>
        </w:rPr>
        <w:t>15</w:t>
      </w:r>
      <w:r w:rsidRPr="007F5CA8">
        <w:rPr>
          <w:rFonts w:ascii="Times New Roman" w:hAnsi="Times New Roman" w:cs="Times New Roman"/>
        </w:rPr>
        <w:fldChar w:fldCharType="end"/>
      </w:r>
      <w:r w:rsidRPr="007F5CA8">
        <w:rPr>
          <w:rFonts w:ascii="Times New Roman" w:hAnsi="Times New Roman" w:cs="Times New Roman"/>
        </w:rPr>
        <w:t xml:space="preserve">. </w:t>
      </w:r>
      <w:r w:rsidR="001C084A">
        <w:rPr>
          <w:rFonts w:ascii="Times New Roman" w:eastAsia="DengXian" w:hAnsi="Times New Roman" w:cs="Times New Roman" w:hint="eastAsia"/>
          <w:lang w:eastAsia="zh-CN"/>
        </w:rPr>
        <w:t>Projection of</w:t>
      </w:r>
      <w:r>
        <w:rPr>
          <w:rFonts w:ascii="Times New Roman" w:eastAsia="DengXian" w:hAnsi="Times New Roman" w:cs="Times New Roman" w:hint="eastAsia"/>
          <w:lang w:eastAsia="zh-CN"/>
        </w:rPr>
        <w:t xml:space="preserve"> changes </w:t>
      </w:r>
      <w:r w:rsidR="00CA6190">
        <w:rPr>
          <w:rFonts w:ascii="Times New Roman" w:eastAsiaTheme="minorEastAsia" w:hAnsi="Times New Roman" w:cs="Times New Roman" w:hint="eastAsia"/>
        </w:rPr>
        <w:t>in</w:t>
      </w:r>
      <w:r>
        <w:rPr>
          <w:rFonts w:ascii="Times New Roman" w:eastAsia="DengXian" w:hAnsi="Times New Roman" w:cs="Times New Roman" w:hint="eastAsia"/>
          <w:lang w:eastAsia="zh-CN"/>
        </w:rPr>
        <w:t xml:space="preserve"> vehicle age distribution of </w:t>
      </w:r>
      <w:r>
        <w:rPr>
          <w:rFonts w:ascii="Times New Roman" w:eastAsia="DengXian" w:hAnsi="Times New Roman" w:cs="Times New Roman"/>
          <w:lang w:eastAsia="zh-CN"/>
        </w:rPr>
        <w:t>passenger</w:t>
      </w:r>
      <w:r>
        <w:rPr>
          <w:rFonts w:ascii="Times New Roman" w:eastAsia="DengXian" w:hAnsi="Times New Roman" w:cs="Times New Roman" w:hint="eastAsia"/>
          <w:lang w:eastAsia="zh-CN"/>
        </w:rPr>
        <w:t xml:space="preserve"> cars in the </w:t>
      </w:r>
      <w:r w:rsidR="00690650">
        <w:rPr>
          <w:rFonts w:ascii="Times New Roman" w:eastAsia="DengXian" w:hAnsi="Times New Roman" w:cs="Times New Roman" w:hint="eastAsia"/>
          <w:lang w:eastAsia="zh-CN"/>
        </w:rPr>
        <w:t>future</w:t>
      </w:r>
      <w:bookmarkEnd w:id="34"/>
    </w:p>
    <w:p w14:paraId="735E6788" w14:textId="77777777" w:rsidR="009F13C2" w:rsidRPr="00975C36" w:rsidRDefault="009F13C2" w:rsidP="00173A6A">
      <w:pPr>
        <w:rPr>
          <w:rFonts w:ascii="Times New Roman" w:eastAsia="DengXian" w:hAnsi="Times New Roman" w:cs="Times New Roman"/>
          <w:sz w:val="21"/>
          <w:szCs w:val="21"/>
          <w:lang w:eastAsia="zh-CN"/>
        </w:rPr>
      </w:pPr>
    </w:p>
    <w:p w14:paraId="5EE3C8A1" w14:textId="2E556971" w:rsidR="00975C36" w:rsidRDefault="008F1423" w:rsidP="00173A6A">
      <w:pPr>
        <w:rPr>
          <w:rFonts w:ascii="Times New Roman" w:eastAsia="DengXian" w:hAnsi="Times New Roman" w:cs="Times New Roman"/>
          <w:sz w:val="21"/>
          <w:szCs w:val="21"/>
          <w:lang w:eastAsia="zh-CN"/>
        </w:rPr>
      </w:pPr>
      <w:r w:rsidRPr="008F1423">
        <w:rPr>
          <w:rFonts w:ascii="Times New Roman" w:eastAsia="DengXian" w:hAnsi="Times New Roman" w:cs="Times New Roman"/>
          <w:sz w:val="21"/>
          <w:szCs w:val="21"/>
          <w:lang w:eastAsia="zh-CN"/>
        </w:rPr>
        <w:t>Regarding new car registrations and deregistrations in Japan’s domestic market (Figure S16), both metrics decrease substantially under these policy scenarios—by approximately one-tenth and one-seventh, respectively, by 2050—compared to a baseline scenario in which urban form remains unchanged.</w:t>
      </w:r>
    </w:p>
    <w:p w14:paraId="2C3C75B4" w14:textId="77777777" w:rsidR="008F1423" w:rsidRPr="00975C36" w:rsidRDefault="008F1423" w:rsidP="00173A6A">
      <w:pPr>
        <w:rPr>
          <w:rFonts w:ascii="Times New Roman" w:eastAsia="DengXian" w:hAnsi="Times New Roman" w:cs="Times New Roman"/>
          <w:sz w:val="21"/>
          <w:szCs w:val="21"/>
          <w:lang w:eastAsia="zh-CN"/>
        </w:rPr>
      </w:pPr>
    </w:p>
    <w:p w14:paraId="1785AC47" w14:textId="67DA6920" w:rsidR="00173A6A" w:rsidRDefault="00F80788" w:rsidP="00173A6A">
      <w:pPr>
        <w:jc w:val="center"/>
        <w:rPr>
          <w:rFonts w:ascii="Times New Roman" w:eastAsia="DengXian" w:hAnsi="Times New Roman" w:cs="Times New Roman"/>
          <w:lang w:eastAsia="zh-CN"/>
        </w:rPr>
      </w:pPr>
      <w:r>
        <w:rPr>
          <w:noProof/>
        </w:rPr>
        <w:lastRenderedPageBreak/>
        <w:drawing>
          <wp:inline distT="0" distB="0" distL="0" distR="0" wp14:anchorId="40FFD1A8" wp14:editId="311AFC7D">
            <wp:extent cx="4572000" cy="2741295"/>
            <wp:effectExtent l="0" t="0" r="0" b="1905"/>
            <wp:docPr id="1662980391" name="グラフ 1">
              <a:extLst xmlns:a="http://schemas.openxmlformats.org/drawingml/2006/main">
                <a:ext uri="{FF2B5EF4-FFF2-40B4-BE49-F238E27FC236}">
                  <a16:creationId xmlns:a16="http://schemas.microsoft.com/office/drawing/2014/main" id="{A728C757-BBE3-B4CF-CEFB-63BE6FB2F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9C2999" w14:textId="77777777" w:rsidR="00221FA1" w:rsidRPr="0000482B" w:rsidRDefault="00221FA1" w:rsidP="00221FA1">
      <w:pPr>
        <w:jc w:val="center"/>
        <w:rPr>
          <w:rFonts w:ascii="Times New Roman" w:eastAsia="DengXian" w:hAnsi="Times New Roman" w:cs="Times New Roman"/>
          <w:sz w:val="21"/>
          <w:szCs w:val="21"/>
          <w:lang w:eastAsia="zh-CN"/>
        </w:rPr>
      </w:pPr>
      <w:r w:rsidRPr="0000482B">
        <w:rPr>
          <w:rFonts w:ascii="Times New Roman" w:eastAsia="DengXian" w:hAnsi="Times New Roman" w:cs="Times New Roman" w:hint="eastAsia"/>
          <w:sz w:val="21"/>
          <w:szCs w:val="21"/>
          <w:lang w:eastAsia="zh-CN"/>
        </w:rPr>
        <w:t>a. urban forms unchange</w:t>
      </w:r>
      <w:r>
        <w:rPr>
          <w:rFonts w:ascii="Times New Roman" w:eastAsia="DengXian" w:hAnsi="Times New Roman" w:cs="Times New Roman" w:hint="eastAsia"/>
          <w:sz w:val="21"/>
          <w:szCs w:val="21"/>
          <w:lang w:eastAsia="zh-CN"/>
        </w:rPr>
        <w:t>d</w:t>
      </w:r>
    </w:p>
    <w:p w14:paraId="20A3E114" w14:textId="0EBA7D9F" w:rsidR="00661AE6" w:rsidRDefault="001D4F06" w:rsidP="00173A6A">
      <w:pPr>
        <w:jc w:val="center"/>
        <w:rPr>
          <w:rFonts w:ascii="Times New Roman" w:eastAsia="DengXian" w:hAnsi="Times New Roman" w:cs="Times New Roman"/>
          <w:lang w:eastAsia="zh-CN"/>
        </w:rPr>
      </w:pPr>
      <w:r>
        <w:rPr>
          <w:noProof/>
        </w:rPr>
        <w:drawing>
          <wp:inline distT="0" distB="0" distL="0" distR="0" wp14:anchorId="2371F33D" wp14:editId="658D20A8">
            <wp:extent cx="4572000" cy="2741295"/>
            <wp:effectExtent l="0" t="0" r="0" b="1905"/>
            <wp:docPr id="1166115777" name="グラフ 1">
              <a:extLst xmlns:a="http://schemas.openxmlformats.org/drawingml/2006/main">
                <a:ext uri="{FF2B5EF4-FFF2-40B4-BE49-F238E27FC236}">
                  <a16:creationId xmlns:a16="http://schemas.microsoft.com/office/drawing/2014/main" id="{A728C757-BBE3-B4CF-CEFB-63BE6FB2F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E8AFBF" w14:textId="77777777" w:rsidR="00221FA1" w:rsidRPr="0000482B" w:rsidRDefault="00221FA1" w:rsidP="00221FA1">
      <w:pPr>
        <w:jc w:val="center"/>
        <w:rPr>
          <w:rFonts w:ascii="Times New Roman" w:eastAsia="DengXian" w:hAnsi="Times New Roman" w:cs="Times New Roman"/>
          <w:sz w:val="21"/>
          <w:szCs w:val="21"/>
          <w:lang w:eastAsia="zh-CN"/>
        </w:rPr>
      </w:pPr>
      <w:r w:rsidRPr="0000482B">
        <w:rPr>
          <w:rFonts w:ascii="Times New Roman" w:eastAsia="DengXian" w:hAnsi="Times New Roman" w:cs="Times New Roman" w:hint="eastAsia"/>
          <w:sz w:val="21"/>
          <w:szCs w:val="21"/>
          <w:lang w:eastAsia="zh-CN"/>
        </w:rPr>
        <w:t>b. car</w:t>
      </w:r>
      <w:r>
        <w:rPr>
          <w:rFonts w:ascii="Times New Roman" w:eastAsia="DengXian" w:hAnsi="Times New Roman" w:cs="Times New Roman" w:hint="eastAsia"/>
          <w:sz w:val="21"/>
          <w:szCs w:val="21"/>
          <w:lang w:eastAsia="zh-CN"/>
        </w:rPr>
        <w:t>-</w:t>
      </w:r>
      <w:r w:rsidRPr="0000482B">
        <w:rPr>
          <w:rFonts w:ascii="Times New Roman" w:eastAsia="DengXian" w:hAnsi="Times New Roman" w:cs="Times New Roman" w:hint="eastAsia"/>
          <w:sz w:val="21"/>
          <w:szCs w:val="21"/>
          <w:lang w:eastAsia="zh-CN"/>
        </w:rPr>
        <w:t>sharing &amp; compact city</w:t>
      </w:r>
      <w:r>
        <w:rPr>
          <w:rFonts w:ascii="Times New Roman" w:eastAsia="DengXian" w:hAnsi="Times New Roman" w:cs="Times New Roman" w:hint="eastAsia"/>
          <w:sz w:val="21"/>
          <w:szCs w:val="21"/>
          <w:lang w:eastAsia="zh-CN"/>
        </w:rPr>
        <w:t xml:space="preserve"> planning</w:t>
      </w:r>
    </w:p>
    <w:p w14:paraId="7E2ED37D" w14:textId="70D05BCD" w:rsidR="00173A6A" w:rsidRPr="00F13092" w:rsidRDefault="00173A6A" w:rsidP="00173A6A">
      <w:pPr>
        <w:pStyle w:val="af"/>
        <w:jc w:val="center"/>
        <w:rPr>
          <w:rFonts w:ascii="Times New Roman" w:eastAsia="DengXian" w:hAnsi="Times New Roman" w:cs="Times New Roman"/>
          <w:lang w:eastAsia="zh-CN"/>
        </w:rPr>
      </w:pPr>
      <w:bookmarkStart w:id="35" w:name="_Toc208439482"/>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87107C">
        <w:rPr>
          <w:rFonts w:ascii="Times New Roman" w:hAnsi="Times New Roman" w:cs="Times New Roman"/>
          <w:noProof/>
        </w:rPr>
        <w:t>16</w:t>
      </w:r>
      <w:r w:rsidRPr="007F5CA8">
        <w:rPr>
          <w:rFonts w:ascii="Times New Roman" w:hAnsi="Times New Roman" w:cs="Times New Roman"/>
        </w:rPr>
        <w:fldChar w:fldCharType="end"/>
      </w:r>
      <w:r w:rsidRPr="007F5CA8">
        <w:rPr>
          <w:rFonts w:ascii="Times New Roman" w:hAnsi="Times New Roman" w:cs="Times New Roman"/>
        </w:rPr>
        <w:t xml:space="preserve">. </w:t>
      </w:r>
      <w:r w:rsidR="003F2874">
        <w:rPr>
          <w:rFonts w:ascii="Times New Roman" w:eastAsia="DengXian" w:hAnsi="Times New Roman" w:cs="Times New Roman" w:hint="eastAsia"/>
          <w:lang w:eastAsia="zh-CN"/>
        </w:rPr>
        <w:t>New passenger car registration and dere</w:t>
      </w:r>
      <w:r w:rsidR="00911524">
        <w:rPr>
          <w:rFonts w:ascii="Times New Roman" w:eastAsia="DengXian" w:hAnsi="Times New Roman" w:cs="Times New Roman" w:hint="eastAsia"/>
          <w:lang w:eastAsia="zh-CN"/>
        </w:rPr>
        <w:t>gistration</w:t>
      </w:r>
      <w:r w:rsidRPr="00B044B6">
        <w:rPr>
          <w:rFonts w:ascii="Times New Roman" w:hAnsi="Times New Roman" w:cs="Times New Roman"/>
        </w:rPr>
        <w:t xml:space="preserve"> (1993-20</w:t>
      </w:r>
      <w:r w:rsidR="00911524">
        <w:rPr>
          <w:rFonts w:ascii="Times New Roman" w:eastAsia="DengXian" w:hAnsi="Times New Roman" w:cs="Times New Roman" w:hint="eastAsia"/>
          <w:lang w:eastAsia="zh-CN"/>
        </w:rPr>
        <w:t>19</w:t>
      </w:r>
      <w:r w:rsidRPr="00B044B6">
        <w:rPr>
          <w:rFonts w:ascii="Times New Roman" w:hAnsi="Times New Roman" w:cs="Times New Roman"/>
        </w:rPr>
        <w:t xml:space="preserve">) and future </w:t>
      </w:r>
      <w:r w:rsidR="00911524">
        <w:rPr>
          <w:rFonts w:ascii="Times New Roman" w:eastAsia="DengXian" w:hAnsi="Times New Roman" w:cs="Times New Roman" w:hint="eastAsia"/>
          <w:lang w:eastAsia="zh-CN"/>
        </w:rPr>
        <w:t>projection</w:t>
      </w:r>
      <w:r w:rsidRPr="00B044B6">
        <w:rPr>
          <w:rFonts w:ascii="Times New Roman" w:hAnsi="Times New Roman" w:cs="Times New Roman"/>
        </w:rPr>
        <w:t xml:space="preserve"> (202</w:t>
      </w:r>
      <w:r w:rsidR="00911524">
        <w:rPr>
          <w:rFonts w:ascii="Times New Roman" w:eastAsia="DengXian" w:hAnsi="Times New Roman" w:cs="Times New Roman" w:hint="eastAsia"/>
          <w:lang w:eastAsia="zh-CN"/>
        </w:rPr>
        <w:t>0</w:t>
      </w:r>
      <w:r w:rsidRPr="00B044B6">
        <w:rPr>
          <w:rFonts w:ascii="Times New Roman" w:hAnsi="Times New Roman" w:cs="Times New Roman"/>
        </w:rPr>
        <w:t>-2050)</w:t>
      </w:r>
      <w:r w:rsidR="00911524">
        <w:rPr>
          <w:rFonts w:ascii="Times New Roman" w:eastAsia="DengXian" w:hAnsi="Times New Roman" w:cs="Times New Roman" w:hint="eastAsia"/>
          <w:lang w:eastAsia="zh-CN"/>
        </w:rPr>
        <w:t xml:space="preserve"> in Japan</w:t>
      </w:r>
      <w:r w:rsidRPr="00B044B6">
        <w:rPr>
          <w:rFonts w:ascii="Times New Roman" w:hAnsi="Times New Roman" w:cs="Times New Roman"/>
        </w:rPr>
        <w:t>.</w:t>
      </w:r>
      <w:bookmarkEnd w:id="35"/>
    </w:p>
    <w:p w14:paraId="65746F59" w14:textId="77777777" w:rsidR="00173A6A" w:rsidRPr="00911524" w:rsidRDefault="00173A6A" w:rsidP="00173A6A">
      <w:pPr>
        <w:rPr>
          <w:rFonts w:ascii="Times New Roman" w:eastAsia="DengXian" w:hAnsi="Times New Roman" w:cs="Times New Roman"/>
          <w:lang w:eastAsia="zh-CN"/>
        </w:rPr>
      </w:pPr>
    </w:p>
    <w:p w14:paraId="3EE09CCC" w14:textId="67B46551" w:rsidR="00173A6A" w:rsidRDefault="00F73055" w:rsidP="00173A6A">
      <w:pP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Table S</w:t>
      </w:r>
      <w:r w:rsidR="00D62E6B">
        <w:rPr>
          <w:rFonts w:ascii="Times New Roman" w:eastAsiaTheme="minorEastAsia" w:hAnsi="Times New Roman" w:cs="Times New Roman" w:hint="eastAsia"/>
          <w:sz w:val="21"/>
          <w:szCs w:val="21"/>
        </w:rPr>
        <w:t>5</w:t>
      </w:r>
      <w:r>
        <w:rPr>
          <w:rFonts w:ascii="Times New Roman" w:eastAsia="DengXian" w:hAnsi="Times New Roman" w:cs="Times New Roman" w:hint="eastAsia"/>
          <w:sz w:val="21"/>
          <w:szCs w:val="21"/>
          <w:lang w:eastAsia="zh-CN"/>
        </w:rPr>
        <w:t xml:space="preserve"> is a simplified table </w:t>
      </w:r>
      <w:r w:rsidR="0038114A" w:rsidRPr="0038114A">
        <w:rPr>
          <w:rFonts w:ascii="Times New Roman" w:eastAsia="DengXian" w:hAnsi="Times New Roman" w:cs="Times New Roman"/>
          <w:sz w:val="21"/>
          <w:szCs w:val="21"/>
          <w:lang w:eastAsia="zh-CN"/>
        </w:rPr>
        <w:t>for calculating survival ratio of passenger cars</w:t>
      </w:r>
      <w:r w:rsidR="0038114A">
        <w:rPr>
          <w:rFonts w:ascii="Times New Roman" w:eastAsia="DengXian" w:hAnsi="Times New Roman" w:cs="Times New Roman" w:hint="eastAsia"/>
          <w:sz w:val="21"/>
          <w:szCs w:val="21"/>
          <w:lang w:eastAsia="zh-CN"/>
        </w:rPr>
        <w:t xml:space="preserve">. </w:t>
      </w:r>
    </w:p>
    <w:p w14:paraId="20A390A2" w14:textId="77777777" w:rsidR="00DD1784" w:rsidRPr="002150F4" w:rsidRDefault="00DD1784" w:rsidP="00173A6A">
      <w:pPr>
        <w:rPr>
          <w:rFonts w:ascii="Times New Roman" w:eastAsia="DengXian" w:hAnsi="Times New Roman" w:cs="Times New Roman"/>
          <w:sz w:val="21"/>
          <w:szCs w:val="21"/>
          <w:lang w:eastAsia="zh-CN"/>
        </w:rPr>
      </w:pPr>
    </w:p>
    <w:p w14:paraId="49EC146D" w14:textId="790A02D7" w:rsidR="00173A6A" w:rsidRPr="00DD1784" w:rsidRDefault="002150F4" w:rsidP="00DD1784">
      <w:pPr>
        <w:jc w:val="center"/>
        <w:rPr>
          <w:rFonts w:ascii="Times New Roman" w:eastAsia="DengXian" w:hAnsi="Times New Roman" w:cs="Times New Roman"/>
          <w:b/>
          <w:bCs/>
          <w:sz w:val="21"/>
          <w:szCs w:val="21"/>
          <w:lang w:eastAsia="zh-CN"/>
        </w:rPr>
      </w:pPr>
      <w:bookmarkStart w:id="36" w:name="_Toc199865711"/>
      <w:bookmarkStart w:id="37" w:name="_Toc208439366"/>
      <w:r w:rsidRPr="003573A7">
        <w:rPr>
          <w:rFonts w:ascii="Times New Roman" w:hAnsi="Times New Roman" w:cs="Times New Roman"/>
          <w:b/>
          <w:bCs/>
          <w:sz w:val="21"/>
          <w:szCs w:val="21"/>
        </w:rPr>
        <w:t xml:space="preserve">Table </w:t>
      </w:r>
      <w:r w:rsidRPr="003573A7">
        <w:rPr>
          <w:rFonts w:ascii="Times New Roman" w:eastAsia="DengXian" w:hAnsi="Times New Roman" w:cs="Times New Roman"/>
          <w:b/>
          <w:bCs/>
          <w:sz w:val="21"/>
          <w:szCs w:val="21"/>
          <w:lang w:eastAsia="zh-CN"/>
        </w:rPr>
        <w:t>S</w:t>
      </w:r>
      <w:r w:rsidRPr="003573A7">
        <w:rPr>
          <w:rFonts w:ascii="Times New Roman" w:hAnsi="Times New Roman" w:cs="Times New Roman"/>
          <w:b/>
          <w:bCs/>
          <w:sz w:val="21"/>
          <w:szCs w:val="21"/>
        </w:rPr>
        <w:fldChar w:fldCharType="begin"/>
      </w:r>
      <w:r w:rsidRPr="003573A7">
        <w:rPr>
          <w:rFonts w:ascii="Times New Roman" w:hAnsi="Times New Roman" w:cs="Times New Roman"/>
          <w:b/>
          <w:bCs/>
          <w:sz w:val="21"/>
          <w:szCs w:val="21"/>
        </w:rPr>
        <w:instrText xml:space="preserve"> SEQ </w:instrText>
      </w:r>
      <w:r w:rsidRPr="003573A7">
        <w:rPr>
          <w:rFonts w:ascii="Times New Roman" w:hAnsi="Times New Roman" w:cs="Times New Roman"/>
          <w:b/>
          <w:bCs/>
          <w:sz w:val="21"/>
          <w:szCs w:val="21"/>
        </w:rPr>
        <w:instrText>表格</w:instrText>
      </w:r>
      <w:r w:rsidRPr="003573A7">
        <w:rPr>
          <w:rFonts w:ascii="Times New Roman" w:hAnsi="Times New Roman" w:cs="Times New Roman"/>
          <w:b/>
          <w:bCs/>
          <w:sz w:val="21"/>
          <w:szCs w:val="21"/>
        </w:rPr>
        <w:instrText xml:space="preserve"> \* ARABIC </w:instrText>
      </w:r>
      <w:r w:rsidRPr="003573A7">
        <w:rPr>
          <w:rFonts w:ascii="Times New Roman" w:hAnsi="Times New Roman" w:cs="Times New Roman"/>
          <w:b/>
          <w:bCs/>
          <w:sz w:val="21"/>
          <w:szCs w:val="21"/>
        </w:rPr>
        <w:fldChar w:fldCharType="separate"/>
      </w:r>
      <w:r w:rsidR="00E23B54">
        <w:rPr>
          <w:rFonts w:ascii="Times New Roman" w:hAnsi="Times New Roman" w:cs="Times New Roman"/>
          <w:b/>
          <w:bCs/>
          <w:noProof/>
          <w:sz w:val="21"/>
          <w:szCs w:val="21"/>
        </w:rPr>
        <w:t>5</w:t>
      </w:r>
      <w:r w:rsidRPr="003573A7">
        <w:rPr>
          <w:rFonts w:ascii="Times New Roman" w:hAnsi="Times New Roman" w:cs="Times New Roman"/>
          <w:b/>
          <w:bCs/>
          <w:sz w:val="21"/>
          <w:szCs w:val="21"/>
        </w:rPr>
        <w:fldChar w:fldCharType="end"/>
      </w:r>
      <w:r w:rsidRPr="003573A7">
        <w:rPr>
          <w:rFonts w:ascii="Times New Roman" w:hAnsi="Times New Roman" w:cs="Times New Roman"/>
          <w:b/>
          <w:bCs/>
          <w:sz w:val="21"/>
          <w:szCs w:val="21"/>
        </w:rPr>
        <w:t xml:space="preserve">. </w:t>
      </w:r>
      <w:r w:rsidR="005E62CD">
        <w:rPr>
          <w:rFonts w:ascii="Times New Roman" w:eastAsia="DengXian" w:hAnsi="Times New Roman" w:cs="Times New Roman" w:hint="eastAsia"/>
          <w:b/>
          <w:bCs/>
          <w:sz w:val="21"/>
          <w:szCs w:val="21"/>
          <w:lang w:eastAsia="zh-CN"/>
        </w:rPr>
        <w:t xml:space="preserve">A simplified table </w:t>
      </w:r>
      <w:r w:rsidR="00F73055">
        <w:rPr>
          <w:rFonts w:ascii="Times New Roman" w:eastAsia="DengXian" w:hAnsi="Times New Roman" w:cs="Times New Roman" w:hint="eastAsia"/>
          <w:b/>
          <w:bCs/>
          <w:sz w:val="21"/>
          <w:szCs w:val="21"/>
          <w:lang w:eastAsia="zh-CN"/>
        </w:rPr>
        <w:t xml:space="preserve">for </w:t>
      </w:r>
      <w:r w:rsidR="0038114A">
        <w:rPr>
          <w:rFonts w:ascii="Times New Roman" w:eastAsia="DengXian" w:hAnsi="Times New Roman" w:cs="Times New Roman" w:hint="eastAsia"/>
          <w:b/>
          <w:bCs/>
          <w:sz w:val="21"/>
          <w:szCs w:val="21"/>
          <w:lang w:eastAsia="zh-CN"/>
        </w:rPr>
        <w:t xml:space="preserve">calculating </w:t>
      </w:r>
      <w:r w:rsidR="008E3CB0">
        <w:rPr>
          <w:rFonts w:ascii="Times New Roman" w:eastAsiaTheme="minorEastAsia" w:hAnsi="Times New Roman" w:cs="Times New Roman" w:hint="eastAsia"/>
          <w:b/>
          <w:bCs/>
          <w:sz w:val="21"/>
          <w:szCs w:val="21"/>
        </w:rPr>
        <w:t xml:space="preserve">the </w:t>
      </w:r>
      <w:r w:rsidR="00F73055">
        <w:rPr>
          <w:rFonts w:ascii="Times New Roman" w:eastAsia="DengXian" w:hAnsi="Times New Roman" w:cs="Times New Roman" w:hint="eastAsia"/>
          <w:b/>
          <w:bCs/>
          <w:sz w:val="21"/>
          <w:szCs w:val="21"/>
          <w:lang w:eastAsia="zh-CN"/>
        </w:rPr>
        <w:t>s</w:t>
      </w:r>
      <w:r w:rsidRPr="002150F4">
        <w:rPr>
          <w:rFonts w:ascii="Times New Roman" w:eastAsia="DengXian" w:hAnsi="Times New Roman" w:cs="Times New Roman"/>
          <w:b/>
          <w:bCs/>
          <w:sz w:val="21"/>
          <w:szCs w:val="21"/>
          <w:lang w:eastAsia="zh-CN"/>
        </w:rPr>
        <w:t>urvival rat</w:t>
      </w:r>
      <w:r w:rsidR="00F73055">
        <w:rPr>
          <w:rFonts w:ascii="Times New Roman" w:eastAsia="DengXian" w:hAnsi="Times New Roman" w:cs="Times New Roman" w:hint="eastAsia"/>
          <w:b/>
          <w:bCs/>
          <w:sz w:val="21"/>
          <w:szCs w:val="21"/>
          <w:lang w:eastAsia="zh-CN"/>
        </w:rPr>
        <w:t>io</w:t>
      </w:r>
      <w:r w:rsidRPr="002150F4">
        <w:rPr>
          <w:rFonts w:ascii="Times New Roman" w:eastAsia="DengXian" w:hAnsi="Times New Roman" w:cs="Times New Roman"/>
          <w:b/>
          <w:bCs/>
          <w:sz w:val="21"/>
          <w:szCs w:val="21"/>
          <w:lang w:eastAsia="zh-CN"/>
        </w:rPr>
        <w:t xml:space="preserve"> of passenger </w:t>
      </w:r>
      <w:r w:rsidR="00EB258F">
        <w:rPr>
          <w:rFonts w:ascii="Times New Roman" w:eastAsia="DengXian" w:hAnsi="Times New Roman" w:cs="Times New Roman" w:hint="eastAsia"/>
          <w:b/>
          <w:bCs/>
          <w:sz w:val="21"/>
          <w:szCs w:val="21"/>
          <w:lang w:eastAsia="zh-CN"/>
        </w:rPr>
        <w:t>car</w:t>
      </w:r>
      <w:r w:rsidRPr="002150F4">
        <w:rPr>
          <w:rFonts w:ascii="Times New Roman" w:eastAsia="DengXian" w:hAnsi="Times New Roman" w:cs="Times New Roman"/>
          <w:b/>
          <w:bCs/>
          <w:sz w:val="21"/>
          <w:szCs w:val="21"/>
          <w:lang w:eastAsia="zh-CN"/>
        </w:rPr>
        <w:t>s</w:t>
      </w:r>
      <w:r w:rsidR="0038114A">
        <w:rPr>
          <w:rFonts w:ascii="Times New Roman" w:eastAsia="DengXian" w:hAnsi="Times New Roman" w:cs="Times New Roman" w:hint="eastAsia"/>
          <w:b/>
          <w:bCs/>
          <w:sz w:val="21"/>
          <w:szCs w:val="21"/>
          <w:lang w:eastAsia="zh-CN"/>
        </w:rPr>
        <w:t>.</w:t>
      </w:r>
      <w:bookmarkEnd w:id="36"/>
      <w:bookmarkEnd w:id="37"/>
    </w:p>
    <w:tbl>
      <w:tblPr>
        <w:tblStyle w:val="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671"/>
        <w:gridCol w:w="671"/>
        <w:gridCol w:w="671"/>
        <w:gridCol w:w="671"/>
        <w:gridCol w:w="671"/>
        <w:gridCol w:w="671"/>
        <w:gridCol w:w="671"/>
        <w:gridCol w:w="671"/>
        <w:gridCol w:w="671"/>
        <w:gridCol w:w="672"/>
      </w:tblGrid>
      <w:tr w:rsidR="00173A6A" w:rsidRPr="000F62FA" w14:paraId="29A5FFA1" w14:textId="77777777" w:rsidTr="002E789C">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50" w:type="pct"/>
            <w:noWrap/>
            <w:vAlign w:val="center"/>
            <w:hideMark/>
          </w:tcPr>
          <w:p w14:paraId="00D87D08" w14:textId="77777777" w:rsidR="00173A6A" w:rsidRPr="000F62FA" w:rsidRDefault="00173A6A" w:rsidP="002E789C">
            <w:pPr>
              <w:jc w:val="center"/>
              <w:rPr>
                <w:rFonts w:ascii="Times New Roman" w:eastAsia="DengXian" w:hAnsi="Times New Roman" w:cs="Times New Roman"/>
                <w:color w:val="000000"/>
                <w:sz w:val="20"/>
                <w:szCs w:val="20"/>
                <w:lang w:eastAsia="zh-CN"/>
              </w:rPr>
            </w:pPr>
            <w:r w:rsidRPr="000F62FA">
              <w:rPr>
                <w:rFonts w:ascii="Times New Roman" w:eastAsia="DengXian" w:hAnsi="Times New Roman" w:cs="Times New Roman"/>
                <w:color w:val="000000"/>
                <w:sz w:val="20"/>
                <w:szCs w:val="20"/>
                <w:lang w:eastAsia="zh-CN"/>
              </w:rPr>
              <w:t>Years in service</w:t>
            </w:r>
          </w:p>
        </w:tc>
        <w:tc>
          <w:tcPr>
            <w:tcW w:w="425" w:type="pct"/>
            <w:noWrap/>
            <w:vAlign w:val="center"/>
            <w:hideMark/>
          </w:tcPr>
          <w:p w14:paraId="0C4150CF" w14:textId="77777777" w:rsidR="00173A6A" w:rsidRPr="000F62FA" w:rsidRDefault="00173A6A" w:rsidP="002E789C">
            <w:pPr>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1</w:t>
            </w:r>
          </w:p>
        </w:tc>
        <w:tc>
          <w:tcPr>
            <w:tcW w:w="425" w:type="pct"/>
            <w:noWrap/>
            <w:vAlign w:val="center"/>
            <w:hideMark/>
          </w:tcPr>
          <w:p w14:paraId="40C5D1D1" w14:textId="77777777" w:rsidR="00173A6A" w:rsidRPr="000F62FA" w:rsidRDefault="00173A6A" w:rsidP="002E789C">
            <w:pPr>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2</w:t>
            </w:r>
          </w:p>
        </w:tc>
        <w:tc>
          <w:tcPr>
            <w:tcW w:w="425" w:type="pct"/>
            <w:noWrap/>
            <w:vAlign w:val="center"/>
            <w:hideMark/>
          </w:tcPr>
          <w:p w14:paraId="000F223F" w14:textId="77777777" w:rsidR="00173A6A" w:rsidRPr="000F62FA" w:rsidRDefault="00173A6A" w:rsidP="002E789C">
            <w:pPr>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3</w:t>
            </w:r>
          </w:p>
        </w:tc>
        <w:tc>
          <w:tcPr>
            <w:tcW w:w="425" w:type="pct"/>
            <w:noWrap/>
            <w:vAlign w:val="center"/>
            <w:hideMark/>
          </w:tcPr>
          <w:p w14:paraId="5FA1887A" w14:textId="77777777" w:rsidR="00173A6A" w:rsidRPr="000F62FA" w:rsidRDefault="00173A6A" w:rsidP="002E789C">
            <w:pPr>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4</w:t>
            </w:r>
          </w:p>
        </w:tc>
        <w:tc>
          <w:tcPr>
            <w:tcW w:w="425" w:type="pct"/>
            <w:noWrap/>
            <w:vAlign w:val="center"/>
            <w:hideMark/>
          </w:tcPr>
          <w:p w14:paraId="52FD9600" w14:textId="77777777" w:rsidR="00173A6A" w:rsidRPr="000F62FA" w:rsidRDefault="00173A6A" w:rsidP="002E789C">
            <w:pPr>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5</w:t>
            </w:r>
          </w:p>
        </w:tc>
        <w:tc>
          <w:tcPr>
            <w:tcW w:w="425" w:type="pct"/>
            <w:noWrap/>
            <w:vAlign w:val="center"/>
            <w:hideMark/>
          </w:tcPr>
          <w:p w14:paraId="657051C5" w14:textId="77777777" w:rsidR="00173A6A" w:rsidRPr="000F62FA" w:rsidRDefault="00173A6A" w:rsidP="002E789C">
            <w:pPr>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6</w:t>
            </w:r>
          </w:p>
        </w:tc>
        <w:tc>
          <w:tcPr>
            <w:tcW w:w="425" w:type="pct"/>
            <w:noWrap/>
            <w:vAlign w:val="center"/>
            <w:hideMark/>
          </w:tcPr>
          <w:p w14:paraId="20FDCF41" w14:textId="77777777" w:rsidR="00173A6A" w:rsidRPr="000F62FA" w:rsidRDefault="00173A6A" w:rsidP="002E789C">
            <w:pPr>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7</w:t>
            </w:r>
          </w:p>
        </w:tc>
        <w:tc>
          <w:tcPr>
            <w:tcW w:w="425" w:type="pct"/>
            <w:noWrap/>
            <w:vAlign w:val="center"/>
            <w:hideMark/>
          </w:tcPr>
          <w:p w14:paraId="4404BE8A" w14:textId="77777777" w:rsidR="00173A6A" w:rsidRPr="000F62FA" w:rsidRDefault="00173A6A" w:rsidP="002E789C">
            <w:pPr>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8</w:t>
            </w:r>
          </w:p>
        </w:tc>
        <w:tc>
          <w:tcPr>
            <w:tcW w:w="425" w:type="pct"/>
            <w:noWrap/>
            <w:vAlign w:val="center"/>
            <w:hideMark/>
          </w:tcPr>
          <w:p w14:paraId="050E8A61" w14:textId="77777777" w:rsidR="00173A6A" w:rsidRPr="000F62FA" w:rsidRDefault="00173A6A" w:rsidP="002E789C">
            <w:pPr>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9</w:t>
            </w:r>
          </w:p>
        </w:tc>
        <w:tc>
          <w:tcPr>
            <w:tcW w:w="425" w:type="pct"/>
            <w:noWrap/>
            <w:vAlign w:val="center"/>
            <w:hideMark/>
          </w:tcPr>
          <w:p w14:paraId="19DF6157" w14:textId="77777777" w:rsidR="00173A6A" w:rsidRPr="000F62FA" w:rsidRDefault="00173A6A" w:rsidP="002E789C">
            <w:pPr>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10</w:t>
            </w:r>
          </w:p>
        </w:tc>
      </w:tr>
      <w:tr w:rsidR="00173A6A" w:rsidRPr="000F62FA" w14:paraId="13AAFFA4" w14:textId="77777777" w:rsidTr="002E789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50" w:type="pct"/>
            <w:noWrap/>
            <w:vAlign w:val="center"/>
            <w:hideMark/>
          </w:tcPr>
          <w:p w14:paraId="604C7FBB" w14:textId="77777777" w:rsidR="00173A6A" w:rsidRPr="000F62FA" w:rsidRDefault="00173A6A" w:rsidP="002E789C">
            <w:pPr>
              <w:jc w:val="center"/>
              <w:rPr>
                <w:rFonts w:ascii="Times New Roman" w:eastAsia="Microsoft YaHei" w:hAnsi="Times New Roman" w:cs="Times New Roman"/>
                <w:color w:val="000000"/>
                <w:sz w:val="20"/>
                <w:szCs w:val="20"/>
              </w:rPr>
            </w:pPr>
            <w:r w:rsidRPr="000F62FA">
              <w:rPr>
                <w:rFonts w:ascii="Times New Roman" w:eastAsia="Microsoft YaHei" w:hAnsi="Times New Roman" w:cs="Times New Roman"/>
                <w:color w:val="000000"/>
                <w:sz w:val="20"/>
                <w:szCs w:val="20"/>
                <w:lang w:eastAsia="zh-CN"/>
              </w:rPr>
              <w:t>Survival</w:t>
            </w:r>
            <w:r w:rsidRPr="000F62FA">
              <w:rPr>
                <w:rFonts w:ascii="Times New Roman" w:eastAsia="Microsoft YaHei" w:hAnsi="Times New Roman" w:cs="Times New Roman"/>
                <w:color w:val="000000"/>
                <w:sz w:val="20"/>
                <w:szCs w:val="20"/>
              </w:rPr>
              <w:t xml:space="preserve"> ratio (%)</w:t>
            </w:r>
          </w:p>
        </w:tc>
        <w:tc>
          <w:tcPr>
            <w:tcW w:w="425" w:type="pct"/>
            <w:noWrap/>
            <w:vAlign w:val="center"/>
            <w:hideMark/>
          </w:tcPr>
          <w:p w14:paraId="71CD0445"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98.75</w:t>
            </w:r>
          </w:p>
        </w:tc>
        <w:tc>
          <w:tcPr>
            <w:tcW w:w="425" w:type="pct"/>
            <w:noWrap/>
            <w:vAlign w:val="center"/>
            <w:hideMark/>
          </w:tcPr>
          <w:p w14:paraId="6129B503"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98.23</w:t>
            </w:r>
          </w:p>
        </w:tc>
        <w:tc>
          <w:tcPr>
            <w:tcW w:w="425" w:type="pct"/>
            <w:noWrap/>
            <w:vAlign w:val="center"/>
            <w:hideMark/>
          </w:tcPr>
          <w:p w14:paraId="18122E4D"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96.58</w:t>
            </w:r>
          </w:p>
        </w:tc>
        <w:tc>
          <w:tcPr>
            <w:tcW w:w="425" w:type="pct"/>
            <w:noWrap/>
            <w:vAlign w:val="center"/>
            <w:hideMark/>
          </w:tcPr>
          <w:p w14:paraId="0C86FD44"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92.93</w:t>
            </w:r>
          </w:p>
        </w:tc>
        <w:tc>
          <w:tcPr>
            <w:tcW w:w="425" w:type="pct"/>
            <w:noWrap/>
            <w:vAlign w:val="center"/>
            <w:hideMark/>
          </w:tcPr>
          <w:p w14:paraId="31AEE382"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91.57</w:t>
            </w:r>
          </w:p>
        </w:tc>
        <w:tc>
          <w:tcPr>
            <w:tcW w:w="425" w:type="pct"/>
            <w:noWrap/>
            <w:vAlign w:val="center"/>
            <w:hideMark/>
          </w:tcPr>
          <w:p w14:paraId="1D5AC8D9"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89.16</w:t>
            </w:r>
          </w:p>
        </w:tc>
        <w:tc>
          <w:tcPr>
            <w:tcW w:w="425" w:type="pct"/>
            <w:noWrap/>
            <w:vAlign w:val="center"/>
            <w:hideMark/>
          </w:tcPr>
          <w:p w14:paraId="3ED7DF69"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88.40</w:t>
            </w:r>
          </w:p>
        </w:tc>
        <w:tc>
          <w:tcPr>
            <w:tcW w:w="425" w:type="pct"/>
            <w:noWrap/>
            <w:vAlign w:val="center"/>
            <w:hideMark/>
          </w:tcPr>
          <w:p w14:paraId="7AA289EB"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83.59</w:t>
            </w:r>
          </w:p>
        </w:tc>
        <w:tc>
          <w:tcPr>
            <w:tcW w:w="425" w:type="pct"/>
            <w:noWrap/>
            <w:vAlign w:val="center"/>
            <w:hideMark/>
          </w:tcPr>
          <w:p w14:paraId="48920737"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80.77</w:t>
            </w:r>
          </w:p>
        </w:tc>
        <w:tc>
          <w:tcPr>
            <w:tcW w:w="425" w:type="pct"/>
            <w:noWrap/>
            <w:vAlign w:val="center"/>
            <w:hideMark/>
          </w:tcPr>
          <w:p w14:paraId="252B92C9"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77.55</w:t>
            </w:r>
          </w:p>
        </w:tc>
      </w:tr>
      <w:tr w:rsidR="00173A6A" w:rsidRPr="000F62FA" w14:paraId="2251944A" w14:textId="77777777" w:rsidTr="002E789C">
        <w:trPr>
          <w:trHeight w:val="375"/>
        </w:trPr>
        <w:tc>
          <w:tcPr>
            <w:cnfStyle w:val="001000000000" w:firstRow="0" w:lastRow="0" w:firstColumn="1" w:lastColumn="0" w:oddVBand="0" w:evenVBand="0" w:oddHBand="0" w:evenHBand="0" w:firstRowFirstColumn="0" w:firstRowLastColumn="0" w:lastRowFirstColumn="0" w:lastRowLastColumn="0"/>
            <w:tcW w:w="750" w:type="pct"/>
            <w:noWrap/>
            <w:vAlign w:val="center"/>
          </w:tcPr>
          <w:p w14:paraId="221DE928" w14:textId="77777777" w:rsidR="00173A6A" w:rsidRPr="000F62FA" w:rsidRDefault="00173A6A" w:rsidP="002E789C">
            <w:pPr>
              <w:jc w:val="center"/>
              <w:rPr>
                <w:rFonts w:ascii="Times New Roman" w:eastAsia="Microsoft YaHei" w:hAnsi="Times New Roman" w:cs="Times New Roman"/>
                <w:color w:val="000000"/>
                <w:sz w:val="20"/>
                <w:szCs w:val="20"/>
              </w:rPr>
            </w:pPr>
            <w:r w:rsidRPr="000F62FA">
              <w:rPr>
                <w:rFonts w:ascii="Times New Roman" w:eastAsia="DengXian" w:hAnsi="Times New Roman" w:cs="Times New Roman"/>
                <w:color w:val="000000"/>
                <w:sz w:val="20"/>
                <w:szCs w:val="20"/>
                <w:lang w:eastAsia="zh-CN"/>
              </w:rPr>
              <w:t>Years in service</w:t>
            </w:r>
          </w:p>
        </w:tc>
        <w:tc>
          <w:tcPr>
            <w:tcW w:w="425" w:type="pct"/>
            <w:noWrap/>
            <w:vAlign w:val="center"/>
          </w:tcPr>
          <w:p w14:paraId="70866E4F"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11</w:t>
            </w:r>
          </w:p>
        </w:tc>
        <w:tc>
          <w:tcPr>
            <w:tcW w:w="425" w:type="pct"/>
            <w:noWrap/>
            <w:vAlign w:val="center"/>
          </w:tcPr>
          <w:p w14:paraId="7042B12D"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12</w:t>
            </w:r>
          </w:p>
        </w:tc>
        <w:tc>
          <w:tcPr>
            <w:tcW w:w="425" w:type="pct"/>
            <w:noWrap/>
            <w:vAlign w:val="center"/>
          </w:tcPr>
          <w:p w14:paraId="4993FB84"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13</w:t>
            </w:r>
          </w:p>
        </w:tc>
        <w:tc>
          <w:tcPr>
            <w:tcW w:w="425" w:type="pct"/>
            <w:noWrap/>
            <w:vAlign w:val="center"/>
          </w:tcPr>
          <w:p w14:paraId="4D24CDA5"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14</w:t>
            </w:r>
          </w:p>
        </w:tc>
        <w:tc>
          <w:tcPr>
            <w:tcW w:w="425" w:type="pct"/>
            <w:noWrap/>
            <w:vAlign w:val="center"/>
          </w:tcPr>
          <w:p w14:paraId="17F212DA"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15</w:t>
            </w:r>
          </w:p>
        </w:tc>
        <w:tc>
          <w:tcPr>
            <w:tcW w:w="425" w:type="pct"/>
            <w:noWrap/>
            <w:vAlign w:val="center"/>
          </w:tcPr>
          <w:p w14:paraId="3CC9FBDA"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16</w:t>
            </w:r>
          </w:p>
        </w:tc>
        <w:tc>
          <w:tcPr>
            <w:tcW w:w="425" w:type="pct"/>
            <w:noWrap/>
            <w:vAlign w:val="center"/>
          </w:tcPr>
          <w:p w14:paraId="2BCFBF0D"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17</w:t>
            </w:r>
          </w:p>
        </w:tc>
        <w:tc>
          <w:tcPr>
            <w:tcW w:w="425" w:type="pct"/>
            <w:noWrap/>
            <w:vAlign w:val="center"/>
          </w:tcPr>
          <w:p w14:paraId="5BE11BEE"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18</w:t>
            </w:r>
          </w:p>
        </w:tc>
        <w:tc>
          <w:tcPr>
            <w:tcW w:w="425" w:type="pct"/>
            <w:noWrap/>
            <w:vAlign w:val="center"/>
          </w:tcPr>
          <w:p w14:paraId="65F95ADE"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19</w:t>
            </w:r>
          </w:p>
        </w:tc>
        <w:tc>
          <w:tcPr>
            <w:tcW w:w="425" w:type="pct"/>
            <w:noWrap/>
            <w:vAlign w:val="center"/>
          </w:tcPr>
          <w:p w14:paraId="2A1FD596"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20</w:t>
            </w:r>
          </w:p>
        </w:tc>
      </w:tr>
      <w:tr w:rsidR="00173A6A" w:rsidRPr="000F62FA" w14:paraId="71D927B0" w14:textId="77777777" w:rsidTr="002E789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50" w:type="pct"/>
            <w:noWrap/>
            <w:vAlign w:val="center"/>
          </w:tcPr>
          <w:p w14:paraId="2EB2A896" w14:textId="77777777" w:rsidR="00173A6A" w:rsidRPr="000F62FA" w:rsidRDefault="00173A6A" w:rsidP="002E789C">
            <w:pPr>
              <w:jc w:val="center"/>
              <w:rPr>
                <w:rFonts w:ascii="Times New Roman" w:eastAsia="Microsoft YaHei" w:hAnsi="Times New Roman" w:cs="Times New Roman"/>
                <w:color w:val="000000"/>
                <w:sz w:val="20"/>
                <w:szCs w:val="20"/>
              </w:rPr>
            </w:pPr>
            <w:r w:rsidRPr="000F62FA">
              <w:rPr>
                <w:rFonts w:ascii="Times New Roman" w:eastAsia="Microsoft YaHei" w:hAnsi="Times New Roman" w:cs="Times New Roman"/>
                <w:color w:val="000000"/>
                <w:sz w:val="20"/>
                <w:szCs w:val="20"/>
                <w:lang w:eastAsia="zh-CN"/>
              </w:rPr>
              <w:t>Survival</w:t>
            </w:r>
            <w:r w:rsidRPr="000F62FA">
              <w:rPr>
                <w:rFonts w:ascii="Times New Roman" w:eastAsia="Microsoft YaHei" w:hAnsi="Times New Roman" w:cs="Times New Roman"/>
                <w:color w:val="000000"/>
                <w:sz w:val="20"/>
                <w:szCs w:val="20"/>
              </w:rPr>
              <w:t xml:space="preserve"> ratio (%)</w:t>
            </w:r>
          </w:p>
        </w:tc>
        <w:tc>
          <w:tcPr>
            <w:tcW w:w="425" w:type="pct"/>
            <w:noWrap/>
            <w:vAlign w:val="center"/>
          </w:tcPr>
          <w:p w14:paraId="16FA43D5"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70.31</w:t>
            </w:r>
          </w:p>
        </w:tc>
        <w:tc>
          <w:tcPr>
            <w:tcW w:w="425" w:type="pct"/>
            <w:noWrap/>
            <w:vAlign w:val="center"/>
          </w:tcPr>
          <w:p w14:paraId="1A0904D8"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61.90</w:t>
            </w:r>
          </w:p>
        </w:tc>
        <w:tc>
          <w:tcPr>
            <w:tcW w:w="425" w:type="pct"/>
            <w:noWrap/>
            <w:vAlign w:val="center"/>
          </w:tcPr>
          <w:p w14:paraId="670B8A5D"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57.54</w:t>
            </w:r>
          </w:p>
        </w:tc>
        <w:tc>
          <w:tcPr>
            <w:tcW w:w="425" w:type="pct"/>
            <w:noWrap/>
            <w:vAlign w:val="center"/>
          </w:tcPr>
          <w:p w14:paraId="40C7FEF5"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47.54</w:t>
            </w:r>
          </w:p>
        </w:tc>
        <w:tc>
          <w:tcPr>
            <w:tcW w:w="425" w:type="pct"/>
            <w:noWrap/>
            <w:vAlign w:val="center"/>
          </w:tcPr>
          <w:p w14:paraId="538CC96E"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41.10</w:t>
            </w:r>
          </w:p>
        </w:tc>
        <w:tc>
          <w:tcPr>
            <w:tcW w:w="425" w:type="pct"/>
            <w:noWrap/>
            <w:vAlign w:val="center"/>
          </w:tcPr>
          <w:p w14:paraId="5B18654A"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30.78</w:t>
            </w:r>
          </w:p>
        </w:tc>
        <w:tc>
          <w:tcPr>
            <w:tcW w:w="425" w:type="pct"/>
            <w:noWrap/>
            <w:vAlign w:val="center"/>
          </w:tcPr>
          <w:p w14:paraId="51F2AA0A"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24.74</w:t>
            </w:r>
          </w:p>
        </w:tc>
        <w:tc>
          <w:tcPr>
            <w:tcW w:w="425" w:type="pct"/>
            <w:noWrap/>
            <w:vAlign w:val="center"/>
          </w:tcPr>
          <w:p w14:paraId="65721986"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17.05</w:t>
            </w:r>
          </w:p>
        </w:tc>
        <w:tc>
          <w:tcPr>
            <w:tcW w:w="425" w:type="pct"/>
            <w:noWrap/>
            <w:vAlign w:val="center"/>
          </w:tcPr>
          <w:p w14:paraId="654A05FD"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14.55</w:t>
            </w:r>
          </w:p>
        </w:tc>
        <w:tc>
          <w:tcPr>
            <w:tcW w:w="425" w:type="pct"/>
            <w:noWrap/>
            <w:vAlign w:val="center"/>
          </w:tcPr>
          <w:p w14:paraId="63D4B2B8"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11.04</w:t>
            </w:r>
          </w:p>
        </w:tc>
      </w:tr>
      <w:tr w:rsidR="00173A6A" w:rsidRPr="000F62FA" w14:paraId="7FC70EA7" w14:textId="77777777" w:rsidTr="002E789C">
        <w:trPr>
          <w:trHeight w:val="375"/>
        </w:trPr>
        <w:tc>
          <w:tcPr>
            <w:cnfStyle w:val="001000000000" w:firstRow="0" w:lastRow="0" w:firstColumn="1" w:lastColumn="0" w:oddVBand="0" w:evenVBand="0" w:oddHBand="0" w:evenHBand="0" w:firstRowFirstColumn="0" w:firstRowLastColumn="0" w:lastRowFirstColumn="0" w:lastRowLastColumn="0"/>
            <w:tcW w:w="750" w:type="pct"/>
            <w:noWrap/>
            <w:vAlign w:val="center"/>
          </w:tcPr>
          <w:p w14:paraId="32D48BE4" w14:textId="77777777" w:rsidR="00173A6A" w:rsidRPr="000F62FA" w:rsidRDefault="00173A6A" w:rsidP="002E789C">
            <w:pPr>
              <w:jc w:val="center"/>
              <w:rPr>
                <w:rFonts w:ascii="Times New Roman" w:eastAsia="Microsoft YaHei" w:hAnsi="Times New Roman" w:cs="Times New Roman"/>
                <w:color w:val="000000"/>
                <w:sz w:val="20"/>
                <w:szCs w:val="20"/>
              </w:rPr>
            </w:pPr>
            <w:r w:rsidRPr="000F62FA">
              <w:rPr>
                <w:rFonts w:ascii="Times New Roman" w:eastAsia="DengXian" w:hAnsi="Times New Roman" w:cs="Times New Roman"/>
                <w:color w:val="000000"/>
                <w:sz w:val="20"/>
                <w:szCs w:val="20"/>
                <w:lang w:eastAsia="zh-CN"/>
              </w:rPr>
              <w:lastRenderedPageBreak/>
              <w:t>Years in service</w:t>
            </w:r>
          </w:p>
        </w:tc>
        <w:tc>
          <w:tcPr>
            <w:tcW w:w="425" w:type="pct"/>
            <w:noWrap/>
            <w:vAlign w:val="center"/>
          </w:tcPr>
          <w:p w14:paraId="1F077489"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21</w:t>
            </w:r>
          </w:p>
        </w:tc>
        <w:tc>
          <w:tcPr>
            <w:tcW w:w="425" w:type="pct"/>
            <w:noWrap/>
            <w:vAlign w:val="center"/>
          </w:tcPr>
          <w:p w14:paraId="7C0E62EA"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22</w:t>
            </w:r>
          </w:p>
        </w:tc>
        <w:tc>
          <w:tcPr>
            <w:tcW w:w="425" w:type="pct"/>
            <w:noWrap/>
            <w:vAlign w:val="center"/>
          </w:tcPr>
          <w:p w14:paraId="4EF59F39"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23</w:t>
            </w:r>
          </w:p>
        </w:tc>
        <w:tc>
          <w:tcPr>
            <w:tcW w:w="425" w:type="pct"/>
            <w:noWrap/>
            <w:vAlign w:val="center"/>
          </w:tcPr>
          <w:p w14:paraId="3FEA1D0E"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24</w:t>
            </w:r>
          </w:p>
        </w:tc>
        <w:tc>
          <w:tcPr>
            <w:tcW w:w="425" w:type="pct"/>
            <w:noWrap/>
            <w:vAlign w:val="center"/>
          </w:tcPr>
          <w:p w14:paraId="136989A4"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25</w:t>
            </w:r>
          </w:p>
        </w:tc>
        <w:tc>
          <w:tcPr>
            <w:tcW w:w="425" w:type="pct"/>
            <w:noWrap/>
            <w:vAlign w:val="center"/>
          </w:tcPr>
          <w:p w14:paraId="52D20D1A"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26</w:t>
            </w:r>
          </w:p>
        </w:tc>
        <w:tc>
          <w:tcPr>
            <w:tcW w:w="425" w:type="pct"/>
            <w:noWrap/>
            <w:vAlign w:val="center"/>
          </w:tcPr>
          <w:p w14:paraId="5F4D84F2"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27</w:t>
            </w:r>
          </w:p>
        </w:tc>
        <w:tc>
          <w:tcPr>
            <w:tcW w:w="425" w:type="pct"/>
            <w:noWrap/>
            <w:vAlign w:val="center"/>
          </w:tcPr>
          <w:p w14:paraId="3BF22456"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28</w:t>
            </w:r>
          </w:p>
        </w:tc>
        <w:tc>
          <w:tcPr>
            <w:tcW w:w="425" w:type="pct"/>
            <w:noWrap/>
            <w:vAlign w:val="center"/>
          </w:tcPr>
          <w:p w14:paraId="5368CAB6"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r w:rsidRPr="000F62FA">
              <w:rPr>
                <w:rFonts w:ascii="Times New Roman" w:eastAsia="游ゴシック" w:hAnsi="Times New Roman" w:cs="Times New Roman"/>
                <w:b/>
                <w:bCs/>
                <w:color w:val="000000"/>
                <w:sz w:val="20"/>
                <w:szCs w:val="20"/>
              </w:rPr>
              <w:t>29</w:t>
            </w:r>
          </w:p>
        </w:tc>
        <w:tc>
          <w:tcPr>
            <w:tcW w:w="425" w:type="pct"/>
            <w:noWrap/>
            <w:vAlign w:val="center"/>
          </w:tcPr>
          <w:p w14:paraId="76358F4A" w14:textId="77777777" w:rsidR="00173A6A" w:rsidRPr="000F62FA" w:rsidRDefault="00173A6A" w:rsidP="002E789C">
            <w:pPr>
              <w:jc w:val="center"/>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b/>
                <w:bCs/>
                <w:color w:val="000000"/>
                <w:sz w:val="20"/>
                <w:szCs w:val="20"/>
              </w:rPr>
            </w:pPr>
          </w:p>
        </w:tc>
      </w:tr>
      <w:tr w:rsidR="00173A6A" w:rsidRPr="000F62FA" w14:paraId="0A2B4784" w14:textId="77777777" w:rsidTr="002E789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50" w:type="pct"/>
            <w:noWrap/>
            <w:vAlign w:val="center"/>
          </w:tcPr>
          <w:p w14:paraId="128A17C7" w14:textId="77777777" w:rsidR="00173A6A" w:rsidRPr="000F62FA" w:rsidRDefault="00173A6A" w:rsidP="002E789C">
            <w:pPr>
              <w:jc w:val="center"/>
              <w:rPr>
                <w:rFonts w:ascii="Times New Roman" w:eastAsia="Microsoft YaHei" w:hAnsi="Times New Roman" w:cs="Times New Roman"/>
                <w:color w:val="000000"/>
                <w:sz w:val="20"/>
                <w:szCs w:val="20"/>
              </w:rPr>
            </w:pPr>
            <w:r w:rsidRPr="000F62FA">
              <w:rPr>
                <w:rFonts w:ascii="Times New Roman" w:eastAsia="Microsoft YaHei" w:hAnsi="Times New Roman" w:cs="Times New Roman"/>
                <w:color w:val="000000"/>
                <w:sz w:val="20"/>
                <w:szCs w:val="20"/>
                <w:lang w:eastAsia="zh-CN"/>
              </w:rPr>
              <w:t>Survival</w:t>
            </w:r>
            <w:r w:rsidRPr="000F62FA">
              <w:rPr>
                <w:rFonts w:ascii="Times New Roman" w:eastAsia="Microsoft YaHei" w:hAnsi="Times New Roman" w:cs="Times New Roman"/>
                <w:color w:val="000000"/>
                <w:sz w:val="20"/>
                <w:szCs w:val="20"/>
              </w:rPr>
              <w:t xml:space="preserve"> ratio (%)</w:t>
            </w:r>
          </w:p>
        </w:tc>
        <w:tc>
          <w:tcPr>
            <w:tcW w:w="425" w:type="pct"/>
            <w:noWrap/>
            <w:vAlign w:val="center"/>
          </w:tcPr>
          <w:p w14:paraId="56BEF18D"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9.05</w:t>
            </w:r>
          </w:p>
        </w:tc>
        <w:tc>
          <w:tcPr>
            <w:tcW w:w="425" w:type="pct"/>
            <w:noWrap/>
            <w:vAlign w:val="center"/>
          </w:tcPr>
          <w:p w14:paraId="76459A44"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7.17</w:t>
            </w:r>
          </w:p>
        </w:tc>
        <w:tc>
          <w:tcPr>
            <w:tcW w:w="425" w:type="pct"/>
            <w:noWrap/>
            <w:vAlign w:val="center"/>
          </w:tcPr>
          <w:p w14:paraId="673C200E"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6.19</w:t>
            </w:r>
          </w:p>
        </w:tc>
        <w:tc>
          <w:tcPr>
            <w:tcW w:w="425" w:type="pct"/>
            <w:noWrap/>
            <w:vAlign w:val="center"/>
          </w:tcPr>
          <w:p w14:paraId="08A6B4F2"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5.22</w:t>
            </w:r>
          </w:p>
        </w:tc>
        <w:tc>
          <w:tcPr>
            <w:tcW w:w="425" w:type="pct"/>
            <w:noWrap/>
            <w:vAlign w:val="center"/>
          </w:tcPr>
          <w:p w14:paraId="7E78650D"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4.56</w:t>
            </w:r>
          </w:p>
        </w:tc>
        <w:tc>
          <w:tcPr>
            <w:tcW w:w="425" w:type="pct"/>
            <w:noWrap/>
            <w:vAlign w:val="center"/>
          </w:tcPr>
          <w:p w14:paraId="6BC9AC51"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4.28</w:t>
            </w:r>
          </w:p>
        </w:tc>
        <w:tc>
          <w:tcPr>
            <w:tcW w:w="425" w:type="pct"/>
            <w:noWrap/>
            <w:vAlign w:val="center"/>
          </w:tcPr>
          <w:p w14:paraId="32E47E5C"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3.61</w:t>
            </w:r>
          </w:p>
        </w:tc>
        <w:tc>
          <w:tcPr>
            <w:tcW w:w="425" w:type="pct"/>
            <w:noWrap/>
            <w:vAlign w:val="center"/>
          </w:tcPr>
          <w:p w14:paraId="02D06EA9"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3.66</w:t>
            </w:r>
          </w:p>
        </w:tc>
        <w:tc>
          <w:tcPr>
            <w:tcW w:w="425" w:type="pct"/>
            <w:noWrap/>
            <w:vAlign w:val="center"/>
          </w:tcPr>
          <w:p w14:paraId="1131F7B4"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r w:rsidRPr="000F62FA">
              <w:rPr>
                <w:rFonts w:ascii="Times New Roman" w:eastAsia="游ゴシック" w:hAnsi="Times New Roman" w:cs="Times New Roman"/>
                <w:color w:val="000000"/>
                <w:sz w:val="20"/>
                <w:szCs w:val="20"/>
              </w:rPr>
              <w:t>2.93</w:t>
            </w:r>
          </w:p>
        </w:tc>
        <w:tc>
          <w:tcPr>
            <w:tcW w:w="425" w:type="pct"/>
            <w:noWrap/>
            <w:vAlign w:val="center"/>
          </w:tcPr>
          <w:p w14:paraId="44F8719C" w14:textId="77777777" w:rsidR="00173A6A" w:rsidRPr="000F62FA" w:rsidRDefault="00173A6A" w:rsidP="002E789C">
            <w:pPr>
              <w:jc w:val="center"/>
              <w:cnfStyle w:val="000000100000" w:firstRow="0" w:lastRow="0" w:firstColumn="0" w:lastColumn="0" w:oddVBand="0" w:evenVBand="0" w:oddHBand="1" w:evenHBand="0" w:firstRowFirstColumn="0" w:firstRowLastColumn="0" w:lastRowFirstColumn="0" w:lastRowLastColumn="0"/>
              <w:rPr>
                <w:rFonts w:ascii="Times New Roman" w:eastAsia="游ゴシック" w:hAnsi="Times New Roman" w:cs="Times New Roman"/>
                <w:color w:val="000000"/>
                <w:sz w:val="20"/>
                <w:szCs w:val="20"/>
              </w:rPr>
            </w:pPr>
          </w:p>
        </w:tc>
      </w:tr>
    </w:tbl>
    <w:p w14:paraId="4C8B2EC1" w14:textId="77777777" w:rsidR="00CE0689" w:rsidRDefault="00CE0689" w:rsidP="00DC16B2">
      <w:pPr>
        <w:rPr>
          <w:rFonts w:ascii="Times New Roman" w:eastAsia="DengXian" w:hAnsi="Times New Roman" w:cs="Times New Roman"/>
          <w:lang w:eastAsia="zh-CN"/>
        </w:rPr>
      </w:pPr>
    </w:p>
    <w:p w14:paraId="1F9C0107" w14:textId="2FF61589" w:rsidR="00E7324D" w:rsidRDefault="00E7324D" w:rsidP="00CE0689">
      <w:pPr>
        <w:rPr>
          <w:rFonts w:ascii="Times New Roman" w:eastAsiaTheme="minorEastAsia" w:hAnsi="Times New Roman" w:cs="Times New Roman"/>
          <w:sz w:val="21"/>
          <w:szCs w:val="21"/>
        </w:rPr>
      </w:pPr>
      <w:r w:rsidRPr="00E7324D">
        <w:rPr>
          <w:rFonts w:ascii="Times New Roman" w:eastAsia="DengXian" w:hAnsi="Times New Roman" w:cs="Times New Roman"/>
          <w:sz w:val="21"/>
          <w:szCs w:val="21"/>
          <w:lang w:eastAsia="zh-CN"/>
        </w:rPr>
        <w:t>Beyond the domestic passenger car market, Japan is also a leading exporter in the global automotive industry. Between 2017 and 2023, Japan exported an average of 3.82 million automobiles annually, according to trade statistics</w:t>
      </w:r>
      <w:r w:rsidRPr="002C7F12">
        <w:rPr>
          <w:rFonts w:ascii="Times New Roman" w:hAnsi="Times New Roman" w:cs="Times New Roman"/>
          <w:sz w:val="21"/>
          <w:szCs w:val="21"/>
        </w:rPr>
        <w:fldChar w:fldCharType="begin"/>
      </w:r>
      <w:r w:rsidR="00C10F47">
        <w:rPr>
          <w:rFonts w:ascii="Times New Roman" w:hAnsi="Times New Roman" w:cs="Times New Roman"/>
          <w:sz w:val="21"/>
          <w:szCs w:val="21"/>
        </w:rPr>
        <w:instrText xml:space="preserve"> ADDIN EN.CITE &lt;EndNote&gt;&lt;Cite&gt;&lt;Author&gt;MOF&lt;/Author&gt;&lt;Year&gt;2024&lt;/Year&gt;&lt;RecNum&gt;243&lt;/RecNum&gt;&lt;DisplayText&gt;&lt;style face="superscript"&gt;24&lt;/style&gt;&lt;/DisplayText&gt;&lt;record&gt;&lt;rec-number&gt;243&lt;/rec-number&gt;&lt;foreign-keys&gt;&lt;key app="EN" db-id="200xxs0psrtaz4eze9pp5vvrdraszefpsp0w" timestamp="1742822354"&gt;243&lt;/key&gt;&lt;/foreign-keys&gt;&lt;ref-type name="Report"&gt;27&lt;/ref-type&gt;&lt;contributors&gt;&lt;authors&gt;&lt;author&gt;MOF&lt;/author&gt;&lt;/authors&gt;&lt;/contributors&gt;&lt;titles&gt;&lt;title&gt;Trade Statistics of Japan&lt;/title&gt;&lt;/titles&gt;&lt;dates&gt;&lt;year&gt;2024&lt;/year&gt;&lt;/dates&gt;&lt;pub-location&gt;Tokyo&lt;/pub-location&gt;&lt;publisher&gt;Ministry of Finance of Japan (MOF)&lt;/publisher&gt;&lt;urls&gt;&lt;/urls&gt;&lt;/record&gt;&lt;/Cite&gt;&lt;/EndNote&gt;</w:instrText>
      </w:r>
      <w:r w:rsidRPr="002C7F12">
        <w:rPr>
          <w:rFonts w:ascii="Times New Roman" w:hAnsi="Times New Roman" w:cs="Times New Roman"/>
          <w:sz w:val="21"/>
          <w:szCs w:val="21"/>
        </w:rPr>
        <w:fldChar w:fldCharType="separate"/>
      </w:r>
      <w:r w:rsidR="00C10F47" w:rsidRPr="00C10F47">
        <w:rPr>
          <w:rFonts w:ascii="Times New Roman" w:hAnsi="Times New Roman" w:cs="Times New Roman"/>
          <w:noProof/>
          <w:sz w:val="21"/>
          <w:szCs w:val="21"/>
          <w:vertAlign w:val="superscript"/>
        </w:rPr>
        <w:t>24</w:t>
      </w:r>
      <w:r w:rsidRPr="002C7F12">
        <w:rPr>
          <w:rFonts w:ascii="Times New Roman" w:hAnsi="Times New Roman" w:cs="Times New Roman"/>
          <w:sz w:val="21"/>
          <w:szCs w:val="21"/>
        </w:rPr>
        <w:fldChar w:fldCharType="end"/>
      </w:r>
      <w:r w:rsidRPr="00E7324D">
        <w:rPr>
          <w:rFonts w:ascii="Times New Roman" w:eastAsia="DengXian" w:hAnsi="Times New Roman" w:cs="Times New Roman"/>
          <w:sz w:val="21"/>
          <w:szCs w:val="21"/>
          <w:lang w:eastAsia="zh-CN"/>
        </w:rPr>
        <w:t xml:space="preserve">. As there is currently no concrete evidence or reliable projection regarding the future performance of Japan’s automobile industry in global markets, this study assumes a constant annual export volume of 3.82 million new passenger cars from 2025 to 2050 (Figure S17). </w:t>
      </w:r>
    </w:p>
    <w:p w14:paraId="67A14831" w14:textId="77777777" w:rsidR="00CE0689" w:rsidRPr="00CF3665" w:rsidRDefault="00CE0689" w:rsidP="00CE0689">
      <w:pPr>
        <w:rPr>
          <w:rFonts w:ascii="Times New Roman" w:eastAsia="DengXian" w:hAnsi="Times New Roman" w:cs="Times New Roman"/>
          <w:sz w:val="21"/>
          <w:szCs w:val="21"/>
          <w:lang w:eastAsia="zh-CN"/>
        </w:rPr>
      </w:pPr>
    </w:p>
    <w:p w14:paraId="315B8087" w14:textId="77777777" w:rsidR="00CE0689" w:rsidRDefault="00CE0689" w:rsidP="00CE0689">
      <w:pPr>
        <w:rPr>
          <w:rFonts w:ascii="Times New Roman" w:eastAsia="DengXian" w:hAnsi="Times New Roman" w:cs="Times New Roman"/>
          <w:sz w:val="21"/>
          <w:szCs w:val="21"/>
          <w:lang w:eastAsia="zh-CN"/>
        </w:rPr>
      </w:pPr>
      <w:r>
        <w:rPr>
          <w:noProof/>
        </w:rPr>
        <w:drawing>
          <wp:inline distT="0" distB="0" distL="0" distR="0" wp14:anchorId="6CE0B509" wp14:editId="038E1A1A">
            <wp:extent cx="5113020" cy="2743200"/>
            <wp:effectExtent l="0" t="0" r="0" b="0"/>
            <wp:docPr id="1189275277" name="グラフ 1">
              <a:extLst xmlns:a="http://schemas.openxmlformats.org/drawingml/2006/main">
                <a:ext uri="{FF2B5EF4-FFF2-40B4-BE49-F238E27FC236}">
                  <a16:creationId xmlns:a16="http://schemas.microsoft.com/office/drawing/2014/main" id="{D1AE73A9-BE76-A75B-79B5-0DD36AA57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5E9722" w14:textId="4A79EBDD" w:rsidR="00CE0689" w:rsidRPr="00EF4C8F" w:rsidRDefault="00CE0689" w:rsidP="00CE0689">
      <w:pPr>
        <w:pStyle w:val="af"/>
        <w:jc w:val="center"/>
        <w:rPr>
          <w:rFonts w:ascii="Times New Roman" w:eastAsia="DengXian" w:hAnsi="Times New Roman" w:cs="Times New Roman"/>
          <w:lang w:eastAsia="zh-CN"/>
        </w:rPr>
      </w:pPr>
      <w:bookmarkStart w:id="38" w:name="_Toc208439483"/>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F00A0F">
        <w:rPr>
          <w:rFonts w:ascii="Times New Roman" w:hAnsi="Times New Roman" w:cs="Times New Roman"/>
          <w:noProof/>
        </w:rPr>
        <w:t>17</w:t>
      </w:r>
      <w:r w:rsidRPr="007F5CA8">
        <w:rPr>
          <w:rFonts w:ascii="Times New Roman" w:hAnsi="Times New Roman" w:cs="Times New Roman"/>
        </w:rPr>
        <w:fldChar w:fldCharType="end"/>
      </w:r>
      <w:r w:rsidRPr="007F5CA8">
        <w:rPr>
          <w:rFonts w:ascii="Times New Roman" w:hAnsi="Times New Roman" w:cs="Times New Roman"/>
        </w:rPr>
        <w:t xml:space="preserve">. </w:t>
      </w:r>
      <w:r>
        <w:rPr>
          <w:rFonts w:ascii="Times New Roman" w:eastAsia="DengXian" w:hAnsi="Times New Roman" w:cs="Times New Roman" w:hint="eastAsia"/>
          <w:lang w:eastAsia="zh-CN"/>
        </w:rPr>
        <w:t>Export of new passenger cars from Japan to overseas</w:t>
      </w:r>
      <w:r w:rsidRPr="007F5CA8">
        <w:rPr>
          <w:rFonts w:ascii="Times New Roman" w:hAnsi="Times New Roman" w:cs="Times New Roman"/>
        </w:rPr>
        <w:t xml:space="preserve"> (</w:t>
      </w:r>
      <w:r>
        <w:rPr>
          <w:rFonts w:ascii="Times New Roman" w:eastAsia="DengXian" w:hAnsi="Times New Roman" w:cs="Times New Roman" w:hint="eastAsia"/>
          <w:lang w:eastAsia="zh-CN"/>
        </w:rPr>
        <w:t>2017</w:t>
      </w:r>
      <w:r w:rsidRPr="007F5CA8">
        <w:rPr>
          <w:rFonts w:ascii="Times New Roman" w:hAnsi="Times New Roman" w:cs="Times New Roman"/>
        </w:rPr>
        <w:t>-202</w:t>
      </w:r>
      <w:r>
        <w:rPr>
          <w:rFonts w:ascii="Times New Roman" w:eastAsia="DengXian" w:hAnsi="Times New Roman" w:cs="Times New Roman" w:hint="eastAsia"/>
          <w:lang w:eastAsia="zh-CN"/>
        </w:rPr>
        <w:t>3</w:t>
      </w:r>
      <w:r w:rsidRPr="007F5CA8">
        <w:rPr>
          <w:rFonts w:ascii="Times New Roman" w:hAnsi="Times New Roman" w:cs="Times New Roman"/>
        </w:rPr>
        <w:t>)</w:t>
      </w:r>
      <w:r>
        <w:rPr>
          <w:rFonts w:ascii="Times New Roman" w:eastAsia="DengXian" w:hAnsi="Times New Roman" w:cs="Times New Roman" w:hint="eastAsia"/>
          <w:lang w:eastAsia="zh-CN"/>
        </w:rPr>
        <w:t xml:space="preserve"> and its projection (2024-2050)</w:t>
      </w:r>
      <w:r w:rsidRPr="007F5CA8">
        <w:rPr>
          <w:rFonts w:ascii="Times New Roman" w:hAnsi="Times New Roman" w:cs="Times New Roman"/>
        </w:rPr>
        <w:t>.</w:t>
      </w:r>
      <w:bookmarkEnd w:id="38"/>
    </w:p>
    <w:p w14:paraId="2DD8AFE5" w14:textId="77777777" w:rsidR="00CE0689" w:rsidRPr="00026AEC" w:rsidRDefault="00CE0689" w:rsidP="00CE0689">
      <w:pPr>
        <w:rPr>
          <w:rFonts w:ascii="Times New Roman" w:eastAsia="DengXian" w:hAnsi="Times New Roman" w:cs="Times New Roman"/>
          <w:sz w:val="18"/>
          <w:szCs w:val="18"/>
          <w:lang w:eastAsia="zh-CN"/>
        </w:rPr>
      </w:pPr>
    </w:p>
    <w:p w14:paraId="59C7A694" w14:textId="6713D360" w:rsidR="00CE0689" w:rsidRPr="00A84076" w:rsidRDefault="00CE3934" w:rsidP="00DC16B2">
      <w:pPr>
        <w:rPr>
          <w:rFonts w:ascii="Times New Roman" w:eastAsiaTheme="minorEastAsia" w:hAnsi="Times New Roman" w:cs="Times New Roman"/>
          <w:sz w:val="21"/>
          <w:szCs w:val="21"/>
        </w:rPr>
      </w:pPr>
      <w:r w:rsidRPr="00CE3934">
        <w:rPr>
          <w:rFonts w:ascii="Times New Roman" w:eastAsiaTheme="minorEastAsia" w:hAnsi="Times New Roman" w:cs="Times New Roman"/>
          <w:sz w:val="21"/>
          <w:szCs w:val="21"/>
        </w:rPr>
        <w:t>Since the focus of this simulation is on the penetration of electric vehicles (EVs), the model does not estimate the overall changes in global passenger car fleets related to Japan’s automobile exports. Section 2.3 presents projections specifically for changes in global EV fleets linked to Japan’s exports.</w:t>
      </w:r>
      <w:r w:rsidR="00A84076">
        <w:rPr>
          <w:rFonts w:ascii="Times New Roman" w:eastAsiaTheme="minorEastAsia" w:hAnsi="Times New Roman" w:cs="Times New Roman" w:hint="eastAsia"/>
          <w:sz w:val="21"/>
          <w:szCs w:val="21"/>
        </w:rPr>
        <w:t xml:space="preserve"> </w:t>
      </w:r>
    </w:p>
    <w:p w14:paraId="6078EAC5" w14:textId="77777777" w:rsidR="0000102F" w:rsidRPr="00026AEC" w:rsidRDefault="0000102F" w:rsidP="00DC16B2">
      <w:pPr>
        <w:rPr>
          <w:rFonts w:ascii="Times New Roman" w:eastAsiaTheme="minorEastAsia" w:hAnsi="Times New Roman" w:cs="Times New Roman"/>
          <w:sz w:val="21"/>
          <w:szCs w:val="21"/>
        </w:rPr>
      </w:pPr>
    </w:p>
    <w:p w14:paraId="5DC29D5E" w14:textId="5ABE57B7" w:rsidR="003D184A" w:rsidRDefault="003D184A" w:rsidP="00DC16B2">
      <w:pPr>
        <w:rPr>
          <w:rFonts w:ascii="Times New Roman" w:hAnsi="Times New Roman" w:cs="Times New Roman"/>
          <w:sz w:val="21"/>
          <w:szCs w:val="21"/>
        </w:rPr>
      </w:pPr>
      <w:r w:rsidRPr="003D184A">
        <w:rPr>
          <w:rFonts w:ascii="Times New Roman" w:hAnsi="Times New Roman" w:cs="Times New Roman"/>
          <w:sz w:val="21"/>
          <w:szCs w:val="21"/>
        </w:rPr>
        <w:t>Furthermore, Japan is also a leading exporter of used passenger cars. Between 2017 and 2023, Japan exported approximately 1 million used passenger cars annually, with ICEVs and</w:t>
      </w:r>
      <w:r w:rsidR="001765CC">
        <w:rPr>
          <w:rFonts w:ascii="Times New Roman" w:hAnsi="Times New Roman" w:cs="Times New Roman" w:hint="eastAsia"/>
          <w:sz w:val="21"/>
          <w:szCs w:val="21"/>
        </w:rPr>
        <w:t xml:space="preserve"> </w:t>
      </w:r>
      <w:r w:rsidRPr="003D184A">
        <w:rPr>
          <w:rFonts w:ascii="Times New Roman" w:hAnsi="Times New Roman" w:cs="Times New Roman"/>
          <w:sz w:val="21"/>
          <w:szCs w:val="21"/>
        </w:rPr>
        <w:t>HEVs comprising the majority, according to trade statistics</w:t>
      </w:r>
      <w:r w:rsidR="001765CC" w:rsidRPr="002C7F12">
        <w:rPr>
          <w:rFonts w:ascii="Times New Roman" w:hAnsi="Times New Roman" w:cs="Times New Roman"/>
          <w:sz w:val="21"/>
          <w:szCs w:val="21"/>
        </w:rPr>
        <w:fldChar w:fldCharType="begin"/>
      </w:r>
      <w:r w:rsidR="001765CC">
        <w:rPr>
          <w:rFonts w:ascii="Times New Roman" w:hAnsi="Times New Roman" w:cs="Times New Roman"/>
          <w:sz w:val="21"/>
          <w:szCs w:val="21"/>
        </w:rPr>
        <w:instrText xml:space="preserve"> ADDIN EN.CITE &lt;EndNote&gt;&lt;Cite&gt;&lt;Author&gt;MOF&lt;/Author&gt;&lt;Year&gt;2024&lt;/Year&gt;&lt;RecNum&gt;243&lt;/RecNum&gt;&lt;DisplayText&gt;&lt;style face="superscript"&gt;24&lt;/style&gt;&lt;/DisplayText&gt;&lt;record&gt;&lt;rec-number&gt;243&lt;/rec-number&gt;&lt;foreign-keys&gt;&lt;key app="EN" db-id="200xxs0psrtaz4eze9pp5vvrdraszefpsp0w" timestamp="1742822354"&gt;243&lt;/key&gt;&lt;/foreign-keys&gt;&lt;ref-type name="Report"&gt;27&lt;/ref-type&gt;&lt;contributors&gt;&lt;authors&gt;&lt;author&gt;MOF&lt;/author&gt;&lt;/authors&gt;&lt;/contributors&gt;&lt;titles&gt;&lt;title&gt;Trade Statistics of Japan&lt;/title&gt;&lt;/titles&gt;&lt;dates&gt;&lt;year&gt;2024&lt;/year&gt;&lt;/dates&gt;&lt;pub-location&gt;Tokyo&lt;/pub-location&gt;&lt;publisher&gt;Ministry of Finance of Japan (MOF)&lt;/publisher&gt;&lt;urls&gt;&lt;/urls&gt;&lt;/record&gt;&lt;/Cite&gt;&lt;/EndNote&gt;</w:instrText>
      </w:r>
      <w:r w:rsidR="001765CC" w:rsidRPr="002C7F12">
        <w:rPr>
          <w:rFonts w:ascii="Times New Roman" w:hAnsi="Times New Roman" w:cs="Times New Roman"/>
          <w:sz w:val="21"/>
          <w:szCs w:val="21"/>
        </w:rPr>
        <w:fldChar w:fldCharType="separate"/>
      </w:r>
      <w:r w:rsidR="001765CC" w:rsidRPr="00C10F47">
        <w:rPr>
          <w:rFonts w:ascii="Times New Roman" w:hAnsi="Times New Roman" w:cs="Times New Roman"/>
          <w:noProof/>
          <w:sz w:val="21"/>
          <w:szCs w:val="21"/>
          <w:vertAlign w:val="superscript"/>
        </w:rPr>
        <w:t>24</w:t>
      </w:r>
      <w:r w:rsidR="001765CC" w:rsidRPr="002C7F12">
        <w:rPr>
          <w:rFonts w:ascii="Times New Roman" w:hAnsi="Times New Roman" w:cs="Times New Roman"/>
          <w:sz w:val="21"/>
          <w:szCs w:val="21"/>
        </w:rPr>
        <w:fldChar w:fldCharType="end"/>
      </w:r>
      <w:r w:rsidRPr="003D184A">
        <w:rPr>
          <w:rFonts w:ascii="Times New Roman" w:hAnsi="Times New Roman" w:cs="Times New Roman"/>
          <w:sz w:val="21"/>
          <w:szCs w:val="21"/>
        </w:rPr>
        <w:t>. Due to the lack of concrete evidence or reliable projections regarding the future competitiveness of Japanese used cars, the export volume of used cars is assumed to remain a fixed proportion—25%—of annual passenger car deregistrations, based on the average during 2017–2023.</w:t>
      </w:r>
    </w:p>
    <w:p w14:paraId="3F824F3D" w14:textId="77777777" w:rsidR="00615CAA" w:rsidRDefault="00615CAA" w:rsidP="00DC16B2">
      <w:pPr>
        <w:rPr>
          <w:rFonts w:ascii="Times New Roman" w:eastAsiaTheme="minorEastAsia" w:hAnsi="Times New Roman" w:cs="Times New Roman"/>
        </w:rPr>
      </w:pPr>
    </w:p>
    <w:p w14:paraId="7D797007" w14:textId="51B87125" w:rsidR="00615CAA" w:rsidRPr="00615CAA" w:rsidRDefault="004F0651" w:rsidP="00DC16B2">
      <w:pP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14:anchorId="6EBE92AA" wp14:editId="2507C624">
            <wp:extent cx="5383910" cy="1919651"/>
            <wp:effectExtent l="0" t="0" r="7620" b="4445"/>
            <wp:docPr id="17500475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6515" cy="1934842"/>
                    </a:xfrm>
                    <a:prstGeom prst="rect">
                      <a:avLst/>
                    </a:prstGeom>
                    <a:noFill/>
                    <a:ln>
                      <a:noFill/>
                    </a:ln>
                  </pic:spPr>
                </pic:pic>
              </a:graphicData>
            </a:graphic>
          </wp:inline>
        </w:drawing>
      </w:r>
    </w:p>
    <w:p w14:paraId="1480F809" w14:textId="23C4FD2A" w:rsidR="00500A0F" w:rsidRPr="00443595" w:rsidRDefault="00500A0F" w:rsidP="00500A0F">
      <w:pPr>
        <w:pStyle w:val="af"/>
        <w:jc w:val="center"/>
        <w:rPr>
          <w:rFonts w:ascii="Times New Roman" w:eastAsiaTheme="minorEastAsia" w:hAnsi="Times New Roman" w:cs="Times New Roman"/>
        </w:rPr>
      </w:pPr>
      <w:bookmarkStart w:id="39" w:name="_Toc208439484"/>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443595">
        <w:rPr>
          <w:rFonts w:ascii="Times New Roman" w:hAnsi="Times New Roman" w:cs="Times New Roman"/>
          <w:noProof/>
        </w:rPr>
        <w:t>18</w:t>
      </w:r>
      <w:r w:rsidRPr="007F5CA8">
        <w:rPr>
          <w:rFonts w:ascii="Times New Roman" w:hAnsi="Times New Roman" w:cs="Times New Roman"/>
        </w:rPr>
        <w:fldChar w:fldCharType="end"/>
      </w:r>
      <w:r w:rsidRPr="007F5CA8">
        <w:rPr>
          <w:rFonts w:ascii="Times New Roman" w:hAnsi="Times New Roman" w:cs="Times New Roman"/>
        </w:rPr>
        <w:t xml:space="preserve">. </w:t>
      </w:r>
      <w:r>
        <w:rPr>
          <w:rFonts w:ascii="Times New Roman" w:eastAsia="DengXian" w:hAnsi="Times New Roman" w:cs="Times New Roman" w:hint="eastAsia"/>
          <w:lang w:eastAsia="zh-CN"/>
        </w:rPr>
        <w:t xml:space="preserve">Export of </w:t>
      </w:r>
      <w:r w:rsidR="00443595">
        <w:rPr>
          <w:rFonts w:ascii="Times New Roman" w:eastAsiaTheme="minorEastAsia" w:hAnsi="Times New Roman" w:cs="Times New Roman" w:hint="eastAsia"/>
        </w:rPr>
        <w:t>used</w:t>
      </w:r>
      <w:r>
        <w:rPr>
          <w:rFonts w:ascii="Times New Roman" w:eastAsia="DengXian" w:hAnsi="Times New Roman" w:cs="Times New Roman" w:hint="eastAsia"/>
          <w:lang w:eastAsia="zh-CN"/>
        </w:rPr>
        <w:t xml:space="preserve"> passenger cars from Japan </w:t>
      </w:r>
      <w:r w:rsidRPr="007F5CA8">
        <w:rPr>
          <w:rFonts w:ascii="Times New Roman" w:hAnsi="Times New Roman" w:cs="Times New Roman"/>
        </w:rPr>
        <w:t>(</w:t>
      </w:r>
      <w:r>
        <w:rPr>
          <w:rFonts w:ascii="Times New Roman" w:eastAsia="DengXian" w:hAnsi="Times New Roman" w:cs="Times New Roman" w:hint="eastAsia"/>
          <w:lang w:eastAsia="zh-CN"/>
        </w:rPr>
        <w:t>2017</w:t>
      </w:r>
      <w:r w:rsidRPr="007F5CA8">
        <w:rPr>
          <w:rFonts w:ascii="Times New Roman" w:hAnsi="Times New Roman" w:cs="Times New Roman"/>
        </w:rPr>
        <w:t>-202</w:t>
      </w:r>
      <w:r>
        <w:rPr>
          <w:rFonts w:ascii="Times New Roman" w:eastAsia="DengXian" w:hAnsi="Times New Roman" w:cs="Times New Roman" w:hint="eastAsia"/>
          <w:lang w:eastAsia="zh-CN"/>
        </w:rPr>
        <w:t>3</w:t>
      </w:r>
      <w:r w:rsidRPr="007F5CA8">
        <w:rPr>
          <w:rFonts w:ascii="Times New Roman" w:hAnsi="Times New Roman" w:cs="Times New Roman"/>
        </w:rPr>
        <w:t>)</w:t>
      </w:r>
      <w:r>
        <w:rPr>
          <w:rFonts w:ascii="Times New Roman" w:eastAsia="DengXian" w:hAnsi="Times New Roman" w:cs="Times New Roman" w:hint="eastAsia"/>
          <w:lang w:eastAsia="zh-CN"/>
        </w:rPr>
        <w:t xml:space="preserve"> and its projection (2024-2050)</w:t>
      </w:r>
      <w:r w:rsidRPr="007F5CA8">
        <w:rPr>
          <w:rFonts w:ascii="Times New Roman" w:hAnsi="Times New Roman" w:cs="Times New Roman"/>
        </w:rPr>
        <w:t>.</w:t>
      </w:r>
      <w:bookmarkEnd w:id="39"/>
    </w:p>
    <w:p w14:paraId="564F8B95" w14:textId="77777777" w:rsidR="00292DB8" w:rsidRPr="00CE0689" w:rsidRDefault="00292DB8" w:rsidP="00DC16B2">
      <w:pPr>
        <w:rPr>
          <w:rFonts w:ascii="Times New Roman" w:eastAsia="DengXian" w:hAnsi="Times New Roman" w:cs="Times New Roman"/>
          <w:lang w:eastAsia="zh-CN"/>
        </w:rPr>
      </w:pPr>
    </w:p>
    <w:p w14:paraId="23C05344" w14:textId="768392DB" w:rsidR="008C5113" w:rsidRPr="000F62FA" w:rsidRDefault="008C5113" w:rsidP="008C5113">
      <w:pPr>
        <w:pStyle w:val="2"/>
        <w:rPr>
          <w:rFonts w:eastAsia="DengXian"/>
        </w:rPr>
      </w:pPr>
      <w:bookmarkStart w:id="40" w:name="_Toc199865017"/>
      <w:r w:rsidRPr="000F62FA">
        <w:rPr>
          <w:rFonts w:eastAsia="DengXian"/>
        </w:rPr>
        <w:t>2</w:t>
      </w:r>
      <w:r w:rsidRPr="000F62FA">
        <w:t>.</w:t>
      </w:r>
      <w:r>
        <w:rPr>
          <w:rFonts w:eastAsia="DengXian" w:hint="eastAsia"/>
        </w:rPr>
        <w:t>3</w:t>
      </w:r>
      <w:r w:rsidRPr="000F62FA">
        <w:t xml:space="preserve"> </w:t>
      </w:r>
      <w:r w:rsidR="003366DF">
        <w:rPr>
          <w:rFonts w:eastAsia="DengXian" w:hint="eastAsia"/>
        </w:rPr>
        <w:t xml:space="preserve">EV </w:t>
      </w:r>
      <w:r w:rsidR="00A63D45">
        <w:rPr>
          <w:rFonts w:eastAsia="DengXian" w:hint="eastAsia"/>
        </w:rPr>
        <w:t>P</w:t>
      </w:r>
      <w:r w:rsidR="003366DF">
        <w:rPr>
          <w:rFonts w:eastAsia="DengXian" w:hint="eastAsia"/>
        </w:rPr>
        <w:t xml:space="preserve">enetration in </w:t>
      </w:r>
      <w:r w:rsidR="00E01BE8">
        <w:rPr>
          <w:rFonts w:eastAsia="DengXian" w:hint="eastAsia"/>
        </w:rPr>
        <w:t>the P</w:t>
      </w:r>
      <w:r w:rsidR="003366DF">
        <w:rPr>
          <w:rFonts w:eastAsia="DengXian" w:hint="eastAsia"/>
        </w:rPr>
        <w:t xml:space="preserve">assenger </w:t>
      </w:r>
      <w:r w:rsidR="00E01BE8">
        <w:rPr>
          <w:rFonts w:eastAsia="DengXian" w:hint="eastAsia"/>
        </w:rPr>
        <w:t>C</w:t>
      </w:r>
      <w:r w:rsidR="00570FCF">
        <w:rPr>
          <w:rFonts w:eastAsia="DengXian" w:hint="eastAsia"/>
        </w:rPr>
        <w:t xml:space="preserve">ar </w:t>
      </w:r>
      <w:r w:rsidR="00E01BE8">
        <w:rPr>
          <w:rFonts w:eastAsia="DengXian" w:hint="eastAsia"/>
        </w:rPr>
        <w:t>M</w:t>
      </w:r>
      <w:r w:rsidR="00570FCF">
        <w:rPr>
          <w:rFonts w:eastAsia="DengXian" w:hint="eastAsia"/>
        </w:rPr>
        <w:t>arket</w:t>
      </w:r>
      <w:bookmarkEnd w:id="40"/>
    </w:p>
    <w:p w14:paraId="20AA8981" w14:textId="7071FFED" w:rsidR="00F6231D" w:rsidRDefault="00F6231D" w:rsidP="00F6231D">
      <w:pPr>
        <w:rPr>
          <w:rFonts w:ascii="Times New Roman" w:eastAsia="DengXian" w:hAnsi="Times New Roman" w:cs="Times New Roman"/>
          <w:sz w:val="21"/>
          <w:szCs w:val="21"/>
          <w:lang w:eastAsia="zh-CN"/>
        </w:rPr>
      </w:pPr>
      <w:r w:rsidRPr="00F6231D">
        <w:rPr>
          <w:rFonts w:ascii="Times New Roman" w:eastAsia="DengXian" w:hAnsi="Times New Roman" w:cs="Times New Roman"/>
          <w:sz w:val="21"/>
          <w:szCs w:val="21"/>
          <w:lang w:eastAsia="zh-CN"/>
        </w:rPr>
        <w:t>Regarding the penetration of EVs in the domestic passenger car market, our assumptions are based on two key policy declarations by the Japanese government. First, both the government and major automobile associations have set ambitious targets to end the sale of ICEVs domestically by the early 2030s. Second, the transport sector is expected to achieve full decarbonization by 2050, in line with the carbon-neutral pledge announced by Prime Minister Suga in 2020</w:t>
      </w:r>
      <w:r w:rsidR="005350C2" w:rsidRPr="004F3BE6">
        <w:rPr>
          <w:rFonts w:ascii="Times New Roman" w:eastAsia="DengXian" w:hAnsi="Times New Roman" w:cs="Times New Roman"/>
          <w:color w:val="000000"/>
          <w:sz w:val="21"/>
          <w:szCs w:val="18"/>
        </w:rPr>
        <w:fldChar w:fldCharType="begin"/>
      </w:r>
      <w:r w:rsidR="005350C2">
        <w:rPr>
          <w:rFonts w:ascii="Times New Roman" w:eastAsia="DengXian" w:hAnsi="Times New Roman" w:cs="Times New Roman"/>
          <w:color w:val="000000"/>
          <w:sz w:val="21"/>
          <w:szCs w:val="18"/>
        </w:rPr>
        <w:instrText xml:space="preserve"> ADDIN EN.CITE &lt;EndNote&gt;&lt;Cite&gt;&lt;Author&gt;METI&lt;/Author&gt;&lt;Year&gt;2021&lt;/Year&gt;&lt;RecNum&gt;207&lt;/RecNum&gt;&lt;DisplayText&gt;&lt;style face="superscript"&gt;26&lt;/style&gt;&lt;/DisplayText&gt;&lt;record&gt;&lt;rec-number&gt;207&lt;/rec-number&gt;&lt;foreign-keys&gt;&lt;key app="EN" db-id="200xxs0psrtaz4eze9pp5vvrdraszefpsp0w" timestamp="1708152288"&gt;207&lt;/key&gt;&lt;/foreign-keys&gt;&lt;ref-type name="Report"&gt;27&lt;/ref-type&gt;&lt;contributors&gt;&lt;authors&gt;&lt;author&gt;METI&lt;/author&gt;&lt;/authors&gt;&lt;/contributors&gt;&lt;titles&gt;&lt;title&gt;Green Growth Strategy Through Achieving Carbon Neutrality in 2050&lt;/title&gt;&lt;/titles&gt;&lt;dates&gt;&lt;year&gt;2021&lt;/year&gt;&lt;/dates&gt;&lt;pub-location&gt;Tokyo&lt;/pub-location&gt;&lt;publisher&gt;The Ministry of Economy, Trade and Industry (METI)&lt;/publisher&gt;&lt;urls&gt;&lt;related-urls&gt;&lt;url&gt;https://www.meti.go.jp/english/policy/energy_environment/global_warming/ggs2050/index.html&lt;/url&gt;&lt;/related-urls&gt;&lt;/urls&gt;&lt;/record&gt;&lt;/Cite&gt;&lt;/EndNote&gt;</w:instrText>
      </w:r>
      <w:r w:rsidR="005350C2" w:rsidRPr="004F3BE6">
        <w:rPr>
          <w:rFonts w:ascii="Times New Roman" w:eastAsia="DengXian" w:hAnsi="Times New Roman" w:cs="Times New Roman"/>
          <w:color w:val="000000"/>
          <w:sz w:val="21"/>
          <w:szCs w:val="18"/>
        </w:rPr>
        <w:fldChar w:fldCharType="separate"/>
      </w:r>
      <w:r w:rsidR="005350C2" w:rsidRPr="00C10F47">
        <w:rPr>
          <w:rFonts w:ascii="Times New Roman" w:eastAsia="DengXian" w:hAnsi="Times New Roman" w:cs="Times New Roman"/>
          <w:noProof/>
          <w:color w:val="000000"/>
          <w:sz w:val="21"/>
          <w:szCs w:val="18"/>
          <w:vertAlign w:val="superscript"/>
        </w:rPr>
        <w:t>26</w:t>
      </w:r>
      <w:r w:rsidR="005350C2" w:rsidRPr="004F3BE6">
        <w:rPr>
          <w:rFonts w:ascii="Times New Roman" w:eastAsia="DengXian" w:hAnsi="Times New Roman" w:cs="Times New Roman"/>
          <w:color w:val="000000"/>
          <w:sz w:val="21"/>
          <w:szCs w:val="18"/>
        </w:rPr>
        <w:fldChar w:fldCharType="end"/>
      </w:r>
      <w:r w:rsidRPr="00F6231D">
        <w:rPr>
          <w:rFonts w:ascii="Times New Roman" w:eastAsia="DengXian" w:hAnsi="Times New Roman" w:cs="Times New Roman"/>
          <w:sz w:val="21"/>
          <w:szCs w:val="21"/>
          <w:lang w:eastAsia="zh-CN"/>
        </w:rPr>
        <w:t>. This implies that ICEVs should exit the domestic passenger car market by 2035, while</w:t>
      </w:r>
      <w:r w:rsidR="003702B6">
        <w:rPr>
          <w:rFonts w:ascii="Times New Roman" w:eastAsia="DengXian" w:hAnsi="Times New Roman" w:cs="Times New Roman" w:hint="eastAsia"/>
          <w:sz w:val="21"/>
          <w:szCs w:val="21"/>
          <w:lang w:eastAsia="zh-CN"/>
        </w:rPr>
        <w:t xml:space="preserve"> </w:t>
      </w:r>
      <w:r w:rsidRPr="00F6231D">
        <w:rPr>
          <w:rFonts w:ascii="Times New Roman" w:eastAsia="DengXian" w:hAnsi="Times New Roman" w:cs="Times New Roman"/>
          <w:sz w:val="21"/>
          <w:szCs w:val="21"/>
          <w:lang w:eastAsia="zh-CN"/>
        </w:rPr>
        <w:t>HEVs—which still rely primarily on fossil fuels—should also be phased out before 2050.</w:t>
      </w:r>
      <w:r>
        <w:rPr>
          <w:rFonts w:ascii="Times New Roman" w:eastAsia="DengXian" w:hAnsi="Times New Roman" w:cs="Times New Roman" w:hint="eastAsia"/>
          <w:sz w:val="21"/>
          <w:szCs w:val="21"/>
          <w:lang w:eastAsia="zh-CN"/>
        </w:rPr>
        <w:t xml:space="preserve"> </w:t>
      </w:r>
      <w:r w:rsidRPr="00F6231D">
        <w:rPr>
          <w:rFonts w:ascii="Times New Roman" w:eastAsia="DengXian" w:hAnsi="Times New Roman" w:cs="Times New Roman"/>
          <w:sz w:val="21"/>
          <w:szCs w:val="21"/>
          <w:lang w:eastAsia="zh-CN"/>
        </w:rPr>
        <w:t>Given the current limitations of FCVs, including high purchase costs and insufficient infrastructure, BEVs and PHEVs are anticipated to dominate the new car market by 2050. However, a strategic juncture arises regarding the relative share of BEVs versus PHEVs. Although BEVs powered by renewable electricity represent an ideal decarbonization pathway, they require substantial inputs of critical minerals. Alternatively, advancements in carbon-neutral biofuel technologies present an opportunity to increase the adoption of PHEVs, which could reduce reliance on mineral-intensive BEVs.</w:t>
      </w:r>
      <w:r>
        <w:rPr>
          <w:rFonts w:ascii="Times New Roman" w:eastAsia="DengXian" w:hAnsi="Times New Roman" w:cs="Times New Roman" w:hint="eastAsia"/>
          <w:sz w:val="21"/>
          <w:szCs w:val="21"/>
          <w:lang w:eastAsia="zh-CN"/>
        </w:rPr>
        <w:t xml:space="preserve"> </w:t>
      </w:r>
      <w:r w:rsidRPr="00F6231D">
        <w:rPr>
          <w:rFonts w:ascii="Times New Roman" w:eastAsia="DengXian" w:hAnsi="Times New Roman" w:cs="Times New Roman"/>
          <w:sz w:val="21"/>
          <w:szCs w:val="21"/>
          <w:lang w:eastAsia="zh-CN"/>
        </w:rPr>
        <w:t>This strategic divergence is reflected in scenario settings proposed by the JAMA</w:t>
      </w:r>
      <w:r w:rsidR="005350C2" w:rsidRPr="00A1375F">
        <w:rPr>
          <w:rFonts w:ascii="Times New Roman" w:hAnsi="Times New Roman" w:cs="Times New Roman"/>
          <w:sz w:val="21"/>
          <w:szCs w:val="21"/>
        </w:rPr>
        <w:fldChar w:fldCharType="begin"/>
      </w:r>
      <w:r w:rsidR="005350C2" w:rsidRPr="00A1375F">
        <w:rPr>
          <w:rFonts w:ascii="Times New Roman" w:hAnsi="Times New Roman" w:cs="Times New Roman"/>
          <w:sz w:val="21"/>
          <w:szCs w:val="21"/>
        </w:rPr>
        <w:instrText xml:space="preserve"> ADDIN EN.CITE &lt;EndNote&gt;&lt;Cite&gt;&lt;Author&gt;JAMA&lt;/Author&gt;&lt;Year&gt;2022&lt;/Year&gt;&lt;RecNum&gt;2&lt;/RecNum&gt;&lt;DisplayText&gt;&lt;style face="superscript"&gt;2&lt;/style&gt;&lt;/DisplayText&gt;&lt;record&gt;&lt;rec-number&gt;2&lt;/rec-number&gt;&lt;foreign-keys&gt;&lt;key app="EN" db-id="vxvpa0p0x9e5sge9zv2vwd2msfpf2rz99af0" timestamp="1666165698"&gt;2&lt;/key&gt;&lt;/foreign-keys&gt;&lt;ref-type name="Report"&gt;27&lt;/ref-type&gt;&lt;contributors&gt;&lt;authors&gt;&lt;author&gt;JAMA&lt;/author&gt;&lt;/authors&gt;&lt;/contributors&gt;&lt;titles&gt;&lt;title&gt;Transitioning to Carbon Neutrality by 2050: A Scenario-Based Analysis&lt;/title&gt;&lt;/titles&gt;&lt;dates&gt;&lt;year&gt;2022&lt;/year&gt;&lt;/dates&gt;&lt;pub-location&gt;Tokyo&lt;/pub-location&gt;&lt;publisher&gt;Japan Automobile Manufacturers Association (JAMA)&lt;/publisher&gt;&lt;urls&gt;&lt;related-urls&gt;&lt;url&gt;https://www.jama.or.jp/operation/ecology/carbon_neutral_scenario/PDF/Transitioning_to_CN_by_2050A_Scenario_Based_Analysis_EN.pdf&lt;/url&gt;&lt;/related-urls&gt;&lt;/urls&gt;&lt;/record&gt;&lt;/Cite&gt;&lt;/EndNote&gt;</w:instrText>
      </w:r>
      <w:r w:rsidR="005350C2" w:rsidRPr="00A1375F">
        <w:rPr>
          <w:rFonts w:ascii="Times New Roman" w:hAnsi="Times New Roman" w:cs="Times New Roman"/>
          <w:sz w:val="21"/>
          <w:szCs w:val="21"/>
        </w:rPr>
        <w:fldChar w:fldCharType="separate"/>
      </w:r>
      <w:r w:rsidR="005350C2" w:rsidRPr="00A1375F">
        <w:rPr>
          <w:rFonts w:ascii="Times New Roman" w:hAnsi="Times New Roman" w:cs="Times New Roman"/>
          <w:noProof/>
          <w:sz w:val="21"/>
          <w:szCs w:val="21"/>
          <w:vertAlign w:val="superscript"/>
        </w:rPr>
        <w:t>2</w:t>
      </w:r>
      <w:r w:rsidR="005350C2" w:rsidRPr="00A1375F">
        <w:rPr>
          <w:rFonts w:ascii="Times New Roman" w:hAnsi="Times New Roman" w:cs="Times New Roman"/>
          <w:sz w:val="21"/>
          <w:szCs w:val="21"/>
        </w:rPr>
        <w:fldChar w:fldCharType="end"/>
      </w:r>
      <w:r w:rsidRPr="00F6231D">
        <w:rPr>
          <w:rFonts w:ascii="Times New Roman" w:eastAsia="DengXian" w:hAnsi="Times New Roman" w:cs="Times New Roman"/>
          <w:sz w:val="21"/>
          <w:szCs w:val="21"/>
          <w:lang w:eastAsia="zh-CN"/>
        </w:rPr>
        <w:t>, where PHEVs and BEVs may each account for approximately half of new car sales by 2050 if biofuels become widespread. Based on this context, we define two future scenarios to model decarbonization pathways in the transport sector: a BEV-oriented scenario and a CNF (carbon-neutral fuel)-oriented scenario, as illustrated in Figure S19.</w:t>
      </w:r>
    </w:p>
    <w:p w14:paraId="054AEC13" w14:textId="77777777" w:rsidR="00F6231D" w:rsidRDefault="00F6231D" w:rsidP="00F6231D">
      <w:pPr>
        <w:rPr>
          <w:rFonts w:ascii="Times New Roman" w:eastAsia="DengXian" w:hAnsi="Times New Roman" w:cs="Times New Roman"/>
          <w:sz w:val="21"/>
          <w:szCs w:val="21"/>
          <w:lang w:eastAsia="zh-CN"/>
        </w:rPr>
      </w:pPr>
    </w:p>
    <w:p w14:paraId="769E7698" w14:textId="77777777" w:rsidR="00DC16B2" w:rsidRPr="000F62FA" w:rsidRDefault="00DC16B2" w:rsidP="00DC16B2">
      <w:pPr>
        <w:jc w:val="center"/>
        <w:rPr>
          <w:rFonts w:ascii="Times New Roman" w:eastAsia="DengXian" w:hAnsi="Times New Roman" w:cs="Times New Roman"/>
          <w:lang w:eastAsia="zh-CN"/>
        </w:rPr>
      </w:pPr>
      <w:r w:rsidRPr="000F62FA">
        <w:rPr>
          <w:rFonts w:ascii="Times New Roman" w:hAnsi="Times New Roman" w:cs="Times New Roman"/>
          <w:noProof/>
        </w:rPr>
        <w:lastRenderedPageBreak/>
        <w:drawing>
          <wp:inline distT="0" distB="0" distL="0" distR="0" wp14:anchorId="65F9C50D" wp14:editId="716789C9">
            <wp:extent cx="4554187" cy="2388870"/>
            <wp:effectExtent l="0" t="0" r="0" b="0"/>
            <wp:docPr id="1534254247" name="グラフ 1">
              <a:extLst xmlns:a="http://schemas.openxmlformats.org/drawingml/2006/main">
                <a:ext uri="{FF2B5EF4-FFF2-40B4-BE49-F238E27FC236}">
                  <a16:creationId xmlns:a16="http://schemas.microsoft.com/office/drawing/2014/main" id="{ED0C206E-4E9E-ABFE-2532-31F6CCE38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38AD24" w14:textId="405C4E36" w:rsidR="00DC16B2" w:rsidRPr="00FD3CC1" w:rsidRDefault="000D2F32" w:rsidP="00DC16B2">
      <w:pPr>
        <w:jc w:val="center"/>
        <w:rPr>
          <w:rFonts w:ascii="Times New Roman" w:eastAsia="DengXian" w:hAnsi="Times New Roman" w:cs="Times New Roman"/>
          <w:sz w:val="21"/>
          <w:szCs w:val="21"/>
          <w:lang w:eastAsia="zh-CN"/>
        </w:rPr>
      </w:pPr>
      <w:r w:rsidRPr="00FD3CC1">
        <w:rPr>
          <w:rFonts w:ascii="Times New Roman" w:eastAsia="DengXian" w:hAnsi="Times New Roman" w:cs="Times New Roman" w:hint="eastAsia"/>
          <w:sz w:val="21"/>
          <w:szCs w:val="21"/>
          <w:lang w:eastAsia="zh-CN"/>
        </w:rPr>
        <w:t xml:space="preserve">a. </w:t>
      </w:r>
      <w:r w:rsidR="00DC16B2" w:rsidRPr="00FD3CC1">
        <w:rPr>
          <w:rFonts w:ascii="Times New Roman" w:eastAsia="DengXian" w:hAnsi="Times New Roman" w:cs="Times New Roman"/>
          <w:sz w:val="21"/>
          <w:szCs w:val="21"/>
          <w:lang w:eastAsia="zh-CN"/>
        </w:rPr>
        <w:t>BEV</w:t>
      </w:r>
      <w:r w:rsidRPr="00FD3CC1">
        <w:rPr>
          <w:rFonts w:ascii="Times New Roman" w:eastAsia="DengXian" w:hAnsi="Times New Roman" w:cs="Times New Roman" w:hint="eastAsia"/>
          <w:sz w:val="21"/>
          <w:szCs w:val="21"/>
          <w:lang w:eastAsia="zh-CN"/>
        </w:rPr>
        <w:t>-oriented</w:t>
      </w:r>
      <w:r w:rsidR="00FD3CC1" w:rsidRPr="00FD3CC1">
        <w:rPr>
          <w:rFonts w:ascii="Times New Roman" w:eastAsia="DengXian" w:hAnsi="Times New Roman" w:cs="Times New Roman" w:hint="eastAsia"/>
          <w:sz w:val="21"/>
          <w:szCs w:val="21"/>
          <w:lang w:eastAsia="zh-CN"/>
        </w:rPr>
        <w:t xml:space="preserve"> scenario</w:t>
      </w:r>
    </w:p>
    <w:p w14:paraId="715704BC" w14:textId="77777777" w:rsidR="00DC16B2" w:rsidRPr="000F62FA" w:rsidRDefault="00DC16B2" w:rsidP="00DC16B2">
      <w:pPr>
        <w:jc w:val="center"/>
        <w:rPr>
          <w:rFonts w:ascii="Times New Roman" w:eastAsia="DengXian" w:hAnsi="Times New Roman" w:cs="Times New Roman"/>
          <w:lang w:eastAsia="zh-CN"/>
        </w:rPr>
      </w:pPr>
      <w:r w:rsidRPr="000F62FA">
        <w:rPr>
          <w:rFonts w:ascii="Times New Roman" w:hAnsi="Times New Roman" w:cs="Times New Roman"/>
          <w:noProof/>
        </w:rPr>
        <w:drawing>
          <wp:inline distT="0" distB="0" distL="0" distR="0" wp14:anchorId="159EE03E" wp14:editId="2C1DC654">
            <wp:extent cx="4702628" cy="2390140"/>
            <wp:effectExtent l="0" t="0" r="3175" b="0"/>
            <wp:docPr id="738670020" name="グラフ 1">
              <a:extLst xmlns:a="http://schemas.openxmlformats.org/drawingml/2006/main">
                <a:ext uri="{FF2B5EF4-FFF2-40B4-BE49-F238E27FC236}">
                  <a16:creationId xmlns:a16="http://schemas.microsoft.com/office/drawing/2014/main" id="{7CDFB80F-FE5B-4C78-936C-FFBE6B0C5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5D8527" w14:textId="4183C1FA" w:rsidR="00DC16B2" w:rsidRPr="00FD3CC1" w:rsidRDefault="000D2F32" w:rsidP="00DC16B2">
      <w:pPr>
        <w:jc w:val="center"/>
        <w:rPr>
          <w:rFonts w:ascii="Times New Roman" w:eastAsia="DengXian" w:hAnsi="Times New Roman" w:cs="Times New Roman"/>
          <w:sz w:val="21"/>
          <w:szCs w:val="21"/>
          <w:lang w:eastAsia="zh-CN"/>
        </w:rPr>
      </w:pPr>
      <w:r w:rsidRPr="00FD3CC1">
        <w:rPr>
          <w:rFonts w:ascii="Times New Roman" w:eastAsia="DengXian" w:hAnsi="Times New Roman" w:cs="Times New Roman" w:hint="eastAsia"/>
          <w:sz w:val="21"/>
          <w:szCs w:val="21"/>
          <w:lang w:eastAsia="zh-CN"/>
        </w:rPr>
        <w:t xml:space="preserve">b. </w:t>
      </w:r>
      <w:r w:rsidR="00DC16B2" w:rsidRPr="00FD3CC1">
        <w:rPr>
          <w:rFonts w:ascii="Times New Roman" w:eastAsia="DengXian" w:hAnsi="Times New Roman" w:cs="Times New Roman"/>
          <w:sz w:val="21"/>
          <w:szCs w:val="21"/>
          <w:lang w:eastAsia="zh-CN"/>
        </w:rPr>
        <w:t>CNF</w:t>
      </w:r>
      <w:r w:rsidRPr="00FD3CC1">
        <w:rPr>
          <w:rFonts w:ascii="Times New Roman" w:eastAsia="DengXian" w:hAnsi="Times New Roman" w:cs="Times New Roman" w:hint="eastAsia"/>
          <w:sz w:val="21"/>
          <w:szCs w:val="21"/>
          <w:lang w:eastAsia="zh-CN"/>
        </w:rPr>
        <w:t>-oriented</w:t>
      </w:r>
      <w:r w:rsidR="00FD3CC1" w:rsidRPr="00FD3CC1">
        <w:rPr>
          <w:rFonts w:ascii="Times New Roman" w:eastAsia="DengXian" w:hAnsi="Times New Roman" w:cs="Times New Roman" w:hint="eastAsia"/>
          <w:sz w:val="21"/>
          <w:szCs w:val="21"/>
          <w:lang w:eastAsia="zh-CN"/>
        </w:rPr>
        <w:t xml:space="preserve"> scenario</w:t>
      </w:r>
    </w:p>
    <w:p w14:paraId="2A4405C9" w14:textId="3CF8BB81" w:rsidR="00534AC8" w:rsidRPr="007F5CA8" w:rsidRDefault="00534AC8" w:rsidP="00534AC8">
      <w:pPr>
        <w:pStyle w:val="af"/>
        <w:jc w:val="center"/>
        <w:rPr>
          <w:rFonts w:ascii="Times New Roman" w:eastAsiaTheme="minorEastAsia" w:hAnsi="Times New Roman" w:cs="Times New Roman"/>
        </w:rPr>
      </w:pPr>
      <w:bookmarkStart w:id="41" w:name="_Toc208439485"/>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561E24">
        <w:rPr>
          <w:rFonts w:ascii="Times New Roman" w:hAnsi="Times New Roman" w:cs="Times New Roman"/>
          <w:noProof/>
        </w:rPr>
        <w:t>19</w:t>
      </w:r>
      <w:r w:rsidRPr="007F5CA8">
        <w:rPr>
          <w:rFonts w:ascii="Times New Roman" w:hAnsi="Times New Roman" w:cs="Times New Roman"/>
        </w:rPr>
        <w:fldChar w:fldCharType="end"/>
      </w:r>
      <w:r w:rsidRPr="007F5CA8">
        <w:rPr>
          <w:rFonts w:ascii="Times New Roman" w:hAnsi="Times New Roman" w:cs="Times New Roman"/>
        </w:rPr>
        <w:t xml:space="preserve">. </w:t>
      </w:r>
      <w:r w:rsidR="000D4A5E">
        <w:rPr>
          <w:rFonts w:ascii="Times New Roman" w:eastAsia="DengXian" w:hAnsi="Times New Roman" w:cs="Times New Roman" w:hint="eastAsia"/>
          <w:lang w:eastAsia="zh-CN"/>
        </w:rPr>
        <w:t>M</w:t>
      </w:r>
      <w:r w:rsidR="004E0A7E">
        <w:rPr>
          <w:rFonts w:ascii="Times New Roman" w:eastAsia="DengXian" w:hAnsi="Times New Roman" w:cs="Times New Roman" w:hint="eastAsia"/>
          <w:lang w:eastAsia="zh-CN"/>
        </w:rPr>
        <w:t xml:space="preserve">arket </w:t>
      </w:r>
      <w:r w:rsidRPr="00534AC8">
        <w:rPr>
          <w:rFonts w:ascii="Times New Roman" w:hAnsi="Times New Roman" w:cs="Times New Roman"/>
        </w:rPr>
        <w:t>shar</w:t>
      </w:r>
      <w:r w:rsidR="003D2D92">
        <w:rPr>
          <w:rFonts w:ascii="Times New Roman" w:hAnsi="Times New Roman" w:cs="Times New Roman" w:hint="eastAsia"/>
        </w:rPr>
        <w:t>e</w:t>
      </w:r>
      <w:r w:rsidRPr="00534AC8">
        <w:rPr>
          <w:rFonts w:ascii="Times New Roman" w:hAnsi="Times New Roman" w:cs="Times New Roman"/>
        </w:rPr>
        <w:t xml:space="preserve"> of </w:t>
      </w:r>
      <w:r w:rsidR="003236BE">
        <w:rPr>
          <w:rFonts w:ascii="Times New Roman" w:eastAsia="DengXian" w:hAnsi="Times New Roman" w:cs="Times New Roman" w:hint="eastAsia"/>
          <w:lang w:eastAsia="zh-CN"/>
        </w:rPr>
        <w:t>different</w:t>
      </w:r>
      <w:r w:rsidRPr="00534AC8">
        <w:rPr>
          <w:rFonts w:ascii="Times New Roman" w:hAnsi="Times New Roman" w:cs="Times New Roman"/>
        </w:rPr>
        <w:t xml:space="preserve"> type</w:t>
      </w:r>
      <w:r w:rsidR="003236BE">
        <w:rPr>
          <w:rFonts w:ascii="Times New Roman" w:eastAsia="DengXian" w:hAnsi="Times New Roman" w:cs="Times New Roman" w:hint="eastAsia"/>
          <w:lang w:eastAsia="zh-CN"/>
        </w:rPr>
        <w:t>s</w:t>
      </w:r>
      <w:r w:rsidRPr="00534AC8">
        <w:rPr>
          <w:rFonts w:ascii="Times New Roman" w:hAnsi="Times New Roman" w:cs="Times New Roman"/>
        </w:rPr>
        <w:t xml:space="preserve"> of passenger vehicles in new passenger cars sales market</w:t>
      </w:r>
      <w:r w:rsidR="003236BE">
        <w:rPr>
          <w:rFonts w:ascii="Times New Roman" w:eastAsia="DengXian" w:hAnsi="Times New Roman" w:cs="Times New Roman" w:hint="eastAsia"/>
          <w:lang w:eastAsia="zh-CN"/>
        </w:rPr>
        <w:t xml:space="preserve"> of Japan</w:t>
      </w:r>
      <w:r w:rsidR="000D4A5E">
        <w:rPr>
          <w:rFonts w:ascii="Times New Roman" w:eastAsia="DengXian" w:hAnsi="Times New Roman" w:cs="Times New Roman" w:hint="eastAsia"/>
          <w:lang w:eastAsia="zh-CN"/>
        </w:rPr>
        <w:t xml:space="preserve"> (2008-2022) and </w:t>
      </w:r>
      <w:r w:rsidR="00ED19B6">
        <w:rPr>
          <w:rFonts w:ascii="Times New Roman" w:eastAsia="DengXian" w:hAnsi="Times New Roman" w:cs="Times New Roman" w:hint="eastAsia"/>
          <w:lang w:eastAsia="zh-CN"/>
        </w:rPr>
        <w:t>the projection (2023-2050)</w:t>
      </w:r>
      <w:r w:rsidRPr="00534AC8">
        <w:rPr>
          <w:rFonts w:ascii="Times New Roman" w:hAnsi="Times New Roman" w:cs="Times New Roman"/>
        </w:rPr>
        <w:t>.</w:t>
      </w:r>
      <w:bookmarkEnd w:id="41"/>
    </w:p>
    <w:p w14:paraId="7200F857" w14:textId="77777777" w:rsidR="00534AC8" w:rsidRPr="003236BE" w:rsidRDefault="00534AC8" w:rsidP="00DC16B2">
      <w:pPr>
        <w:rPr>
          <w:rFonts w:ascii="Times New Roman" w:eastAsia="DengXian" w:hAnsi="Times New Roman" w:cs="Times New Roman"/>
          <w:color w:val="000000"/>
          <w:sz w:val="21"/>
          <w:szCs w:val="18"/>
        </w:rPr>
      </w:pPr>
    </w:p>
    <w:p w14:paraId="7DA155BF" w14:textId="6F875B09" w:rsidR="009D2321" w:rsidRPr="009D2321" w:rsidRDefault="009D2321" w:rsidP="009D2321">
      <w:pPr>
        <w:rPr>
          <w:rFonts w:ascii="Times New Roman" w:eastAsia="DengXian" w:hAnsi="Times New Roman" w:cs="Times New Roman"/>
          <w:sz w:val="21"/>
          <w:szCs w:val="21"/>
          <w:lang w:eastAsia="zh-CN"/>
        </w:rPr>
      </w:pPr>
      <w:r w:rsidRPr="009D2321">
        <w:rPr>
          <w:rFonts w:ascii="Times New Roman" w:eastAsia="DengXian" w:hAnsi="Times New Roman" w:cs="Times New Roman"/>
          <w:sz w:val="21"/>
          <w:szCs w:val="21"/>
          <w:lang w:eastAsia="zh-CN"/>
        </w:rPr>
        <w:t>Accordingly, the projected new sales of different types of passenger cars in Japan are illustrated in Figure S20. In the BEV-oriented scenario, and without accounting for the impacts of car-sharing or compact city planning, BEVs are expected to dominate the new car market, reaching approximately 3.5 million units sold annually by 2050. In the CNF-oriented scenario, PHEVs are projected to account for half of the new car sales by 2050.</w:t>
      </w:r>
      <w:r w:rsidR="004B3FF8">
        <w:rPr>
          <w:rFonts w:asciiTheme="minorEastAsia" w:eastAsiaTheme="minorEastAsia" w:hAnsiTheme="minorEastAsia" w:cs="Times New Roman" w:hint="eastAsia"/>
          <w:sz w:val="21"/>
          <w:szCs w:val="21"/>
        </w:rPr>
        <w:t xml:space="preserve"> </w:t>
      </w:r>
    </w:p>
    <w:p w14:paraId="187570CD" w14:textId="77777777" w:rsidR="00AF0683" w:rsidRPr="009D2321" w:rsidRDefault="00AF0683" w:rsidP="00DC16B2">
      <w:pPr>
        <w:rPr>
          <w:rFonts w:ascii="Times New Roman" w:eastAsia="DengXian" w:hAnsi="Times New Roman" w:cs="Times New Roman"/>
          <w:sz w:val="21"/>
          <w:szCs w:val="21"/>
          <w:lang w:eastAsia="zh-CN"/>
        </w:rPr>
      </w:pPr>
    </w:p>
    <w:p w14:paraId="4270AC4C" w14:textId="3B8948A5" w:rsidR="00A400A9" w:rsidRDefault="00A400A9" w:rsidP="00A400A9">
      <w:pPr>
        <w:jc w:val="center"/>
        <w:rPr>
          <w:rFonts w:ascii="Times New Roman" w:eastAsia="DengXian" w:hAnsi="Times New Roman" w:cs="Times New Roman"/>
          <w:sz w:val="21"/>
          <w:szCs w:val="21"/>
          <w:lang w:eastAsia="zh-CN"/>
        </w:rPr>
      </w:pPr>
      <w:r>
        <w:rPr>
          <w:noProof/>
        </w:rPr>
        <w:lastRenderedPageBreak/>
        <w:drawing>
          <wp:inline distT="0" distB="0" distL="0" distR="0" wp14:anchorId="1CB4AD8C" wp14:editId="1C1DD8ED">
            <wp:extent cx="3841667" cy="2588821"/>
            <wp:effectExtent l="0" t="0" r="6985" b="2540"/>
            <wp:docPr id="1197220641" name="グラフ 1">
              <a:extLst xmlns:a="http://schemas.openxmlformats.org/drawingml/2006/main">
                <a:ext uri="{FF2B5EF4-FFF2-40B4-BE49-F238E27FC236}">
                  <a16:creationId xmlns:a16="http://schemas.microsoft.com/office/drawing/2014/main" id="{6D07EDB8-724B-49E4-B2CC-716F3B59B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546635" w14:textId="1C6668B6" w:rsidR="008A78CC" w:rsidRDefault="008A78CC" w:rsidP="00A400A9">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a. BEV-oriented scenario</w:t>
      </w:r>
    </w:p>
    <w:p w14:paraId="08D95951" w14:textId="7AE7C70B" w:rsidR="008A78CC" w:rsidRDefault="00284B03" w:rsidP="00A400A9">
      <w:pPr>
        <w:jc w:val="center"/>
        <w:rPr>
          <w:rFonts w:ascii="Times New Roman" w:eastAsia="DengXian" w:hAnsi="Times New Roman" w:cs="Times New Roman"/>
          <w:sz w:val="21"/>
          <w:szCs w:val="21"/>
          <w:lang w:eastAsia="zh-CN"/>
        </w:rPr>
      </w:pPr>
      <w:r>
        <w:rPr>
          <w:noProof/>
        </w:rPr>
        <w:drawing>
          <wp:inline distT="0" distB="0" distL="0" distR="0" wp14:anchorId="28CBF46C" wp14:editId="17762566">
            <wp:extent cx="3817917" cy="2571008"/>
            <wp:effectExtent l="0" t="0" r="0" b="1270"/>
            <wp:docPr id="1491209806" name="グラフ 1">
              <a:extLst xmlns:a="http://schemas.openxmlformats.org/drawingml/2006/main">
                <a:ext uri="{FF2B5EF4-FFF2-40B4-BE49-F238E27FC236}">
                  <a16:creationId xmlns:a16="http://schemas.microsoft.com/office/drawing/2014/main" id="{6D07EDB8-724B-49E4-B2CC-716F3B59B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FBF299" w14:textId="7C37B1F7" w:rsidR="008A78CC" w:rsidRDefault="008A78CC" w:rsidP="00A400A9">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b. CNF-oriented scenario</w:t>
      </w:r>
    </w:p>
    <w:p w14:paraId="75F75ECB" w14:textId="40E9EC60" w:rsidR="00F85849" w:rsidRPr="00460E4E" w:rsidRDefault="00F85849" w:rsidP="00F85849">
      <w:pPr>
        <w:pStyle w:val="af"/>
        <w:jc w:val="center"/>
        <w:rPr>
          <w:rFonts w:ascii="Times New Roman" w:eastAsiaTheme="minorEastAsia" w:hAnsi="Times New Roman" w:cs="Times New Roman"/>
        </w:rPr>
      </w:pPr>
      <w:bookmarkStart w:id="42" w:name="_Toc208439486"/>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3A2684">
        <w:rPr>
          <w:rFonts w:ascii="Times New Roman" w:hAnsi="Times New Roman" w:cs="Times New Roman"/>
          <w:noProof/>
        </w:rPr>
        <w:t>20</w:t>
      </w:r>
      <w:r w:rsidRPr="007F5CA8">
        <w:rPr>
          <w:rFonts w:ascii="Times New Roman" w:hAnsi="Times New Roman" w:cs="Times New Roman"/>
        </w:rPr>
        <w:fldChar w:fldCharType="end"/>
      </w:r>
      <w:r w:rsidRPr="007F5CA8">
        <w:rPr>
          <w:rFonts w:ascii="Times New Roman" w:hAnsi="Times New Roman" w:cs="Times New Roman"/>
        </w:rPr>
        <w:t xml:space="preserve">. </w:t>
      </w:r>
      <w:r w:rsidR="005E1069">
        <w:rPr>
          <w:rFonts w:ascii="Times New Roman" w:hAnsi="Times New Roman" w:cs="Times New Roman" w:hint="eastAsia"/>
        </w:rPr>
        <w:t>Market shar</w:t>
      </w:r>
      <w:r w:rsidR="003D2D92">
        <w:rPr>
          <w:rFonts w:ascii="Times New Roman" w:hAnsi="Times New Roman" w:cs="Times New Roman" w:hint="eastAsia"/>
        </w:rPr>
        <w:t>e</w:t>
      </w:r>
      <w:r w:rsidR="005E1069">
        <w:rPr>
          <w:rFonts w:ascii="Times New Roman" w:hAnsi="Times New Roman" w:cs="Times New Roman" w:hint="eastAsia"/>
        </w:rPr>
        <w:t xml:space="preserve"> of n</w:t>
      </w:r>
      <w:r w:rsidR="00A3008A">
        <w:rPr>
          <w:rFonts w:ascii="Times New Roman" w:hAnsi="Times New Roman" w:cs="Times New Roman" w:hint="eastAsia"/>
        </w:rPr>
        <w:t>ew passenger car sales in Japan</w:t>
      </w:r>
      <w:r w:rsidR="005E1069">
        <w:rPr>
          <w:rFonts w:ascii="Times New Roman" w:hAnsi="Times New Roman" w:cs="Times New Roman" w:hint="eastAsia"/>
        </w:rPr>
        <w:t xml:space="preserve"> (2008-2024) and projection (2025-2050)</w:t>
      </w:r>
      <w:bookmarkEnd w:id="42"/>
    </w:p>
    <w:p w14:paraId="410E1A29" w14:textId="77777777" w:rsidR="00F85849" w:rsidRPr="00AB3DA3" w:rsidRDefault="00F85849" w:rsidP="00DC16B2">
      <w:pPr>
        <w:rPr>
          <w:rFonts w:ascii="Times New Roman" w:eastAsia="DengXian" w:hAnsi="Times New Roman" w:cs="Times New Roman"/>
          <w:sz w:val="21"/>
          <w:szCs w:val="21"/>
          <w:lang w:eastAsia="zh-CN"/>
        </w:rPr>
      </w:pPr>
    </w:p>
    <w:p w14:paraId="5EADCDB4" w14:textId="3BE817AE" w:rsidR="009226FD" w:rsidRDefault="00656B25" w:rsidP="00DC16B2">
      <w:pPr>
        <w:rPr>
          <w:rFonts w:ascii="Times New Roman" w:eastAsia="DengXian" w:hAnsi="Times New Roman" w:cs="Times New Roman"/>
          <w:sz w:val="21"/>
          <w:szCs w:val="21"/>
          <w:lang w:eastAsia="zh-CN"/>
        </w:rPr>
      </w:pPr>
      <w:r w:rsidRPr="00656B25">
        <w:rPr>
          <w:rFonts w:ascii="Times New Roman" w:eastAsia="DengXian" w:hAnsi="Times New Roman" w:cs="Times New Roman"/>
          <w:sz w:val="21"/>
          <w:szCs w:val="21"/>
          <w:lang w:eastAsia="zh-CN"/>
        </w:rPr>
        <w:t>Based on this information, the projected changes in the passenger car fleet are shown in Figure S21. In both the BEV-oriented and CNF-oriented scenarios, the share of ICEVs is expected to decline to nearly zero by 2050. However, HEVs will still account for approximately one-third of the fleet, which could pose a challenge to achieving full decarbonization if CNF and carbon capture, utilization, and storage (CCUS) technologies are not sufficiently implemented in the transport sector. In contrast, BEVs and PHEVs will make up around two-thirds of the fleet, while</w:t>
      </w:r>
      <w:r w:rsidR="003F5E34">
        <w:rPr>
          <w:rFonts w:ascii="Times New Roman" w:eastAsia="DengXian" w:hAnsi="Times New Roman" w:cs="Times New Roman" w:hint="eastAsia"/>
          <w:sz w:val="21"/>
          <w:szCs w:val="21"/>
          <w:lang w:eastAsia="zh-CN"/>
        </w:rPr>
        <w:t xml:space="preserve"> </w:t>
      </w:r>
      <w:r w:rsidRPr="00656B25">
        <w:rPr>
          <w:rFonts w:ascii="Times New Roman" w:eastAsia="DengXian" w:hAnsi="Times New Roman" w:cs="Times New Roman"/>
          <w:sz w:val="21"/>
          <w:szCs w:val="21"/>
          <w:lang w:eastAsia="zh-CN"/>
        </w:rPr>
        <w:t>FCVs will account for the remaining 5%.</w:t>
      </w:r>
    </w:p>
    <w:p w14:paraId="388DBFDD" w14:textId="77777777" w:rsidR="00656B25" w:rsidRPr="009226FD" w:rsidRDefault="00656B25" w:rsidP="00DC16B2">
      <w:pPr>
        <w:rPr>
          <w:rFonts w:ascii="Times New Roman" w:eastAsiaTheme="minorEastAsia" w:hAnsi="Times New Roman" w:cs="Times New Roman"/>
          <w:sz w:val="21"/>
          <w:szCs w:val="21"/>
        </w:rPr>
      </w:pPr>
    </w:p>
    <w:p w14:paraId="4D9D65EB" w14:textId="1BCFE608" w:rsidR="00DC16B2" w:rsidRDefault="0048752C" w:rsidP="00DC16B2">
      <w:pPr>
        <w:jc w:val="center"/>
        <w:rPr>
          <w:rFonts w:ascii="Times New Roman" w:hAnsi="Times New Roman" w:cs="Times New Roman"/>
          <w:noProof/>
        </w:rPr>
      </w:pPr>
      <w:r>
        <w:rPr>
          <w:noProof/>
        </w:rPr>
        <w:drawing>
          <wp:inline distT="0" distB="0" distL="0" distR="0" wp14:anchorId="11B876DC" wp14:editId="16A02AFB">
            <wp:extent cx="3580410" cy="2511632"/>
            <wp:effectExtent l="0" t="0" r="1270" b="3175"/>
            <wp:docPr id="1972346328" name="グラフ 1">
              <a:extLst xmlns:a="http://schemas.openxmlformats.org/drawingml/2006/main">
                <a:ext uri="{FF2B5EF4-FFF2-40B4-BE49-F238E27FC236}">
                  <a16:creationId xmlns:a16="http://schemas.microsoft.com/office/drawing/2014/main" id="{ED4A4987-2D32-2DEE-2D60-BE52F7CA3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20D04B" w14:textId="77777777" w:rsidR="00BB3293" w:rsidRDefault="00BB3293" w:rsidP="00BB3293">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a. BEV-oriented scenario</w:t>
      </w:r>
    </w:p>
    <w:p w14:paraId="49BF3864" w14:textId="0CA3C922" w:rsidR="0048752C" w:rsidRDefault="00EA5822" w:rsidP="00DC16B2">
      <w:pPr>
        <w:jc w:val="center"/>
        <w:rPr>
          <w:rFonts w:ascii="Times New Roman" w:hAnsi="Times New Roman" w:cs="Times New Roman"/>
          <w:noProof/>
        </w:rPr>
      </w:pPr>
      <w:r>
        <w:rPr>
          <w:noProof/>
        </w:rPr>
        <w:drawing>
          <wp:inline distT="0" distB="0" distL="0" distR="0" wp14:anchorId="0267DA0C" wp14:editId="0D76154F">
            <wp:extent cx="3562597" cy="2404753"/>
            <wp:effectExtent l="0" t="0" r="0" b="0"/>
            <wp:docPr id="115675294" name="グラフ 1">
              <a:extLst xmlns:a="http://schemas.openxmlformats.org/drawingml/2006/main">
                <a:ext uri="{FF2B5EF4-FFF2-40B4-BE49-F238E27FC236}">
                  <a16:creationId xmlns:a16="http://schemas.microsoft.com/office/drawing/2014/main" id="{ED4A4987-2D32-2DEE-2D60-BE52F7CA3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3FF7BF" w14:textId="77777777" w:rsidR="00BB3293" w:rsidRDefault="00BB3293" w:rsidP="00BB3293">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b. CNF-oriented scenario</w:t>
      </w:r>
    </w:p>
    <w:p w14:paraId="09BC5C32" w14:textId="0006D7A7" w:rsidR="00F13092" w:rsidRPr="00F13092" w:rsidRDefault="00F13092" w:rsidP="00F13092">
      <w:pPr>
        <w:pStyle w:val="af"/>
        <w:jc w:val="center"/>
        <w:rPr>
          <w:rFonts w:ascii="Times New Roman" w:eastAsia="DengXian" w:hAnsi="Times New Roman" w:cs="Times New Roman"/>
          <w:lang w:eastAsia="zh-CN"/>
        </w:rPr>
      </w:pPr>
      <w:bookmarkStart w:id="43" w:name="_Toc208439487"/>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B12826">
        <w:rPr>
          <w:rFonts w:ascii="Times New Roman" w:hAnsi="Times New Roman" w:cs="Times New Roman"/>
          <w:noProof/>
        </w:rPr>
        <w:t>21</w:t>
      </w:r>
      <w:r w:rsidRPr="007F5CA8">
        <w:rPr>
          <w:rFonts w:ascii="Times New Roman" w:hAnsi="Times New Roman" w:cs="Times New Roman"/>
        </w:rPr>
        <w:fldChar w:fldCharType="end"/>
      </w:r>
      <w:r w:rsidRPr="007F5CA8">
        <w:rPr>
          <w:rFonts w:ascii="Times New Roman" w:hAnsi="Times New Roman" w:cs="Times New Roman"/>
        </w:rPr>
        <w:t xml:space="preserve">. </w:t>
      </w:r>
      <w:r w:rsidR="00B12826">
        <w:rPr>
          <w:rFonts w:ascii="Times New Roman" w:eastAsia="DengXian" w:hAnsi="Times New Roman" w:cs="Times New Roman" w:hint="eastAsia"/>
          <w:lang w:eastAsia="zh-CN"/>
        </w:rPr>
        <w:t>Changes of p</w:t>
      </w:r>
      <w:r w:rsidR="00B12826">
        <w:rPr>
          <w:rFonts w:ascii="Times New Roman" w:eastAsia="DengXian" w:hAnsi="Times New Roman" w:cs="Times New Roman"/>
          <w:lang w:eastAsia="zh-CN"/>
        </w:rPr>
        <w:t>assenger</w:t>
      </w:r>
      <w:r w:rsidR="00B12826">
        <w:rPr>
          <w:rFonts w:ascii="Times New Roman" w:eastAsia="DengXian" w:hAnsi="Times New Roman" w:cs="Times New Roman" w:hint="eastAsia"/>
          <w:lang w:eastAsia="zh-CN"/>
        </w:rPr>
        <w:t xml:space="preserve"> car fleets in Japan (2008-2024) and the projection (2025-2050)</w:t>
      </w:r>
      <w:r>
        <w:rPr>
          <w:rFonts w:ascii="Times New Roman" w:eastAsia="DengXian" w:hAnsi="Times New Roman" w:cs="Times New Roman" w:hint="eastAsia"/>
          <w:lang w:eastAsia="zh-CN"/>
        </w:rPr>
        <w:t>.</w:t>
      </w:r>
      <w:bookmarkEnd w:id="43"/>
    </w:p>
    <w:p w14:paraId="6A2E3537" w14:textId="77777777" w:rsidR="00F13092" w:rsidRPr="005409B3" w:rsidRDefault="00F13092" w:rsidP="00DC16B2">
      <w:pPr>
        <w:rPr>
          <w:rFonts w:ascii="Times New Roman" w:eastAsia="DengXian" w:hAnsi="Times New Roman" w:cs="Times New Roman"/>
          <w:color w:val="000000"/>
          <w:sz w:val="21"/>
          <w:szCs w:val="18"/>
          <w:lang w:eastAsia="zh-CN"/>
        </w:rPr>
      </w:pPr>
    </w:p>
    <w:p w14:paraId="74BF75A3" w14:textId="1C35CDD7" w:rsidR="00C8777E" w:rsidRDefault="00B20EF3" w:rsidP="00C8777E">
      <w:pPr>
        <w:rPr>
          <w:rFonts w:ascii="Times New Roman" w:eastAsia="DengXian" w:hAnsi="Times New Roman" w:cs="Times New Roman"/>
          <w:color w:val="000000"/>
          <w:sz w:val="21"/>
          <w:szCs w:val="18"/>
          <w:lang w:eastAsia="zh-CN"/>
        </w:rPr>
      </w:pPr>
      <w:r w:rsidRPr="00B20EF3">
        <w:rPr>
          <w:rFonts w:ascii="Times New Roman" w:eastAsia="DengXian" w:hAnsi="Times New Roman" w:cs="Times New Roman"/>
          <w:color w:val="000000"/>
          <w:sz w:val="21"/>
          <w:szCs w:val="18"/>
          <w:lang w:eastAsia="zh-CN"/>
        </w:rPr>
        <w:t>Regarding the export of passenger cars from Japan, the share of BEVs was only 0.2% in 2017 but increased significantly to 5.2% by 2023</w:t>
      </w:r>
      <w:r w:rsidR="001C72C8" w:rsidRPr="002C7F12">
        <w:rPr>
          <w:rFonts w:ascii="Times New Roman" w:hAnsi="Times New Roman" w:cs="Times New Roman"/>
          <w:sz w:val="21"/>
          <w:szCs w:val="21"/>
        </w:rPr>
        <w:fldChar w:fldCharType="begin"/>
      </w:r>
      <w:r w:rsidR="001C72C8">
        <w:rPr>
          <w:rFonts w:ascii="Times New Roman" w:hAnsi="Times New Roman" w:cs="Times New Roman"/>
          <w:sz w:val="21"/>
          <w:szCs w:val="21"/>
        </w:rPr>
        <w:instrText xml:space="preserve"> ADDIN EN.CITE &lt;EndNote&gt;&lt;Cite&gt;&lt;Author&gt;MOF&lt;/Author&gt;&lt;Year&gt;2024&lt;/Year&gt;&lt;RecNum&gt;243&lt;/RecNum&gt;&lt;DisplayText&gt;&lt;style face="superscript"&gt;24&lt;/style&gt;&lt;/DisplayText&gt;&lt;record&gt;&lt;rec-number&gt;243&lt;/rec-number&gt;&lt;foreign-keys&gt;&lt;key app="EN" db-id="200xxs0psrtaz4eze9pp5vvrdraszefpsp0w" timestamp="1742822354"&gt;243&lt;/key&gt;&lt;/foreign-keys&gt;&lt;ref-type name="Report"&gt;27&lt;/ref-type&gt;&lt;contributors&gt;&lt;authors&gt;&lt;author&gt;MOF&lt;/author&gt;&lt;/authors&gt;&lt;/contributors&gt;&lt;titles&gt;&lt;title&gt;Trade Statistics of Japan&lt;/title&gt;&lt;/titles&gt;&lt;dates&gt;&lt;year&gt;2024&lt;/year&gt;&lt;/dates&gt;&lt;pub-location&gt;Tokyo&lt;/pub-location&gt;&lt;publisher&gt;Ministry of Finance of Japan (MOF)&lt;/publisher&gt;&lt;urls&gt;&lt;/urls&gt;&lt;/record&gt;&lt;/Cite&gt;&lt;/EndNote&gt;</w:instrText>
      </w:r>
      <w:r w:rsidR="001C72C8" w:rsidRPr="002C7F12">
        <w:rPr>
          <w:rFonts w:ascii="Times New Roman" w:hAnsi="Times New Roman" w:cs="Times New Roman"/>
          <w:sz w:val="21"/>
          <w:szCs w:val="21"/>
        </w:rPr>
        <w:fldChar w:fldCharType="separate"/>
      </w:r>
      <w:r w:rsidR="001C72C8" w:rsidRPr="00C10F47">
        <w:rPr>
          <w:rFonts w:ascii="Times New Roman" w:hAnsi="Times New Roman" w:cs="Times New Roman"/>
          <w:noProof/>
          <w:sz w:val="21"/>
          <w:szCs w:val="21"/>
          <w:vertAlign w:val="superscript"/>
        </w:rPr>
        <w:t>24</w:t>
      </w:r>
      <w:r w:rsidR="001C72C8" w:rsidRPr="002C7F12">
        <w:rPr>
          <w:rFonts w:ascii="Times New Roman" w:hAnsi="Times New Roman" w:cs="Times New Roman"/>
          <w:sz w:val="21"/>
          <w:szCs w:val="21"/>
        </w:rPr>
        <w:fldChar w:fldCharType="end"/>
      </w:r>
      <w:r w:rsidRPr="00B20EF3">
        <w:rPr>
          <w:rFonts w:ascii="Times New Roman" w:eastAsia="DengXian" w:hAnsi="Times New Roman" w:cs="Times New Roman"/>
          <w:color w:val="000000"/>
          <w:sz w:val="21"/>
          <w:szCs w:val="18"/>
          <w:lang w:eastAsia="zh-CN"/>
        </w:rPr>
        <w:t>. According to the Global EV Outlook 2024 by the IEA, in the Announced Pledges Scenario, the sales share of BEVs and PHEVs is projected to reach approximately 48% by 2030 and 67% by 2035</w:t>
      </w:r>
      <w:r w:rsidR="000354D7" w:rsidRPr="00B34D92">
        <w:rPr>
          <w:rFonts w:ascii="Times New Roman" w:eastAsia="SimSun" w:hAnsi="Times New Roman" w:cs="Times New Roman"/>
          <w:lang w:eastAsia="zh-CN"/>
        </w:rPr>
        <w:fldChar w:fldCharType="begin"/>
      </w:r>
      <w:r w:rsidR="000354D7">
        <w:rPr>
          <w:rFonts w:ascii="Times New Roman" w:eastAsia="SimSun" w:hAnsi="Times New Roman" w:cs="Times New Roman"/>
          <w:lang w:eastAsia="zh-CN"/>
        </w:rPr>
        <w:instrText xml:space="preserve"> ADDIN EN.CITE &lt;EndNote&gt;&lt;Cite&gt;&lt;Author&gt;IEA&lt;/Author&gt;&lt;Year&gt;2024&lt;/Year&gt;&lt;RecNum&gt;140&lt;/RecNum&gt;&lt;DisplayText&gt;&lt;style face="superscript"&gt;7&lt;/style&gt;&lt;/DisplayText&gt;&lt;record&gt;&lt;rec-number&gt;140&lt;/rec-number&gt;&lt;foreign-keys&gt;&lt;key app="EN" db-id="200xxs0psrtaz4eze9pp5vvrdraszefpsp0w" timestamp="1609050113"&gt;140&lt;/key&gt;&lt;/foreign-keys&gt;&lt;ref-type name="Report"&gt;27&lt;/ref-type&gt;&lt;contributors&gt;&lt;authors&gt;&lt;author&gt;IEA&lt;/author&gt;&lt;/authors&gt;&lt;/contributors&gt;&lt;titles&gt;&lt;title&gt;Global EV Outlook 2024&lt;/title&gt;&lt;/titles&gt;&lt;dates&gt;&lt;year&gt;2024&lt;/year&gt;&lt;/dates&gt;&lt;pub-location&gt;Paris, https://www.iea.org/reports/global-ev-outlook-2020&lt;/pub-location&gt;&lt;publisher&gt;International Energy Agency (IEA)&lt;/publisher&gt;&lt;urls&gt;&lt;/urls&gt;&lt;/record&gt;&lt;/Cite&gt;&lt;/EndNote&gt;</w:instrText>
      </w:r>
      <w:r w:rsidR="000354D7" w:rsidRPr="00B34D92">
        <w:rPr>
          <w:rFonts w:ascii="Times New Roman" w:eastAsia="SimSun" w:hAnsi="Times New Roman" w:cs="Times New Roman"/>
          <w:lang w:eastAsia="zh-CN"/>
        </w:rPr>
        <w:fldChar w:fldCharType="separate"/>
      </w:r>
      <w:r w:rsidR="000354D7" w:rsidRPr="00100173">
        <w:rPr>
          <w:rFonts w:ascii="Times New Roman" w:eastAsia="SimSun" w:hAnsi="Times New Roman" w:cs="Times New Roman"/>
          <w:noProof/>
          <w:vertAlign w:val="superscript"/>
          <w:lang w:eastAsia="zh-CN"/>
        </w:rPr>
        <w:t>7</w:t>
      </w:r>
      <w:r w:rsidR="000354D7" w:rsidRPr="00B34D92">
        <w:rPr>
          <w:rFonts w:ascii="Times New Roman" w:eastAsia="SimSun" w:hAnsi="Times New Roman" w:cs="Times New Roman"/>
          <w:lang w:eastAsia="zh-CN"/>
        </w:rPr>
        <w:fldChar w:fldCharType="end"/>
      </w:r>
      <w:r w:rsidRPr="00B20EF3">
        <w:rPr>
          <w:rFonts w:ascii="Times New Roman" w:eastAsia="DengXian" w:hAnsi="Times New Roman" w:cs="Times New Roman"/>
          <w:color w:val="000000"/>
          <w:sz w:val="21"/>
          <w:szCs w:val="18"/>
          <w:lang w:eastAsia="zh-CN"/>
        </w:rPr>
        <w:t>. Based on this projection, we estimate the future market share of new passenger car sales globally and assume that Japan’s vehicle exports will follow this trend. The results are presented in Figure S22.</w:t>
      </w:r>
    </w:p>
    <w:p w14:paraId="56A0A7F8" w14:textId="77777777" w:rsidR="00B20EF3" w:rsidRPr="00F028C0" w:rsidRDefault="00B20EF3" w:rsidP="00C8777E">
      <w:pPr>
        <w:rPr>
          <w:rFonts w:ascii="Times New Roman" w:eastAsia="DengXian" w:hAnsi="Times New Roman" w:cs="Times New Roman"/>
          <w:color w:val="000000"/>
          <w:sz w:val="21"/>
          <w:szCs w:val="18"/>
          <w:lang w:eastAsia="zh-CN"/>
        </w:rPr>
      </w:pPr>
    </w:p>
    <w:p w14:paraId="7B7D4CF2" w14:textId="742FB816" w:rsidR="00152521" w:rsidRPr="00F470D0" w:rsidRDefault="00DB7162" w:rsidP="00DB7162">
      <w:pPr>
        <w:jc w:val="center"/>
        <w:rPr>
          <w:rFonts w:ascii="Times New Roman" w:eastAsia="DengXian" w:hAnsi="Times New Roman" w:cs="Times New Roman"/>
          <w:color w:val="000000"/>
          <w:sz w:val="21"/>
          <w:szCs w:val="18"/>
          <w:lang w:eastAsia="zh-CN"/>
        </w:rPr>
      </w:pPr>
      <w:r>
        <w:rPr>
          <w:noProof/>
        </w:rPr>
        <w:lastRenderedPageBreak/>
        <w:drawing>
          <wp:inline distT="0" distB="0" distL="0" distR="0" wp14:anchorId="65B6126F" wp14:editId="0BC062D8">
            <wp:extent cx="3800103" cy="2464130"/>
            <wp:effectExtent l="0" t="0" r="0" b="0"/>
            <wp:docPr id="1355160949" name="グラフ 1">
              <a:extLst xmlns:a="http://schemas.openxmlformats.org/drawingml/2006/main">
                <a:ext uri="{FF2B5EF4-FFF2-40B4-BE49-F238E27FC236}">
                  <a16:creationId xmlns:a16="http://schemas.microsoft.com/office/drawing/2014/main" id="{5A4A123E-0058-EAED-EFCA-4315EB059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BAE86B" w14:textId="1BFE54BC" w:rsidR="00073AB6" w:rsidRPr="00B66399" w:rsidRDefault="00073AB6" w:rsidP="00073AB6">
      <w:pPr>
        <w:pStyle w:val="af"/>
        <w:jc w:val="center"/>
        <w:rPr>
          <w:rFonts w:ascii="Times New Roman" w:eastAsia="DengXian" w:hAnsi="Times New Roman" w:cs="Times New Roman"/>
          <w:lang w:eastAsia="zh-CN"/>
        </w:rPr>
      </w:pPr>
      <w:bookmarkStart w:id="44" w:name="_Toc208439488"/>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BD02AC">
        <w:rPr>
          <w:rFonts w:ascii="Times New Roman" w:hAnsi="Times New Roman" w:cs="Times New Roman"/>
          <w:noProof/>
        </w:rPr>
        <w:t>22</w:t>
      </w:r>
      <w:r w:rsidRPr="007F5CA8">
        <w:rPr>
          <w:rFonts w:ascii="Times New Roman" w:hAnsi="Times New Roman" w:cs="Times New Roman"/>
        </w:rPr>
        <w:fldChar w:fldCharType="end"/>
      </w:r>
      <w:r w:rsidRPr="007F5CA8">
        <w:rPr>
          <w:rFonts w:ascii="Times New Roman" w:hAnsi="Times New Roman" w:cs="Times New Roman"/>
        </w:rPr>
        <w:t xml:space="preserve">. </w:t>
      </w:r>
      <w:r w:rsidR="00B66399">
        <w:rPr>
          <w:rFonts w:ascii="Times New Roman" w:eastAsia="DengXian" w:hAnsi="Times New Roman" w:cs="Times New Roman" w:hint="eastAsia"/>
          <w:lang w:eastAsia="zh-CN"/>
        </w:rPr>
        <w:t xml:space="preserve">Shares of </w:t>
      </w:r>
      <w:r w:rsidRPr="00F13092">
        <w:rPr>
          <w:rFonts w:ascii="Times New Roman" w:hAnsi="Times New Roman" w:cs="Times New Roman"/>
        </w:rPr>
        <w:t>passenger car</w:t>
      </w:r>
      <w:r w:rsidR="00B66399">
        <w:rPr>
          <w:rFonts w:ascii="Times New Roman" w:eastAsia="DengXian" w:hAnsi="Times New Roman" w:cs="Times New Roman" w:hint="eastAsia"/>
          <w:lang w:eastAsia="zh-CN"/>
        </w:rPr>
        <w:t>s</w:t>
      </w:r>
      <w:r w:rsidRPr="00F13092">
        <w:rPr>
          <w:rFonts w:ascii="Times New Roman" w:hAnsi="Times New Roman" w:cs="Times New Roman"/>
        </w:rPr>
        <w:t xml:space="preserve"> </w:t>
      </w:r>
      <w:r w:rsidR="00B66399">
        <w:rPr>
          <w:rFonts w:ascii="Times New Roman" w:eastAsia="DengXian" w:hAnsi="Times New Roman" w:cs="Times New Roman" w:hint="eastAsia"/>
          <w:lang w:eastAsia="zh-CN"/>
        </w:rPr>
        <w:t>exported from Japan (2017-2023)</w:t>
      </w:r>
      <w:r w:rsidRPr="00F13092">
        <w:rPr>
          <w:rFonts w:ascii="Times New Roman" w:hAnsi="Times New Roman" w:cs="Times New Roman"/>
        </w:rPr>
        <w:t xml:space="preserve"> and </w:t>
      </w:r>
      <w:r w:rsidR="00B66399">
        <w:rPr>
          <w:rFonts w:ascii="Times New Roman" w:eastAsia="DengXian" w:hAnsi="Times New Roman" w:cs="Times New Roman" w:hint="eastAsia"/>
          <w:lang w:eastAsia="zh-CN"/>
        </w:rPr>
        <w:t>the projection (2024-2050).</w:t>
      </w:r>
      <w:bookmarkEnd w:id="44"/>
    </w:p>
    <w:p w14:paraId="76CBD3DE" w14:textId="77777777" w:rsidR="00073AB6" w:rsidRPr="00B80175" w:rsidRDefault="00073AB6" w:rsidP="00C8777E">
      <w:pPr>
        <w:rPr>
          <w:rFonts w:ascii="Times New Roman" w:eastAsia="DengXian" w:hAnsi="Times New Roman" w:cs="Times New Roman"/>
          <w:color w:val="000000"/>
          <w:sz w:val="21"/>
          <w:szCs w:val="18"/>
          <w:lang w:eastAsia="zh-CN"/>
        </w:rPr>
      </w:pPr>
    </w:p>
    <w:p w14:paraId="63522D9E" w14:textId="4BCE659C" w:rsidR="00B80175" w:rsidRDefault="002B2560" w:rsidP="00C8777E">
      <w:pPr>
        <w:rPr>
          <w:rFonts w:ascii="Times New Roman" w:eastAsiaTheme="minorEastAsia" w:hAnsi="Times New Roman" w:cs="Times New Roman"/>
          <w:color w:val="000000"/>
          <w:sz w:val="21"/>
          <w:szCs w:val="18"/>
        </w:rPr>
      </w:pPr>
      <w:r w:rsidRPr="002B2560">
        <w:rPr>
          <w:rFonts w:ascii="Times New Roman" w:eastAsia="DengXian" w:hAnsi="Times New Roman" w:cs="Times New Roman"/>
          <w:color w:val="000000"/>
          <w:sz w:val="21"/>
          <w:szCs w:val="18"/>
          <w:lang w:eastAsia="zh-CN"/>
        </w:rPr>
        <w:t>Following this trend, the number of BEVs and PHEVs exported from Japan and remaining in use is projected to increase to approximately 40 million vehicles by 2050, assuming that the “survival rate” of exported passenger cars is the same as that of domestic ones</w:t>
      </w:r>
      <w:r w:rsidR="002628AD">
        <w:rPr>
          <w:rFonts w:ascii="Times New Roman" w:eastAsiaTheme="minorEastAsia" w:hAnsi="Times New Roman" w:cs="Times New Roman" w:hint="eastAsia"/>
          <w:color w:val="000000"/>
          <w:sz w:val="21"/>
          <w:szCs w:val="18"/>
        </w:rPr>
        <w:t xml:space="preserve"> (Figure S23)</w:t>
      </w:r>
      <w:r w:rsidRPr="002B2560">
        <w:rPr>
          <w:rFonts w:ascii="Times New Roman" w:eastAsia="DengXian" w:hAnsi="Times New Roman" w:cs="Times New Roman"/>
          <w:color w:val="000000"/>
          <w:sz w:val="21"/>
          <w:szCs w:val="18"/>
          <w:lang w:eastAsia="zh-CN"/>
        </w:rPr>
        <w:t>.</w:t>
      </w:r>
    </w:p>
    <w:p w14:paraId="375EB821" w14:textId="77777777" w:rsidR="002B2560" w:rsidRPr="002B2560" w:rsidRDefault="002B2560" w:rsidP="00C8777E">
      <w:pPr>
        <w:rPr>
          <w:rFonts w:ascii="Times New Roman" w:eastAsiaTheme="minorEastAsia" w:hAnsi="Times New Roman" w:cs="Times New Roman"/>
          <w:color w:val="000000"/>
          <w:sz w:val="21"/>
          <w:szCs w:val="18"/>
        </w:rPr>
      </w:pPr>
    </w:p>
    <w:p w14:paraId="266E2010" w14:textId="0E30019A" w:rsidR="0002078A" w:rsidRPr="00073AB6" w:rsidRDefault="00B80175" w:rsidP="00B80175">
      <w:pPr>
        <w:jc w:val="center"/>
        <w:rPr>
          <w:rFonts w:ascii="Times New Roman" w:eastAsia="DengXian" w:hAnsi="Times New Roman" w:cs="Times New Roman"/>
          <w:color w:val="000000"/>
          <w:szCs w:val="21"/>
          <w:lang w:eastAsia="zh-CN"/>
        </w:rPr>
      </w:pPr>
      <w:r>
        <w:rPr>
          <w:noProof/>
        </w:rPr>
        <w:drawing>
          <wp:inline distT="0" distB="0" distL="0" distR="0" wp14:anchorId="62BA373A" wp14:editId="3D149963">
            <wp:extent cx="3503220" cy="2327275"/>
            <wp:effectExtent l="0" t="0" r="2540" b="0"/>
            <wp:docPr id="1767506144" name="グラフ 1">
              <a:extLst xmlns:a="http://schemas.openxmlformats.org/drawingml/2006/main">
                <a:ext uri="{FF2B5EF4-FFF2-40B4-BE49-F238E27FC236}">
                  <a16:creationId xmlns:a16="http://schemas.microsoft.com/office/drawing/2014/main" id="{88F41F3B-DDF1-C30F-C6FC-72C881482F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6D3AAF" w14:textId="243E7E00" w:rsidR="00456A15" w:rsidRPr="00F13092" w:rsidRDefault="00456A15" w:rsidP="00456A15">
      <w:pPr>
        <w:pStyle w:val="af"/>
        <w:jc w:val="center"/>
        <w:rPr>
          <w:rFonts w:ascii="Times New Roman" w:eastAsia="DengXian" w:hAnsi="Times New Roman" w:cs="Times New Roman"/>
          <w:lang w:eastAsia="zh-CN"/>
        </w:rPr>
      </w:pPr>
      <w:bookmarkStart w:id="45" w:name="_Toc208439489"/>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BD02AC">
        <w:rPr>
          <w:rFonts w:ascii="Times New Roman" w:hAnsi="Times New Roman" w:cs="Times New Roman"/>
          <w:noProof/>
        </w:rPr>
        <w:t>23</w:t>
      </w:r>
      <w:r w:rsidRPr="007F5CA8">
        <w:rPr>
          <w:rFonts w:ascii="Times New Roman" w:hAnsi="Times New Roman" w:cs="Times New Roman"/>
        </w:rPr>
        <w:fldChar w:fldCharType="end"/>
      </w:r>
      <w:r w:rsidRPr="007F5CA8">
        <w:rPr>
          <w:rFonts w:ascii="Times New Roman" w:hAnsi="Times New Roman" w:cs="Times New Roman"/>
        </w:rPr>
        <w:t xml:space="preserve">. </w:t>
      </w:r>
      <w:r w:rsidR="00255B79">
        <w:rPr>
          <w:rFonts w:ascii="Times New Roman" w:hAnsi="Times New Roman" w:cs="Times New Roman" w:hint="eastAsia"/>
        </w:rPr>
        <w:t xml:space="preserve">Overseas ownership BEV and PHEV </w:t>
      </w:r>
      <w:r w:rsidRPr="00F13092">
        <w:rPr>
          <w:rFonts w:ascii="Times New Roman" w:hAnsi="Times New Roman" w:cs="Times New Roman"/>
        </w:rPr>
        <w:t>passenger car</w:t>
      </w:r>
      <w:r w:rsidR="00255B79">
        <w:rPr>
          <w:rFonts w:ascii="Times New Roman" w:hAnsi="Times New Roman" w:cs="Times New Roman" w:hint="eastAsia"/>
        </w:rPr>
        <w:t>s</w:t>
      </w:r>
      <w:r w:rsidRPr="00F13092">
        <w:rPr>
          <w:rFonts w:ascii="Times New Roman" w:hAnsi="Times New Roman" w:cs="Times New Roman"/>
        </w:rPr>
        <w:t xml:space="preserve"> </w:t>
      </w:r>
      <w:r w:rsidR="00255B79">
        <w:rPr>
          <w:rFonts w:ascii="Times New Roman" w:hAnsi="Times New Roman" w:cs="Times New Roman" w:hint="eastAsia"/>
        </w:rPr>
        <w:t>exported from</w:t>
      </w:r>
      <w:r w:rsidRPr="00F13092">
        <w:rPr>
          <w:rFonts w:ascii="Times New Roman" w:hAnsi="Times New Roman" w:cs="Times New Roman"/>
        </w:rPr>
        <w:t xml:space="preserve"> Japan</w:t>
      </w:r>
      <w:r>
        <w:rPr>
          <w:rFonts w:ascii="Times New Roman" w:eastAsia="DengXian" w:hAnsi="Times New Roman" w:cs="Times New Roman" w:hint="eastAsia"/>
          <w:lang w:eastAsia="zh-CN"/>
        </w:rPr>
        <w:t>.</w:t>
      </w:r>
      <w:bookmarkEnd w:id="45"/>
    </w:p>
    <w:p w14:paraId="7F460CC7" w14:textId="77777777" w:rsidR="00217C7D" w:rsidRPr="00F90313" w:rsidRDefault="00217C7D">
      <w:pPr>
        <w:rPr>
          <w:rFonts w:ascii="Times New Roman" w:eastAsiaTheme="minorEastAsia" w:hAnsi="Times New Roman" w:cs="Times New Roman"/>
          <w:sz w:val="21"/>
          <w:szCs w:val="21"/>
        </w:rPr>
      </w:pPr>
    </w:p>
    <w:p w14:paraId="3073FBCB" w14:textId="64D5C634" w:rsidR="000D6BB1" w:rsidRPr="000F62FA" w:rsidRDefault="000D6BB1" w:rsidP="000D6BB1">
      <w:pPr>
        <w:pStyle w:val="2"/>
        <w:rPr>
          <w:rFonts w:eastAsia="DengXian"/>
        </w:rPr>
      </w:pPr>
      <w:bookmarkStart w:id="46" w:name="_Toc199865018"/>
      <w:r w:rsidRPr="000F62FA">
        <w:rPr>
          <w:rFonts w:eastAsia="DengXian"/>
        </w:rPr>
        <w:t>2</w:t>
      </w:r>
      <w:r w:rsidRPr="000F62FA">
        <w:t>.</w:t>
      </w:r>
      <w:r w:rsidR="002D790A">
        <w:rPr>
          <w:rFonts w:eastAsiaTheme="minorEastAsia" w:hint="eastAsia"/>
          <w:lang w:eastAsia="ja-JP"/>
        </w:rPr>
        <w:t>4</w:t>
      </w:r>
      <w:r w:rsidRPr="000F62FA">
        <w:t xml:space="preserve"> </w:t>
      </w:r>
      <w:r w:rsidRPr="000F62FA">
        <w:rPr>
          <w:rFonts w:eastAsia="DengXian"/>
        </w:rPr>
        <w:t xml:space="preserve">Battery </w:t>
      </w:r>
      <w:r w:rsidR="00E01BE8">
        <w:rPr>
          <w:rFonts w:eastAsia="DengXian" w:hint="eastAsia"/>
        </w:rPr>
        <w:t>C</w:t>
      </w:r>
      <w:r w:rsidRPr="000F62FA">
        <w:rPr>
          <w:rFonts w:eastAsia="DengXian"/>
        </w:rPr>
        <w:t>hemistry</w:t>
      </w:r>
      <w:bookmarkEnd w:id="46"/>
    </w:p>
    <w:p w14:paraId="24805E9E" w14:textId="46A46D94" w:rsidR="00CB4C17" w:rsidRDefault="00CB4C17" w:rsidP="00954517">
      <w:pPr>
        <w:rPr>
          <w:rFonts w:ascii="Times New Roman" w:eastAsia="DengXian" w:hAnsi="Times New Roman" w:cs="Times New Roman"/>
          <w:sz w:val="21"/>
          <w:szCs w:val="21"/>
          <w:lang w:eastAsia="zh-CN"/>
        </w:rPr>
      </w:pPr>
      <w:r w:rsidRPr="00CB4C17">
        <w:rPr>
          <w:rFonts w:ascii="Times New Roman" w:eastAsiaTheme="minorEastAsia" w:hAnsi="Times New Roman" w:cs="Times New Roman"/>
          <w:sz w:val="21"/>
          <w:szCs w:val="21"/>
        </w:rPr>
        <w:t>Battery chemistry data used in the dynamic material flow analysis (MFA) model are primarily drawn from Xu et al.</w:t>
      </w:r>
      <w:r w:rsidRPr="000F62FA">
        <w:rPr>
          <w:rFonts w:ascii="Times New Roman" w:eastAsia="DengXian" w:hAnsi="Times New Roman" w:cs="Times New Roman"/>
          <w:sz w:val="21"/>
          <w:szCs w:val="21"/>
          <w:lang w:eastAsia="zh-CN"/>
        </w:rPr>
        <w:fldChar w:fldCharType="begin"/>
      </w:r>
      <w:r>
        <w:rPr>
          <w:rFonts w:ascii="Times New Roman" w:eastAsia="DengXian" w:hAnsi="Times New Roman" w:cs="Times New Roman"/>
          <w:sz w:val="21"/>
          <w:szCs w:val="21"/>
          <w:lang w:eastAsia="zh-CN"/>
        </w:rPr>
        <w:instrText xml:space="preserve"> ADDIN EN.CITE &lt;EndNote&gt;&lt;Cite&gt;&lt;Author&gt;Xu&lt;/Author&gt;&lt;Year&gt;2020&lt;/Year&gt;&lt;RecNum&gt;144&lt;/RecNum&gt;&lt;DisplayText&gt;&lt;style face="superscript"&gt;1&lt;/style&gt;&lt;/DisplayText&gt;&lt;record&gt;&lt;rec-number&gt;144&lt;/rec-number&gt;&lt;foreign-keys&gt;&lt;key app="EN" db-id="200xxs0psrtaz4eze9pp5vvrdraszefpsp0w" timestamp="1666171876"&gt;144&lt;/key&gt;&lt;/foreign-keys&gt;&lt;ref-type name="Journal Article"&gt;17&lt;/ref-type&gt;&lt;contributors&gt;&lt;authors&gt;&lt;author&gt;Xu, C. J.&lt;/author&gt;&lt;author&gt;Dai, Q.&lt;/author&gt;&lt;author&gt;Gaines, L.&lt;/author&gt;&lt;author&gt;Hu, M. M.&lt;/author&gt;&lt;author&gt;Tukker, A.&lt;/author&gt;&lt;author&gt;Steubing, B.&lt;/author&gt;&lt;/authors&gt;&lt;/contributors&gt;&lt;auth-address&gt;Leiden Univ, Inst Environm Sci CML, NL-2300 RA Leiden, Netherlands&amp;#xD;Argonne Natl Lab, ReCell Ctr, Lemont, IL USA&lt;/auth-address&gt;&lt;titles&gt;&lt;title&gt;Future material demand for automotive lithium-based batteries&lt;/title&gt;&lt;secondary-title&gt;Communications Materials&lt;/secondary-title&gt;&lt;alt-title&gt;Commun Mater&lt;/alt-title&gt;&lt;/titles&gt;&lt;periodical&gt;&lt;full-title&gt;Communications Materials&lt;/full-title&gt;&lt;abbr-1&gt;Commun Mater&lt;/abbr-1&gt;&lt;/periodical&gt;&lt;alt-periodical&gt;&lt;full-title&gt;Communications Materials&lt;/full-title&gt;&lt;abbr-1&gt;Commun Mater&lt;/abbr-1&gt;&lt;/alt-periodical&gt;&lt;volume&gt;1&lt;/volume&gt;&lt;number&gt;1&lt;/number&gt;&lt;keywords&gt;&lt;keyword&gt;electric vehicles&lt;/keyword&gt;&lt;keyword&gt;ion batteries&lt;/keyword&gt;&lt;keyword&gt;supply chain&lt;/keyword&gt;&lt;keyword&gt;life&lt;/keyword&gt;&lt;keyword&gt;impact&lt;/keyword&gt;&lt;keyword&gt;design&lt;/keyword&gt;&lt;keyword&gt;hybrid&lt;/keyword&gt;&lt;keyword&gt;flows&lt;/keyword&gt;&lt;keyword&gt;cells&lt;/keyword&gt;&lt;/keywords&gt;&lt;dates&gt;&lt;year&gt;2020&lt;/year&gt;&lt;pub-dates&gt;&lt;date&gt;Dec 9&lt;/date&gt;&lt;/pub-dates&gt;&lt;/dates&gt;&lt;accession-num&gt;WOS:000610592400001&lt;/accession-num&gt;&lt;urls&gt;&lt;related-urls&gt;&lt;url&gt;&lt;style face="underline" font="default" size="100%"&gt;&amp;lt;Go to ISI&amp;gt;://WOS:000610592400001&lt;/style&gt;&lt;/url&gt;&lt;/related-urls&gt;&lt;/urls&gt;&lt;electronic-resource-num&gt;10.1038/s43246-020-00095-x&lt;/electronic-resource-num&gt;&lt;language&gt;English&lt;/language&gt;&lt;/record&gt;&lt;/Cite&gt;&lt;/EndNote&gt;</w:instrText>
      </w:r>
      <w:r w:rsidRPr="000F62FA">
        <w:rPr>
          <w:rFonts w:ascii="Times New Roman" w:eastAsia="DengXian" w:hAnsi="Times New Roman" w:cs="Times New Roman"/>
          <w:sz w:val="21"/>
          <w:szCs w:val="21"/>
          <w:lang w:eastAsia="zh-CN"/>
        </w:rPr>
        <w:fldChar w:fldCharType="separate"/>
      </w:r>
      <w:r w:rsidRPr="00B31ED1">
        <w:rPr>
          <w:rFonts w:ascii="Times New Roman" w:eastAsia="DengXian" w:hAnsi="Times New Roman" w:cs="Times New Roman"/>
          <w:noProof/>
          <w:sz w:val="21"/>
          <w:szCs w:val="21"/>
          <w:vertAlign w:val="superscript"/>
          <w:lang w:eastAsia="zh-CN"/>
        </w:rPr>
        <w:t>1</w:t>
      </w:r>
      <w:r w:rsidRPr="000F62FA">
        <w:rPr>
          <w:rFonts w:ascii="Times New Roman" w:eastAsia="DengXian" w:hAnsi="Times New Roman" w:cs="Times New Roman"/>
          <w:sz w:val="21"/>
          <w:szCs w:val="21"/>
          <w:lang w:eastAsia="zh-CN"/>
        </w:rPr>
        <w:fldChar w:fldCharType="end"/>
      </w:r>
      <w:r w:rsidRPr="00CB4C17">
        <w:rPr>
          <w:rFonts w:ascii="Times New Roman" w:eastAsiaTheme="minorEastAsia" w:hAnsi="Times New Roman" w:cs="Times New Roman"/>
          <w:sz w:val="21"/>
          <w:szCs w:val="21"/>
        </w:rPr>
        <w:t xml:space="preserve">, which identifies ten LIB types: LFP, NCA, NMC111, NMC523, NMC622, NMC622-Graphite (Si), NMC811-Graphite (Si), NMC955-Graphite (Si), Li–Sulphur, and Li–Air. Unlike Xu et al., who differentiated EVs by size class (small, medium, large), this study does not </w:t>
      </w:r>
      <w:r w:rsidRPr="00CB4C17">
        <w:rPr>
          <w:rFonts w:ascii="Times New Roman" w:eastAsiaTheme="minorEastAsia" w:hAnsi="Times New Roman" w:cs="Times New Roman"/>
          <w:sz w:val="21"/>
          <w:szCs w:val="21"/>
        </w:rPr>
        <w:lastRenderedPageBreak/>
        <w:t>disaggregate the passenger car fleet by vehicle size. Accordingly, battery-related coefficients were adapted to represent sales-weighted average values per vehicle. Using the market share and battery capacity data for different EV size classes reported by Xu et al., we derived the average battery capacity per</w:t>
      </w:r>
      <w:r w:rsidR="00AD3FC0">
        <w:rPr>
          <w:rFonts w:ascii="Times New Roman" w:eastAsia="DengXian" w:hAnsi="Times New Roman" w:cs="Times New Roman" w:hint="eastAsia"/>
          <w:sz w:val="21"/>
          <w:szCs w:val="21"/>
          <w:lang w:eastAsia="zh-CN"/>
        </w:rPr>
        <w:t xml:space="preserve"> </w:t>
      </w:r>
      <w:r w:rsidRPr="00CB4C17">
        <w:rPr>
          <w:rFonts w:ascii="Times New Roman" w:eastAsiaTheme="minorEastAsia" w:hAnsi="Times New Roman" w:cs="Times New Roman"/>
          <w:sz w:val="21"/>
          <w:szCs w:val="21"/>
        </w:rPr>
        <w:t>BEV and PHEV, as shown in Table S</w:t>
      </w:r>
      <w:r w:rsidR="00A9112E">
        <w:rPr>
          <w:rFonts w:ascii="Times New Roman" w:eastAsiaTheme="minorEastAsia" w:hAnsi="Times New Roman" w:cs="Times New Roman" w:hint="eastAsia"/>
          <w:sz w:val="21"/>
          <w:szCs w:val="21"/>
        </w:rPr>
        <w:t>6</w:t>
      </w:r>
      <w:r w:rsidRPr="00CB4C17">
        <w:rPr>
          <w:rFonts w:ascii="Times New Roman" w:eastAsiaTheme="minorEastAsia" w:hAnsi="Times New Roman" w:cs="Times New Roman"/>
          <w:sz w:val="21"/>
          <w:szCs w:val="21"/>
        </w:rPr>
        <w:t>.</w:t>
      </w:r>
    </w:p>
    <w:p w14:paraId="1EC76AC3" w14:textId="77777777" w:rsidR="00980D80" w:rsidRPr="002437A2" w:rsidRDefault="00980D80" w:rsidP="00954517">
      <w:pPr>
        <w:rPr>
          <w:rFonts w:ascii="Times New Roman" w:eastAsia="DengXian" w:hAnsi="Times New Roman" w:cs="Times New Roman"/>
          <w:sz w:val="21"/>
          <w:szCs w:val="21"/>
          <w:lang w:eastAsia="zh-CN"/>
        </w:rPr>
      </w:pPr>
    </w:p>
    <w:p w14:paraId="3D327094" w14:textId="163FAC20" w:rsidR="00F82620" w:rsidRPr="003677D0" w:rsidRDefault="00F82620" w:rsidP="00F82620">
      <w:pPr>
        <w:jc w:val="center"/>
        <w:rPr>
          <w:rFonts w:ascii="Times New Roman" w:eastAsia="DengXian" w:hAnsi="Times New Roman" w:cs="Times New Roman"/>
          <w:b/>
          <w:bCs/>
          <w:sz w:val="21"/>
          <w:szCs w:val="21"/>
          <w:lang w:eastAsia="zh-CN"/>
        </w:rPr>
      </w:pPr>
      <w:bookmarkStart w:id="47" w:name="_Toc199865712"/>
      <w:bookmarkStart w:id="48" w:name="_Toc208439367"/>
      <w:r w:rsidRPr="003573A7">
        <w:rPr>
          <w:rFonts w:ascii="Times New Roman" w:hAnsi="Times New Roman" w:cs="Times New Roman"/>
          <w:b/>
          <w:bCs/>
          <w:sz w:val="21"/>
          <w:szCs w:val="21"/>
        </w:rPr>
        <w:t xml:space="preserve">Table </w:t>
      </w:r>
      <w:r w:rsidRPr="003573A7">
        <w:rPr>
          <w:rFonts w:ascii="Times New Roman" w:eastAsia="DengXian" w:hAnsi="Times New Roman" w:cs="Times New Roman"/>
          <w:b/>
          <w:bCs/>
          <w:sz w:val="21"/>
          <w:szCs w:val="21"/>
          <w:lang w:eastAsia="zh-CN"/>
        </w:rPr>
        <w:t>S</w:t>
      </w:r>
      <w:r w:rsidRPr="003573A7">
        <w:rPr>
          <w:rFonts w:ascii="Times New Roman" w:hAnsi="Times New Roman" w:cs="Times New Roman"/>
          <w:b/>
          <w:bCs/>
          <w:sz w:val="21"/>
          <w:szCs w:val="21"/>
        </w:rPr>
        <w:fldChar w:fldCharType="begin"/>
      </w:r>
      <w:r w:rsidRPr="003573A7">
        <w:rPr>
          <w:rFonts w:ascii="Times New Roman" w:hAnsi="Times New Roman" w:cs="Times New Roman"/>
          <w:b/>
          <w:bCs/>
          <w:sz w:val="21"/>
          <w:szCs w:val="21"/>
        </w:rPr>
        <w:instrText xml:space="preserve"> SEQ </w:instrText>
      </w:r>
      <w:r w:rsidRPr="003573A7">
        <w:rPr>
          <w:rFonts w:ascii="Times New Roman" w:hAnsi="Times New Roman" w:cs="Times New Roman"/>
          <w:b/>
          <w:bCs/>
          <w:sz w:val="21"/>
          <w:szCs w:val="21"/>
        </w:rPr>
        <w:instrText>表格</w:instrText>
      </w:r>
      <w:r w:rsidRPr="003573A7">
        <w:rPr>
          <w:rFonts w:ascii="Times New Roman" w:hAnsi="Times New Roman" w:cs="Times New Roman"/>
          <w:b/>
          <w:bCs/>
          <w:sz w:val="21"/>
          <w:szCs w:val="21"/>
        </w:rPr>
        <w:instrText xml:space="preserve"> \* ARABIC </w:instrText>
      </w:r>
      <w:r w:rsidRPr="003573A7">
        <w:rPr>
          <w:rFonts w:ascii="Times New Roman" w:hAnsi="Times New Roman" w:cs="Times New Roman"/>
          <w:b/>
          <w:bCs/>
          <w:sz w:val="21"/>
          <w:szCs w:val="21"/>
        </w:rPr>
        <w:fldChar w:fldCharType="separate"/>
      </w:r>
      <w:r w:rsidR="00A9112E">
        <w:rPr>
          <w:rFonts w:ascii="Times New Roman" w:hAnsi="Times New Roman" w:cs="Times New Roman"/>
          <w:b/>
          <w:bCs/>
          <w:noProof/>
          <w:sz w:val="21"/>
          <w:szCs w:val="21"/>
        </w:rPr>
        <w:t>6</w:t>
      </w:r>
      <w:r w:rsidRPr="003573A7">
        <w:rPr>
          <w:rFonts w:ascii="Times New Roman" w:hAnsi="Times New Roman" w:cs="Times New Roman"/>
          <w:b/>
          <w:bCs/>
          <w:sz w:val="21"/>
          <w:szCs w:val="21"/>
        </w:rPr>
        <w:fldChar w:fldCharType="end"/>
      </w:r>
      <w:r w:rsidRPr="003573A7">
        <w:rPr>
          <w:rFonts w:ascii="Times New Roman" w:hAnsi="Times New Roman" w:cs="Times New Roman"/>
          <w:b/>
          <w:bCs/>
          <w:sz w:val="21"/>
          <w:szCs w:val="21"/>
        </w:rPr>
        <w:t xml:space="preserve">. </w:t>
      </w:r>
      <w:r w:rsidRPr="003677D0">
        <w:rPr>
          <w:rFonts w:ascii="Times New Roman" w:eastAsia="DengXian" w:hAnsi="Times New Roman" w:cs="Times New Roman"/>
          <w:b/>
          <w:bCs/>
          <w:sz w:val="21"/>
          <w:szCs w:val="21"/>
          <w:lang w:eastAsia="zh-CN"/>
        </w:rPr>
        <w:t>Calculation of sales-weighted average capacity of BEVs and PHEVs.</w:t>
      </w:r>
      <w:bookmarkEnd w:id="47"/>
      <w:bookmarkEnd w:id="48"/>
    </w:p>
    <w:tbl>
      <w:tblPr>
        <w:tblStyle w:val="a7"/>
        <w:tblW w:w="8818" w:type="dxa"/>
        <w:tblLook w:val="04A0" w:firstRow="1" w:lastRow="0" w:firstColumn="1" w:lastColumn="0" w:noHBand="0" w:noVBand="1"/>
      </w:tblPr>
      <w:tblGrid>
        <w:gridCol w:w="1307"/>
        <w:gridCol w:w="1009"/>
        <w:gridCol w:w="1056"/>
        <w:gridCol w:w="1021"/>
        <w:gridCol w:w="1464"/>
        <w:gridCol w:w="1010"/>
        <w:gridCol w:w="1056"/>
        <w:gridCol w:w="1021"/>
      </w:tblGrid>
      <w:tr w:rsidR="00F82620" w:rsidRPr="000F62FA" w14:paraId="3484700C" w14:textId="77777777" w:rsidTr="00857065">
        <w:trPr>
          <w:trHeight w:val="354"/>
        </w:trPr>
        <w:tc>
          <w:tcPr>
            <w:tcW w:w="1307" w:type="dxa"/>
            <w:noWrap/>
            <w:vAlign w:val="center"/>
            <w:hideMark/>
          </w:tcPr>
          <w:p w14:paraId="5315AD44" w14:textId="77777777" w:rsidR="00F82620" w:rsidRPr="000F62FA" w:rsidRDefault="00F82620" w:rsidP="00857065">
            <w:pPr>
              <w:jc w:val="center"/>
              <w:rPr>
                <w:rFonts w:ascii="Times New Roman" w:eastAsia="游ゴシック" w:hAnsi="Times New Roman" w:cs="Times New Roman"/>
                <w:b/>
                <w:bCs/>
                <w:sz w:val="21"/>
                <w:szCs w:val="21"/>
              </w:rPr>
            </w:pPr>
            <w:r w:rsidRPr="000F62FA">
              <w:rPr>
                <w:rFonts w:ascii="Times New Roman" w:eastAsia="游ゴシック" w:hAnsi="Times New Roman" w:cs="Times New Roman"/>
                <w:b/>
                <w:bCs/>
                <w:sz w:val="21"/>
                <w:szCs w:val="21"/>
              </w:rPr>
              <w:t>BEVs</w:t>
            </w:r>
          </w:p>
        </w:tc>
        <w:tc>
          <w:tcPr>
            <w:tcW w:w="1009" w:type="dxa"/>
            <w:noWrap/>
            <w:vAlign w:val="center"/>
            <w:hideMark/>
          </w:tcPr>
          <w:p w14:paraId="01A4D8D5" w14:textId="36125A6C"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 xml:space="preserve">Sales </w:t>
            </w:r>
            <w:r w:rsidR="00AF2388" w:rsidRPr="000F62FA">
              <w:rPr>
                <w:rFonts w:ascii="Times New Roman" w:eastAsia="游ゴシック" w:hAnsi="Times New Roman" w:cs="Times New Roman"/>
                <w:b/>
                <w:bCs/>
                <w:color w:val="000000"/>
                <w:sz w:val="21"/>
                <w:szCs w:val="21"/>
              </w:rPr>
              <w:t>market</w:t>
            </w:r>
            <w:r w:rsidRPr="000F62FA">
              <w:rPr>
                <w:rFonts w:ascii="Times New Roman" w:eastAsia="游ゴシック" w:hAnsi="Times New Roman" w:cs="Times New Roman"/>
                <w:b/>
                <w:bCs/>
                <w:color w:val="000000"/>
                <w:sz w:val="21"/>
                <w:szCs w:val="21"/>
              </w:rPr>
              <w:t xml:space="preserve"> share</w:t>
            </w:r>
          </w:p>
        </w:tc>
        <w:tc>
          <w:tcPr>
            <w:tcW w:w="1010" w:type="dxa"/>
            <w:noWrap/>
            <w:vAlign w:val="center"/>
            <w:hideMark/>
          </w:tcPr>
          <w:p w14:paraId="2C1F0FAA"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Required battery capacity (kWh)</w:t>
            </w:r>
          </w:p>
        </w:tc>
        <w:tc>
          <w:tcPr>
            <w:tcW w:w="1004" w:type="dxa"/>
            <w:noWrap/>
            <w:vAlign w:val="center"/>
            <w:hideMark/>
          </w:tcPr>
          <w:p w14:paraId="3EA8ADA6"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Sales-weighted average capacity (kWh)</w:t>
            </w:r>
          </w:p>
        </w:tc>
        <w:tc>
          <w:tcPr>
            <w:tcW w:w="1464" w:type="dxa"/>
            <w:noWrap/>
            <w:vAlign w:val="center"/>
            <w:hideMark/>
          </w:tcPr>
          <w:p w14:paraId="681A83D2"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PHEVs</w:t>
            </w:r>
          </w:p>
        </w:tc>
        <w:tc>
          <w:tcPr>
            <w:tcW w:w="1010" w:type="dxa"/>
            <w:noWrap/>
            <w:vAlign w:val="center"/>
            <w:hideMark/>
          </w:tcPr>
          <w:p w14:paraId="5C3FEE99" w14:textId="697968D5"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 xml:space="preserve">Sales </w:t>
            </w:r>
            <w:r w:rsidR="00AF2388" w:rsidRPr="000F62FA">
              <w:rPr>
                <w:rFonts w:ascii="Times New Roman" w:eastAsia="游ゴシック" w:hAnsi="Times New Roman" w:cs="Times New Roman"/>
                <w:b/>
                <w:bCs/>
                <w:color w:val="000000"/>
                <w:sz w:val="21"/>
                <w:szCs w:val="21"/>
              </w:rPr>
              <w:t>market</w:t>
            </w:r>
            <w:r w:rsidRPr="000F62FA">
              <w:rPr>
                <w:rFonts w:ascii="Times New Roman" w:eastAsia="游ゴシック" w:hAnsi="Times New Roman" w:cs="Times New Roman"/>
                <w:b/>
                <w:bCs/>
                <w:color w:val="000000"/>
                <w:sz w:val="21"/>
                <w:szCs w:val="21"/>
              </w:rPr>
              <w:t xml:space="preserve"> share</w:t>
            </w:r>
          </w:p>
        </w:tc>
        <w:tc>
          <w:tcPr>
            <w:tcW w:w="1010" w:type="dxa"/>
            <w:noWrap/>
            <w:vAlign w:val="center"/>
            <w:hideMark/>
          </w:tcPr>
          <w:p w14:paraId="1BB13F39"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Required battery capacity (kWh)</w:t>
            </w:r>
          </w:p>
        </w:tc>
        <w:tc>
          <w:tcPr>
            <w:tcW w:w="1004" w:type="dxa"/>
            <w:noWrap/>
            <w:vAlign w:val="center"/>
            <w:hideMark/>
          </w:tcPr>
          <w:p w14:paraId="79D326CD"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Sales-weighted average capacity (kWh)</w:t>
            </w:r>
          </w:p>
        </w:tc>
      </w:tr>
      <w:tr w:rsidR="00F82620" w:rsidRPr="000F62FA" w14:paraId="1E0B7D60" w14:textId="77777777" w:rsidTr="00857065">
        <w:trPr>
          <w:trHeight w:val="354"/>
        </w:trPr>
        <w:tc>
          <w:tcPr>
            <w:tcW w:w="1307" w:type="dxa"/>
            <w:noWrap/>
            <w:vAlign w:val="center"/>
            <w:hideMark/>
          </w:tcPr>
          <w:p w14:paraId="57CB53A6"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Small BEV</w:t>
            </w:r>
          </w:p>
        </w:tc>
        <w:tc>
          <w:tcPr>
            <w:tcW w:w="1009" w:type="dxa"/>
            <w:noWrap/>
            <w:vAlign w:val="center"/>
            <w:hideMark/>
          </w:tcPr>
          <w:p w14:paraId="2E54F899"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19%</w:t>
            </w:r>
          </w:p>
        </w:tc>
        <w:tc>
          <w:tcPr>
            <w:tcW w:w="1010" w:type="dxa"/>
            <w:noWrap/>
            <w:vAlign w:val="center"/>
            <w:hideMark/>
          </w:tcPr>
          <w:p w14:paraId="0CD1D1A3"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 xml:space="preserve">33 </w:t>
            </w:r>
          </w:p>
        </w:tc>
        <w:tc>
          <w:tcPr>
            <w:tcW w:w="1004" w:type="dxa"/>
            <w:vMerge w:val="restart"/>
            <w:noWrap/>
            <w:vAlign w:val="center"/>
            <w:hideMark/>
          </w:tcPr>
          <w:p w14:paraId="68641BB3"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 xml:space="preserve">72 </w:t>
            </w:r>
          </w:p>
        </w:tc>
        <w:tc>
          <w:tcPr>
            <w:tcW w:w="1464" w:type="dxa"/>
            <w:noWrap/>
            <w:vAlign w:val="center"/>
            <w:hideMark/>
          </w:tcPr>
          <w:p w14:paraId="638798C9"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Small PHEV</w:t>
            </w:r>
          </w:p>
        </w:tc>
        <w:tc>
          <w:tcPr>
            <w:tcW w:w="1010" w:type="dxa"/>
            <w:noWrap/>
            <w:vAlign w:val="center"/>
            <w:hideMark/>
          </w:tcPr>
          <w:p w14:paraId="63FD5366"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23%</w:t>
            </w:r>
          </w:p>
        </w:tc>
        <w:tc>
          <w:tcPr>
            <w:tcW w:w="1010" w:type="dxa"/>
            <w:noWrap/>
            <w:vAlign w:val="center"/>
            <w:hideMark/>
          </w:tcPr>
          <w:p w14:paraId="08755DFA"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 xml:space="preserve">17 </w:t>
            </w:r>
          </w:p>
        </w:tc>
        <w:tc>
          <w:tcPr>
            <w:tcW w:w="1004" w:type="dxa"/>
            <w:vMerge w:val="restart"/>
            <w:noWrap/>
            <w:vAlign w:val="center"/>
            <w:hideMark/>
          </w:tcPr>
          <w:p w14:paraId="19A30535"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 xml:space="preserve">11 </w:t>
            </w:r>
          </w:p>
        </w:tc>
      </w:tr>
      <w:tr w:rsidR="00F82620" w:rsidRPr="000F62FA" w14:paraId="761B28D8" w14:textId="77777777" w:rsidTr="00857065">
        <w:trPr>
          <w:trHeight w:val="354"/>
        </w:trPr>
        <w:tc>
          <w:tcPr>
            <w:tcW w:w="1307" w:type="dxa"/>
            <w:noWrap/>
            <w:vAlign w:val="center"/>
            <w:hideMark/>
          </w:tcPr>
          <w:p w14:paraId="39D58B6A"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Mid-size BEV</w:t>
            </w:r>
          </w:p>
        </w:tc>
        <w:tc>
          <w:tcPr>
            <w:tcW w:w="1009" w:type="dxa"/>
            <w:noWrap/>
            <w:vAlign w:val="center"/>
            <w:hideMark/>
          </w:tcPr>
          <w:p w14:paraId="50523C8C"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48%</w:t>
            </w:r>
          </w:p>
        </w:tc>
        <w:tc>
          <w:tcPr>
            <w:tcW w:w="1010" w:type="dxa"/>
            <w:noWrap/>
            <w:vAlign w:val="center"/>
            <w:hideMark/>
          </w:tcPr>
          <w:p w14:paraId="7DE994EE"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 xml:space="preserve">66 </w:t>
            </w:r>
          </w:p>
        </w:tc>
        <w:tc>
          <w:tcPr>
            <w:tcW w:w="1004" w:type="dxa"/>
            <w:vMerge/>
            <w:hideMark/>
          </w:tcPr>
          <w:p w14:paraId="05037902" w14:textId="77777777" w:rsidR="00F82620" w:rsidRPr="000F62FA" w:rsidRDefault="00F82620" w:rsidP="00857065">
            <w:pPr>
              <w:rPr>
                <w:rFonts w:ascii="Times New Roman" w:eastAsia="游ゴシック" w:hAnsi="Times New Roman" w:cs="Times New Roman"/>
                <w:color w:val="000000"/>
                <w:sz w:val="21"/>
                <w:szCs w:val="21"/>
              </w:rPr>
            </w:pPr>
          </w:p>
        </w:tc>
        <w:tc>
          <w:tcPr>
            <w:tcW w:w="1464" w:type="dxa"/>
            <w:noWrap/>
            <w:vAlign w:val="center"/>
            <w:hideMark/>
          </w:tcPr>
          <w:p w14:paraId="7145EFA8"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Mid-size PHEV</w:t>
            </w:r>
          </w:p>
        </w:tc>
        <w:tc>
          <w:tcPr>
            <w:tcW w:w="1010" w:type="dxa"/>
            <w:noWrap/>
            <w:vAlign w:val="center"/>
            <w:hideMark/>
          </w:tcPr>
          <w:p w14:paraId="2307E722"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45%</w:t>
            </w:r>
          </w:p>
        </w:tc>
        <w:tc>
          <w:tcPr>
            <w:tcW w:w="1010" w:type="dxa"/>
            <w:noWrap/>
            <w:vAlign w:val="center"/>
            <w:hideMark/>
          </w:tcPr>
          <w:p w14:paraId="013ADACC"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 xml:space="preserve">8 </w:t>
            </w:r>
          </w:p>
        </w:tc>
        <w:tc>
          <w:tcPr>
            <w:tcW w:w="1004" w:type="dxa"/>
            <w:vMerge/>
            <w:hideMark/>
          </w:tcPr>
          <w:p w14:paraId="49E8769C" w14:textId="77777777" w:rsidR="00F82620" w:rsidRPr="000F62FA" w:rsidRDefault="00F82620" w:rsidP="00857065">
            <w:pPr>
              <w:rPr>
                <w:rFonts w:ascii="Times New Roman" w:eastAsia="游ゴシック" w:hAnsi="Times New Roman" w:cs="Times New Roman"/>
                <w:color w:val="000000"/>
                <w:sz w:val="21"/>
                <w:szCs w:val="21"/>
              </w:rPr>
            </w:pPr>
          </w:p>
        </w:tc>
      </w:tr>
      <w:tr w:rsidR="00F82620" w:rsidRPr="000F62FA" w14:paraId="6E893845" w14:textId="77777777" w:rsidTr="00857065">
        <w:trPr>
          <w:trHeight w:val="360"/>
        </w:trPr>
        <w:tc>
          <w:tcPr>
            <w:tcW w:w="1307" w:type="dxa"/>
            <w:noWrap/>
            <w:vAlign w:val="center"/>
            <w:hideMark/>
          </w:tcPr>
          <w:p w14:paraId="0AFADA89"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Large BEV</w:t>
            </w:r>
          </w:p>
        </w:tc>
        <w:tc>
          <w:tcPr>
            <w:tcW w:w="1009" w:type="dxa"/>
            <w:noWrap/>
            <w:vAlign w:val="center"/>
            <w:hideMark/>
          </w:tcPr>
          <w:p w14:paraId="549E7B2E"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34%</w:t>
            </w:r>
          </w:p>
        </w:tc>
        <w:tc>
          <w:tcPr>
            <w:tcW w:w="1010" w:type="dxa"/>
            <w:noWrap/>
            <w:vAlign w:val="center"/>
            <w:hideMark/>
          </w:tcPr>
          <w:p w14:paraId="5EE88381"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 xml:space="preserve">100 </w:t>
            </w:r>
          </w:p>
        </w:tc>
        <w:tc>
          <w:tcPr>
            <w:tcW w:w="1004" w:type="dxa"/>
            <w:vMerge/>
            <w:hideMark/>
          </w:tcPr>
          <w:p w14:paraId="1909C601" w14:textId="77777777" w:rsidR="00F82620" w:rsidRPr="000F62FA" w:rsidRDefault="00F82620" w:rsidP="00857065">
            <w:pPr>
              <w:rPr>
                <w:rFonts w:ascii="Times New Roman" w:eastAsia="游ゴシック" w:hAnsi="Times New Roman" w:cs="Times New Roman"/>
                <w:color w:val="000000"/>
                <w:sz w:val="21"/>
                <w:szCs w:val="21"/>
              </w:rPr>
            </w:pPr>
          </w:p>
        </w:tc>
        <w:tc>
          <w:tcPr>
            <w:tcW w:w="1464" w:type="dxa"/>
            <w:noWrap/>
            <w:vAlign w:val="center"/>
            <w:hideMark/>
          </w:tcPr>
          <w:p w14:paraId="26FDDB8C" w14:textId="77777777" w:rsidR="00F82620" w:rsidRPr="000F62FA" w:rsidRDefault="00F82620" w:rsidP="00857065">
            <w:pPr>
              <w:jc w:val="center"/>
              <w:rPr>
                <w:rFonts w:ascii="Times New Roman" w:eastAsia="游ゴシック" w:hAnsi="Times New Roman" w:cs="Times New Roman"/>
                <w:b/>
                <w:bCs/>
                <w:color w:val="000000"/>
                <w:sz w:val="21"/>
                <w:szCs w:val="21"/>
              </w:rPr>
            </w:pPr>
            <w:r w:rsidRPr="000F62FA">
              <w:rPr>
                <w:rFonts w:ascii="Times New Roman" w:eastAsia="游ゴシック" w:hAnsi="Times New Roman" w:cs="Times New Roman"/>
                <w:b/>
                <w:bCs/>
                <w:color w:val="000000"/>
                <w:sz w:val="21"/>
                <w:szCs w:val="21"/>
              </w:rPr>
              <w:t>Large PHEV</w:t>
            </w:r>
          </w:p>
        </w:tc>
        <w:tc>
          <w:tcPr>
            <w:tcW w:w="1010" w:type="dxa"/>
            <w:noWrap/>
            <w:vAlign w:val="center"/>
            <w:hideMark/>
          </w:tcPr>
          <w:p w14:paraId="73DC52C3"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32%</w:t>
            </w:r>
          </w:p>
        </w:tc>
        <w:tc>
          <w:tcPr>
            <w:tcW w:w="1010" w:type="dxa"/>
            <w:noWrap/>
            <w:vAlign w:val="center"/>
            <w:hideMark/>
          </w:tcPr>
          <w:p w14:paraId="665FF8ED" w14:textId="77777777" w:rsidR="00F82620" w:rsidRPr="000F62FA" w:rsidRDefault="00F82620" w:rsidP="00857065">
            <w:pPr>
              <w:jc w:val="right"/>
              <w:rPr>
                <w:rFonts w:ascii="Times New Roman" w:eastAsia="游ゴシック" w:hAnsi="Times New Roman" w:cs="Times New Roman"/>
                <w:color w:val="000000"/>
                <w:sz w:val="21"/>
                <w:szCs w:val="21"/>
              </w:rPr>
            </w:pPr>
            <w:r w:rsidRPr="000F62FA">
              <w:rPr>
                <w:rFonts w:ascii="Times New Roman" w:eastAsia="游ゴシック" w:hAnsi="Times New Roman" w:cs="Times New Roman"/>
                <w:color w:val="000000"/>
                <w:sz w:val="21"/>
                <w:szCs w:val="21"/>
              </w:rPr>
              <w:t xml:space="preserve">12 </w:t>
            </w:r>
          </w:p>
        </w:tc>
        <w:tc>
          <w:tcPr>
            <w:tcW w:w="1004" w:type="dxa"/>
            <w:vMerge/>
            <w:hideMark/>
          </w:tcPr>
          <w:p w14:paraId="0ADD8021" w14:textId="77777777" w:rsidR="00F82620" w:rsidRPr="000F62FA" w:rsidRDefault="00F82620" w:rsidP="00857065">
            <w:pPr>
              <w:rPr>
                <w:rFonts w:ascii="Times New Roman" w:eastAsia="游ゴシック" w:hAnsi="Times New Roman" w:cs="Times New Roman"/>
                <w:color w:val="000000"/>
                <w:sz w:val="21"/>
                <w:szCs w:val="21"/>
              </w:rPr>
            </w:pPr>
          </w:p>
        </w:tc>
      </w:tr>
    </w:tbl>
    <w:p w14:paraId="4D16CB60" w14:textId="77777777" w:rsidR="00630EFB" w:rsidRDefault="00630EFB" w:rsidP="004314FC">
      <w:pPr>
        <w:rPr>
          <w:rFonts w:ascii="Times New Roman" w:eastAsia="DengXian" w:hAnsi="Times New Roman" w:cs="Times New Roman"/>
          <w:sz w:val="21"/>
          <w:szCs w:val="21"/>
          <w:lang w:eastAsia="zh-CN"/>
        </w:rPr>
      </w:pPr>
    </w:p>
    <w:p w14:paraId="1FDC8B53" w14:textId="0AFE9433" w:rsidR="005C71B7" w:rsidRDefault="00557B16" w:rsidP="004314FC">
      <w:pPr>
        <w:rPr>
          <w:rFonts w:ascii="Times New Roman" w:eastAsia="DengXian" w:hAnsi="Times New Roman" w:cs="Times New Roman"/>
          <w:sz w:val="21"/>
          <w:szCs w:val="21"/>
          <w:lang w:eastAsia="zh-CN"/>
        </w:rPr>
      </w:pPr>
      <w:r w:rsidRPr="00557B16">
        <w:rPr>
          <w:rFonts w:ascii="Times New Roman" w:eastAsia="DengXian" w:hAnsi="Times New Roman" w:cs="Times New Roman"/>
          <w:sz w:val="21"/>
          <w:szCs w:val="21"/>
          <w:lang w:eastAsia="zh-CN"/>
        </w:rPr>
        <w:t>Accordingly, we adjusted the sales-weighted average battery weight and associated critical mineral content based on the market share of each EV size class. The results are summarized in Table S</w:t>
      </w:r>
      <w:r w:rsidR="001944E1">
        <w:rPr>
          <w:rFonts w:ascii="Times New Roman" w:eastAsiaTheme="minorEastAsia" w:hAnsi="Times New Roman" w:cs="Times New Roman" w:hint="eastAsia"/>
          <w:sz w:val="21"/>
          <w:szCs w:val="21"/>
        </w:rPr>
        <w:t>7</w:t>
      </w:r>
      <w:r w:rsidRPr="00557B16">
        <w:rPr>
          <w:rFonts w:ascii="Times New Roman" w:eastAsia="DengXian" w:hAnsi="Times New Roman" w:cs="Times New Roman"/>
          <w:sz w:val="21"/>
          <w:szCs w:val="21"/>
          <w:lang w:eastAsia="zh-CN"/>
        </w:rPr>
        <w:t xml:space="preserve">. Overall, BEVs incorporate a greater quantity of critical minerals than PHEVs. Among battery chemistries, NMC-based batteries generally contain </w:t>
      </w:r>
      <w:r w:rsidR="00A804B4">
        <w:rPr>
          <w:rFonts w:ascii="Times New Roman" w:eastAsia="DengXian" w:hAnsi="Times New Roman" w:cs="Times New Roman" w:hint="eastAsia"/>
          <w:sz w:val="21"/>
          <w:szCs w:val="21"/>
          <w:lang w:eastAsia="zh-CN"/>
        </w:rPr>
        <w:t xml:space="preserve">much </w:t>
      </w:r>
      <w:r w:rsidRPr="00557B16">
        <w:rPr>
          <w:rFonts w:ascii="Times New Roman" w:eastAsia="DengXian" w:hAnsi="Times New Roman" w:cs="Times New Roman"/>
          <w:sz w:val="21"/>
          <w:szCs w:val="21"/>
          <w:lang w:eastAsia="zh-CN"/>
        </w:rPr>
        <w:t>more critical minerals than LFP, Li–Sulphur, or Li–Air batteries.</w:t>
      </w:r>
    </w:p>
    <w:p w14:paraId="127C1377" w14:textId="77777777" w:rsidR="00557B16" w:rsidRDefault="00557B16" w:rsidP="004314FC">
      <w:pPr>
        <w:rPr>
          <w:rFonts w:ascii="Times New Roman" w:eastAsia="DengXian" w:hAnsi="Times New Roman" w:cs="Times New Roman"/>
          <w:sz w:val="21"/>
          <w:szCs w:val="21"/>
          <w:lang w:eastAsia="zh-CN"/>
        </w:rPr>
      </w:pPr>
    </w:p>
    <w:p w14:paraId="7A42F5CB" w14:textId="661D5220" w:rsidR="00AD1413" w:rsidRPr="00465EAD" w:rsidRDefault="00AD1413" w:rsidP="00AD1413">
      <w:pPr>
        <w:jc w:val="center"/>
        <w:rPr>
          <w:rFonts w:ascii="Times New Roman" w:eastAsia="DengXian" w:hAnsi="Times New Roman" w:cs="Times New Roman"/>
          <w:b/>
          <w:bCs/>
          <w:sz w:val="21"/>
          <w:szCs w:val="21"/>
          <w:lang w:eastAsia="zh-CN"/>
        </w:rPr>
      </w:pPr>
      <w:bookmarkStart w:id="49" w:name="_Toc199865713"/>
      <w:bookmarkStart w:id="50" w:name="_Toc208439368"/>
      <w:r w:rsidRPr="003573A7">
        <w:rPr>
          <w:rFonts w:ascii="Times New Roman" w:hAnsi="Times New Roman" w:cs="Times New Roman"/>
          <w:b/>
          <w:bCs/>
          <w:sz w:val="21"/>
          <w:szCs w:val="21"/>
        </w:rPr>
        <w:t xml:space="preserve">Table </w:t>
      </w:r>
      <w:r w:rsidRPr="003573A7">
        <w:rPr>
          <w:rFonts w:ascii="Times New Roman" w:eastAsia="DengXian" w:hAnsi="Times New Roman" w:cs="Times New Roman"/>
          <w:b/>
          <w:bCs/>
          <w:sz w:val="21"/>
          <w:szCs w:val="21"/>
          <w:lang w:eastAsia="zh-CN"/>
        </w:rPr>
        <w:t>S</w:t>
      </w:r>
      <w:r w:rsidRPr="003573A7">
        <w:rPr>
          <w:rFonts w:ascii="Times New Roman" w:hAnsi="Times New Roman" w:cs="Times New Roman"/>
          <w:b/>
          <w:bCs/>
          <w:sz w:val="21"/>
          <w:szCs w:val="21"/>
        </w:rPr>
        <w:fldChar w:fldCharType="begin"/>
      </w:r>
      <w:r w:rsidRPr="003573A7">
        <w:rPr>
          <w:rFonts w:ascii="Times New Roman" w:hAnsi="Times New Roman" w:cs="Times New Roman"/>
          <w:b/>
          <w:bCs/>
          <w:sz w:val="21"/>
          <w:szCs w:val="21"/>
        </w:rPr>
        <w:instrText xml:space="preserve"> SEQ </w:instrText>
      </w:r>
      <w:r w:rsidRPr="003573A7">
        <w:rPr>
          <w:rFonts w:ascii="Times New Roman" w:hAnsi="Times New Roman" w:cs="Times New Roman"/>
          <w:b/>
          <w:bCs/>
          <w:sz w:val="21"/>
          <w:szCs w:val="21"/>
        </w:rPr>
        <w:instrText>表格</w:instrText>
      </w:r>
      <w:r w:rsidRPr="003573A7">
        <w:rPr>
          <w:rFonts w:ascii="Times New Roman" w:hAnsi="Times New Roman" w:cs="Times New Roman"/>
          <w:b/>
          <w:bCs/>
          <w:sz w:val="21"/>
          <w:szCs w:val="21"/>
        </w:rPr>
        <w:instrText xml:space="preserve"> \* ARABIC </w:instrText>
      </w:r>
      <w:r w:rsidRPr="003573A7">
        <w:rPr>
          <w:rFonts w:ascii="Times New Roman" w:hAnsi="Times New Roman" w:cs="Times New Roman"/>
          <w:b/>
          <w:bCs/>
          <w:sz w:val="21"/>
          <w:szCs w:val="21"/>
        </w:rPr>
        <w:fldChar w:fldCharType="separate"/>
      </w:r>
      <w:r w:rsidR="001944E1">
        <w:rPr>
          <w:rFonts w:ascii="Times New Roman" w:hAnsi="Times New Roman" w:cs="Times New Roman"/>
          <w:b/>
          <w:bCs/>
          <w:noProof/>
          <w:sz w:val="21"/>
          <w:szCs w:val="21"/>
        </w:rPr>
        <w:t>7</w:t>
      </w:r>
      <w:r w:rsidRPr="003573A7">
        <w:rPr>
          <w:rFonts w:ascii="Times New Roman" w:hAnsi="Times New Roman" w:cs="Times New Roman"/>
          <w:b/>
          <w:bCs/>
          <w:sz w:val="21"/>
          <w:szCs w:val="21"/>
        </w:rPr>
        <w:fldChar w:fldCharType="end"/>
      </w:r>
      <w:r w:rsidRPr="003573A7">
        <w:rPr>
          <w:rFonts w:ascii="Times New Roman" w:hAnsi="Times New Roman" w:cs="Times New Roman"/>
          <w:b/>
          <w:bCs/>
          <w:sz w:val="21"/>
          <w:szCs w:val="21"/>
        </w:rPr>
        <w:t xml:space="preserve">. </w:t>
      </w:r>
      <w:r w:rsidR="00352E1B">
        <w:rPr>
          <w:rFonts w:ascii="Times New Roman" w:eastAsia="DengXian" w:hAnsi="Times New Roman" w:cs="Times New Roman" w:hint="eastAsia"/>
          <w:b/>
          <w:bCs/>
          <w:sz w:val="21"/>
          <w:szCs w:val="21"/>
          <w:lang w:eastAsia="zh-CN"/>
        </w:rPr>
        <w:t>S</w:t>
      </w:r>
      <w:r w:rsidRPr="00465EAD">
        <w:rPr>
          <w:rFonts w:ascii="Times New Roman" w:eastAsia="DengXian" w:hAnsi="Times New Roman" w:cs="Times New Roman"/>
          <w:b/>
          <w:bCs/>
          <w:sz w:val="21"/>
          <w:szCs w:val="21"/>
          <w:lang w:eastAsia="zh-CN"/>
        </w:rPr>
        <w:t>ales-weighted average battery w</w:t>
      </w:r>
      <w:r w:rsidR="00F53480">
        <w:rPr>
          <w:rFonts w:ascii="Times New Roman" w:eastAsia="DengXian" w:hAnsi="Times New Roman" w:cs="Times New Roman" w:hint="eastAsia"/>
          <w:b/>
          <w:bCs/>
          <w:sz w:val="21"/>
          <w:szCs w:val="21"/>
          <w:lang w:eastAsia="zh-CN"/>
        </w:rPr>
        <w:t>e</w:t>
      </w:r>
      <w:r w:rsidRPr="00465EAD">
        <w:rPr>
          <w:rFonts w:ascii="Times New Roman" w:eastAsia="DengXian" w:hAnsi="Times New Roman" w:cs="Times New Roman"/>
          <w:b/>
          <w:bCs/>
          <w:sz w:val="21"/>
          <w:szCs w:val="21"/>
          <w:lang w:eastAsia="zh-CN"/>
        </w:rPr>
        <w:t xml:space="preserve">ight and critical </w:t>
      </w:r>
      <w:r w:rsidR="00352E1B">
        <w:rPr>
          <w:rFonts w:ascii="Times New Roman" w:eastAsia="DengXian" w:hAnsi="Times New Roman" w:cs="Times New Roman" w:hint="eastAsia"/>
          <w:b/>
          <w:bCs/>
          <w:sz w:val="21"/>
          <w:szCs w:val="21"/>
          <w:lang w:eastAsia="zh-CN"/>
        </w:rPr>
        <w:t>minerals</w:t>
      </w:r>
      <w:r w:rsidRPr="00465EAD">
        <w:rPr>
          <w:rFonts w:ascii="Times New Roman" w:eastAsia="DengXian" w:hAnsi="Times New Roman" w:cs="Times New Roman"/>
          <w:b/>
          <w:bCs/>
          <w:sz w:val="21"/>
          <w:szCs w:val="21"/>
          <w:lang w:eastAsia="zh-CN"/>
        </w:rPr>
        <w:t xml:space="preserve"> included</w:t>
      </w:r>
      <w:r>
        <w:rPr>
          <w:rFonts w:ascii="Times New Roman" w:eastAsia="DengXian" w:hAnsi="Times New Roman" w:cs="Times New Roman" w:hint="eastAsia"/>
          <w:b/>
          <w:bCs/>
          <w:sz w:val="21"/>
          <w:szCs w:val="21"/>
          <w:lang w:eastAsia="zh-CN"/>
        </w:rPr>
        <w:t>.</w:t>
      </w:r>
      <w:bookmarkEnd w:id="49"/>
      <w:bookmarkEnd w:id="50"/>
    </w:p>
    <w:tbl>
      <w:tblPr>
        <w:tblW w:w="5000" w:type="pct"/>
        <w:tblLayout w:type="fixed"/>
        <w:tblCellMar>
          <w:left w:w="99" w:type="dxa"/>
          <w:right w:w="99" w:type="dxa"/>
        </w:tblCellMar>
        <w:tblLook w:val="04A0" w:firstRow="1" w:lastRow="0" w:firstColumn="1" w:lastColumn="0" w:noHBand="0" w:noVBand="1"/>
      </w:tblPr>
      <w:tblGrid>
        <w:gridCol w:w="773"/>
        <w:gridCol w:w="772"/>
        <w:gridCol w:w="772"/>
        <w:gridCol w:w="772"/>
        <w:gridCol w:w="772"/>
        <w:gridCol w:w="776"/>
        <w:gridCol w:w="772"/>
        <w:gridCol w:w="772"/>
        <w:gridCol w:w="772"/>
        <w:gridCol w:w="772"/>
        <w:gridCol w:w="779"/>
      </w:tblGrid>
      <w:tr w:rsidR="00352E1B" w:rsidRPr="005173A7" w14:paraId="22DC1A38" w14:textId="77777777" w:rsidTr="00352E1B">
        <w:trPr>
          <w:trHeight w:val="345"/>
        </w:trPr>
        <w:tc>
          <w:tcPr>
            <w:tcW w:w="5000" w:type="pct"/>
            <w:gridSpan w:val="11"/>
            <w:tcBorders>
              <w:bottom w:val="single" w:sz="4" w:space="0" w:color="auto"/>
            </w:tcBorders>
            <w:noWrap/>
            <w:vAlign w:val="center"/>
          </w:tcPr>
          <w:p w14:paraId="503F2E32" w14:textId="275D0834" w:rsidR="00352E1B" w:rsidRPr="005173A7" w:rsidRDefault="00352E1B" w:rsidP="00352E1B">
            <w:pPr>
              <w:jc w:val="right"/>
              <w:rPr>
                <w:rFonts w:ascii="Times New Roman" w:hAnsi="Times New Roman" w:cs="Times New Roman"/>
                <w:b/>
                <w:bCs/>
                <w:color w:val="000000"/>
                <w:sz w:val="16"/>
                <w:szCs w:val="16"/>
              </w:rPr>
            </w:pPr>
            <w:r w:rsidRPr="005173A7">
              <w:rPr>
                <w:rFonts w:ascii="Times New Roman" w:hAnsi="Times New Roman" w:cs="Times New Roman"/>
                <w:b/>
                <w:bCs/>
                <w:color w:val="000000"/>
                <w:sz w:val="16"/>
                <w:szCs w:val="16"/>
              </w:rPr>
              <w:t>unit: kg</w:t>
            </w:r>
          </w:p>
        </w:tc>
      </w:tr>
      <w:tr w:rsidR="0038127D" w:rsidRPr="00CA20B5" w14:paraId="545D1262" w14:textId="77777777" w:rsidTr="00352E1B">
        <w:trPr>
          <w:trHeight w:val="345"/>
        </w:trPr>
        <w:tc>
          <w:tcPr>
            <w:tcW w:w="454" w:type="pct"/>
            <w:tcBorders>
              <w:top w:val="single" w:sz="4" w:space="0" w:color="auto"/>
              <w:left w:val="single" w:sz="4" w:space="0" w:color="000000"/>
              <w:bottom w:val="single" w:sz="4" w:space="0" w:color="000000"/>
              <w:right w:val="single" w:sz="4" w:space="0" w:color="000000"/>
            </w:tcBorders>
            <w:noWrap/>
            <w:vAlign w:val="center"/>
            <w:hideMark/>
          </w:tcPr>
          <w:p w14:paraId="4AD24145" w14:textId="77777777" w:rsidR="00CA2D8F" w:rsidRPr="00CA20B5" w:rsidRDefault="00CA2D8F" w:rsidP="001E09BB">
            <w:pPr>
              <w:rPr>
                <w:rFonts w:ascii="Times New Roman" w:hAnsi="Times New Roman" w:cs="Times New Roman"/>
                <w:color w:val="000000"/>
                <w:sz w:val="14"/>
                <w:szCs w:val="14"/>
              </w:rPr>
            </w:pPr>
            <w:r w:rsidRPr="00CA20B5">
              <w:rPr>
                <w:rFonts w:ascii="Times New Roman" w:hAnsi="Times New Roman" w:cs="Times New Roman"/>
                <w:color w:val="000000"/>
                <w:sz w:val="14"/>
                <w:szCs w:val="14"/>
              </w:rPr>
              <w:t>Pack level</w:t>
            </w:r>
          </w:p>
        </w:tc>
        <w:tc>
          <w:tcPr>
            <w:tcW w:w="454" w:type="pct"/>
            <w:tcBorders>
              <w:top w:val="single" w:sz="4" w:space="0" w:color="auto"/>
              <w:left w:val="nil"/>
              <w:bottom w:val="single" w:sz="4" w:space="0" w:color="000000"/>
              <w:right w:val="single" w:sz="4" w:space="0" w:color="000000"/>
            </w:tcBorders>
            <w:noWrap/>
            <w:vAlign w:val="center"/>
            <w:hideMark/>
          </w:tcPr>
          <w:p w14:paraId="7F1EC523"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LFP</w:t>
            </w:r>
          </w:p>
        </w:tc>
        <w:tc>
          <w:tcPr>
            <w:tcW w:w="454" w:type="pct"/>
            <w:tcBorders>
              <w:top w:val="single" w:sz="4" w:space="0" w:color="auto"/>
              <w:left w:val="nil"/>
              <w:bottom w:val="single" w:sz="4" w:space="0" w:color="000000"/>
              <w:right w:val="single" w:sz="4" w:space="0" w:color="000000"/>
            </w:tcBorders>
            <w:noWrap/>
            <w:vAlign w:val="center"/>
            <w:hideMark/>
          </w:tcPr>
          <w:p w14:paraId="5A7DBE15"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NCA</w:t>
            </w:r>
          </w:p>
        </w:tc>
        <w:tc>
          <w:tcPr>
            <w:tcW w:w="454" w:type="pct"/>
            <w:tcBorders>
              <w:top w:val="single" w:sz="4" w:space="0" w:color="auto"/>
              <w:left w:val="nil"/>
              <w:bottom w:val="single" w:sz="4" w:space="0" w:color="000000"/>
              <w:right w:val="single" w:sz="4" w:space="0" w:color="000000"/>
            </w:tcBorders>
            <w:noWrap/>
            <w:vAlign w:val="center"/>
            <w:hideMark/>
          </w:tcPr>
          <w:p w14:paraId="24F21AE6"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NMC111</w:t>
            </w:r>
          </w:p>
        </w:tc>
        <w:tc>
          <w:tcPr>
            <w:tcW w:w="454" w:type="pct"/>
            <w:tcBorders>
              <w:top w:val="single" w:sz="4" w:space="0" w:color="auto"/>
              <w:left w:val="nil"/>
              <w:bottom w:val="single" w:sz="4" w:space="0" w:color="000000"/>
              <w:right w:val="single" w:sz="4" w:space="0" w:color="000000"/>
            </w:tcBorders>
            <w:noWrap/>
            <w:vAlign w:val="center"/>
            <w:hideMark/>
          </w:tcPr>
          <w:p w14:paraId="76FEB946"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NMC523</w:t>
            </w:r>
          </w:p>
        </w:tc>
        <w:tc>
          <w:tcPr>
            <w:tcW w:w="456" w:type="pct"/>
            <w:tcBorders>
              <w:top w:val="single" w:sz="4" w:space="0" w:color="auto"/>
              <w:left w:val="nil"/>
              <w:bottom w:val="single" w:sz="4" w:space="0" w:color="000000"/>
              <w:right w:val="single" w:sz="4" w:space="0" w:color="000000"/>
            </w:tcBorders>
            <w:noWrap/>
            <w:vAlign w:val="center"/>
            <w:hideMark/>
          </w:tcPr>
          <w:p w14:paraId="2516BCD3"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NMC622</w:t>
            </w:r>
          </w:p>
        </w:tc>
        <w:tc>
          <w:tcPr>
            <w:tcW w:w="454" w:type="pct"/>
            <w:tcBorders>
              <w:top w:val="single" w:sz="4" w:space="0" w:color="auto"/>
              <w:left w:val="nil"/>
              <w:bottom w:val="single" w:sz="4" w:space="0" w:color="000000"/>
              <w:right w:val="single" w:sz="4" w:space="0" w:color="000000"/>
            </w:tcBorders>
            <w:noWrap/>
            <w:vAlign w:val="center"/>
            <w:hideMark/>
          </w:tcPr>
          <w:p w14:paraId="7456B102" w14:textId="77777777" w:rsidR="00CA2D8F" w:rsidRPr="00CA20B5" w:rsidRDefault="00CA2D8F" w:rsidP="001E09BB">
            <w:pPr>
              <w:rPr>
                <w:rFonts w:ascii="Times New Roman" w:hAnsi="Times New Roman" w:cs="Times New Roman"/>
                <w:b/>
                <w:bCs/>
                <w:color w:val="000000"/>
                <w:w w:val="90"/>
                <w:sz w:val="14"/>
                <w:szCs w:val="14"/>
              </w:rPr>
            </w:pPr>
            <w:r w:rsidRPr="00CA20B5">
              <w:rPr>
                <w:rFonts w:ascii="Times New Roman" w:hAnsi="Times New Roman" w:cs="Times New Roman"/>
                <w:b/>
                <w:bCs/>
                <w:color w:val="000000"/>
                <w:w w:val="90"/>
                <w:sz w:val="14"/>
                <w:szCs w:val="14"/>
              </w:rPr>
              <w:t>NMC622-Graphite (Si)</w:t>
            </w:r>
          </w:p>
        </w:tc>
        <w:tc>
          <w:tcPr>
            <w:tcW w:w="454" w:type="pct"/>
            <w:tcBorders>
              <w:top w:val="single" w:sz="4" w:space="0" w:color="auto"/>
              <w:left w:val="nil"/>
              <w:bottom w:val="single" w:sz="4" w:space="0" w:color="000000"/>
              <w:right w:val="single" w:sz="4" w:space="0" w:color="000000"/>
            </w:tcBorders>
            <w:noWrap/>
            <w:vAlign w:val="center"/>
            <w:hideMark/>
          </w:tcPr>
          <w:p w14:paraId="3CD18912" w14:textId="77777777" w:rsidR="00CA2D8F" w:rsidRPr="00CA20B5" w:rsidRDefault="00CA2D8F" w:rsidP="001E09BB">
            <w:pPr>
              <w:rPr>
                <w:rFonts w:ascii="Times New Roman" w:hAnsi="Times New Roman" w:cs="Times New Roman"/>
                <w:b/>
                <w:bCs/>
                <w:color w:val="000000"/>
                <w:w w:val="90"/>
                <w:sz w:val="14"/>
                <w:szCs w:val="14"/>
              </w:rPr>
            </w:pPr>
            <w:r w:rsidRPr="00CA20B5">
              <w:rPr>
                <w:rFonts w:ascii="Times New Roman" w:hAnsi="Times New Roman" w:cs="Times New Roman"/>
                <w:b/>
                <w:bCs/>
                <w:color w:val="000000"/>
                <w:w w:val="90"/>
                <w:sz w:val="14"/>
                <w:szCs w:val="14"/>
              </w:rPr>
              <w:t>NMC811-Graphite (Si)</w:t>
            </w:r>
          </w:p>
        </w:tc>
        <w:tc>
          <w:tcPr>
            <w:tcW w:w="454" w:type="pct"/>
            <w:tcBorders>
              <w:top w:val="single" w:sz="4" w:space="0" w:color="auto"/>
              <w:left w:val="nil"/>
              <w:bottom w:val="single" w:sz="4" w:space="0" w:color="000000"/>
              <w:right w:val="single" w:sz="4" w:space="0" w:color="000000"/>
            </w:tcBorders>
            <w:noWrap/>
            <w:vAlign w:val="center"/>
            <w:hideMark/>
          </w:tcPr>
          <w:p w14:paraId="4D844E61" w14:textId="77777777" w:rsidR="00CA2D8F" w:rsidRPr="00CA20B5" w:rsidRDefault="00CA2D8F" w:rsidP="001E09BB">
            <w:pPr>
              <w:rPr>
                <w:rFonts w:ascii="Times New Roman" w:hAnsi="Times New Roman" w:cs="Times New Roman"/>
                <w:b/>
                <w:bCs/>
                <w:color w:val="000000"/>
                <w:w w:val="90"/>
                <w:sz w:val="14"/>
                <w:szCs w:val="14"/>
              </w:rPr>
            </w:pPr>
            <w:r w:rsidRPr="00CA20B5">
              <w:rPr>
                <w:rFonts w:ascii="Times New Roman" w:hAnsi="Times New Roman" w:cs="Times New Roman"/>
                <w:b/>
                <w:bCs/>
                <w:color w:val="000000"/>
                <w:w w:val="90"/>
                <w:sz w:val="14"/>
                <w:szCs w:val="14"/>
              </w:rPr>
              <w:t>NMC955-Graphite (Si)</w:t>
            </w:r>
          </w:p>
        </w:tc>
        <w:tc>
          <w:tcPr>
            <w:tcW w:w="454" w:type="pct"/>
            <w:tcBorders>
              <w:top w:val="single" w:sz="4" w:space="0" w:color="auto"/>
              <w:left w:val="nil"/>
              <w:bottom w:val="single" w:sz="4" w:space="0" w:color="000000"/>
              <w:right w:val="single" w:sz="4" w:space="0" w:color="000000"/>
            </w:tcBorders>
            <w:noWrap/>
            <w:vAlign w:val="center"/>
            <w:hideMark/>
          </w:tcPr>
          <w:p w14:paraId="67BFCD15"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Li-Sulphur</w:t>
            </w:r>
          </w:p>
        </w:tc>
        <w:tc>
          <w:tcPr>
            <w:tcW w:w="458" w:type="pct"/>
            <w:tcBorders>
              <w:top w:val="single" w:sz="4" w:space="0" w:color="auto"/>
              <w:left w:val="nil"/>
              <w:bottom w:val="single" w:sz="4" w:space="0" w:color="000000"/>
              <w:right w:val="single" w:sz="4" w:space="0" w:color="000000"/>
            </w:tcBorders>
            <w:noWrap/>
            <w:vAlign w:val="center"/>
            <w:hideMark/>
          </w:tcPr>
          <w:p w14:paraId="442B8368"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Li-Air</w:t>
            </w:r>
          </w:p>
        </w:tc>
      </w:tr>
      <w:tr w:rsidR="0038127D" w:rsidRPr="00CA20B5" w14:paraId="0B911D17" w14:textId="77777777" w:rsidTr="00BD668A">
        <w:trPr>
          <w:trHeight w:val="345"/>
        </w:trPr>
        <w:tc>
          <w:tcPr>
            <w:tcW w:w="454" w:type="pct"/>
            <w:tcBorders>
              <w:top w:val="nil"/>
              <w:left w:val="single" w:sz="4" w:space="0" w:color="000000"/>
              <w:bottom w:val="single" w:sz="4" w:space="0" w:color="000000"/>
              <w:right w:val="single" w:sz="4" w:space="0" w:color="000000"/>
            </w:tcBorders>
            <w:noWrap/>
            <w:vAlign w:val="center"/>
            <w:hideMark/>
          </w:tcPr>
          <w:p w14:paraId="11971F22"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BEVs</w:t>
            </w:r>
          </w:p>
        </w:tc>
        <w:tc>
          <w:tcPr>
            <w:tcW w:w="454" w:type="pct"/>
            <w:tcBorders>
              <w:top w:val="nil"/>
              <w:left w:val="nil"/>
              <w:bottom w:val="single" w:sz="4" w:space="0" w:color="000000"/>
              <w:right w:val="single" w:sz="4" w:space="0" w:color="000000"/>
            </w:tcBorders>
            <w:noWrap/>
            <w:vAlign w:val="center"/>
            <w:hideMark/>
          </w:tcPr>
          <w:p w14:paraId="6D92138C"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558.90</w:t>
            </w:r>
          </w:p>
        </w:tc>
        <w:tc>
          <w:tcPr>
            <w:tcW w:w="454" w:type="pct"/>
            <w:tcBorders>
              <w:top w:val="nil"/>
              <w:left w:val="nil"/>
              <w:bottom w:val="single" w:sz="4" w:space="0" w:color="000000"/>
              <w:right w:val="single" w:sz="4" w:space="0" w:color="000000"/>
            </w:tcBorders>
            <w:noWrap/>
            <w:vAlign w:val="center"/>
            <w:hideMark/>
          </w:tcPr>
          <w:p w14:paraId="1804C48B"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405.74</w:t>
            </w:r>
          </w:p>
        </w:tc>
        <w:tc>
          <w:tcPr>
            <w:tcW w:w="454" w:type="pct"/>
            <w:tcBorders>
              <w:top w:val="nil"/>
              <w:left w:val="nil"/>
              <w:bottom w:val="single" w:sz="4" w:space="0" w:color="000000"/>
              <w:right w:val="single" w:sz="4" w:space="0" w:color="000000"/>
            </w:tcBorders>
            <w:noWrap/>
            <w:vAlign w:val="center"/>
            <w:hideMark/>
          </w:tcPr>
          <w:p w14:paraId="09F4C484"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450.24</w:t>
            </w:r>
          </w:p>
        </w:tc>
        <w:tc>
          <w:tcPr>
            <w:tcW w:w="454" w:type="pct"/>
            <w:tcBorders>
              <w:top w:val="nil"/>
              <w:left w:val="nil"/>
              <w:bottom w:val="single" w:sz="4" w:space="0" w:color="000000"/>
              <w:right w:val="single" w:sz="4" w:space="0" w:color="000000"/>
            </w:tcBorders>
            <w:noWrap/>
            <w:vAlign w:val="center"/>
            <w:hideMark/>
          </w:tcPr>
          <w:p w14:paraId="0E23C264"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442.30</w:t>
            </w:r>
          </w:p>
        </w:tc>
        <w:tc>
          <w:tcPr>
            <w:tcW w:w="456" w:type="pct"/>
            <w:tcBorders>
              <w:top w:val="nil"/>
              <w:left w:val="nil"/>
              <w:bottom w:val="single" w:sz="4" w:space="0" w:color="000000"/>
              <w:right w:val="single" w:sz="4" w:space="0" w:color="000000"/>
            </w:tcBorders>
            <w:noWrap/>
            <w:vAlign w:val="center"/>
            <w:hideMark/>
          </w:tcPr>
          <w:p w14:paraId="0CE51FEB"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415.87</w:t>
            </w:r>
          </w:p>
        </w:tc>
        <w:tc>
          <w:tcPr>
            <w:tcW w:w="454" w:type="pct"/>
            <w:tcBorders>
              <w:top w:val="nil"/>
              <w:left w:val="nil"/>
              <w:bottom w:val="single" w:sz="4" w:space="0" w:color="000000"/>
              <w:right w:val="single" w:sz="4" w:space="0" w:color="000000"/>
            </w:tcBorders>
            <w:noWrap/>
            <w:vAlign w:val="center"/>
            <w:hideMark/>
          </w:tcPr>
          <w:p w14:paraId="4D062694"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387.32</w:t>
            </w:r>
          </w:p>
        </w:tc>
        <w:tc>
          <w:tcPr>
            <w:tcW w:w="454" w:type="pct"/>
            <w:tcBorders>
              <w:top w:val="nil"/>
              <w:left w:val="nil"/>
              <w:bottom w:val="single" w:sz="4" w:space="0" w:color="000000"/>
              <w:right w:val="single" w:sz="4" w:space="0" w:color="000000"/>
            </w:tcBorders>
            <w:noWrap/>
            <w:vAlign w:val="center"/>
            <w:hideMark/>
          </w:tcPr>
          <w:p w14:paraId="0002DC0D"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374.37</w:t>
            </w:r>
          </w:p>
        </w:tc>
        <w:tc>
          <w:tcPr>
            <w:tcW w:w="454" w:type="pct"/>
            <w:tcBorders>
              <w:top w:val="nil"/>
              <w:left w:val="nil"/>
              <w:bottom w:val="single" w:sz="4" w:space="0" w:color="000000"/>
              <w:right w:val="single" w:sz="4" w:space="0" w:color="000000"/>
            </w:tcBorders>
            <w:noWrap/>
            <w:vAlign w:val="center"/>
            <w:hideMark/>
          </w:tcPr>
          <w:p w14:paraId="08C0A1DD"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356.81</w:t>
            </w:r>
          </w:p>
        </w:tc>
        <w:tc>
          <w:tcPr>
            <w:tcW w:w="454" w:type="pct"/>
            <w:tcBorders>
              <w:top w:val="nil"/>
              <w:left w:val="nil"/>
              <w:bottom w:val="single" w:sz="4" w:space="0" w:color="000000"/>
              <w:right w:val="single" w:sz="4" w:space="0" w:color="000000"/>
            </w:tcBorders>
            <w:noWrap/>
            <w:vAlign w:val="center"/>
            <w:hideMark/>
          </w:tcPr>
          <w:p w14:paraId="610E452B"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233.02</w:t>
            </w:r>
          </w:p>
        </w:tc>
        <w:tc>
          <w:tcPr>
            <w:tcW w:w="458" w:type="pct"/>
            <w:tcBorders>
              <w:top w:val="nil"/>
              <w:left w:val="nil"/>
              <w:bottom w:val="single" w:sz="4" w:space="0" w:color="000000"/>
              <w:right w:val="single" w:sz="4" w:space="0" w:color="000000"/>
            </w:tcBorders>
            <w:noWrap/>
            <w:vAlign w:val="center"/>
            <w:hideMark/>
          </w:tcPr>
          <w:p w14:paraId="7B807EE5"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187.21</w:t>
            </w:r>
          </w:p>
        </w:tc>
      </w:tr>
      <w:tr w:rsidR="0038127D" w:rsidRPr="00CA20B5" w14:paraId="55E02796" w14:textId="77777777" w:rsidTr="00BD668A">
        <w:trPr>
          <w:trHeight w:val="345"/>
        </w:trPr>
        <w:tc>
          <w:tcPr>
            <w:tcW w:w="454" w:type="pct"/>
            <w:tcBorders>
              <w:top w:val="nil"/>
              <w:left w:val="single" w:sz="4" w:space="0" w:color="000000"/>
              <w:bottom w:val="single" w:sz="4" w:space="0" w:color="000000"/>
              <w:right w:val="single" w:sz="4" w:space="0" w:color="000000"/>
            </w:tcBorders>
            <w:noWrap/>
            <w:vAlign w:val="center"/>
            <w:hideMark/>
          </w:tcPr>
          <w:p w14:paraId="5915C59C"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PHEVs</w:t>
            </w:r>
          </w:p>
        </w:tc>
        <w:tc>
          <w:tcPr>
            <w:tcW w:w="454" w:type="pct"/>
            <w:tcBorders>
              <w:top w:val="nil"/>
              <w:left w:val="nil"/>
              <w:bottom w:val="single" w:sz="4" w:space="0" w:color="000000"/>
              <w:right w:val="single" w:sz="4" w:space="0" w:color="000000"/>
            </w:tcBorders>
            <w:noWrap/>
            <w:vAlign w:val="center"/>
            <w:hideMark/>
          </w:tcPr>
          <w:p w14:paraId="334ACBBD"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138.42</w:t>
            </w:r>
          </w:p>
        </w:tc>
        <w:tc>
          <w:tcPr>
            <w:tcW w:w="454" w:type="pct"/>
            <w:tcBorders>
              <w:top w:val="nil"/>
              <w:left w:val="nil"/>
              <w:bottom w:val="single" w:sz="4" w:space="0" w:color="000000"/>
              <w:right w:val="single" w:sz="4" w:space="0" w:color="000000"/>
            </w:tcBorders>
            <w:noWrap/>
            <w:vAlign w:val="center"/>
            <w:hideMark/>
          </w:tcPr>
          <w:p w14:paraId="5776D1DF"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92.36</w:t>
            </w:r>
          </w:p>
        </w:tc>
        <w:tc>
          <w:tcPr>
            <w:tcW w:w="454" w:type="pct"/>
            <w:tcBorders>
              <w:top w:val="nil"/>
              <w:left w:val="nil"/>
              <w:bottom w:val="single" w:sz="4" w:space="0" w:color="000000"/>
              <w:right w:val="single" w:sz="4" w:space="0" w:color="000000"/>
            </w:tcBorders>
            <w:noWrap/>
            <w:vAlign w:val="center"/>
            <w:hideMark/>
          </w:tcPr>
          <w:p w14:paraId="045E4B68"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101.04</w:t>
            </w:r>
          </w:p>
        </w:tc>
        <w:tc>
          <w:tcPr>
            <w:tcW w:w="454" w:type="pct"/>
            <w:tcBorders>
              <w:top w:val="nil"/>
              <w:left w:val="nil"/>
              <w:bottom w:val="single" w:sz="4" w:space="0" w:color="000000"/>
              <w:right w:val="single" w:sz="4" w:space="0" w:color="000000"/>
            </w:tcBorders>
            <w:noWrap/>
            <w:vAlign w:val="center"/>
            <w:hideMark/>
          </w:tcPr>
          <w:p w14:paraId="307F7DC5"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99.45</w:t>
            </w:r>
          </w:p>
        </w:tc>
        <w:tc>
          <w:tcPr>
            <w:tcW w:w="456" w:type="pct"/>
            <w:tcBorders>
              <w:top w:val="nil"/>
              <w:left w:val="nil"/>
              <w:bottom w:val="single" w:sz="4" w:space="0" w:color="000000"/>
              <w:right w:val="single" w:sz="4" w:space="0" w:color="000000"/>
            </w:tcBorders>
            <w:noWrap/>
            <w:vAlign w:val="center"/>
            <w:hideMark/>
          </w:tcPr>
          <w:p w14:paraId="2608AFC2"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93.55</w:t>
            </w:r>
          </w:p>
        </w:tc>
        <w:tc>
          <w:tcPr>
            <w:tcW w:w="454" w:type="pct"/>
            <w:tcBorders>
              <w:top w:val="nil"/>
              <w:left w:val="nil"/>
              <w:bottom w:val="single" w:sz="4" w:space="0" w:color="000000"/>
              <w:right w:val="single" w:sz="4" w:space="0" w:color="000000"/>
            </w:tcBorders>
            <w:noWrap/>
            <w:vAlign w:val="center"/>
            <w:hideMark/>
          </w:tcPr>
          <w:p w14:paraId="364B5A01"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88.88</w:t>
            </w:r>
          </w:p>
        </w:tc>
        <w:tc>
          <w:tcPr>
            <w:tcW w:w="454" w:type="pct"/>
            <w:tcBorders>
              <w:top w:val="nil"/>
              <w:left w:val="nil"/>
              <w:bottom w:val="single" w:sz="4" w:space="0" w:color="000000"/>
              <w:right w:val="single" w:sz="4" w:space="0" w:color="000000"/>
            </w:tcBorders>
            <w:noWrap/>
            <w:vAlign w:val="center"/>
            <w:hideMark/>
          </w:tcPr>
          <w:p w14:paraId="03C89882"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86.75</w:t>
            </w:r>
          </w:p>
        </w:tc>
        <w:tc>
          <w:tcPr>
            <w:tcW w:w="454" w:type="pct"/>
            <w:tcBorders>
              <w:top w:val="nil"/>
              <w:left w:val="nil"/>
              <w:bottom w:val="single" w:sz="4" w:space="0" w:color="000000"/>
              <w:right w:val="single" w:sz="4" w:space="0" w:color="000000"/>
            </w:tcBorders>
            <w:noWrap/>
            <w:vAlign w:val="center"/>
            <w:hideMark/>
          </w:tcPr>
          <w:p w14:paraId="418F52EC"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83.95</w:t>
            </w:r>
          </w:p>
        </w:tc>
        <w:tc>
          <w:tcPr>
            <w:tcW w:w="454" w:type="pct"/>
            <w:tcBorders>
              <w:top w:val="nil"/>
              <w:left w:val="nil"/>
              <w:bottom w:val="single" w:sz="4" w:space="0" w:color="000000"/>
              <w:right w:val="single" w:sz="4" w:space="0" w:color="000000"/>
            </w:tcBorders>
            <w:noWrap/>
            <w:vAlign w:val="center"/>
            <w:hideMark/>
          </w:tcPr>
          <w:p w14:paraId="326CFB35"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47.30</w:t>
            </w:r>
          </w:p>
        </w:tc>
        <w:tc>
          <w:tcPr>
            <w:tcW w:w="458" w:type="pct"/>
            <w:tcBorders>
              <w:top w:val="nil"/>
              <w:left w:val="nil"/>
              <w:bottom w:val="single" w:sz="4" w:space="0" w:color="000000"/>
              <w:right w:val="single" w:sz="4" w:space="0" w:color="000000"/>
            </w:tcBorders>
            <w:noWrap/>
            <w:vAlign w:val="center"/>
            <w:hideMark/>
          </w:tcPr>
          <w:p w14:paraId="19EDE112"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38.64</w:t>
            </w:r>
          </w:p>
        </w:tc>
      </w:tr>
      <w:tr w:rsidR="00BD668A" w:rsidRPr="00CA20B5" w14:paraId="1A71A010" w14:textId="77777777" w:rsidTr="00BD668A">
        <w:trPr>
          <w:trHeight w:val="345"/>
        </w:trPr>
        <w:tc>
          <w:tcPr>
            <w:tcW w:w="5000" w:type="pct"/>
            <w:gridSpan w:val="11"/>
            <w:tcBorders>
              <w:top w:val="nil"/>
              <w:left w:val="nil"/>
              <w:bottom w:val="nil"/>
              <w:right w:val="nil"/>
            </w:tcBorders>
            <w:noWrap/>
            <w:vAlign w:val="center"/>
            <w:hideMark/>
          </w:tcPr>
          <w:p w14:paraId="1ADC8F49" w14:textId="6D380135" w:rsidR="00BD668A" w:rsidRPr="00CA20B5" w:rsidRDefault="00BD668A" w:rsidP="00BD668A">
            <w:pPr>
              <w:jc w:val="center"/>
              <w:rPr>
                <w:rFonts w:ascii="Times New Roman" w:eastAsia="Times New Roman" w:hAnsi="Times New Roman" w:cs="Times New Roman"/>
                <w:sz w:val="14"/>
                <w:szCs w:val="14"/>
              </w:rPr>
            </w:pPr>
            <w:r w:rsidRPr="00CA20B5">
              <w:rPr>
                <w:rFonts w:ascii="Times New Roman" w:hAnsi="Times New Roman" w:cs="Times New Roman"/>
                <w:b/>
                <w:bCs/>
                <w:color w:val="000000"/>
                <w:sz w:val="14"/>
                <w:szCs w:val="14"/>
              </w:rPr>
              <w:t>BEVs</w:t>
            </w:r>
          </w:p>
        </w:tc>
      </w:tr>
      <w:tr w:rsidR="0038127D" w:rsidRPr="00CA20B5" w14:paraId="2E1D3D3C" w14:textId="77777777" w:rsidTr="00BD668A">
        <w:trPr>
          <w:trHeight w:val="345"/>
        </w:trPr>
        <w:tc>
          <w:tcPr>
            <w:tcW w:w="454" w:type="pct"/>
            <w:tcBorders>
              <w:top w:val="single" w:sz="4" w:space="0" w:color="000000"/>
              <w:left w:val="single" w:sz="4" w:space="0" w:color="000000"/>
              <w:bottom w:val="single" w:sz="4" w:space="0" w:color="000000"/>
              <w:right w:val="single" w:sz="4" w:space="0" w:color="000000"/>
            </w:tcBorders>
            <w:noWrap/>
            <w:vAlign w:val="center"/>
            <w:hideMark/>
          </w:tcPr>
          <w:p w14:paraId="141656AA"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Li</w:t>
            </w:r>
          </w:p>
        </w:tc>
        <w:tc>
          <w:tcPr>
            <w:tcW w:w="454" w:type="pct"/>
            <w:tcBorders>
              <w:top w:val="single" w:sz="4" w:space="0" w:color="000000"/>
              <w:left w:val="nil"/>
              <w:bottom w:val="single" w:sz="4" w:space="0" w:color="000000"/>
              <w:right w:val="single" w:sz="4" w:space="0" w:color="000000"/>
            </w:tcBorders>
            <w:noWrap/>
            <w:vAlign w:val="center"/>
            <w:hideMark/>
          </w:tcPr>
          <w:p w14:paraId="38076ADC"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7.14</w:t>
            </w:r>
          </w:p>
        </w:tc>
        <w:tc>
          <w:tcPr>
            <w:tcW w:w="454" w:type="pct"/>
            <w:tcBorders>
              <w:top w:val="single" w:sz="4" w:space="0" w:color="000000"/>
              <w:left w:val="nil"/>
              <w:bottom w:val="single" w:sz="4" w:space="0" w:color="000000"/>
              <w:right w:val="single" w:sz="4" w:space="0" w:color="000000"/>
            </w:tcBorders>
            <w:noWrap/>
            <w:vAlign w:val="center"/>
            <w:hideMark/>
          </w:tcPr>
          <w:p w14:paraId="0F9B4F1E"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7.38</w:t>
            </w:r>
          </w:p>
        </w:tc>
        <w:tc>
          <w:tcPr>
            <w:tcW w:w="454" w:type="pct"/>
            <w:tcBorders>
              <w:top w:val="single" w:sz="4" w:space="0" w:color="000000"/>
              <w:left w:val="nil"/>
              <w:bottom w:val="single" w:sz="4" w:space="0" w:color="000000"/>
              <w:right w:val="single" w:sz="4" w:space="0" w:color="000000"/>
            </w:tcBorders>
            <w:noWrap/>
            <w:vAlign w:val="center"/>
            <w:hideMark/>
          </w:tcPr>
          <w:p w14:paraId="5436F987"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10.16</w:t>
            </w:r>
          </w:p>
        </w:tc>
        <w:tc>
          <w:tcPr>
            <w:tcW w:w="454" w:type="pct"/>
            <w:tcBorders>
              <w:top w:val="single" w:sz="4" w:space="0" w:color="000000"/>
              <w:left w:val="nil"/>
              <w:bottom w:val="single" w:sz="4" w:space="0" w:color="000000"/>
              <w:right w:val="single" w:sz="4" w:space="0" w:color="000000"/>
            </w:tcBorders>
            <w:noWrap/>
            <w:vAlign w:val="center"/>
            <w:hideMark/>
          </w:tcPr>
          <w:p w14:paraId="5C0FA2C2"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9.86</w:t>
            </w:r>
          </w:p>
        </w:tc>
        <w:tc>
          <w:tcPr>
            <w:tcW w:w="456" w:type="pct"/>
            <w:tcBorders>
              <w:top w:val="single" w:sz="4" w:space="0" w:color="000000"/>
              <w:left w:val="nil"/>
              <w:bottom w:val="single" w:sz="4" w:space="0" w:color="000000"/>
              <w:right w:val="single" w:sz="4" w:space="0" w:color="000000"/>
            </w:tcBorders>
            <w:noWrap/>
            <w:vAlign w:val="center"/>
            <w:hideMark/>
          </w:tcPr>
          <w:p w14:paraId="5EE3C9D6"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8.56</w:t>
            </w:r>
          </w:p>
        </w:tc>
        <w:tc>
          <w:tcPr>
            <w:tcW w:w="454" w:type="pct"/>
            <w:tcBorders>
              <w:top w:val="single" w:sz="4" w:space="0" w:color="000000"/>
              <w:left w:val="nil"/>
              <w:bottom w:val="single" w:sz="4" w:space="0" w:color="000000"/>
              <w:right w:val="single" w:sz="4" w:space="0" w:color="000000"/>
            </w:tcBorders>
            <w:noWrap/>
            <w:vAlign w:val="center"/>
            <w:hideMark/>
          </w:tcPr>
          <w:p w14:paraId="63C2FD04"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8.69</w:t>
            </w:r>
          </w:p>
        </w:tc>
        <w:tc>
          <w:tcPr>
            <w:tcW w:w="454" w:type="pct"/>
            <w:tcBorders>
              <w:top w:val="single" w:sz="4" w:space="0" w:color="000000"/>
              <w:left w:val="nil"/>
              <w:bottom w:val="single" w:sz="4" w:space="0" w:color="000000"/>
              <w:right w:val="single" w:sz="4" w:space="0" w:color="000000"/>
            </w:tcBorders>
            <w:noWrap/>
            <w:vAlign w:val="center"/>
            <w:hideMark/>
          </w:tcPr>
          <w:p w14:paraId="4A718055"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8.08</w:t>
            </w:r>
          </w:p>
        </w:tc>
        <w:tc>
          <w:tcPr>
            <w:tcW w:w="454" w:type="pct"/>
            <w:tcBorders>
              <w:top w:val="single" w:sz="4" w:space="0" w:color="000000"/>
              <w:left w:val="nil"/>
              <w:bottom w:val="single" w:sz="4" w:space="0" w:color="000000"/>
              <w:right w:val="single" w:sz="4" w:space="0" w:color="000000"/>
            </w:tcBorders>
            <w:noWrap/>
            <w:vAlign w:val="center"/>
            <w:hideMark/>
          </w:tcPr>
          <w:p w14:paraId="7F551CB5"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7.24</w:t>
            </w:r>
          </w:p>
        </w:tc>
        <w:tc>
          <w:tcPr>
            <w:tcW w:w="454" w:type="pct"/>
            <w:tcBorders>
              <w:top w:val="single" w:sz="4" w:space="0" w:color="000000"/>
              <w:left w:val="nil"/>
              <w:bottom w:val="single" w:sz="4" w:space="0" w:color="000000"/>
              <w:right w:val="single" w:sz="4" w:space="0" w:color="000000"/>
            </w:tcBorders>
            <w:noWrap/>
            <w:vAlign w:val="center"/>
            <w:hideMark/>
          </w:tcPr>
          <w:p w14:paraId="7F3B582A"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0.63</w:t>
            </w:r>
          </w:p>
        </w:tc>
        <w:tc>
          <w:tcPr>
            <w:tcW w:w="458" w:type="pct"/>
            <w:tcBorders>
              <w:top w:val="single" w:sz="4" w:space="0" w:color="000000"/>
              <w:left w:val="nil"/>
              <w:bottom w:val="single" w:sz="4" w:space="0" w:color="000000"/>
              <w:right w:val="single" w:sz="4" w:space="0" w:color="000000"/>
            </w:tcBorders>
            <w:noWrap/>
            <w:vAlign w:val="center"/>
            <w:hideMark/>
          </w:tcPr>
          <w:p w14:paraId="22B252BF"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0.51</w:t>
            </w:r>
          </w:p>
        </w:tc>
      </w:tr>
      <w:tr w:rsidR="0038127D" w:rsidRPr="00CA20B5" w14:paraId="426A0E57" w14:textId="77777777" w:rsidTr="00BD668A">
        <w:trPr>
          <w:trHeight w:val="345"/>
        </w:trPr>
        <w:tc>
          <w:tcPr>
            <w:tcW w:w="454" w:type="pct"/>
            <w:tcBorders>
              <w:top w:val="nil"/>
              <w:left w:val="single" w:sz="4" w:space="0" w:color="000000"/>
              <w:bottom w:val="single" w:sz="4" w:space="0" w:color="000000"/>
              <w:right w:val="single" w:sz="4" w:space="0" w:color="000000"/>
            </w:tcBorders>
            <w:noWrap/>
            <w:vAlign w:val="center"/>
            <w:hideMark/>
          </w:tcPr>
          <w:p w14:paraId="32C2E417"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Ni</w:t>
            </w:r>
          </w:p>
        </w:tc>
        <w:tc>
          <w:tcPr>
            <w:tcW w:w="454" w:type="pct"/>
            <w:tcBorders>
              <w:top w:val="nil"/>
              <w:left w:val="nil"/>
              <w:bottom w:val="single" w:sz="4" w:space="0" w:color="000000"/>
              <w:right w:val="single" w:sz="4" w:space="0" w:color="000000"/>
            </w:tcBorders>
            <w:noWrap/>
            <w:vAlign w:val="center"/>
            <w:hideMark/>
          </w:tcPr>
          <w:p w14:paraId="79B51028"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4" w:type="pct"/>
            <w:tcBorders>
              <w:top w:val="nil"/>
              <w:left w:val="nil"/>
              <w:bottom w:val="single" w:sz="4" w:space="0" w:color="000000"/>
              <w:right w:val="single" w:sz="4" w:space="0" w:color="000000"/>
            </w:tcBorders>
            <w:noWrap/>
            <w:vAlign w:val="center"/>
            <w:hideMark/>
          </w:tcPr>
          <w:p w14:paraId="3239CB83"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47.72</w:t>
            </w:r>
          </w:p>
        </w:tc>
        <w:tc>
          <w:tcPr>
            <w:tcW w:w="454" w:type="pct"/>
            <w:tcBorders>
              <w:top w:val="nil"/>
              <w:left w:val="nil"/>
              <w:bottom w:val="single" w:sz="4" w:space="0" w:color="000000"/>
              <w:right w:val="single" w:sz="4" w:space="0" w:color="000000"/>
            </w:tcBorders>
            <w:noWrap/>
            <w:vAlign w:val="center"/>
            <w:hideMark/>
          </w:tcPr>
          <w:p w14:paraId="6E413987"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24.99</w:t>
            </w:r>
          </w:p>
        </w:tc>
        <w:tc>
          <w:tcPr>
            <w:tcW w:w="454" w:type="pct"/>
            <w:tcBorders>
              <w:top w:val="nil"/>
              <w:left w:val="nil"/>
              <w:bottom w:val="single" w:sz="4" w:space="0" w:color="000000"/>
              <w:right w:val="single" w:sz="4" w:space="0" w:color="000000"/>
            </w:tcBorders>
            <w:noWrap/>
            <w:vAlign w:val="center"/>
            <w:hideMark/>
          </w:tcPr>
          <w:p w14:paraId="5748E12F"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36.35</w:t>
            </w:r>
          </w:p>
        </w:tc>
        <w:tc>
          <w:tcPr>
            <w:tcW w:w="456" w:type="pct"/>
            <w:tcBorders>
              <w:top w:val="nil"/>
              <w:left w:val="nil"/>
              <w:bottom w:val="single" w:sz="4" w:space="0" w:color="000000"/>
              <w:right w:val="single" w:sz="4" w:space="0" w:color="000000"/>
            </w:tcBorders>
            <w:noWrap/>
            <w:vAlign w:val="center"/>
            <w:hideMark/>
          </w:tcPr>
          <w:p w14:paraId="21F3ACB4"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37.74</w:t>
            </w:r>
          </w:p>
        </w:tc>
        <w:tc>
          <w:tcPr>
            <w:tcW w:w="454" w:type="pct"/>
            <w:tcBorders>
              <w:top w:val="nil"/>
              <w:left w:val="nil"/>
              <w:bottom w:val="single" w:sz="4" w:space="0" w:color="000000"/>
              <w:right w:val="single" w:sz="4" w:space="0" w:color="000000"/>
            </w:tcBorders>
            <w:noWrap/>
            <w:vAlign w:val="center"/>
            <w:hideMark/>
          </w:tcPr>
          <w:p w14:paraId="1C354D0F"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38.52</w:t>
            </w:r>
          </w:p>
        </w:tc>
        <w:tc>
          <w:tcPr>
            <w:tcW w:w="454" w:type="pct"/>
            <w:tcBorders>
              <w:top w:val="nil"/>
              <w:left w:val="nil"/>
              <w:bottom w:val="single" w:sz="4" w:space="0" w:color="000000"/>
              <w:right w:val="single" w:sz="4" w:space="0" w:color="000000"/>
            </w:tcBorders>
            <w:noWrap/>
            <w:vAlign w:val="center"/>
            <w:hideMark/>
          </w:tcPr>
          <w:p w14:paraId="43D9FFDB"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47.72</w:t>
            </w:r>
          </w:p>
        </w:tc>
        <w:tc>
          <w:tcPr>
            <w:tcW w:w="454" w:type="pct"/>
            <w:tcBorders>
              <w:top w:val="nil"/>
              <w:left w:val="nil"/>
              <w:bottom w:val="single" w:sz="4" w:space="0" w:color="000000"/>
              <w:right w:val="single" w:sz="4" w:space="0" w:color="000000"/>
            </w:tcBorders>
            <w:noWrap/>
            <w:vAlign w:val="center"/>
            <w:hideMark/>
          </w:tcPr>
          <w:p w14:paraId="1D39525F"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47.99</w:t>
            </w:r>
          </w:p>
        </w:tc>
        <w:tc>
          <w:tcPr>
            <w:tcW w:w="454" w:type="pct"/>
            <w:tcBorders>
              <w:top w:val="nil"/>
              <w:left w:val="nil"/>
              <w:bottom w:val="single" w:sz="4" w:space="0" w:color="000000"/>
              <w:right w:val="single" w:sz="4" w:space="0" w:color="000000"/>
            </w:tcBorders>
            <w:noWrap/>
            <w:vAlign w:val="center"/>
            <w:hideMark/>
          </w:tcPr>
          <w:p w14:paraId="3B19C9DF"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8" w:type="pct"/>
            <w:tcBorders>
              <w:top w:val="nil"/>
              <w:left w:val="nil"/>
              <w:bottom w:val="single" w:sz="4" w:space="0" w:color="000000"/>
              <w:right w:val="single" w:sz="4" w:space="0" w:color="000000"/>
            </w:tcBorders>
            <w:noWrap/>
            <w:vAlign w:val="center"/>
            <w:hideMark/>
          </w:tcPr>
          <w:p w14:paraId="6762552A"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r>
      <w:tr w:rsidR="0038127D" w:rsidRPr="00CA20B5" w14:paraId="5E52B2D3" w14:textId="77777777" w:rsidTr="00BD668A">
        <w:trPr>
          <w:trHeight w:val="345"/>
        </w:trPr>
        <w:tc>
          <w:tcPr>
            <w:tcW w:w="454" w:type="pct"/>
            <w:tcBorders>
              <w:top w:val="nil"/>
              <w:left w:val="single" w:sz="4" w:space="0" w:color="000000"/>
              <w:bottom w:val="single" w:sz="4" w:space="0" w:color="000000"/>
              <w:right w:val="single" w:sz="4" w:space="0" w:color="000000"/>
            </w:tcBorders>
            <w:noWrap/>
            <w:vAlign w:val="center"/>
            <w:hideMark/>
          </w:tcPr>
          <w:p w14:paraId="79B4F086"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Co</w:t>
            </w:r>
          </w:p>
        </w:tc>
        <w:tc>
          <w:tcPr>
            <w:tcW w:w="454" w:type="pct"/>
            <w:tcBorders>
              <w:top w:val="nil"/>
              <w:left w:val="nil"/>
              <w:bottom w:val="single" w:sz="4" w:space="0" w:color="000000"/>
              <w:right w:val="single" w:sz="4" w:space="0" w:color="000000"/>
            </w:tcBorders>
            <w:noWrap/>
            <w:vAlign w:val="center"/>
            <w:hideMark/>
          </w:tcPr>
          <w:p w14:paraId="2D7C4B7A"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4" w:type="pct"/>
            <w:tcBorders>
              <w:top w:val="nil"/>
              <w:left w:val="nil"/>
              <w:bottom w:val="single" w:sz="4" w:space="0" w:color="000000"/>
              <w:right w:val="single" w:sz="4" w:space="0" w:color="000000"/>
            </w:tcBorders>
            <w:noWrap/>
            <w:vAlign w:val="center"/>
            <w:hideMark/>
          </w:tcPr>
          <w:p w14:paraId="14685878"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8.98</w:t>
            </w:r>
          </w:p>
        </w:tc>
        <w:tc>
          <w:tcPr>
            <w:tcW w:w="454" w:type="pct"/>
            <w:tcBorders>
              <w:top w:val="nil"/>
              <w:left w:val="nil"/>
              <w:bottom w:val="single" w:sz="4" w:space="0" w:color="000000"/>
              <w:right w:val="single" w:sz="4" w:space="0" w:color="000000"/>
            </w:tcBorders>
            <w:noWrap/>
            <w:vAlign w:val="center"/>
            <w:hideMark/>
          </w:tcPr>
          <w:p w14:paraId="0216C293"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25.09</w:t>
            </w:r>
          </w:p>
        </w:tc>
        <w:tc>
          <w:tcPr>
            <w:tcW w:w="454" w:type="pct"/>
            <w:tcBorders>
              <w:top w:val="nil"/>
              <w:left w:val="nil"/>
              <w:bottom w:val="single" w:sz="4" w:space="0" w:color="000000"/>
              <w:right w:val="single" w:sz="4" w:space="0" w:color="000000"/>
            </w:tcBorders>
            <w:noWrap/>
            <w:vAlign w:val="center"/>
            <w:hideMark/>
          </w:tcPr>
          <w:p w14:paraId="3E331FC0"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14.60</w:t>
            </w:r>
          </w:p>
        </w:tc>
        <w:tc>
          <w:tcPr>
            <w:tcW w:w="456" w:type="pct"/>
            <w:tcBorders>
              <w:top w:val="nil"/>
              <w:left w:val="nil"/>
              <w:bottom w:val="single" w:sz="4" w:space="0" w:color="000000"/>
              <w:right w:val="single" w:sz="4" w:space="0" w:color="000000"/>
            </w:tcBorders>
            <w:noWrap/>
            <w:vAlign w:val="center"/>
            <w:hideMark/>
          </w:tcPr>
          <w:p w14:paraId="4A55D1E2"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12.63</w:t>
            </w:r>
          </w:p>
        </w:tc>
        <w:tc>
          <w:tcPr>
            <w:tcW w:w="454" w:type="pct"/>
            <w:tcBorders>
              <w:top w:val="nil"/>
              <w:left w:val="nil"/>
              <w:bottom w:val="single" w:sz="4" w:space="0" w:color="000000"/>
              <w:right w:val="single" w:sz="4" w:space="0" w:color="000000"/>
            </w:tcBorders>
            <w:noWrap/>
            <w:vAlign w:val="center"/>
            <w:hideMark/>
          </w:tcPr>
          <w:p w14:paraId="5961A05E"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12.89</w:t>
            </w:r>
          </w:p>
        </w:tc>
        <w:tc>
          <w:tcPr>
            <w:tcW w:w="454" w:type="pct"/>
            <w:tcBorders>
              <w:top w:val="nil"/>
              <w:left w:val="nil"/>
              <w:bottom w:val="single" w:sz="4" w:space="0" w:color="000000"/>
              <w:right w:val="single" w:sz="4" w:space="0" w:color="000000"/>
            </w:tcBorders>
            <w:noWrap/>
            <w:vAlign w:val="center"/>
            <w:hideMark/>
          </w:tcPr>
          <w:p w14:paraId="11522B1D"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5.99</w:t>
            </w:r>
          </w:p>
        </w:tc>
        <w:tc>
          <w:tcPr>
            <w:tcW w:w="454" w:type="pct"/>
            <w:tcBorders>
              <w:top w:val="nil"/>
              <w:left w:val="nil"/>
              <w:bottom w:val="single" w:sz="4" w:space="0" w:color="000000"/>
              <w:right w:val="single" w:sz="4" w:space="0" w:color="000000"/>
            </w:tcBorders>
            <w:noWrap/>
            <w:vAlign w:val="center"/>
            <w:hideMark/>
          </w:tcPr>
          <w:p w14:paraId="184CBFC5"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2.82</w:t>
            </w:r>
          </w:p>
        </w:tc>
        <w:tc>
          <w:tcPr>
            <w:tcW w:w="454" w:type="pct"/>
            <w:tcBorders>
              <w:top w:val="nil"/>
              <w:left w:val="nil"/>
              <w:bottom w:val="single" w:sz="4" w:space="0" w:color="000000"/>
              <w:right w:val="single" w:sz="4" w:space="0" w:color="000000"/>
            </w:tcBorders>
            <w:noWrap/>
            <w:vAlign w:val="center"/>
            <w:hideMark/>
          </w:tcPr>
          <w:p w14:paraId="53659FF0"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8" w:type="pct"/>
            <w:tcBorders>
              <w:top w:val="nil"/>
              <w:left w:val="nil"/>
              <w:bottom w:val="single" w:sz="4" w:space="0" w:color="000000"/>
              <w:right w:val="single" w:sz="4" w:space="0" w:color="000000"/>
            </w:tcBorders>
            <w:noWrap/>
            <w:vAlign w:val="center"/>
            <w:hideMark/>
          </w:tcPr>
          <w:p w14:paraId="7CB59CF1"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r>
      <w:tr w:rsidR="0038127D" w:rsidRPr="00CA20B5" w14:paraId="152D5AFE" w14:textId="77777777" w:rsidTr="00BD668A">
        <w:trPr>
          <w:trHeight w:val="345"/>
        </w:trPr>
        <w:tc>
          <w:tcPr>
            <w:tcW w:w="454" w:type="pct"/>
            <w:tcBorders>
              <w:top w:val="nil"/>
              <w:left w:val="single" w:sz="4" w:space="0" w:color="000000"/>
              <w:bottom w:val="single" w:sz="4" w:space="0" w:color="000000"/>
              <w:right w:val="single" w:sz="4" w:space="0" w:color="000000"/>
            </w:tcBorders>
            <w:noWrap/>
            <w:vAlign w:val="center"/>
            <w:hideMark/>
          </w:tcPr>
          <w:p w14:paraId="25A32A70"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Mn</w:t>
            </w:r>
          </w:p>
        </w:tc>
        <w:tc>
          <w:tcPr>
            <w:tcW w:w="454" w:type="pct"/>
            <w:tcBorders>
              <w:top w:val="nil"/>
              <w:left w:val="nil"/>
              <w:bottom w:val="single" w:sz="4" w:space="0" w:color="000000"/>
              <w:right w:val="single" w:sz="4" w:space="0" w:color="000000"/>
            </w:tcBorders>
            <w:noWrap/>
            <w:vAlign w:val="center"/>
            <w:hideMark/>
          </w:tcPr>
          <w:p w14:paraId="7F9FBFBC"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4" w:type="pct"/>
            <w:tcBorders>
              <w:top w:val="nil"/>
              <w:left w:val="nil"/>
              <w:bottom w:val="single" w:sz="4" w:space="0" w:color="000000"/>
              <w:right w:val="single" w:sz="4" w:space="0" w:color="000000"/>
            </w:tcBorders>
            <w:noWrap/>
            <w:vAlign w:val="center"/>
            <w:hideMark/>
          </w:tcPr>
          <w:p w14:paraId="2E8B8037"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4" w:type="pct"/>
            <w:tcBorders>
              <w:top w:val="nil"/>
              <w:left w:val="nil"/>
              <w:bottom w:val="single" w:sz="4" w:space="0" w:color="000000"/>
              <w:right w:val="single" w:sz="4" w:space="0" w:color="000000"/>
            </w:tcBorders>
            <w:noWrap/>
            <w:vAlign w:val="center"/>
            <w:hideMark/>
          </w:tcPr>
          <w:p w14:paraId="38C28DA1"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23.39</w:t>
            </w:r>
          </w:p>
        </w:tc>
        <w:tc>
          <w:tcPr>
            <w:tcW w:w="454" w:type="pct"/>
            <w:tcBorders>
              <w:top w:val="nil"/>
              <w:left w:val="nil"/>
              <w:bottom w:val="single" w:sz="4" w:space="0" w:color="000000"/>
              <w:right w:val="single" w:sz="4" w:space="0" w:color="000000"/>
            </w:tcBorders>
            <w:noWrap/>
            <w:vAlign w:val="center"/>
            <w:hideMark/>
          </w:tcPr>
          <w:p w14:paraId="1AC0368D"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20.41</w:t>
            </w:r>
          </w:p>
        </w:tc>
        <w:tc>
          <w:tcPr>
            <w:tcW w:w="456" w:type="pct"/>
            <w:tcBorders>
              <w:top w:val="nil"/>
              <w:left w:val="nil"/>
              <w:bottom w:val="single" w:sz="4" w:space="0" w:color="000000"/>
              <w:right w:val="single" w:sz="4" w:space="0" w:color="000000"/>
            </w:tcBorders>
            <w:noWrap/>
            <w:vAlign w:val="center"/>
            <w:hideMark/>
          </w:tcPr>
          <w:p w14:paraId="5AF989A0"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11.77</w:t>
            </w:r>
          </w:p>
        </w:tc>
        <w:tc>
          <w:tcPr>
            <w:tcW w:w="454" w:type="pct"/>
            <w:tcBorders>
              <w:top w:val="nil"/>
              <w:left w:val="nil"/>
              <w:bottom w:val="single" w:sz="4" w:space="0" w:color="000000"/>
              <w:right w:val="single" w:sz="4" w:space="0" w:color="000000"/>
            </w:tcBorders>
            <w:noWrap/>
            <w:vAlign w:val="center"/>
            <w:hideMark/>
          </w:tcPr>
          <w:p w14:paraId="3221A720"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12.02</w:t>
            </w:r>
          </w:p>
        </w:tc>
        <w:tc>
          <w:tcPr>
            <w:tcW w:w="454" w:type="pct"/>
            <w:tcBorders>
              <w:top w:val="nil"/>
              <w:left w:val="nil"/>
              <w:bottom w:val="single" w:sz="4" w:space="0" w:color="000000"/>
              <w:right w:val="single" w:sz="4" w:space="0" w:color="000000"/>
            </w:tcBorders>
            <w:noWrap/>
            <w:vAlign w:val="center"/>
            <w:hideMark/>
          </w:tcPr>
          <w:p w14:paraId="501554F6"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5.58</w:t>
            </w:r>
          </w:p>
        </w:tc>
        <w:tc>
          <w:tcPr>
            <w:tcW w:w="454" w:type="pct"/>
            <w:tcBorders>
              <w:top w:val="nil"/>
              <w:left w:val="nil"/>
              <w:bottom w:val="single" w:sz="4" w:space="0" w:color="000000"/>
              <w:right w:val="single" w:sz="4" w:space="0" w:color="000000"/>
            </w:tcBorders>
            <w:noWrap/>
            <w:vAlign w:val="center"/>
            <w:hideMark/>
          </w:tcPr>
          <w:p w14:paraId="5D692F24"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2.50</w:t>
            </w:r>
          </w:p>
        </w:tc>
        <w:tc>
          <w:tcPr>
            <w:tcW w:w="454" w:type="pct"/>
            <w:tcBorders>
              <w:top w:val="nil"/>
              <w:left w:val="nil"/>
              <w:bottom w:val="single" w:sz="4" w:space="0" w:color="000000"/>
              <w:right w:val="single" w:sz="4" w:space="0" w:color="000000"/>
            </w:tcBorders>
            <w:noWrap/>
            <w:vAlign w:val="center"/>
            <w:hideMark/>
          </w:tcPr>
          <w:p w14:paraId="274266C0"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8" w:type="pct"/>
            <w:tcBorders>
              <w:top w:val="nil"/>
              <w:left w:val="nil"/>
              <w:bottom w:val="single" w:sz="4" w:space="0" w:color="000000"/>
              <w:right w:val="single" w:sz="4" w:space="0" w:color="000000"/>
            </w:tcBorders>
            <w:noWrap/>
            <w:vAlign w:val="center"/>
            <w:hideMark/>
          </w:tcPr>
          <w:p w14:paraId="396C9217"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r>
      <w:tr w:rsidR="00BD668A" w:rsidRPr="00CA20B5" w14:paraId="47452678" w14:textId="77777777" w:rsidTr="00BD668A">
        <w:trPr>
          <w:trHeight w:val="345"/>
        </w:trPr>
        <w:tc>
          <w:tcPr>
            <w:tcW w:w="5000" w:type="pct"/>
            <w:gridSpan w:val="11"/>
            <w:tcBorders>
              <w:top w:val="nil"/>
              <w:left w:val="nil"/>
              <w:bottom w:val="nil"/>
              <w:right w:val="nil"/>
            </w:tcBorders>
            <w:noWrap/>
            <w:vAlign w:val="center"/>
            <w:hideMark/>
          </w:tcPr>
          <w:p w14:paraId="49FB42F9" w14:textId="732CAB82" w:rsidR="00BD668A" w:rsidRPr="00CA20B5" w:rsidRDefault="00BD668A" w:rsidP="00BD668A">
            <w:pPr>
              <w:jc w:val="center"/>
              <w:rPr>
                <w:rFonts w:ascii="Times New Roman" w:eastAsia="Times New Roman" w:hAnsi="Times New Roman" w:cs="Times New Roman"/>
                <w:sz w:val="14"/>
                <w:szCs w:val="14"/>
              </w:rPr>
            </w:pPr>
            <w:r w:rsidRPr="00CA20B5">
              <w:rPr>
                <w:rFonts w:ascii="Times New Roman" w:hAnsi="Times New Roman" w:cs="Times New Roman"/>
                <w:b/>
                <w:bCs/>
                <w:color w:val="000000"/>
                <w:sz w:val="14"/>
                <w:szCs w:val="14"/>
              </w:rPr>
              <w:t>PHEVs</w:t>
            </w:r>
          </w:p>
        </w:tc>
      </w:tr>
      <w:tr w:rsidR="0038127D" w:rsidRPr="00CA20B5" w14:paraId="546BA447" w14:textId="77777777" w:rsidTr="00BD668A">
        <w:trPr>
          <w:trHeight w:val="345"/>
        </w:trPr>
        <w:tc>
          <w:tcPr>
            <w:tcW w:w="454" w:type="pct"/>
            <w:tcBorders>
              <w:top w:val="single" w:sz="4" w:space="0" w:color="000000"/>
              <w:left w:val="single" w:sz="4" w:space="0" w:color="000000"/>
              <w:bottom w:val="single" w:sz="4" w:space="0" w:color="000000"/>
              <w:right w:val="single" w:sz="4" w:space="0" w:color="000000"/>
            </w:tcBorders>
            <w:noWrap/>
            <w:vAlign w:val="center"/>
            <w:hideMark/>
          </w:tcPr>
          <w:p w14:paraId="42E1A588"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Li</w:t>
            </w:r>
          </w:p>
        </w:tc>
        <w:tc>
          <w:tcPr>
            <w:tcW w:w="454" w:type="pct"/>
            <w:tcBorders>
              <w:top w:val="single" w:sz="4" w:space="0" w:color="000000"/>
              <w:left w:val="nil"/>
              <w:bottom w:val="single" w:sz="4" w:space="0" w:color="000000"/>
              <w:right w:val="single" w:sz="4" w:space="0" w:color="000000"/>
            </w:tcBorders>
            <w:noWrap/>
            <w:vAlign w:val="center"/>
            <w:hideMark/>
          </w:tcPr>
          <w:p w14:paraId="6598275F"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1.15</w:t>
            </w:r>
          </w:p>
        </w:tc>
        <w:tc>
          <w:tcPr>
            <w:tcW w:w="454" w:type="pct"/>
            <w:tcBorders>
              <w:top w:val="single" w:sz="4" w:space="0" w:color="000000"/>
              <w:left w:val="nil"/>
              <w:bottom w:val="single" w:sz="4" w:space="0" w:color="000000"/>
              <w:right w:val="single" w:sz="4" w:space="0" w:color="000000"/>
            </w:tcBorders>
            <w:noWrap/>
            <w:vAlign w:val="center"/>
            <w:hideMark/>
          </w:tcPr>
          <w:p w14:paraId="192B66F8"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1.18</w:t>
            </w:r>
          </w:p>
        </w:tc>
        <w:tc>
          <w:tcPr>
            <w:tcW w:w="454" w:type="pct"/>
            <w:tcBorders>
              <w:top w:val="single" w:sz="4" w:space="0" w:color="000000"/>
              <w:left w:val="nil"/>
              <w:bottom w:val="single" w:sz="4" w:space="0" w:color="000000"/>
              <w:right w:val="single" w:sz="4" w:space="0" w:color="000000"/>
            </w:tcBorders>
            <w:noWrap/>
            <w:vAlign w:val="center"/>
            <w:hideMark/>
          </w:tcPr>
          <w:p w14:paraId="3119EA72"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1.62</w:t>
            </w:r>
          </w:p>
        </w:tc>
        <w:tc>
          <w:tcPr>
            <w:tcW w:w="454" w:type="pct"/>
            <w:tcBorders>
              <w:top w:val="single" w:sz="4" w:space="0" w:color="000000"/>
              <w:left w:val="nil"/>
              <w:bottom w:val="single" w:sz="4" w:space="0" w:color="000000"/>
              <w:right w:val="single" w:sz="4" w:space="0" w:color="000000"/>
            </w:tcBorders>
            <w:noWrap/>
            <w:vAlign w:val="center"/>
            <w:hideMark/>
          </w:tcPr>
          <w:p w14:paraId="4A43F3A7"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1.57</w:t>
            </w:r>
          </w:p>
        </w:tc>
        <w:tc>
          <w:tcPr>
            <w:tcW w:w="456" w:type="pct"/>
            <w:tcBorders>
              <w:top w:val="single" w:sz="4" w:space="0" w:color="000000"/>
              <w:left w:val="nil"/>
              <w:bottom w:val="single" w:sz="4" w:space="0" w:color="000000"/>
              <w:right w:val="single" w:sz="4" w:space="0" w:color="000000"/>
            </w:tcBorders>
            <w:noWrap/>
            <w:vAlign w:val="center"/>
            <w:hideMark/>
          </w:tcPr>
          <w:p w14:paraId="2BE71826"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1.36</w:t>
            </w:r>
          </w:p>
        </w:tc>
        <w:tc>
          <w:tcPr>
            <w:tcW w:w="454" w:type="pct"/>
            <w:tcBorders>
              <w:top w:val="single" w:sz="4" w:space="0" w:color="000000"/>
              <w:left w:val="nil"/>
              <w:bottom w:val="single" w:sz="4" w:space="0" w:color="000000"/>
              <w:right w:val="single" w:sz="4" w:space="0" w:color="000000"/>
            </w:tcBorders>
            <w:noWrap/>
            <w:vAlign w:val="center"/>
            <w:hideMark/>
          </w:tcPr>
          <w:p w14:paraId="5B963269"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1.38</w:t>
            </w:r>
          </w:p>
        </w:tc>
        <w:tc>
          <w:tcPr>
            <w:tcW w:w="454" w:type="pct"/>
            <w:tcBorders>
              <w:top w:val="single" w:sz="4" w:space="0" w:color="000000"/>
              <w:left w:val="nil"/>
              <w:bottom w:val="single" w:sz="4" w:space="0" w:color="000000"/>
              <w:right w:val="single" w:sz="4" w:space="0" w:color="000000"/>
            </w:tcBorders>
            <w:noWrap/>
            <w:vAlign w:val="center"/>
            <w:hideMark/>
          </w:tcPr>
          <w:p w14:paraId="2C18C05C"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1.29</w:t>
            </w:r>
          </w:p>
        </w:tc>
        <w:tc>
          <w:tcPr>
            <w:tcW w:w="454" w:type="pct"/>
            <w:tcBorders>
              <w:top w:val="single" w:sz="4" w:space="0" w:color="000000"/>
              <w:left w:val="nil"/>
              <w:bottom w:val="single" w:sz="4" w:space="0" w:color="000000"/>
              <w:right w:val="single" w:sz="4" w:space="0" w:color="000000"/>
            </w:tcBorders>
            <w:noWrap/>
            <w:vAlign w:val="center"/>
            <w:hideMark/>
          </w:tcPr>
          <w:p w14:paraId="4C985792"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1.16</w:t>
            </w:r>
          </w:p>
        </w:tc>
        <w:tc>
          <w:tcPr>
            <w:tcW w:w="454" w:type="pct"/>
            <w:tcBorders>
              <w:top w:val="single" w:sz="4" w:space="0" w:color="000000"/>
              <w:left w:val="nil"/>
              <w:bottom w:val="single" w:sz="4" w:space="0" w:color="000000"/>
              <w:right w:val="single" w:sz="4" w:space="0" w:color="000000"/>
            </w:tcBorders>
            <w:noWrap/>
            <w:vAlign w:val="center"/>
            <w:hideMark/>
          </w:tcPr>
          <w:p w14:paraId="0B646731"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0.10</w:t>
            </w:r>
          </w:p>
        </w:tc>
        <w:tc>
          <w:tcPr>
            <w:tcW w:w="458" w:type="pct"/>
            <w:tcBorders>
              <w:top w:val="single" w:sz="4" w:space="0" w:color="000000"/>
              <w:left w:val="nil"/>
              <w:bottom w:val="single" w:sz="4" w:space="0" w:color="000000"/>
              <w:right w:val="single" w:sz="4" w:space="0" w:color="000000"/>
            </w:tcBorders>
            <w:noWrap/>
            <w:vAlign w:val="center"/>
            <w:hideMark/>
          </w:tcPr>
          <w:p w14:paraId="25D76C8A"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0.08</w:t>
            </w:r>
          </w:p>
        </w:tc>
      </w:tr>
      <w:tr w:rsidR="0038127D" w:rsidRPr="00CA20B5" w14:paraId="0A9595DC" w14:textId="77777777" w:rsidTr="00BD668A">
        <w:trPr>
          <w:trHeight w:val="345"/>
        </w:trPr>
        <w:tc>
          <w:tcPr>
            <w:tcW w:w="454" w:type="pct"/>
            <w:tcBorders>
              <w:top w:val="nil"/>
              <w:left w:val="single" w:sz="4" w:space="0" w:color="000000"/>
              <w:bottom w:val="single" w:sz="4" w:space="0" w:color="000000"/>
              <w:right w:val="single" w:sz="4" w:space="0" w:color="000000"/>
            </w:tcBorders>
            <w:noWrap/>
            <w:vAlign w:val="center"/>
            <w:hideMark/>
          </w:tcPr>
          <w:p w14:paraId="408A0FD6"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lastRenderedPageBreak/>
              <w:t>Ni</w:t>
            </w:r>
          </w:p>
        </w:tc>
        <w:tc>
          <w:tcPr>
            <w:tcW w:w="454" w:type="pct"/>
            <w:tcBorders>
              <w:top w:val="nil"/>
              <w:left w:val="nil"/>
              <w:bottom w:val="single" w:sz="4" w:space="0" w:color="000000"/>
              <w:right w:val="single" w:sz="4" w:space="0" w:color="000000"/>
            </w:tcBorders>
            <w:noWrap/>
            <w:vAlign w:val="center"/>
            <w:hideMark/>
          </w:tcPr>
          <w:p w14:paraId="0B8E48A1"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4" w:type="pct"/>
            <w:tcBorders>
              <w:top w:val="nil"/>
              <w:left w:val="nil"/>
              <w:bottom w:val="single" w:sz="4" w:space="0" w:color="000000"/>
              <w:right w:val="single" w:sz="4" w:space="0" w:color="000000"/>
            </w:tcBorders>
            <w:noWrap/>
            <w:vAlign w:val="center"/>
            <w:hideMark/>
          </w:tcPr>
          <w:p w14:paraId="6C8511B1"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7.58</w:t>
            </w:r>
          </w:p>
        </w:tc>
        <w:tc>
          <w:tcPr>
            <w:tcW w:w="454" w:type="pct"/>
            <w:tcBorders>
              <w:top w:val="nil"/>
              <w:left w:val="nil"/>
              <w:bottom w:val="single" w:sz="4" w:space="0" w:color="000000"/>
              <w:right w:val="single" w:sz="4" w:space="0" w:color="000000"/>
            </w:tcBorders>
            <w:noWrap/>
            <w:vAlign w:val="center"/>
            <w:hideMark/>
          </w:tcPr>
          <w:p w14:paraId="48049EE6"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3.97</w:t>
            </w:r>
          </w:p>
        </w:tc>
        <w:tc>
          <w:tcPr>
            <w:tcW w:w="454" w:type="pct"/>
            <w:tcBorders>
              <w:top w:val="nil"/>
              <w:left w:val="nil"/>
              <w:bottom w:val="single" w:sz="4" w:space="0" w:color="000000"/>
              <w:right w:val="single" w:sz="4" w:space="0" w:color="000000"/>
            </w:tcBorders>
            <w:noWrap/>
            <w:vAlign w:val="center"/>
            <w:hideMark/>
          </w:tcPr>
          <w:p w14:paraId="7450B119"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5.77</w:t>
            </w:r>
          </w:p>
        </w:tc>
        <w:tc>
          <w:tcPr>
            <w:tcW w:w="456" w:type="pct"/>
            <w:tcBorders>
              <w:top w:val="nil"/>
              <w:left w:val="nil"/>
              <w:bottom w:val="single" w:sz="4" w:space="0" w:color="000000"/>
              <w:right w:val="single" w:sz="4" w:space="0" w:color="000000"/>
            </w:tcBorders>
            <w:noWrap/>
            <w:vAlign w:val="center"/>
            <w:hideMark/>
          </w:tcPr>
          <w:p w14:paraId="56A6FA3A"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5.99</w:t>
            </w:r>
          </w:p>
        </w:tc>
        <w:tc>
          <w:tcPr>
            <w:tcW w:w="454" w:type="pct"/>
            <w:tcBorders>
              <w:top w:val="nil"/>
              <w:left w:val="nil"/>
              <w:bottom w:val="single" w:sz="4" w:space="0" w:color="000000"/>
              <w:right w:val="single" w:sz="4" w:space="0" w:color="000000"/>
            </w:tcBorders>
            <w:noWrap/>
            <w:vAlign w:val="center"/>
            <w:hideMark/>
          </w:tcPr>
          <w:p w14:paraId="5EDA5D82"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6.11</w:t>
            </w:r>
          </w:p>
        </w:tc>
        <w:tc>
          <w:tcPr>
            <w:tcW w:w="454" w:type="pct"/>
            <w:tcBorders>
              <w:top w:val="nil"/>
              <w:left w:val="nil"/>
              <w:bottom w:val="single" w:sz="4" w:space="0" w:color="000000"/>
              <w:right w:val="single" w:sz="4" w:space="0" w:color="000000"/>
            </w:tcBorders>
            <w:noWrap/>
            <w:vAlign w:val="center"/>
            <w:hideMark/>
          </w:tcPr>
          <w:p w14:paraId="7A422747"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7.57</w:t>
            </w:r>
          </w:p>
        </w:tc>
        <w:tc>
          <w:tcPr>
            <w:tcW w:w="454" w:type="pct"/>
            <w:tcBorders>
              <w:top w:val="nil"/>
              <w:left w:val="nil"/>
              <w:bottom w:val="single" w:sz="4" w:space="0" w:color="000000"/>
              <w:right w:val="single" w:sz="4" w:space="0" w:color="000000"/>
            </w:tcBorders>
            <w:noWrap/>
            <w:vAlign w:val="center"/>
            <w:hideMark/>
          </w:tcPr>
          <w:p w14:paraId="56E9D3F1"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7.62</w:t>
            </w:r>
          </w:p>
        </w:tc>
        <w:tc>
          <w:tcPr>
            <w:tcW w:w="454" w:type="pct"/>
            <w:tcBorders>
              <w:top w:val="nil"/>
              <w:left w:val="nil"/>
              <w:bottom w:val="single" w:sz="4" w:space="0" w:color="000000"/>
              <w:right w:val="single" w:sz="4" w:space="0" w:color="000000"/>
            </w:tcBorders>
            <w:noWrap/>
            <w:vAlign w:val="center"/>
            <w:hideMark/>
          </w:tcPr>
          <w:p w14:paraId="637495D9"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8" w:type="pct"/>
            <w:tcBorders>
              <w:top w:val="nil"/>
              <w:left w:val="nil"/>
              <w:bottom w:val="single" w:sz="4" w:space="0" w:color="000000"/>
              <w:right w:val="single" w:sz="4" w:space="0" w:color="000000"/>
            </w:tcBorders>
            <w:noWrap/>
            <w:vAlign w:val="center"/>
            <w:hideMark/>
          </w:tcPr>
          <w:p w14:paraId="0AA582BF"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r>
      <w:tr w:rsidR="0038127D" w:rsidRPr="00CA20B5" w14:paraId="7D867B4B" w14:textId="77777777" w:rsidTr="00BD668A">
        <w:trPr>
          <w:trHeight w:val="345"/>
        </w:trPr>
        <w:tc>
          <w:tcPr>
            <w:tcW w:w="454" w:type="pct"/>
            <w:tcBorders>
              <w:top w:val="nil"/>
              <w:left w:val="single" w:sz="4" w:space="0" w:color="000000"/>
              <w:bottom w:val="single" w:sz="4" w:space="0" w:color="000000"/>
              <w:right w:val="single" w:sz="4" w:space="0" w:color="000000"/>
            </w:tcBorders>
            <w:noWrap/>
            <w:vAlign w:val="center"/>
            <w:hideMark/>
          </w:tcPr>
          <w:p w14:paraId="27A2BC71"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Co</w:t>
            </w:r>
          </w:p>
        </w:tc>
        <w:tc>
          <w:tcPr>
            <w:tcW w:w="454" w:type="pct"/>
            <w:tcBorders>
              <w:top w:val="nil"/>
              <w:left w:val="nil"/>
              <w:bottom w:val="single" w:sz="4" w:space="0" w:color="000000"/>
              <w:right w:val="single" w:sz="4" w:space="0" w:color="000000"/>
            </w:tcBorders>
            <w:noWrap/>
            <w:vAlign w:val="center"/>
            <w:hideMark/>
          </w:tcPr>
          <w:p w14:paraId="2923F246"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4" w:type="pct"/>
            <w:tcBorders>
              <w:top w:val="nil"/>
              <w:left w:val="nil"/>
              <w:bottom w:val="single" w:sz="4" w:space="0" w:color="000000"/>
              <w:right w:val="single" w:sz="4" w:space="0" w:color="000000"/>
            </w:tcBorders>
            <w:noWrap/>
            <w:vAlign w:val="center"/>
            <w:hideMark/>
          </w:tcPr>
          <w:p w14:paraId="63123C3F"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1.43</w:t>
            </w:r>
          </w:p>
        </w:tc>
        <w:tc>
          <w:tcPr>
            <w:tcW w:w="454" w:type="pct"/>
            <w:tcBorders>
              <w:top w:val="nil"/>
              <w:left w:val="nil"/>
              <w:bottom w:val="single" w:sz="4" w:space="0" w:color="000000"/>
              <w:right w:val="single" w:sz="4" w:space="0" w:color="000000"/>
            </w:tcBorders>
            <w:noWrap/>
            <w:vAlign w:val="center"/>
            <w:hideMark/>
          </w:tcPr>
          <w:p w14:paraId="4D9E2E67"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3.98</w:t>
            </w:r>
          </w:p>
        </w:tc>
        <w:tc>
          <w:tcPr>
            <w:tcW w:w="454" w:type="pct"/>
            <w:tcBorders>
              <w:top w:val="nil"/>
              <w:left w:val="nil"/>
              <w:bottom w:val="single" w:sz="4" w:space="0" w:color="000000"/>
              <w:right w:val="single" w:sz="4" w:space="0" w:color="000000"/>
            </w:tcBorders>
            <w:noWrap/>
            <w:vAlign w:val="center"/>
            <w:hideMark/>
          </w:tcPr>
          <w:p w14:paraId="48670660"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2.32</w:t>
            </w:r>
          </w:p>
        </w:tc>
        <w:tc>
          <w:tcPr>
            <w:tcW w:w="456" w:type="pct"/>
            <w:tcBorders>
              <w:top w:val="nil"/>
              <w:left w:val="nil"/>
              <w:bottom w:val="single" w:sz="4" w:space="0" w:color="000000"/>
              <w:right w:val="single" w:sz="4" w:space="0" w:color="000000"/>
            </w:tcBorders>
            <w:noWrap/>
            <w:vAlign w:val="center"/>
            <w:hideMark/>
          </w:tcPr>
          <w:p w14:paraId="336C6C5D"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2.01</w:t>
            </w:r>
          </w:p>
        </w:tc>
        <w:tc>
          <w:tcPr>
            <w:tcW w:w="454" w:type="pct"/>
            <w:tcBorders>
              <w:top w:val="nil"/>
              <w:left w:val="nil"/>
              <w:bottom w:val="single" w:sz="4" w:space="0" w:color="000000"/>
              <w:right w:val="single" w:sz="4" w:space="0" w:color="000000"/>
            </w:tcBorders>
            <w:noWrap/>
            <w:vAlign w:val="center"/>
            <w:hideMark/>
          </w:tcPr>
          <w:p w14:paraId="6185FD4E"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2.05</w:t>
            </w:r>
          </w:p>
        </w:tc>
        <w:tc>
          <w:tcPr>
            <w:tcW w:w="454" w:type="pct"/>
            <w:tcBorders>
              <w:top w:val="nil"/>
              <w:left w:val="nil"/>
              <w:bottom w:val="single" w:sz="4" w:space="0" w:color="000000"/>
              <w:right w:val="single" w:sz="4" w:space="0" w:color="000000"/>
            </w:tcBorders>
            <w:noWrap/>
            <w:vAlign w:val="center"/>
            <w:hideMark/>
          </w:tcPr>
          <w:p w14:paraId="6C538B26"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0.95</w:t>
            </w:r>
          </w:p>
        </w:tc>
        <w:tc>
          <w:tcPr>
            <w:tcW w:w="454" w:type="pct"/>
            <w:tcBorders>
              <w:top w:val="nil"/>
              <w:left w:val="nil"/>
              <w:bottom w:val="single" w:sz="4" w:space="0" w:color="000000"/>
              <w:right w:val="single" w:sz="4" w:space="0" w:color="000000"/>
            </w:tcBorders>
            <w:noWrap/>
            <w:vAlign w:val="center"/>
            <w:hideMark/>
          </w:tcPr>
          <w:p w14:paraId="5C0E2DA2"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0.45</w:t>
            </w:r>
          </w:p>
        </w:tc>
        <w:tc>
          <w:tcPr>
            <w:tcW w:w="454" w:type="pct"/>
            <w:tcBorders>
              <w:top w:val="nil"/>
              <w:left w:val="nil"/>
              <w:bottom w:val="single" w:sz="4" w:space="0" w:color="000000"/>
              <w:right w:val="single" w:sz="4" w:space="0" w:color="000000"/>
            </w:tcBorders>
            <w:noWrap/>
            <w:vAlign w:val="center"/>
            <w:hideMark/>
          </w:tcPr>
          <w:p w14:paraId="26F9915F"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8" w:type="pct"/>
            <w:tcBorders>
              <w:top w:val="nil"/>
              <w:left w:val="nil"/>
              <w:bottom w:val="single" w:sz="4" w:space="0" w:color="000000"/>
              <w:right w:val="single" w:sz="4" w:space="0" w:color="000000"/>
            </w:tcBorders>
            <w:noWrap/>
            <w:vAlign w:val="center"/>
            <w:hideMark/>
          </w:tcPr>
          <w:p w14:paraId="4F4AA41B"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r>
      <w:tr w:rsidR="0038127D" w:rsidRPr="00CA20B5" w14:paraId="113B5331" w14:textId="77777777" w:rsidTr="00BD668A">
        <w:trPr>
          <w:trHeight w:val="345"/>
        </w:trPr>
        <w:tc>
          <w:tcPr>
            <w:tcW w:w="454" w:type="pct"/>
            <w:tcBorders>
              <w:top w:val="nil"/>
              <w:left w:val="single" w:sz="4" w:space="0" w:color="000000"/>
              <w:bottom w:val="single" w:sz="4" w:space="0" w:color="000000"/>
              <w:right w:val="single" w:sz="4" w:space="0" w:color="000000"/>
            </w:tcBorders>
            <w:noWrap/>
            <w:vAlign w:val="center"/>
            <w:hideMark/>
          </w:tcPr>
          <w:p w14:paraId="2B34E422" w14:textId="77777777" w:rsidR="00CA2D8F" w:rsidRPr="00CA20B5" w:rsidRDefault="00CA2D8F" w:rsidP="001E09BB">
            <w:pPr>
              <w:rPr>
                <w:rFonts w:ascii="Times New Roman" w:hAnsi="Times New Roman" w:cs="Times New Roman"/>
                <w:b/>
                <w:bCs/>
                <w:color w:val="000000"/>
                <w:sz w:val="14"/>
                <w:szCs w:val="14"/>
              </w:rPr>
            </w:pPr>
            <w:r w:rsidRPr="00CA20B5">
              <w:rPr>
                <w:rFonts w:ascii="Times New Roman" w:hAnsi="Times New Roman" w:cs="Times New Roman"/>
                <w:b/>
                <w:bCs/>
                <w:color w:val="000000"/>
                <w:sz w:val="14"/>
                <w:szCs w:val="14"/>
              </w:rPr>
              <w:t>Mn</w:t>
            </w:r>
          </w:p>
        </w:tc>
        <w:tc>
          <w:tcPr>
            <w:tcW w:w="454" w:type="pct"/>
            <w:tcBorders>
              <w:top w:val="nil"/>
              <w:left w:val="nil"/>
              <w:bottom w:val="single" w:sz="4" w:space="0" w:color="000000"/>
              <w:right w:val="single" w:sz="4" w:space="0" w:color="000000"/>
            </w:tcBorders>
            <w:noWrap/>
            <w:vAlign w:val="center"/>
            <w:hideMark/>
          </w:tcPr>
          <w:p w14:paraId="2720B7CE"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4" w:type="pct"/>
            <w:tcBorders>
              <w:top w:val="nil"/>
              <w:left w:val="nil"/>
              <w:bottom w:val="single" w:sz="4" w:space="0" w:color="000000"/>
              <w:right w:val="single" w:sz="4" w:space="0" w:color="000000"/>
            </w:tcBorders>
            <w:noWrap/>
            <w:vAlign w:val="center"/>
            <w:hideMark/>
          </w:tcPr>
          <w:p w14:paraId="2D38304E"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4" w:type="pct"/>
            <w:tcBorders>
              <w:top w:val="nil"/>
              <w:left w:val="nil"/>
              <w:bottom w:val="single" w:sz="4" w:space="0" w:color="000000"/>
              <w:right w:val="single" w:sz="4" w:space="0" w:color="000000"/>
            </w:tcBorders>
            <w:noWrap/>
            <w:vAlign w:val="center"/>
            <w:hideMark/>
          </w:tcPr>
          <w:p w14:paraId="5FA1EB56"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3.71</w:t>
            </w:r>
          </w:p>
        </w:tc>
        <w:tc>
          <w:tcPr>
            <w:tcW w:w="454" w:type="pct"/>
            <w:tcBorders>
              <w:top w:val="nil"/>
              <w:left w:val="nil"/>
              <w:bottom w:val="single" w:sz="4" w:space="0" w:color="000000"/>
              <w:right w:val="single" w:sz="4" w:space="0" w:color="000000"/>
            </w:tcBorders>
            <w:noWrap/>
            <w:vAlign w:val="center"/>
            <w:hideMark/>
          </w:tcPr>
          <w:p w14:paraId="61CE3BA0"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3.24</w:t>
            </w:r>
          </w:p>
        </w:tc>
        <w:tc>
          <w:tcPr>
            <w:tcW w:w="456" w:type="pct"/>
            <w:tcBorders>
              <w:top w:val="nil"/>
              <w:left w:val="nil"/>
              <w:bottom w:val="single" w:sz="4" w:space="0" w:color="000000"/>
              <w:right w:val="single" w:sz="4" w:space="0" w:color="000000"/>
            </w:tcBorders>
            <w:noWrap/>
            <w:vAlign w:val="center"/>
            <w:hideMark/>
          </w:tcPr>
          <w:p w14:paraId="3FD24CDB"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1.87</w:t>
            </w:r>
          </w:p>
        </w:tc>
        <w:tc>
          <w:tcPr>
            <w:tcW w:w="454" w:type="pct"/>
            <w:tcBorders>
              <w:top w:val="nil"/>
              <w:left w:val="nil"/>
              <w:bottom w:val="single" w:sz="4" w:space="0" w:color="000000"/>
              <w:right w:val="single" w:sz="4" w:space="0" w:color="000000"/>
            </w:tcBorders>
            <w:noWrap/>
            <w:vAlign w:val="center"/>
            <w:hideMark/>
          </w:tcPr>
          <w:p w14:paraId="01DB3E56"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1.91</w:t>
            </w:r>
          </w:p>
        </w:tc>
        <w:tc>
          <w:tcPr>
            <w:tcW w:w="454" w:type="pct"/>
            <w:tcBorders>
              <w:top w:val="nil"/>
              <w:left w:val="nil"/>
              <w:bottom w:val="single" w:sz="4" w:space="0" w:color="000000"/>
              <w:right w:val="single" w:sz="4" w:space="0" w:color="000000"/>
            </w:tcBorders>
            <w:noWrap/>
            <w:vAlign w:val="center"/>
            <w:hideMark/>
          </w:tcPr>
          <w:p w14:paraId="52F31560"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0.89</w:t>
            </w:r>
          </w:p>
        </w:tc>
        <w:tc>
          <w:tcPr>
            <w:tcW w:w="454" w:type="pct"/>
            <w:tcBorders>
              <w:top w:val="nil"/>
              <w:left w:val="nil"/>
              <w:bottom w:val="single" w:sz="4" w:space="0" w:color="000000"/>
              <w:right w:val="single" w:sz="4" w:space="0" w:color="000000"/>
            </w:tcBorders>
            <w:noWrap/>
            <w:vAlign w:val="center"/>
            <w:hideMark/>
          </w:tcPr>
          <w:p w14:paraId="5287DD31"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0.40</w:t>
            </w:r>
          </w:p>
        </w:tc>
        <w:tc>
          <w:tcPr>
            <w:tcW w:w="454" w:type="pct"/>
            <w:tcBorders>
              <w:top w:val="nil"/>
              <w:left w:val="nil"/>
              <w:bottom w:val="single" w:sz="4" w:space="0" w:color="000000"/>
              <w:right w:val="single" w:sz="4" w:space="0" w:color="000000"/>
            </w:tcBorders>
            <w:noWrap/>
            <w:vAlign w:val="center"/>
            <w:hideMark/>
          </w:tcPr>
          <w:p w14:paraId="413D7F10"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c>
          <w:tcPr>
            <w:tcW w:w="458" w:type="pct"/>
            <w:tcBorders>
              <w:top w:val="nil"/>
              <w:left w:val="nil"/>
              <w:bottom w:val="single" w:sz="4" w:space="0" w:color="000000"/>
              <w:right w:val="single" w:sz="4" w:space="0" w:color="000000"/>
            </w:tcBorders>
            <w:noWrap/>
            <w:vAlign w:val="center"/>
            <w:hideMark/>
          </w:tcPr>
          <w:p w14:paraId="6F404F9E" w14:textId="77777777" w:rsidR="00CA2D8F" w:rsidRPr="00CA20B5" w:rsidRDefault="00CA2D8F" w:rsidP="001E09BB">
            <w:pPr>
              <w:jc w:val="right"/>
              <w:rPr>
                <w:rFonts w:ascii="Times New Roman" w:hAnsi="Times New Roman" w:cs="Times New Roman"/>
                <w:color w:val="000000"/>
                <w:sz w:val="14"/>
                <w:szCs w:val="14"/>
              </w:rPr>
            </w:pPr>
            <w:r w:rsidRPr="00CA20B5">
              <w:rPr>
                <w:rFonts w:ascii="Times New Roman" w:hAnsi="Times New Roman" w:cs="Times New Roman"/>
                <w:color w:val="000000"/>
                <w:sz w:val="14"/>
                <w:szCs w:val="14"/>
              </w:rPr>
              <w:t>0.00</w:t>
            </w:r>
          </w:p>
        </w:tc>
      </w:tr>
    </w:tbl>
    <w:p w14:paraId="5E00FBCB" w14:textId="77777777" w:rsidR="00CA2D8F" w:rsidRDefault="00CA2D8F" w:rsidP="00AD1413">
      <w:pPr>
        <w:rPr>
          <w:rFonts w:ascii="Times New Roman" w:eastAsia="DengXian" w:hAnsi="Times New Roman" w:cs="Times New Roman"/>
          <w:sz w:val="21"/>
          <w:szCs w:val="21"/>
          <w:lang w:eastAsia="zh-CN"/>
        </w:rPr>
      </w:pPr>
    </w:p>
    <w:p w14:paraId="40CF00F9" w14:textId="2ECAFF2A" w:rsidR="0045531B" w:rsidRDefault="00DA4DFD" w:rsidP="00AD1413">
      <w:pPr>
        <w:rPr>
          <w:rFonts w:ascii="Times New Roman" w:eastAsia="DengXian" w:hAnsi="Times New Roman" w:cs="Times New Roman"/>
          <w:sz w:val="21"/>
          <w:szCs w:val="21"/>
          <w:lang w:eastAsia="zh-CN"/>
        </w:rPr>
      </w:pPr>
      <w:r w:rsidRPr="00DA4DFD">
        <w:rPr>
          <w:rFonts w:ascii="Times New Roman" w:eastAsia="DengXian" w:hAnsi="Times New Roman" w:cs="Times New Roman"/>
          <w:sz w:val="21"/>
          <w:szCs w:val="21"/>
          <w:lang w:eastAsia="zh-CN"/>
        </w:rPr>
        <w:t>Regarding projections of the market share of LIB chemistries, Xu et al.</w:t>
      </w:r>
      <w:r w:rsidR="0045531B" w:rsidRPr="00EF7E91">
        <w:rPr>
          <w:rFonts w:ascii="Times New Roman" w:hAnsi="Times New Roman" w:cs="Times New Roman"/>
          <w:sz w:val="21"/>
          <w:szCs w:val="21"/>
        </w:rPr>
        <w:fldChar w:fldCharType="begin"/>
      </w:r>
      <w:r w:rsidR="0045531B">
        <w:rPr>
          <w:rFonts w:ascii="Times New Roman" w:hAnsi="Times New Roman" w:cs="Times New Roman"/>
          <w:sz w:val="21"/>
          <w:szCs w:val="21"/>
        </w:rPr>
        <w:instrText xml:space="preserve"> ADDIN EN.CITE &lt;EndNote&gt;&lt;Cite&gt;&lt;Author&gt;Xu&lt;/Author&gt;&lt;Year&gt;2020&lt;/Year&gt;&lt;RecNum&gt;144&lt;/RecNum&gt;&lt;DisplayText&gt;&lt;style face="superscript"&gt;1&lt;/style&gt;&lt;/DisplayText&gt;&lt;record&gt;&lt;rec-number&gt;144&lt;/rec-number&gt;&lt;foreign-keys&gt;&lt;key app="EN" db-id="200xxs0psrtaz4eze9pp5vvrdraszefpsp0w" timestamp="1666171876"&gt;144&lt;/key&gt;&lt;/foreign-keys&gt;&lt;ref-type name="Journal Article"&gt;17&lt;/ref-type&gt;&lt;contributors&gt;&lt;authors&gt;&lt;author&gt;Xu, C. J.&lt;/author&gt;&lt;author&gt;Dai, Q.&lt;/author&gt;&lt;author&gt;Gaines, L.&lt;/author&gt;&lt;author&gt;Hu, M. M.&lt;/author&gt;&lt;author&gt;Tukker, A.&lt;/author&gt;&lt;author&gt;Steubing, B.&lt;/author&gt;&lt;/authors&gt;&lt;/contributors&gt;&lt;auth-address&gt;Leiden Univ, Inst Environm Sci CML, NL-2300 RA Leiden, Netherlands&amp;#xD;Argonne Natl Lab, ReCell Ctr, Lemont, IL USA&lt;/auth-address&gt;&lt;titles&gt;&lt;title&gt;Future material demand for automotive lithium-based batteries&lt;/title&gt;&lt;secondary-title&gt;Communications Materials&lt;/secondary-title&gt;&lt;alt-title&gt;Commun Mater&lt;/alt-title&gt;&lt;/titles&gt;&lt;periodical&gt;&lt;full-title&gt;Communications Materials&lt;/full-title&gt;&lt;abbr-1&gt;Commun Mater&lt;/abbr-1&gt;&lt;/periodical&gt;&lt;alt-periodical&gt;&lt;full-title&gt;Communications Materials&lt;/full-title&gt;&lt;abbr-1&gt;Commun Mater&lt;/abbr-1&gt;&lt;/alt-periodical&gt;&lt;volume&gt;1&lt;/volume&gt;&lt;number&gt;1&lt;/number&gt;&lt;keywords&gt;&lt;keyword&gt;electric vehicles&lt;/keyword&gt;&lt;keyword&gt;ion batteries&lt;/keyword&gt;&lt;keyword&gt;supply chain&lt;/keyword&gt;&lt;keyword&gt;life&lt;/keyword&gt;&lt;keyword&gt;impact&lt;/keyword&gt;&lt;keyword&gt;design&lt;/keyword&gt;&lt;keyword&gt;hybrid&lt;/keyword&gt;&lt;keyword&gt;flows&lt;/keyword&gt;&lt;keyword&gt;cells&lt;/keyword&gt;&lt;/keywords&gt;&lt;dates&gt;&lt;year&gt;2020&lt;/year&gt;&lt;pub-dates&gt;&lt;date&gt;Dec 9&lt;/date&gt;&lt;/pub-dates&gt;&lt;/dates&gt;&lt;accession-num&gt;WOS:000610592400001&lt;/accession-num&gt;&lt;urls&gt;&lt;related-urls&gt;&lt;url&gt;&lt;style face="underline" font="default" size="100%"&gt;&amp;lt;Go to ISI&amp;gt;://WOS:000610592400001&lt;/style&gt;&lt;/url&gt;&lt;/related-urls&gt;&lt;/urls&gt;&lt;electronic-resource-num&gt;10.1038/s43246-020-00095-x&lt;/electronic-resource-num&gt;&lt;language&gt;English&lt;/language&gt;&lt;/record&gt;&lt;/Cite&gt;&lt;/EndNote&gt;</w:instrText>
      </w:r>
      <w:r w:rsidR="0045531B" w:rsidRPr="00EF7E91">
        <w:rPr>
          <w:rFonts w:ascii="Times New Roman" w:hAnsi="Times New Roman" w:cs="Times New Roman"/>
          <w:sz w:val="21"/>
          <w:szCs w:val="21"/>
        </w:rPr>
        <w:fldChar w:fldCharType="separate"/>
      </w:r>
      <w:r w:rsidR="0045531B" w:rsidRPr="0045531B">
        <w:rPr>
          <w:rFonts w:ascii="Times New Roman" w:hAnsi="Times New Roman" w:cs="Times New Roman"/>
          <w:noProof/>
          <w:sz w:val="21"/>
          <w:szCs w:val="21"/>
          <w:vertAlign w:val="superscript"/>
        </w:rPr>
        <w:t>1</w:t>
      </w:r>
      <w:r w:rsidR="0045531B" w:rsidRPr="00EF7E91">
        <w:rPr>
          <w:rFonts w:ascii="Times New Roman" w:hAnsi="Times New Roman" w:cs="Times New Roman"/>
          <w:sz w:val="21"/>
          <w:szCs w:val="21"/>
        </w:rPr>
        <w:fldChar w:fldCharType="end"/>
      </w:r>
      <w:r w:rsidRPr="00DA4DFD">
        <w:rPr>
          <w:rFonts w:ascii="Times New Roman" w:eastAsia="DengXian" w:hAnsi="Times New Roman" w:cs="Times New Roman"/>
          <w:sz w:val="21"/>
          <w:szCs w:val="21"/>
          <w:lang w:eastAsia="zh-CN"/>
        </w:rPr>
        <w:t xml:space="preserve"> proposed three scenarios to simulate the future evolution of battery technology: (1) </w:t>
      </w:r>
      <w:r w:rsidRPr="00DA4DFD">
        <w:rPr>
          <w:rFonts w:ascii="Times New Roman" w:eastAsia="DengXian" w:hAnsi="Times New Roman" w:cs="Times New Roman"/>
          <w:b/>
          <w:bCs/>
          <w:sz w:val="21"/>
          <w:szCs w:val="21"/>
          <w:lang w:eastAsia="zh-CN"/>
        </w:rPr>
        <w:t>LFP-oriented scenario</w:t>
      </w:r>
      <w:r w:rsidRPr="00DA4DFD">
        <w:rPr>
          <w:rFonts w:ascii="Times New Roman" w:eastAsia="DengXian" w:hAnsi="Times New Roman" w:cs="Times New Roman"/>
          <w:sz w:val="21"/>
          <w:szCs w:val="21"/>
          <w:lang w:eastAsia="zh-CN"/>
        </w:rPr>
        <w:t xml:space="preserve">, in which LFP remains dominant in the long term due to its cost advantage and technological maturity; (2) </w:t>
      </w:r>
      <w:r w:rsidRPr="00DA4DFD">
        <w:rPr>
          <w:rFonts w:ascii="Times New Roman" w:eastAsia="DengXian" w:hAnsi="Times New Roman" w:cs="Times New Roman"/>
          <w:b/>
          <w:bCs/>
          <w:sz w:val="21"/>
          <w:szCs w:val="21"/>
          <w:lang w:eastAsia="zh-CN"/>
        </w:rPr>
        <w:t>NCX-oriented scenario</w:t>
      </w:r>
      <w:r w:rsidRPr="00DA4DFD">
        <w:rPr>
          <w:rFonts w:ascii="Times New Roman" w:eastAsia="DengXian" w:hAnsi="Times New Roman" w:cs="Times New Roman"/>
          <w:sz w:val="21"/>
          <w:szCs w:val="21"/>
          <w:lang w:eastAsia="zh-CN"/>
        </w:rPr>
        <w:t xml:space="preserve">, where NMC chemistries gradually become predominant owing to their relatively low cost and high energy density; and (3) </w:t>
      </w:r>
      <w:r w:rsidRPr="00DA4DFD">
        <w:rPr>
          <w:rFonts w:ascii="Times New Roman" w:eastAsia="DengXian" w:hAnsi="Times New Roman" w:cs="Times New Roman"/>
          <w:b/>
          <w:bCs/>
          <w:sz w:val="21"/>
          <w:szCs w:val="21"/>
          <w:lang w:eastAsia="zh-CN"/>
        </w:rPr>
        <w:t>Li–S/Air-oriented scenario</w:t>
      </w:r>
      <w:r w:rsidRPr="00DA4DFD">
        <w:rPr>
          <w:rFonts w:ascii="Times New Roman" w:eastAsia="DengXian" w:hAnsi="Times New Roman" w:cs="Times New Roman"/>
          <w:sz w:val="21"/>
          <w:szCs w:val="21"/>
          <w:lang w:eastAsia="zh-CN"/>
        </w:rPr>
        <w:t>, which assumes the rapid diffusion of lithium–sulfur and lithium–air batteries driven by their lower reliance on critical mineral resources. Among these, the NCX-oriented scenario is considered the most probable and is adopted as the baseline in this study. The other two scenarios are included as alternative strategies for reducing critical mineral demand in the battery industry (Figure S24).</w:t>
      </w:r>
      <w:r w:rsidR="00043D5A">
        <w:rPr>
          <w:rFonts w:ascii="Times New Roman" w:eastAsia="DengXian" w:hAnsi="Times New Roman" w:cs="Times New Roman" w:hint="eastAsia"/>
          <w:sz w:val="21"/>
          <w:szCs w:val="21"/>
          <w:lang w:eastAsia="zh-CN"/>
        </w:rPr>
        <w:t xml:space="preserve"> Transition from NCX-oriented strategy to LFP-oriented </w:t>
      </w:r>
      <w:r w:rsidR="00043D5A">
        <w:rPr>
          <w:rFonts w:ascii="Times New Roman" w:eastAsia="DengXian" w:hAnsi="Times New Roman" w:cs="Times New Roman"/>
          <w:sz w:val="21"/>
          <w:szCs w:val="21"/>
          <w:lang w:eastAsia="zh-CN"/>
        </w:rPr>
        <w:t>strategy</w:t>
      </w:r>
      <w:r w:rsidR="00043D5A">
        <w:rPr>
          <w:rFonts w:ascii="Times New Roman" w:eastAsia="DengXian" w:hAnsi="Times New Roman" w:cs="Times New Roman" w:hint="eastAsia"/>
          <w:sz w:val="21"/>
          <w:szCs w:val="21"/>
          <w:lang w:eastAsia="zh-CN"/>
        </w:rPr>
        <w:t xml:space="preserve"> is relatively easy because LFP is stable </w:t>
      </w:r>
      <w:r w:rsidR="00CC5DD7">
        <w:rPr>
          <w:rFonts w:ascii="Times New Roman" w:eastAsia="DengXian" w:hAnsi="Times New Roman" w:cs="Times New Roman" w:hint="eastAsia"/>
          <w:sz w:val="21"/>
          <w:szCs w:val="21"/>
          <w:lang w:eastAsia="zh-CN"/>
        </w:rPr>
        <w:t xml:space="preserve">in performance and </w:t>
      </w:r>
      <w:r w:rsidR="00043D5A">
        <w:rPr>
          <w:rFonts w:ascii="Times New Roman" w:eastAsia="DengXian" w:hAnsi="Times New Roman" w:cs="Times New Roman" w:hint="eastAsia"/>
          <w:sz w:val="21"/>
          <w:szCs w:val="21"/>
          <w:lang w:eastAsia="zh-CN"/>
        </w:rPr>
        <w:t>has been</w:t>
      </w:r>
      <w:r w:rsidR="00CC5DD7">
        <w:rPr>
          <w:rFonts w:ascii="Times New Roman" w:eastAsia="DengXian" w:hAnsi="Times New Roman" w:cs="Times New Roman" w:hint="eastAsia"/>
          <w:sz w:val="21"/>
          <w:szCs w:val="21"/>
          <w:lang w:eastAsia="zh-CN"/>
        </w:rPr>
        <w:t xml:space="preserve"> widely used in stationary energy storage due to </w:t>
      </w:r>
      <w:r w:rsidR="0019748E">
        <w:rPr>
          <w:rFonts w:ascii="Times New Roman" w:eastAsia="DengXian" w:hAnsi="Times New Roman" w:cs="Times New Roman" w:hint="eastAsia"/>
          <w:sz w:val="21"/>
          <w:szCs w:val="21"/>
          <w:lang w:eastAsia="zh-CN"/>
        </w:rPr>
        <w:t xml:space="preserve">high </w:t>
      </w:r>
      <w:r w:rsidR="009A2AF4">
        <w:rPr>
          <w:rFonts w:ascii="Times New Roman" w:eastAsia="DengXian" w:hAnsi="Times New Roman" w:cs="Times New Roman" w:hint="eastAsia"/>
          <w:sz w:val="21"/>
          <w:szCs w:val="21"/>
          <w:lang w:eastAsia="zh-CN"/>
        </w:rPr>
        <w:t xml:space="preserve">technology </w:t>
      </w:r>
      <w:r w:rsidR="00B160CA">
        <w:rPr>
          <w:rFonts w:ascii="Times New Roman" w:eastAsia="DengXian" w:hAnsi="Times New Roman" w:cs="Times New Roman"/>
          <w:sz w:val="21"/>
          <w:szCs w:val="21"/>
          <w:lang w:eastAsia="zh-CN"/>
        </w:rPr>
        <w:t>maturity</w:t>
      </w:r>
      <w:r w:rsidR="009A2AF4">
        <w:rPr>
          <w:rFonts w:ascii="Times New Roman" w:eastAsia="DengXian" w:hAnsi="Times New Roman" w:cs="Times New Roman" w:hint="eastAsia"/>
          <w:sz w:val="21"/>
          <w:szCs w:val="21"/>
          <w:lang w:eastAsia="zh-CN"/>
        </w:rPr>
        <w:t xml:space="preserve">, while </w:t>
      </w:r>
      <w:r w:rsidR="002B4660">
        <w:rPr>
          <w:rFonts w:ascii="Times New Roman" w:eastAsia="DengXian" w:hAnsi="Times New Roman" w:cs="Times New Roman" w:hint="eastAsia"/>
          <w:sz w:val="21"/>
          <w:szCs w:val="21"/>
          <w:lang w:eastAsia="zh-CN"/>
        </w:rPr>
        <w:t>transition to Li-S/Air-oriented strategy remain</w:t>
      </w:r>
      <w:r w:rsidR="0019748E">
        <w:rPr>
          <w:rFonts w:ascii="Times New Roman" w:eastAsia="DengXian" w:hAnsi="Times New Roman" w:cs="Times New Roman" w:hint="eastAsia"/>
          <w:sz w:val="21"/>
          <w:szCs w:val="21"/>
          <w:lang w:eastAsia="zh-CN"/>
        </w:rPr>
        <w:t>s more difficult</w:t>
      </w:r>
      <w:r w:rsidR="00B160CA">
        <w:rPr>
          <w:rFonts w:ascii="Times New Roman" w:eastAsia="DengXian" w:hAnsi="Times New Roman" w:cs="Times New Roman" w:hint="eastAsia"/>
          <w:sz w:val="21"/>
          <w:szCs w:val="21"/>
          <w:lang w:eastAsia="zh-CN"/>
        </w:rPr>
        <w:t>y</w:t>
      </w:r>
      <w:r w:rsidR="0019748E">
        <w:rPr>
          <w:rFonts w:ascii="Times New Roman" w:eastAsia="DengXian" w:hAnsi="Times New Roman" w:cs="Times New Roman" w:hint="eastAsia"/>
          <w:sz w:val="21"/>
          <w:szCs w:val="21"/>
          <w:lang w:eastAsia="zh-CN"/>
        </w:rPr>
        <w:t xml:space="preserve"> due to low technology matur</w:t>
      </w:r>
      <w:r w:rsidR="00B160CA">
        <w:rPr>
          <w:rFonts w:ascii="Times New Roman" w:eastAsia="DengXian" w:hAnsi="Times New Roman" w:cs="Times New Roman" w:hint="eastAsia"/>
          <w:sz w:val="21"/>
          <w:szCs w:val="21"/>
          <w:lang w:eastAsia="zh-CN"/>
        </w:rPr>
        <w:t>ity</w:t>
      </w:r>
      <w:r w:rsidR="0019748E">
        <w:rPr>
          <w:rFonts w:ascii="Times New Roman" w:eastAsia="DengXian" w:hAnsi="Times New Roman" w:cs="Times New Roman" w:hint="eastAsia"/>
          <w:sz w:val="21"/>
          <w:szCs w:val="21"/>
          <w:lang w:eastAsia="zh-CN"/>
        </w:rPr>
        <w:t xml:space="preserve"> </w:t>
      </w:r>
      <w:r w:rsidR="001E3946">
        <w:rPr>
          <w:rFonts w:ascii="Times New Roman" w:eastAsia="DengXian" w:hAnsi="Times New Roman" w:cs="Times New Roman" w:hint="eastAsia"/>
          <w:sz w:val="21"/>
          <w:szCs w:val="21"/>
          <w:lang w:eastAsia="zh-CN"/>
        </w:rPr>
        <w:t xml:space="preserve">but has great potential in reducing inputs of critical minerals. </w:t>
      </w:r>
    </w:p>
    <w:p w14:paraId="3CB09019" w14:textId="77777777" w:rsidR="005C71B7" w:rsidRPr="00B160CA" w:rsidRDefault="005C71B7" w:rsidP="004314FC">
      <w:pPr>
        <w:rPr>
          <w:rFonts w:ascii="Times New Roman" w:eastAsia="DengXian" w:hAnsi="Times New Roman" w:cs="Times New Roman"/>
          <w:sz w:val="21"/>
          <w:szCs w:val="21"/>
          <w:lang w:eastAsia="zh-CN"/>
        </w:rPr>
      </w:pPr>
    </w:p>
    <w:p w14:paraId="21B07619" w14:textId="77777777" w:rsidR="005C71B7" w:rsidRPr="000F62FA" w:rsidRDefault="005C71B7" w:rsidP="005C71B7">
      <w:pPr>
        <w:jc w:val="center"/>
        <w:rPr>
          <w:rFonts w:ascii="Times New Roman" w:eastAsia="DengXian" w:hAnsi="Times New Roman" w:cs="Times New Roman"/>
          <w:lang w:eastAsia="zh-CN"/>
        </w:rPr>
      </w:pPr>
      <w:r w:rsidRPr="000F62FA">
        <w:rPr>
          <w:rFonts w:ascii="Times New Roman" w:hAnsi="Times New Roman" w:cs="Times New Roman"/>
          <w:noProof/>
        </w:rPr>
        <w:drawing>
          <wp:inline distT="0" distB="0" distL="0" distR="0" wp14:anchorId="5F26470B" wp14:editId="5A8048BC">
            <wp:extent cx="4572000" cy="2745105"/>
            <wp:effectExtent l="0" t="0" r="0" b="0"/>
            <wp:docPr id="1627945276" name="グラフ 1">
              <a:extLst xmlns:a="http://schemas.openxmlformats.org/drawingml/2006/main">
                <a:ext uri="{FF2B5EF4-FFF2-40B4-BE49-F238E27FC236}">
                  <a16:creationId xmlns:a16="http://schemas.microsoft.com/office/drawing/2014/main" id="{9A113882-8490-5B09-E41C-D5862F943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AF6C96" w14:textId="24C76AC6" w:rsidR="005C71B7" w:rsidRPr="000F62FA" w:rsidRDefault="002468AF" w:rsidP="005C71B7">
      <w:pPr>
        <w:jc w:val="center"/>
        <w:rPr>
          <w:rFonts w:ascii="Times New Roman" w:eastAsia="DengXian" w:hAnsi="Times New Roman" w:cs="Times New Roman"/>
          <w:lang w:eastAsia="zh-CN"/>
        </w:rPr>
      </w:pPr>
      <w:r>
        <w:rPr>
          <w:rFonts w:ascii="Times New Roman" w:eastAsia="DengXian" w:hAnsi="Times New Roman" w:cs="Times New Roman" w:hint="eastAsia"/>
          <w:lang w:eastAsia="zh-CN"/>
        </w:rPr>
        <w:t xml:space="preserve">a. </w:t>
      </w:r>
      <w:r w:rsidR="005C71B7" w:rsidRPr="000F62FA">
        <w:rPr>
          <w:rFonts w:ascii="Times New Roman" w:eastAsia="DengXian" w:hAnsi="Times New Roman" w:cs="Times New Roman"/>
          <w:lang w:eastAsia="zh-CN"/>
        </w:rPr>
        <w:t>NCX</w:t>
      </w:r>
      <w:r>
        <w:rPr>
          <w:rFonts w:ascii="Times New Roman" w:eastAsia="DengXian" w:hAnsi="Times New Roman" w:cs="Times New Roman" w:hint="eastAsia"/>
          <w:lang w:eastAsia="zh-CN"/>
        </w:rPr>
        <w:t>-oriented scenario</w:t>
      </w:r>
    </w:p>
    <w:p w14:paraId="29E55F41" w14:textId="77777777" w:rsidR="005C71B7" w:rsidRPr="000F62FA" w:rsidRDefault="005C71B7" w:rsidP="005C71B7">
      <w:pPr>
        <w:jc w:val="center"/>
        <w:rPr>
          <w:rFonts w:ascii="Times New Roman" w:eastAsia="DengXian" w:hAnsi="Times New Roman" w:cs="Times New Roman"/>
          <w:lang w:eastAsia="zh-CN"/>
        </w:rPr>
      </w:pPr>
      <w:r w:rsidRPr="000F62FA">
        <w:rPr>
          <w:rFonts w:ascii="Times New Roman" w:hAnsi="Times New Roman" w:cs="Times New Roman"/>
          <w:noProof/>
        </w:rPr>
        <w:lastRenderedPageBreak/>
        <w:drawing>
          <wp:inline distT="0" distB="0" distL="0" distR="0" wp14:anchorId="0673490A" wp14:editId="0FC5B7F6">
            <wp:extent cx="4572000" cy="2743200"/>
            <wp:effectExtent l="0" t="0" r="0" b="0"/>
            <wp:docPr id="938596382" name="グラフ 1">
              <a:extLst xmlns:a="http://schemas.openxmlformats.org/drawingml/2006/main">
                <a:ext uri="{FF2B5EF4-FFF2-40B4-BE49-F238E27FC236}">
                  <a16:creationId xmlns:a16="http://schemas.microsoft.com/office/drawing/2014/main" id="{7B42BB02-3CFC-49F9-8AB5-ACFE35118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841342" w14:textId="7BAFB40E" w:rsidR="005C71B7" w:rsidRPr="000F62FA" w:rsidRDefault="002468AF" w:rsidP="005C71B7">
      <w:pPr>
        <w:jc w:val="center"/>
        <w:rPr>
          <w:rFonts w:ascii="Times New Roman" w:eastAsia="DengXian" w:hAnsi="Times New Roman" w:cs="Times New Roman"/>
          <w:lang w:eastAsia="zh-CN"/>
        </w:rPr>
      </w:pPr>
      <w:r>
        <w:rPr>
          <w:rFonts w:ascii="Times New Roman" w:eastAsia="DengXian" w:hAnsi="Times New Roman" w:cs="Times New Roman" w:hint="eastAsia"/>
          <w:lang w:eastAsia="zh-CN"/>
        </w:rPr>
        <w:t xml:space="preserve">b. </w:t>
      </w:r>
      <w:r w:rsidR="005C71B7" w:rsidRPr="000F62FA">
        <w:rPr>
          <w:rFonts w:ascii="Times New Roman" w:eastAsia="DengXian" w:hAnsi="Times New Roman" w:cs="Times New Roman"/>
          <w:lang w:eastAsia="zh-CN"/>
        </w:rPr>
        <w:t>LFP</w:t>
      </w:r>
      <w:r>
        <w:rPr>
          <w:rFonts w:ascii="Times New Roman" w:eastAsia="DengXian" w:hAnsi="Times New Roman" w:cs="Times New Roman" w:hint="eastAsia"/>
          <w:lang w:eastAsia="zh-CN"/>
        </w:rPr>
        <w:t>-oriented scenario</w:t>
      </w:r>
    </w:p>
    <w:p w14:paraId="68E3B23A" w14:textId="77777777" w:rsidR="005C71B7" w:rsidRPr="000F62FA" w:rsidRDefault="005C71B7" w:rsidP="005C71B7">
      <w:pPr>
        <w:jc w:val="center"/>
        <w:rPr>
          <w:rFonts w:ascii="Times New Roman" w:eastAsia="DengXian" w:hAnsi="Times New Roman" w:cs="Times New Roman"/>
          <w:lang w:eastAsia="zh-CN"/>
        </w:rPr>
      </w:pPr>
      <w:r w:rsidRPr="000F62FA">
        <w:rPr>
          <w:rFonts w:ascii="Times New Roman" w:hAnsi="Times New Roman" w:cs="Times New Roman"/>
          <w:noProof/>
        </w:rPr>
        <w:drawing>
          <wp:inline distT="0" distB="0" distL="0" distR="0" wp14:anchorId="2F2F1C1B" wp14:editId="3D55F314">
            <wp:extent cx="4572000" cy="2743200"/>
            <wp:effectExtent l="0" t="0" r="0" b="0"/>
            <wp:docPr id="956324667" name="グラフ 1">
              <a:extLst xmlns:a="http://schemas.openxmlformats.org/drawingml/2006/main">
                <a:ext uri="{FF2B5EF4-FFF2-40B4-BE49-F238E27FC236}">
                  <a16:creationId xmlns:a16="http://schemas.microsoft.com/office/drawing/2014/main" id="{B3803FBF-E7C9-4709-9B53-F42E6F3EB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394074" w14:textId="4874F4EE" w:rsidR="005C71B7" w:rsidRPr="000F62FA" w:rsidRDefault="002468AF" w:rsidP="005C71B7">
      <w:pPr>
        <w:jc w:val="center"/>
        <w:rPr>
          <w:rFonts w:ascii="Times New Roman" w:eastAsia="DengXian" w:hAnsi="Times New Roman" w:cs="Times New Roman"/>
          <w:lang w:eastAsia="zh-CN"/>
        </w:rPr>
      </w:pPr>
      <w:r>
        <w:rPr>
          <w:rFonts w:ascii="Times New Roman" w:eastAsia="DengXian" w:hAnsi="Times New Roman" w:cs="Times New Roman" w:hint="eastAsia"/>
          <w:lang w:eastAsia="zh-CN"/>
        </w:rPr>
        <w:t xml:space="preserve">c. </w:t>
      </w:r>
      <w:r w:rsidR="005C71B7" w:rsidRPr="000F62FA">
        <w:rPr>
          <w:rFonts w:ascii="Times New Roman" w:eastAsia="DengXian" w:hAnsi="Times New Roman" w:cs="Times New Roman"/>
          <w:lang w:eastAsia="zh-CN"/>
        </w:rPr>
        <w:t>Li-S/Air</w:t>
      </w:r>
      <w:r>
        <w:rPr>
          <w:rFonts w:ascii="Times New Roman" w:eastAsia="DengXian" w:hAnsi="Times New Roman" w:cs="Times New Roman" w:hint="eastAsia"/>
          <w:lang w:eastAsia="zh-CN"/>
        </w:rPr>
        <w:t>-oriented scenario</w:t>
      </w:r>
    </w:p>
    <w:p w14:paraId="696A4C66" w14:textId="6DC68E4A" w:rsidR="005C71B7" w:rsidRPr="00F13092" w:rsidRDefault="005C71B7" w:rsidP="005C71B7">
      <w:pPr>
        <w:pStyle w:val="af"/>
        <w:jc w:val="center"/>
        <w:rPr>
          <w:rFonts w:ascii="Times New Roman" w:eastAsia="DengXian" w:hAnsi="Times New Roman" w:cs="Times New Roman"/>
          <w:lang w:eastAsia="zh-CN"/>
        </w:rPr>
      </w:pPr>
      <w:bookmarkStart w:id="51" w:name="_Toc208439490"/>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087FF8">
        <w:rPr>
          <w:rFonts w:ascii="Times New Roman" w:hAnsi="Times New Roman" w:cs="Times New Roman"/>
          <w:noProof/>
        </w:rPr>
        <w:t>24</w:t>
      </w:r>
      <w:r w:rsidRPr="007F5CA8">
        <w:rPr>
          <w:rFonts w:ascii="Times New Roman" w:hAnsi="Times New Roman" w:cs="Times New Roman"/>
        </w:rPr>
        <w:fldChar w:fldCharType="end"/>
      </w:r>
      <w:r w:rsidRPr="007F5CA8">
        <w:rPr>
          <w:rFonts w:ascii="Times New Roman" w:hAnsi="Times New Roman" w:cs="Times New Roman"/>
        </w:rPr>
        <w:t xml:space="preserve">. </w:t>
      </w:r>
      <w:r w:rsidRPr="00B044B6">
        <w:rPr>
          <w:rFonts w:ascii="Times New Roman" w:hAnsi="Times New Roman" w:cs="Times New Roman"/>
        </w:rPr>
        <w:t xml:space="preserve">Market sharing of different </w:t>
      </w:r>
      <w:r w:rsidR="00163035">
        <w:rPr>
          <w:rFonts w:ascii="Times New Roman" w:eastAsia="DengXian" w:hAnsi="Times New Roman" w:cs="Times New Roman" w:hint="eastAsia"/>
          <w:lang w:eastAsia="zh-CN"/>
        </w:rPr>
        <w:t>LIB chemistry</w:t>
      </w:r>
      <w:r w:rsidRPr="00B044B6">
        <w:rPr>
          <w:rFonts w:ascii="Times New Roman" w:hAnsi="Times New Roman" w:cs="Times New Roman"/>
        </w:rPr>
        <w:t xml:space="preserve"> in annual new battery sales.</w:t>
      </w:r>
      <w:bookmarkEnd w:id="51"/>
    </w:p>
    <w:p w14:paraId="2E01CFFB" w14:textId="77777777" w:rsidR="005C71B7" w:rsidRPr="00EF7E91" w:rsidRDefault="005C71B7" w:rsidP="005C71B7">
      <w:pPr>
        <w:rPr>
          <w:rFonts w:ascii="Times New Roman" w:eastAsia="DengXian" w:hAnsi="Times New Roman" w:cs="Times New Roman"/>
          <w:sz w:val="21"/>
          <w:szCs w:val="21"/>
          <w:lang w:eastAsia="zh-CN"/>
        </w:rPr>
      </w:pPr>
    </w:p>
    <w:p w14:paraId="57D70303" w14:textId="13AE2AB4" w:rsidR="00D44EFF" w:rsidRDefault="00D44EFF" w:rsidP="004314FC">
      <w:pPr>
        <w:rPr>
          <w:rFonts w:ascii="Times New Roman" w:eastAsia="DengXian" w:hAnsi="Times New Roman" w:cs="Times New Roman"/>
          <w:sz w:val="21"/>
          <w:szCs w:val="21"/>
          <w:lang w:eastAsia="zh-CN"/>
        </w:rPr>
      </w:pPr>
      <w:r w:rsidRPr="00D44EFF">
        <w:rPr>
          <w:rFonts w:ascii="Times New Roman" w:eastAsia="DengXian" w:hAnsi="Times New Roman" w:cs="Times New Roman"/>
          <w:sz w:val="21"/>
          <w:szCs w:val="21"/>
          <w:lang w:eastAsia="zh-CN"/>
        </w:rPr>
        <w:t>Regarding the lifetime of automotive LIBs, although a more precise estimation can be achieved using a Weibull distribution to reflect the decline in state of health (SOH) over time, in practice, manufacturers often specify a fixed warranty period for battery performance. LIBs are typically collected once they reach the end of this guaranteed service life. According to previous studies, including those by Xu et al.</w:t>
      </w:r>
      <w:r w:rsidRPr="000F62FA">
        <w:rPr>
          <w:rFonts w:ascii="Times New Roman" w:eastAsia="DengXian" w:hAnsi="Times New Roman" w:cs="Times New Roman"/>
          <w:sz w:val="21"/>
          <w:szCs w:val="21"/>
          <w:lang w:eastAsia="zh-CN"/>
        </w:rPr>
        <w:fldChar w:fldCharType="begin"/>
      </w:r>
      <w:r>
        <w:rPr>
          <w:rFonts w:ascii="Times New Roman" w:eastAsia="DengXian" w:hAnsi="Times New Roman" w:cs="Times New Roman"/>
          <w:sz w:val="21"/>
          <w:szCs w:val="21"/>
          <w:lang w:eastAsia="zh-CN"/>
        </w:rPr>
        <w:instrText xml:space="preserve"> ADDIN EN.CITE &lt;EndNote&gt;&lt;Cite&gt;&lt;Author&gt;Xu&lt;/Author&gt;&lt;Year&gt;2020&lt;/Year&gt;&lt;RecNum&gt;144&lt;/RecNum&gt;&lt;DisplayText&gt;&lt;style face="superscript"&gt;1&lt;/style&gt;&lt;/DisplayText&gt;&lt;record&gt;&lt;rec-number&gt;144&lt;/rec-number&gt;&lt;foreign-keys&gt;&lt;key app="EN" db-id="200xxs0psrtaz4eze9pp5vvrdraszefpsp0w" timestamp="1666171876"&gt;144&lt;/key&gt;&lt;/foreign-keys&gt;&lt;ref-type name="Journal Article"&gt;17&lt;/ref-type&gt;&lt;contributors&gt;&lt;authors&gt;&lt;author&gt;Xu, C. J.&lt;/author&gt;&lt;author&gt;Dai, Q.&lt;/author&gt;&lt;author&gt;Gaines, L.&lt;/author&gt;&lt;author&gt;Hu, M. M.&lt;/author&gt;&lt;author&gt;Tukker, A.&lt;/author&gt;&lt;author&gt;Steubing, B.&lt;/author&gt;&lt;/authors&gt;&lt;/contributors&gt;&lt;auth-address&gt;Leiden Univ, Inst Environm Sci CML, NL-2300 RA Leiden, Netherlands&amp;#xD;Argonne Natl Lab, ReCell Ctr, Lemont, IL USA&lt;/auth-address&gt;&lt;titles&gt;&lt;title&gt;Future material demand for automotive lithium-based batteries&lt;/title&gt;&lt;secondary-title&gt;Communications Materials&lt;/secondary-title&gt;&lt;alt-title&gt;Commun Mater&lt;/alt-title&gt;&lt;/titles&gt;&lt;periodical&gt;&lt;full-title&gt;Communications Materials&lt;/full-title&gt;&lt;abbr-1&gt;Commun Mater&lt;/abbr-1&gt;&lt;/periodical&gt;&lt;alt-periodical&gt;&lt;full-title&gt;Communications Materials&lt;/full-title&gt;&lt;abbr-1&gt;Commun Mater&lt;/abbr-1&gt;&lt;/alt-periodical&gt;&lt;volume&gt;1&lt;/volume&gt;&lt;number&gt;1&lt;/number&gt;&lt;keywords&gt;&lt;keyword&gt;electric vehicles&lt;/keyword&gt;&lt;keyword&gt;ion batteries&lt;/keyword&gt;&lt;keyword&gt;supply chain&lt;/keyword&gt;&lt;keyword&gt;life&lt;/keyword&gt;&lt;keyword&gt;impact&lt;/keyword&gt;&lt;keyword&gt;design&lt;/keyword&gt;&lt;keyword&gt;hybrid&lt;/keyword&gt;&lt;keyword&gt;flows&lt;/keyword&gt;&lt;keyword&gt;cells&lt;/keyword&gt;&lt;/keywords&gt;&lt;dates&gt;&lt;year&gt;2020&lt;/year&gt;&lt;pub-dates&gt;&lt;date&gt;Dec 9&lt;/date&gt;&lt;/pub-dates&gt;&lt;/dates&gt;&lt;accession-num&gt;WOS:000610592400001&lt;/accession-num&gt;&lt;urls&gt;&lt;related-urls&gt;&lt;url&gt;&lt;style face="underline" font="default" size="100%"&gt;&amp;lt;Go to ISI&amp;gt;://WOS:000610592400001&lt;/style&gt;&lt;/url&gt;&lt;/related-urls&gt;&lt;/urls&gt;&lt;electronic-resource-num&gt;10.1038/s43246-020-00095-x&lt;/electronic-resource-num&gt;&lt;language&gt;English&lt;/language&gt;&lt;/record&gt;&lt;/Cite&gt;&lt;/EndNote&gt;</w:instrText>
      </w:r>
      <w:r w:rsidRPr="000F62FA">
        <w:rPr>
          <w:rFonts w:ascii="Times New Roman" w:eastAsia="DengXian" w:hAnsi="Times New Roman" w:cs="Times New Roman"/>
          <w:sz w:val="21"/>
          <w:szCs w:val="21"/>
          <w:lang w:eastAsia="zh-CN"/>
        </w:rPr>
        <w:fldChar w:fldCharType="separate"/>
      </w:r>
      <w:r w:rsidRPr="00D44EFF">
        <w:rPr>
          <w:rFonts w:ascii="Times New Roman" w:eastAsia="DengXian" w:hAnsi="Times New Roman" w:cs="Times New Roman"/>
          <w:noProof/>
          <w:sz w:val="21"/>
          <w:szCs w:val="21"/>
          <w:vertAlign w:val="superscript"/>
          <w:lang w:eastAsia="zh-CN"/>
        </w:rPr>
        <w:t>1</w:t>
      </w:r>
      <w:r w:rsidRPr="000F62FA">
        <w:rPr>
          <w:rFonts w:ascii="Times New Roman" w:eastAsia="DengXian" w:hAnsi="Times New Roman" w:cs="Times New Roman"/>
          <w:sz w:val="21"/>
          <w:szCs w:val="21"/>
          <w:lang w:eastAsia="zh-CN"/>
        </w:rPr>
        <w:fldChar w:fldCharType="end"/>
      </w:r>
      <w:r w:rsidRPr="00D44EFF">
        <w:rPr>
          <w:rFonts w:ascii="Times New Roman" w:eastAsia="DengXian" w:hAnsi="Times New Roman" w:cs="Times New Roman"/>
          <w:sz w:val="21"/>
          <w:szCs w:val="21"/>
          <w:lang w:eastAsia="zh-CN"/>
        </w:rPr>
        <w:t xml:space="preserve"> and Zeng et al.</w:t>
      </w:r>
      <w:r w:rsidRPr="000F62FA">
        <w:rPr>
          <w:rFonts w:ascii="Times New Roman" w:eastAsia="DengXian" w:hAnsi="Times New Roman" w:cs="Times New Roman"/>
          <w:sz w:val="21"/>
          <w:szCs w:val="21"/>
          <w:lang w:eastAsia="zh-CN"/>
        </w:rPr>
        <w:fldChar w:fldCharType="begin"/>
      </w:r>
      <w:r w:rsidR="001B2277">
        <w:rPr>
          <w:rFonts w:ascii="Times New Roman" w:eastAsia="DengXian" w:hAnsi="Times New Roman" w:cs="Times New Roman"/>
          <w:sz w:val="21"/>
          <w:szCs w:val="21"/>
          <w:lang w:eastAsia="zh-CN"/>
        </w:rPr>
        <w:instrText xml:space="preserve"> ADDIN EN.CITE &lt;EndNote&gt;&lt;Cite&gt;&lt;Author&gt;Zeng&lt;/Author&gt;&lt;Year&gt;2022&lt;/Year&gt;&lt;RecNum&gt;146&lt;/RecNum&gt;&lt;DisplayText&gt;&lt;style face="superscript"&gt;11&lt;/style&gt;&lt;/DisplayText&gt;&lt;record&gt;&lt;rec-number&gt;146&lt;/rec-number&gt;&lt;foreign-keys&gt;&lt;key app="EN" db-id="200xxs0psrtaz4eze9pp5vvrdraszefpsp0w" timestamp="1670825849"&gt;146&lt;/key&gt;&lt;/foreign-keys&gt;&lt;ref-type name="Journal Article"&gt;17&lt;/ref-type&gt;&lt;contributors&gt;&lt;authors&gt;&lt;author&gt;Zeng, Anqi&lt;/author&gt;&lt;author&gt;Chen, Wu&lt;/author&gt;&lt;author&gt;Rasmussen, Kasper Dalgas&lt;/author&gt;&lt;author&gt;Zhu, Xuehong&lt;/author&gt;&lt;author&gt;Lundhaug, Maren&lt;/author&gt;&lt;author&gt;Müller, Daniel B.&lt;/author&gt;&lt;author&gt;Tan, Juan&lt;/author&gt;&lt;author&gt;Keiding, Jakob K.&lt;/author&gt;&lt;author&gt;Liu, Litao&lt;/author&gt;&lt;author&gt;Dai, Tao&lt;/author&gt;&lt;author&gt;Wang, Anjian&lt;/author&gt;&lt;author&gt;Liu, Gang&lt;/author&gt;&lt;/authors&gt;&lt;/contributors&gt;&lt;titles&gt;&lt;title&gt;Battery technology and recycling alone will not save the electric mobility transition from future cobalt shortages&lt;/title&gt;&lt;secondary-title&gt;Nature Communications&lt;/secondary-title&gt;&lt;/titles&gt;&lt;periodical&gt;&lt;full-title&gt;Nature Communications&lt;/full-title&gt;&lt;/periodical&gt;&lt;pages&gt;1341&lt;/pages&gt;&lt;volume&gt;13&lt;/volume&gt;&lt;number&gt;1&lt;/number&gt;&lt;dates&gt;&lt;year&gt;2022&lt;/year&gt;&lt;pub-dates&gt;&lt;date&gt;2022/03/15&lt;/date&gt;&lt;/pub-dates&gt;&lt;/dates&gt;&lt;isbn&gt;2041-1723&lt;/isbn&gt;&lt;urls&gt;&lt;related-urls&gt;&lt;url&gt;https://doi.org/10.1038/s41467-022-29022-z&lt;/url&gt;&lt;/related-urls&gt;&lt;/urls&gt;&lt;electronic-resource-num&gt;10.1038/s41467-022-29022-z&lt;/electronic-resource-num&gt;&lt;/record&gt;&lt;/Cite&gt;&lt;/EndNote&gt;</w:instrText>
      </w:r>
      <w:r w:rsidRPr="000F62FA">
        <w:rPr>
          <w:rFonts w:ascii="Times New Roman" w:eastAsia="DengXian" w:hAnsi="Times New Roman" w:cs="Times New Roman"/>
          <w:sz w:val="21"/>
          <w:szCs w:val="21"/>
          <w:lang w:eastAsia="zh-CN"/>
        </w:rPr>
        <w:fldChar w:fldCharType="separate"/>
      </w:r>
      <w:r w:rsidR="001B2277" w:rsidRPr="001B2277">
        <w:rPr>
          <w:rFonts w:ascii="Times New Roman" w:eastAsia="DengXian" w:hAnsi="Times New Roman" w:cs="Times New Roman"/>
          <w:noProof/>
          <w:sz w:val="21"/>
          <w:szCs w:val="21"/>
          <w:vertAlign w:val="superscript"/>
          <w:lang w:eastAsia="zh-CN"/>
        </w:rPr>
        <w:t>11</w:t>
      </w:r>
      <w:r w:rsidRPr="000F62FA">
        <w:rPr>
          <w:rFonts w:ascii="Times New Roman" w:eastAsia="DengXian" w:hAnsi="Times New Roman" w:cs="Times New Roman"/>
          <w:sz w:val="21"/>
          <w:szCs w:val="21"/>
          <w:lang w:eastAsia="zh-CN"/>
        </w:rPr>
        <w:fldChar w:fldCharType="end"/>
      </w:r>
      <w:r w:rsidRPr="00D44EFF">
        <w:rPr>
          <w:rFonts w:ascii="Times New Roman" w:eastAsia="DengXian" w:hAnsi="Times New Roman" w:cs="Times New Roman"/>
          <w:sz w:val="21"/>
          <w:szCs w:val="21"/>
          <w:lang w:eastAsia="zh-CN"/>
        </w:rPr>
        <w:t xml:space="preserve">, the primary-use lifetime of LIBs in EVs is commonly assumed to be 7–8 years, while their secondary-use lifespan in stationary energy storage applications is approximately 10 years. Looking ahead, technological advancements may enable LIB lifetimes to </w:t>
      </w:r>
      <w:r w:rsidRPr="00D44EFF">
        <w:rPr>
          <w:rFonts w:ascii="Times New Roman" w:eastAsia="DengXian" w:hAnsi="Times New Roman" w:cs="Times New Roman"/>
          <w:sz w:val="21"/>
          <w:szCs w:val="21"/>
          <w:lang w:eastAsia="zh-CN"/>
        </w:rPr>
        <w:lastRenderedPageBreak/>
        <w:t>extend to roughly twice the current duration</w:t>
      </w:r>
      <w:r w:rsidR="00796679" w:rsidRPr="00F1279B">
        <w:rPr>
          <w:rFonts w:ascii="Times New Roman" w:eastAsia="SimSun" w:hAnsi="Times New Roman" w:cs="Times New Roman"/>
          <w:sz w:val="18"/>
          <w:szCs w:val="18"/>
          <w:lang w:eastAsia="zh-CN"/>
        </w:rPr>
        <w:fldChar w:fldCharType="begin"/>
      </w:r>
      <w:r w:rsidR="00796679" w:rsidRPr="00F1279B">
        <w:rPr>
          <w:rFonts w:ascii="Times New Roman" w:eastAsia="SimSun" w:hAnsi="Times New Roman" w:cs="Times New Roman"/>
          <w:sz w:val="18"/>
          <w:szCs w:val="18"/>
          <w:lang w:eastAsia="zh-CN"/>
        </w:rPr>
        <w:instrText xml:space="preserve"> ADDIN EN.CITE &lt;EndNote&gt;&lt;Cite&gt;&lt;Author&gt;Yu&lt;/Author&gt;&lt;Year&gt;2020&lt;/Year&gt;&lt;RecNum&gt;231&lt;/RecNum&gt;&lt;DisplayText&gt;&lt;style face="superscript"&gt;12&lt;/style&gt;&lt;/DisplayText&gt;&lt;record&gt;&lt;rec-number&gt;231&lt;/rec-number&gt;&lt;foreign-keys&gt;&lt;key app="EN" db-id="200xxs0psrtaz4eze9pp5vvrdraszefpsp0w" timestamp="1742127037"&gt;231&lt;/key&gt;&lt;/foreign-keys&gt;&lt;ref-type name="Journal Article"&gt;17&lt;/ref-type&gt;&lt;contributors&gt;&lt;authors&gt;&lt;author&gt;Yu, Zhiao&lt;/author&gt;&lt;author&gt;Wang, Hansen&lt;/author&gt;&lt;author&gt;Kong, Xian&lt;/author&gt;&lt;author&gt;Huang, William&lt;/author&gt;&lt;author&gt;Tsao, Yuchi&lt;/author&gt;&lt;author&gt;Mackanic, David G.&lt;/author&gt;&lt;author&gt;Wang, Kecheng&lt;/author&gt;&lt;author&gt;Wang, Xinchang&lt;/author&gt;&lt;author&gt;Huang, Wenxiao&lt;/author&gt;&lt;author&gt;Choudhury, Snehashis&lt;/author&gt;&lt;author&gt;Zheng, Yu&lt;/author&gt;&lt;author&gt;Amanchukwu, Chibueze V.&lt;/author&gt;&lt;author&gt;Hung, Samantha T.&lt;/author&gt;&lt;author&gt;Ma, Yuting&lt;/author&gt;&lt;author&gt;Lomeli, Eder G.&lt;/author&gt;&lt;author&gt;Qin, Jian&lt;/author&gt;&lt;author&gt;Cui, Yi&lt;/author&gt;&lt;author&gt;Bao, Zhenan&lt;/author&gt;&lt;/authors&gt;&lt;/contributors&gt;&lt;titles&gt;&lt;title&gt;Molecular design for electrolyte solvents enabling energy-dense and long-cycling lithium metal batteries&lt;/title&gt;&lt;secondary-title&gt;Nature Energy&lt;/secondary-title&gt;&lt;/titles&gt;&lt;periodical&gt;&lt;full-title&gt;Nature Energy&lt;/full-title&gt;&lt;/periodical&gt;&lt;pages&gt;526-533&lt;/pages&gt;&lt;volume&gt;5&lt;/volume&gt;&lt;number&gt;7&lt;/number&gt;&lt;dates&gt;&lt;year&gt;2020&lt;/year&gt;&lt;pub-dates&gt;&lt;date&gt;2020/07/01&lt;/date&gt;&lt;/pub-dates&gt;&lt;/dates&gt;&lt;isbn&gt;2058-7546&lt;/isbn&gt;&lt;urls&gt;&lt;related-urls&gt;&lt;url&gt;https://doi.org/10.1038/s41560-020-0634-5&lt;/url&gt;&lt;/related-urls&gt;&lt;/urls&gt;&lt;electronic-resource-num&gt;10.1038/s41560-020-0634-5&lt;/electronic-resource-num&gt;&lt;/record&gt;&lt;/Cite&gt;&lt;/EndNote&gt;</w:instrText>
      </w:r>
      <w:r w:rsidR="00796679" w:rsidRPr="00F1279B">
        <w:rPr>
          <w:rFonts w:ascii="Times New Roman" w:eastAsia="SimSun" w:hAnsi="Times New Roman" w:cs="Times New Roman"/>
          <w:sz w:val="18"/>
          <w:szCs w:val="18"/>
          <w:lang w:eastAsia="zh-CN"/>
        </w:rPr>
        <w:fldChar w:fldCharType="separate"/>
      </w:r>
      <w:r w:rsidR="00796679" w:rsidRPr="00F1279B">
        <w:rPr>
          <w:rFonts w:ascii="Times New Roman" w:eastAsia="SimSun" w:hAnsi="Times New Roman" w:cs="Times New Roman"/>
          <w:noProof/>
          <w:sz w:val="18"/>
          <w:szCs w:val="18"/>
          <w:vertAlign w:val="superscript"/>
          <w:lang w:eastAsia="zh-CN"/>
        </w:rPr>
        <w:t>12</w:t>
      </w:r>
      <w:r w:rsidR="00796679" w:rsidRPr="00F1279B">
        <w:rPr>
          <w:rFonts w:ascii="Times New Roman" w:eastAsia="SimSun" w:hAnsi="Times New Roman" w:cs="Times New Roman"/>
          <w:sz w:val="18"/>
          <w:szCs w:val="18"/>
          <w:lang w:eastAsia="zh-CN"/>
        </w:rPr>
        <w:fldChar w:fldCharType="end"/>
      </w:r>
      <w:r w:rsidRPr="00D44EFF">
        <w:rPr>
          <w:rFonts w:ascii="Times New Roman" w:eastAsia="DengXian" w:hAnsi="Times New Roman" w:cs="Times New Roman"/>
          <w:sz w:val="21"/>
          <w:szCs w:val="21"/>
          <w:lang w:eastAsia="zh-CN"/>
        </w:rPr>
        <w:t>. Therefore, in the extended-lifetime scenario, we assume a 1.5-fold increase in average service life (Table S</w:t>
      </w:r>
      <w:r w:rsidR="001944E1">
        <w:rPr>
          <w:rFonts w:ascii="Times New Roman" w:eastAsiaTheme="minorEastAsia" w:hAnsi="Times New Roman" w:cs="Times New Roman" w:hint="eastAsia"/>
          <w:sz w:val="21"/>
          <w:szCs w:val="21"/>
        </w:rPr>
        <w:t>8</w:t>
      </w:r>
      <w:r w:rsidRPr="00D44EFF">
        <w:rPr>
          <w:rFonts w:ascii="Times New Roman" w:eastAsia="DengXian" w:hAnsi="Times New Roman" w:cs="Times New Roman"/>
          <w:sz w:val="21"/>
          <w:szCs w:val="21"/>
          <w:lang w:eastAsia="zh-CN"/>
        </w:rPr>
        <w:t>).</w:t>
      </w:r>
    </w:p>
    <w:p w14:paraId="5CD5B591" w14:textId="77777777" w:rsidR="00D57C08" w:rsidRDefault="00D57C08" w:rsidP="004314FC">
      <w:pPr>
        <w:rPr>
          <w:rFonts w:ascii="Times New Roman" w:eastAsia="DengXian" w:hAnsi="Times New Roman" w:cs="Times New Roman"/>
          <w:sz w:val="21"/>
          <w:szCs w:val="21"/>
          <w:lang w:eastAsia="zh-CN"/>
        </w:rPr>
      </w:pPr>
    </w:p>
    <w:p w14:paraId="7D554414" w14:textId="2F61EF06" w:rsidR="0047350D" w:rsidRPr="005A1912" w:rsidRDefault="005A1912" w:rsidP="005A1912">
      <w:pPr>
        <w:jc w:val="center"/>
        <w:rPr>
          <w:rFonts w:ascii="Times New Roman" w:eastAsia="DengXian" w:hAnsi="Times New Roman" w:cs="Times New Roman"/>
          <w:b/>
          <w:bCs/>
          <w:sz w:val="21"/>
          <w:szCs w:val="21"/>
          <w:lang w:eastAsia="zh-CN"/>
        </w:rPr>
      </w:pPr>
      <w:bookmarkStart w:id="52" w:name="_Toc199865714"/>
      <w:bookmarkStart w:id="53" w:name="_Toc208439369"/>
      <w:r w:rsidRPr="003573A7">
        <w:rPr>
          <w:rFonts w:ascii="Times New Roman" w:hAnsi="Times New Roman" w:cs="Times New Roman"/>
          <w:b/>
          <w:bCs/>
          <w:sz w:val="21"/>
          <w:szCs w:val="21"/>
        </w:rPr>
        <w:t xml:space="preserve">Table </w:t>
      </w:r>
      <w:r w:rsidRPr="003573A7">
        <w:rPr>
          <w:rFonts w:ascii="Times New Roman" w:eastAsia="DengXian" w:hAnsi="Times New Roman" w:cs="Times New Roman"/>
          <w:b/>
          <w:bCs/>
          <w:sz w:val="21"/>
          <w:szCs w:val="21"/>
          <w:lang w:eastAsia="zh-CN"/>
        </w:rPr>
        <w:t>S</w:t>
      </w:r>
      <w:r w:rsidRPr="003573A7">
        <w:rPr>
          <w:rFonts w:ascii="Times New Roman" w:hAnsi="Times New Roman" w:cs="Times New Roman"/>
          <w:b/>
          <w:bCs/>
          <w:sz w:val="21"/>
          <w:szCs w:val="21"/>
        </w:rPr>
        <w:fldChar w:fldCharType="begin"/>
      </w:r>
      <w:r w:rsidRPr="003573A7">
        <w:rPr>
          <w:rFonts w:ascii="Times New Roman" w:hAnsi="Times New Roman" w:cs="Times New Roman"/>
          <w:b/>
          <w:bCs/>
          <w:sz w:val="21"/>
          <w:szCs w:val="21"/>
        </w:rPr>
        <w:instrText xml:space="preserve"> SEQ </w:instrText>
      </w:r>
      <w:r w:rsidRPr="003573A7">
        <w:rPr>
          <w:rFonts w:ascii="Times New Roman" w:hAnsi="Times New Roman" w:cs="Times New Roman"/>
          <w:b/>
          <w:bCs/>
          <w:sz w:val="21"/>
          <w:szCs w:val="21"/>
        </w:rPr>
        <w:instrText>表格</w:instrText>
      </w:r>
      <w:r w:rsidRPr="003573A7">
        <w:rPr>
          <w:rFonts w:ascii="Times New Roman" w:hAnsi="Times New Roman" w:cs="Times New Roman"/>
          <w:b/>
          <w:bCs/>
          <w:sz w:val="21"/>
          <w:szCs w:val="21"/>
        </w:rPr>
        <w:instrText xml:space="preserve"> \* ARABIC </w:instrText>
      </w:r>
      <w:r w:rsidRPr="003573A7">
        <w:rPr>
          <w:rFonts w:ascii="Times New Roman" w:hAnsi="Times New Roman" w:cs="Times New Roman"/>
          <w:b/>
          <w:bCs/>
          <w:sz w:val="21"/>
          <w:szCs w:val="21"/>
        </w:rPr>
        <w:fldChar w:fldCharType="separate"/>
      </w:r>
      <w:r w:rsidR="001944E1">
        <w:rPr>
          <w:rFonts w:ascii="Times New Roman" w:hAnsi="Times New Roman" w:cs="Times New Roman"/>
          <w:b/>
          <w:bCs/>
          <w:noProof/>
          <w:sz w:val="21"/>
          <w:szCs w:val="21"/>
        </w:rPr>
        <w:t>8</w:t>
      </w:r>
      <w:r w:rsidRPr="003573A7">
        <w:rPr>
          <w:rFonts w:ascii="Times New Roman" w:hAnsi="Times New Roman" w:cs="Times New Roman"/>
          <w:b/>
          <w:bCs/>
          <w:sz w:val="21"/>
          <w:szCs w:val="21"/>
        </w:rPr>
        <w:fldChar w:fldCharType="end"/>
      </w:r>
      <w:r w:rsidRPr="003573A7">
        <w:rPr>
          <w:rFonts w:ascii="Times New Roman" w:hAnsi="Times New Roman" w:cs="Times New Roman"/>
          <w:b/>
          <w:bCs/>
          <w:sz w:val="21"/>
          <w:szCs w:val="21"/>
        </w:rPr>
        <w:t xml:space="preserve">. </w:t>
      </w:r>
      <w:r w:rsidRPr="005A1912">
        <w:rPr>
          <w:rFonts w:ascii="Times New Roman" w:eastAsia="DengXian" w:hAnsi="Times New Roman" w:cs="Times New Roman"/>
          <w:b/>
          <w:bCs/>
          <w:sz w:val="21"/>
          <w:szCs w:val="21"/>
          <w:lang w:eastAsia="zh-CN"/>
        </w:rPr>
        <w:t>Lifetime parameter setting</w:t>
      </w:r>
      <w:r w:rsidR="00A00D37">
        <w:rPr>
          <w:rFonts w:ascii="Times New Roman" w:eastAsiaTheme="minorEastAsia" w:hAnsi="Times New Roman" w:cs="Times New Roman" w:hint="eastAsia"/>
          <w:b/>
          <w:bCs/>
          <w:sz w:val="21"/>
          <w:szCs w:val="21"/>
        </w:rPr>
        <w:t>s</w:t>
      </w:r>
      <w:r w:rsidRPr="005A1912">
        <w:rPr>
          <w:rFonts w:ascii="Times New Roman" w:eastAsia="DengXian" w:hAnsi="Times New Roman" w:cs="Times New Roman"/>
          <w:b/>
          <w:bCs/>
          <w:sz w:val="21"/>
          <w:szCs w:val="21"/>
          <w:lang w:eastAsia="zh-CN"/>
        </w:rPr>
        <w:t xml:space="preserve"> for LIBs.</w:t>
      </w:r>
      <w:bookmarkEnd w:id="52"/>
      <w:bookmarkEnd w:id="53"/>
    </w:p>
    <w:tbl>
      <w:tblPr>
        <w:tblStyle w:val="a7"/>
        <w:tblW w:w="5000" w:type="pct"/>
        <w:tblLook w:val="04A0" w:firstRow="1" w:lastRow="0" w:firstColumn="1" w:lastColumn="0" w:noHBand="0" w:noVBand="1"/>
      </w:tblPr>
      <w:tblGrid>
        <w:gridCol w:w="4266"/>
        <w:gridCol w:w="2186"/>
        <w:gridCol w:w="2042"/>
      </w:tblGrid>
      <w:tr w:rsidR="000F0F01" w:rsidRPr="00892304" w14:paraId="469D87A4" w14:textId="21F73B7B" w:rsidTr="00892304">
        <w:trPr>
          <w:trHeight w:val="366"/>
        </w:trPr>
        <w:tc>
          <w:tcPr>
            <w:tcW w:w="2511" w:type="pct"/>
            <w:noWrap/>
            <w:hideMark/>
          </w:tcPr>
          <w:p w14:paraId="4B219C64" w14:textId="639049BE" w:rsidR="000F0F01" w:rsidRPr="00892304" w:rsidRDefault="000F0F01" w:rsidP="00D36EC6">
            <w:pPr>
              <w:rPr>
                <w:rFonts w:ascii="Times New Roman" w:eastAsia="DengXian" w:hAnsi="Times New Roman" w:cs="Times New Roman"/>
                <w:b/>
                <w:bCs/>
                <w:color w:val="000000"/>
                <w:sz w:val="21"/>
                <w:szCs w:val="21"/>
                <w:lang w:eastAsia="zh-CN"/>
              </w:rPr>
            </w:pPr>
            <w:r w:rsidRPr="00892304">
              <w:rPr>
                <w:rFonts w:ascii="Times New Roman" w:eastAsia="DengXian" w:hAnsi="Times New Roman" w:cs="Times New Roman" w:hint="eastAsia"/>
                <w:b/>
                <w:bCs/>
                <w:color w:val="000000"/>
                <w:sz w:val="21"/>
                <w:szCs w:val="21"/>
                <w:lang w:eastAsia="zh-CN"/>
              </w:rPr>
              <w:t>LIB</w:t>
            </w:r>
            <w:r w:rsidRPr="00892304">
              <w:rPr>
                <w:rFonts w:ascii="Times New Roman" w:eastAsia="DengXian" w:hAnsi="Times New Roman" w:cs="Times New Roman"/>
                <w:b/>
                <w:bCs/>
                <w:color w:val="000000"/>
                <w:sz w:val="21"/>
                <w:szCs w:val="21"/>
                <w:lang w:eastAsia="zh-CN"/>
              </w:rPr>
              <w:t xml:space="preserve"> lifetime</w:t>
            </w:r>
            <w:r w:rsidRPr="00892304">
              <w:rPr>
                <w:rFonts w:ascii="Times New Roman" w:eastAsia="DengXian" w:hAnsi="Times New Roman" w:cs="Times New Roman" w:hint="eastAsia"/>
                <w:b/>
                <w:bCs/>
                <w:color w:val="000000"/>
                <w:sz w:val="21"/>
                <w:szCs w:val="21"/>
                <w:lang w:eastAsia="zh-CN"/>
              </w:rPr>
              <w:t xml:space="preserve"> (years)</w:t>
            </w:r>
          </w:p>
        </w:tc>
        <w:tc>
          <w:tcPr>
            <w:tcW w:w="1287" w:type="pct"/>
            <w:noWrap/>
            <w:hideMark/>
          </w:tcPr>
          <w:p w14:paraId="63797C2C" w14:textId="6F7C52A8" w:rsidR="000F0F01" w:rsidRPr="00892304" w:rsidRDefault="00562C95" w:rsidP="000F0F01">
            <w:pPr>
              <w:wordWrap w:val="0"/>
              <w:jc w:val="right"/>
              <w:rPr>
                <w:rFonts w:ascii="Times New Roman" w:eastAsia="DengXian" w:hAnsi="Times New Roman" w:cs="Times New Roman"/>
                <w:b/>
                <w:bCs/>
                <w:color w:val="000000"/>
                <w:sz w:val="21"/>
                <w:szCs w:val="21"/>
                <w:lang w:eastAsia="zh-CN"/>
              </w:rPr>
            </w:pPr>
            <w:r w:rsidRPr="00892304">
              <w:rPr>
                <w:rFonts w:ascii="Times New Roman" w:eastAsia="DengXian" w:hAnsi="Times New Roman" w:cs="Times New Roman"/>
                <w:b/>
                <w:bCs/>
                <w:color w:val="000000"/>
                <w:sz w:val="21"/>
                <w:szCs w:val="21"/>
                <w:lang w:eastAsia="zh-CN"/>
              </w:rPr>
              <w:t>Guarantee</w:t>
            </w:r>
            <w:r w:rsidRPr="00892304">
              <w:rPr>
                <w:rFonts w:ascii="Times New Roman" w:eastAsia="DengXian" w:hAnsi="Times New Roman" w:cs="Times New Roman" w:hint="eastAsia"/>
                <w:b/>
                <w:bCs/>
                <w:color w:val="000000"/>
                <w:sz w:val="21"/>
                <w:szCs w:val="21"/>
                <w:lang w:eastAsia="zh-CN"/>
              </w:rPr>
              <w:t xml:space="preserve"> </w:t>
            </w:r>
            <w:r w:rsidR="00892304" w:rsidRPr="00892304">
              <w:rPr>
                <w:rFonts w:ascii="Times New Roman" w:eastAsia="DengXian" w:hAnsi="Times New Roman" w:cs="Times New Roman" w:hint="eastAsia"/>
                <w:b/>
                <w:bCs/>
                <w:color w:val="000000"/>
                <w:sz w:val="21"/>
                <w:szCs w:val="21"/>
                <w:lang w:eastAsia="zh-CN"/>
              </w:rPr>
              <w:t>lifetime</w:t>
            </w:r>
          </w:p>
        </w:tc>
        <w:tc>
          <w:tcPr>
            <w:tcW w:w="1202" w:type="pct"/>
          </w:tcPr>
          <w:p w14:paraId="24B1919C" w14:textId="099D1840" w:rsidR="000F0F01" w:rsidRPr="00892304" w:rsidRDefault="000F0F01" w:rsidP="000F0F01">
            <w:pPr>
              <w:wordWrap w:val="0"/>
              <w:jc w:val="right"/>
              <w:rPr>
                <w:rFonts w:ascii="Times New Roman" w:eastAsia="DengXian" w:hAnsi="Times New Roman" w:cs="Times New Roman"/>
                <w:b/>
                <w:bCs/>
                <w:color w:val="000000"/>
                <w:sz w:val="21"/>
                <w:szCs w:val="21"/>
                <w:lang w:eastAsia="zh-CN"/>
              </w:rPr>
            </w:pPr>
            <w:r w:rsidRPr="00892304">
              <w:rPr>
                <w:rFonts w:ascii="Times New Roman" w:eastAsia="DengXian" w:hAnsi="Times New Roman" w:cs="Times New Roman" w:hint="eastAsia"/>
                <w:b/>
                <w:bCs/>
                <w:color w:val="000000"/>
                <w:sz w:val="21"/>
                <w:szCs w:val="21"/>
                <w:lang w:eastAsia="zh-CN"/>
              </w:rPr>
              <w:t xml:space="preserve">Expected </w:t>
            </w:r>
            <w:r w:rsidR="00892304" w:rsidRPr="00892304">
              <w:rPr>
                <w:rFonts w:ascii="Times New Roman" w:eastAsia="DengXian" w:hAnsi="Times New Roman" w:cs="Times New Roman" w:hint="eastAsia"/>
                <w:b/>
                <w:bCs/>
                <w:color w:val="000000"/>
                <w:sz w:val="21"/>
                <w:szCs w:val="21"/>
                <w:lang w:eastAsia="zh-CN"/>
              </w:rPr>
              <w:t>lifetime</w:t>
            </w:r>
          </w:p>
        </w:tc>
      </w:tr>
      <w:tr w:rsidR="000F0F01" w:rsidRPr="00892304" w14:paraId="0A83934A" w14:textId="6BA1FA9D" w:rsidTr="00892304">
        <w:trPr>
          <w:trHeight w:val="354"/>
        </w:trPr>
        <w:tc>
          <w:tcPr>
            <w:tcW w:w="2511" w:type="pct"/>
            <w:noWrap/>
            <w:hideMark/>
          </w:tcPr>
          <w:p w14:paraId="24696862" w14:textId="109B77CC" w:rsidR="000F0F01" w:rsidRPr="00892304" w:rsidRDefault="000F0F01" w:rsidP="00D36EC6">
            <w:pPr>
              <w:rPr>
                <w:rFonts w:ascii="Times New Roman" w:eastAsia="DengXian" w:hAnsi="Times New Roman" w:cs="Times New Roman"/>
                <w:color w:val="000000"/>
                <w:sz w:val="21"/>
                <w:szCs w:val="21"/>
                <w:lang w:eastAsia="zh-CN"/>
              </w:rPr>
            </w:pPr>
            <w:r w:rsidRPr="00892304">
              <w:rPr>
                <w:rFonts w:ascii="Times New Roman" w:eastAsia="DengXian" w:hAnsi="Times New Roman" w:cs="Times New Roman"/>
                <w:color w:val="000000"/>
                <w:sz w:val="21"/>
                <w:szCs w:val="21"/>
                <w:lang w:eastAsia="zh-CN"/>
              </w:rPr>
              <w:t xml:space="preserve">Primary use in </w:t>
            </w:r>
            <w:r w:rsidR="00562C95" w:rsidRPr="00892304">
              <w:rPr>
                <w:rFonts w:ascii="Times New Roman" w:eastAsia="DengXian" w:hAnsi="Times New Roman" w:cs="Times New Roman" w:hint="eastAsia"/>
                <w:color w:val="000000"/>
                <w:sz w:val="21"/>
                <w:szCs w:val="21"/>
                <w:lang w:eastAsia="zh-CN"/>
              </w:rPr>
              <w:t>B</w:t>
            </w:r>
            <w:r w:rsidRPr="00892304">
              <w:rPr>
                <w:rFonts w:ascii="Times New Roman" w:eastAsia="DengXian" w:hAnsi="Times New Roman" w:cs="Times New Roman"/>
                <w:color w:val="000000"/>
                <w:sz w:val="21"/>
                <w:szCs w:val="21"/>
                <w:lang w:eastAsia="zh-CN"/>
              </w:rPr>
              <w:t>EVs</w:t>
            </w:r>
          </w:p>
        </w:tc>
        <w:tc>
          <w:tcPr>
            <w:tcW w:w="1287" w:type="pct"/>
            <w:noWrap/>
            <w:hideMark/>
          </w:tcPr>
          <w:p w14:paraId="7AD64E37" w14:textId="4F7EBD36" w:rsidR="000F0F01" w:rsidRPr="00892304" w:rsidRDefault="00905CE3" w:rsidP="00D36EC6">
            <w:pPr>
              <w:jc w:val="right"/>
              <w:rPr>
                <w:rFonts w:ascii="Times New Roman" w:eastAsia="DengXian" w:hAnsi="Times New Roman" w:cs="Times New Roman"/>
                <w:color w:val="000000"/>
                <w:sz w:val="21"/>
                <w:szCs w:val="21"/>
                <w:lang w:eastAsia="zh-CN"/>
              </w:rPr>
            </w:pPr>
            <w:r w:rsidRPr="00892304">
              <w:rPr>
                <w:rFonts w:ascii="Times New Roman" w:eastAsia="DengXian" w:hAnsi="Times New Roman" w:cs="Times New Roman" w:hint="eastAsia"/>
                <w:color w:val="000000"/>
                <w:sz w:val="21"/>
                <w:szCs w:val="21"/>
                <w:lang w:eastAsia="zh-CN"/>
              </w:rPr>
              <w:t>7</w:t>
            </w:r>
          </w:p>
        </w:tc>
        <w:tc>
          <w:tcPr>
            <w:tcW w:w="1202" w:type="pct"/>
          </w:tcPr>
          <w:p w14:paraId="40185C89" w14:textId="46297401" w:rsidR="000F0F01" w:rsidRPr="00892304" w:rsidRDefault="000F0F01" w:rsidP="00AA7012">
            <w:pPr>
              <w:wordWrap w:val="0"/>
              <w:jc w:val="right"/>
              <w:rPr>
                <w:rFonts w:ascii="Times New Roman" w:eastAsia="DengXian" w:hAnsi="Times New Roman" w:cs="Times New Roman"/>
                <w:color w:val="000000"/>
                <w:sz w:val="21"/>
                <w:szCs w:val="21"/>
                <w:lang w:eastAsia="zh-CN"/>
              </w:rPr>
            </w:pPr>
            <w:r w:rsidRPr="00892304">
              <w:rPr>
                <w:rFonts w:ascii="Times New Roman" w:eastAsia="DengXian" w:hAnsi="Times New Roman" w:cs="Times New Roman" w:hint="eastAsia"/>
                <w:color w:val="000000"/>
                <w:sz w:val="21"/>
                <w:szCs w:val="21"/>
                <w:lang w:eastAsia="zh-CN"/>
              </w:rPr>
              <w:t>1</w:t>
            </w:r>
            <w:r w:rsidR="00905CE3" w:rsidRPr="00892304">
              <w:rPr>
                <w:rFonts w:ascii="Times New Roman" w:eastAsia="DengXian" w:hAnsi="Times New Roman" w:cs="Times New Roman" w:hint="eastAsia"/>
                <w:color w:val="000000"/>
                <w:sz w:val="21"/>
                <w:szCs w:val="21"/>
                <w:lang w:eastAsia="zh-CN"/>
              </w:rPr>
              <w:t>1</w:t>
            </w:r>
          </w:p>
        </w:tc>
      </w:tr>
      <w:tr w:rsidR="00905CE3" w:rsidRPr="00892304" w14:paraId="201E57F3" w14:textId="77777777" w:rsidTr="00892304">
        <w:trPr>
          <w:trHeight w:val="354"/>
        </w:trPr>
        <w:tc>
          <w:tcPr>
            <w:tcW w:w="2511" w:type="pct"/>
            <w:noWrap/>
          </w:tcPr>
          <w:p w14:paraId="7091AFD3" w14:textId="21D78183" w:rsidR="00905CE3" w:rsidRPr="00892304" w:rsidRDefault="00562C95" w:rsidP="00D36EC6">
            <w:pPr>
              <w:rPr>
                <w:rFonts w:ascii="Times New Roman" w:eastAsia="DengXian" w:hAnsi="Times New Roman" w:cs="Times New Roman"/>
                <w:color w:val="000000"/>
                <w:sz w:val="21"/>
                <w:szCs w:val="21"/>
                <w:lang w:eastAsia="zh-CN"/>
              </w:rPr>
            </w:pPr>
            <w:r w:rsidRPr="00892304">
              <w:rPr>
                <w:rFonts w:ascii="Times New Roman" w:eastAsia="DengXian" w:hAnsi="Times New Roman" w:cs="Times New Roman" w:hint="eastAsia"/>
                <w:color w:val="000000"/>
                <w:sz w:val="21"/>
                <w:szCs w:val="21"/>
                <w:lang w:eastAsia="zh-CN"/>
              </w:rPr>
              <w:t>Primary use in PHEVs</w:t>
            </w:r>
          </w:p>
        </w:tc>
        <w:tc>
          <w:tcPr>
            <w:tcW w:w="1287" w:type="pct"/>
            <w:noWrap/>
          </w:tcPr>
          <w:p w14:paraId="201337DA" w14:textId="5860A35F" w:rsidR="00905CE3" w:rsidRPr="00892304" w:rsidRDefault="00905CE3" w:rsidP="00D36EC6">
            <w:pPr>
              <w:jc w:val="right"/>
              <w:rPr>
                <w:rFonts w:ascii="Times New Roman" w:eastAsia="DengXian" w:hAnsi="Times New Roman" w:cs="Times New Roman"/>
                <w:color w:val="000000"/>
                <w:sz w:val="21"/>
                <w:szCs w:val="21"/>
                <w:lang w:eastAsia="zh-CN"/>
              </w:rPr>
            </w:pPr>
            <w:r w:rsidRPr="00892304">
              <w:rPr>
                <w:rFonts w:ascii="Times New Roman" w:eastAsia="DengXian" w:hAnsi="Times New Roman" w:cs="Times New Roman" w:hint="eastAsia"/>
                <w:color w:val="000000"/>
                <w:sz w:val="21"/>
                <w:szCs w:val="21"/>
                <w:lang w:eastAsia="zh-CN"/>
              </w:rPr>
              <w:t>8</w:t>
            </w:r>
          </w:p>
        </w:tc>
        <w:tc>
          <w:tcPr>
            <w:tcW w:w="1202" w:type="pct"/>
          </w:tcPr>
          <w:p w14:paraId="1C5265F6" w14:textId="55CD8070" w:rsidR="00905CE3" w:rsidRPr="00892304" w:rsidRDefault="00905CE3" w:rsidP="00D36EC6">
            <w:pPr>
              <w:jc w:val="right"/>
              <w:rPr>
                <w:rFonts w:ascii="Times New Roman" w:eastAsia="DengXian" w:hAnsi="Times New Roman" w:cs="Times New Roman"/>
                <w:color w:val="000000"/>
                <w:sz w:val="21"/>
                <w:szCs w:val="21"/>
                <w:lang w:eastAsia="zh-CN"/>
              </w:rPr>
            </w:pPr>
            <w:r w:rsidRPr="00892304">
              <w:rPr>
                <w:rFonts w:ascii="Times New Roman" w:eastAsia="DengXian" w:hAnsi="Times New Roman" w:cs="Times New Roman" w:hint="eastAsia"/>
                <w:color w:val="000000"/>
                <w:sz w:val="21"/>
                <w:szCs w:val="21"/>
                <w:lang w:eastAsia="zh-CN"/>
              </w:rPr>
              <w:t>12</w:t>
            </w:r>
          </w:p>
        </w:tc>
      </w:tr>
      <w:tr w:rsidR="000F0F01" w:rsidRPr="00892304" w14:paraId="73F3801F" w14:textId="0509D49C" w:rsidTr="00892304">
        <w:trPr>
          <w:trHeight w:val="354"/>
        </w:trPr>
        <w:tc>
          <w:tcPr>
            <w:tcW w:w="2511" w:type="pct"/>
            <w:noWrap/>
            <w:hideMark/>
          </w:tcPr>
          <w:p w14:paraId="74B6225F" w14:textId="77777777" w:rsidR="000F0F01" w:rsidRPr="00892304" w:rsidRDefault="000F0F01" w:rsidP="00D36EC6">
            <w:pPr>
              <w:rPr>
                <w:rFonts w:ascii="Times New Roman" w:eastAsia="游ゴシック" w:hAnsi="Times New Roman" w:cs="Times New Roman"/>
                <w:color w:val="000000"/>
                <w:sz w:val="21"/>
                <w:szCs w:val="21"/>
              </w:rPr>
            </w:pPr>
            <w:r w:rsidRPr="00892304">
              <w:rPr>
                <w:rFonts w:ascii="Times New Roman" w:eastAsia="游ゴシック" w:hAnsi="Times New Roman" w:cs="Times New Roman"/>
                <w:color w:val="000000"/>
                <w:sz w:val="21"/>
                <w:szCs w:val="21"/>
              </w:rPr>
              <w:t>Secondary use in stationary energy storage</w:t>
            </w:r>
          </w:p>
        </w:tc>
        <w:tc>
          <w:tcPr>
            <w:tcW w:w="1287" w:type="pct"/>
            <w:noWrap/>
            <w:hideMark/>
          </w:tcPr>
          <w:p w14:paraId="0A5181F6" w14:textId="77777777" w:rsidR="000F0F01" w:rsidRPr="00892304" w:rsidRDefault="000F0F01" w:rsidP="00D36EC6">
            <w:pPr>
              <w:jc w:val="right"/>
              <w:rPr>
                <w:rFonts w:ascii="Times New Roman" w:eastAsia="游ゴシック" w:hAnsi="Times New Roman" w:cs="Times New Roman"/>
                <w:color w:val="000000"/>
                <w:sz w:val="21"/>
                <w:szCs w:val="21"/>
              </w:rPr>
            </w:pPr>
            <w:r w:rsidRPr="00892304">
              <w:rPr>
                <w:rFonts w:ascii="Times New Roman" w:eastAsia="游ゴシック" w:hAnsi="Times New Roman" w:cs="Times New Roman"/>
                <w:color w:val="000000"/>
                <w:sz w:val="21"/>
                <w:szCs w:val="21"/>
              </w:rPr>
              <w:t>10</w:t>
            </w:r>
          </w:p>
        </w:tc>
        <w:tc>
          <w:tcPr>
            <w:tcW w:w="1202" w:type="pct"/>
          </w:tcPr>
          <w:p w14:paraId="652E1466" w14:textId="0559EC7E" w:rsidR="000F0F01" w:rsidRPr="00892304" w:rsidRDefault="000F0F01" w:rsidP="00D36EC6">
            <w:pPr>
              <w:jc w:val="right"/>
              <w:rPr>
                <w:rFonts w:ascii="Times New Roman" w:eastAsia="DengXian" w:hAnsi="Times New Roman" w:cs="Times New Roman"/>
                <w:color w:val="000000"/>
                <w:sz w:val="21"/>
                <w:szCs w:val="21"/>
                <w:lang w:eastAsia="zh-CN"/>
              </w:rPr>
            </w:pPr>
            <w:r w:rsidRPr="00892304">
              <w:rPr>
                <w:rFonts w:ascii="Times New Roman" w:eastAsia="DengXian" w:hAnsi="Times New Roman" w:cs="Times New Roman" w:hint="eastAsia"/>
                <w:color w:val="000000"/>
                <w:sz w:val="21"/>
                <w:szCs w:val="21"/>
                <w:lang w:eastAsia="zh-CN"/>
              </w:rPr>
              <w:t>1</w:t>
            </w:r>
            <w:r w:rsidR="00AA7012" w:rsidRPr="00892304">
              <w:rPr>
                <w:rFonts w:ascii="Times New Roman" w:eastAsia="DengXian" w:hAnsi="Times New Roman" w:cs="Times New Roman" w:hint="eastAsia"/>
                <w:color w:val="000000"/>
                <w:sz w:val="21"/>
                <w:szCs w:val="21"/>
                <w:lang w:eastAsia="zh-CN"/>
              </w:rPr>
              <w:t>5</w:t>
            </w:r>
          </w:p>
        </w:tc>
      </w:tr>
    </w:tbl>
    <w:p w14:paraId="62FF9B84" w14:textId="77777777" w:rsidR="00751063" w:rsidRPr="000F62FA" w:rsidRDefault="00751063">
      <w:pPr>
        <w:rPr>
          <w:rFonts w:ascii="Times New Roman" w:eastAsia="DengXian" w:hAnsi="Times New Roman" w:cs="Times New Roman"/>
          <w:sz w:val="21"/>
          <w:szCs w:val="21"/>
          <w:lang w:eastAsia="zh-CN"/>
        </w:rPr>
      </w:pPr>
    </w:p>
    <w:p w14:paraId="47B0988E" w14:textId="7E8FA119" w:rsidR="000D6BB1" w:rsidRDefault="000D6BB1" w:rsidP="000D6BB1">
      <w:pPr>
        <w:pStyle w:val="2"/>
        <w:rPr>
          <w:rFonts w:eastAsia="DengXian"/>
        </w:rPr>
      </w:pPr>
      <w:bookmarkStart w:id="54" w:name="_Toc199865019"/>
      <w:r w:rsidRPr="000F62FA">
        <w:rPr>
          <w:rFonts w:eastAsia="DengXian"/>
        </w:rPr>
        <w:t>2</w:t>
      </w:r>
      <w:r w:rsidRPr="000F62FA">
        <w:t>.</w:t>
      </w:r>
      <w:r w:rsidR="002D790A">
        <w:rPr>
          <w:rFonts w:eastAsiaTheme="minorEastAsia" w:hint="eastAsia"/>
          <w:lang w:eastAsia="ja-JP"/>
        </w:rPr>
        <w:t>5</w:t>
      </w:r>
      <w:r w:rsidRPr="000F62FA">
        <w:t xml:space="preserve"> </w:t>
      </w:r>
      <w:r w:rsidR="00E01BE8">
        <w:rPr>
          <w:rFonts w:eastAsia="DengXian" w:hint="eastAsia"/>
        </w:rPr>
        <w:t>C</w:t>
      </w:r>
      <w:r w:rsidR="00E96475" w:rsidRPr="000F62FA">
        <w:rPr>
          <w:rFonts w:eastAsia="DengXian"/>
        </w:rPr>
        <w:t xml:space="preserve">ollection and </w:t>
      </w:r>
      <w:r w:rsidR="008B1855">
        <w:rPr>
          <w:rFonts w:eastAsia="DengXian" w:hint="eastAsia"/>
        </w:rPr>
        <w:t>S</w:t>
      </w:r>
      <w:r w:rsidR="00793759" w:rsidRPr="000F62FA">
        <w:rPr>
          <w:rFonts w:eastAsia="DengXian"/>
        </w:rPr>
        <w:t xml:space="preserve">econdary </w:t>
      </w:r>
      <w:r w:rsidR="008B1855">
        <w:rPr>
          <w:rFonts w:eastAsia="DengXian" w:hint="eastAsia"/>
        </w:rPr>
        <w:t>U</w:t>
      </w:r>
      <w:r w:rsidR="00793759" w:rsidRPr="000F62FA">
        <w:rPr>
          <w:rFonts w:eastAsia="DengXian"/>
        </w:rPr>
        <w:t>s</w:t>
      </w:r>
      <w:r w:rsidR="008B1855">
        <w:rPr>
          <w:rFonts w:eastAsia="DengXian" w:hint="eastAsia"/>
        </w:rPr>
        <w:t>e of Spent Batteries</w:t>
      </w:r>
      <w:bookmarkEnd w:id="54"/>
    </w:p>
    <w:p w14:paraId="4B775201" w14:textId="77777777" w:rsidR="003F4F49" w:rsidRDefault="004435AA" w:rsidP="00450688">
      <w:pPr>
        <w:rPr>
          <w:rFonts w:ascii="Times New Roman" w:eastAsia="DengXian" w:hAnsi="Times New Roman" w:cs="Times New Roman"/>
          <w:sz w:val="21"/>
          <w:szCs w:val="21"/>
          <w:lang w:eastAsia="zh-CN"/>
        </w:rPr>
      </w:pPr>
      <w:r w:rsidRPr="004435AA">
        <w:rPr>
          <w:rFonts w:ascii="Times New Roman" w:hAnsi="Times New Roman" w:cs="Times New Roman"/>
          <w:sz w:val="21"/>
          <w:szCs w:val="21"/>
        </w:rPr>
        <w:t>Automotive LIBs are assumed to be collected either at the end of their guaranteed service life or upon vehicle deregistration. Depending on policy, a portion, all, or none of these batteries may subsequently be directed to secondary use in stationary energy storage systems. Figure S25 illustrates the projected changes in final collection volumes of spent automotive LIBs across different scenarios (note: values are expressed in pack weight). The results indicate that promoting secondary use significantly delays final collection by approximately 10 years, as observed in comparisons between scenarios S11 and S21/S31. Additionally, extending the lifetime of LIBs contributes notably to postponing final collection, as seen when comparing S11 with S12 and S13. Notably, recycling of LFP batteries presents a significant challenge: in scenarios S11, S21, and S31, LFP batteries are excluded from collection due to economic infeasibility. Only in scenario S32—where LFP collection is mandated and secondary use is limited—is a substantial recycling capacity for LFP required. Overall, the wide range of outcomes across scenarios highlights the substantial uncertainty surrounding the scale of investment needed for future LIB recycling infrastructure.</w:t>
      </w:r>
    </w:p>
    <w:p w14:paraId="59D28C3E" w14:textId="77777777" w:rsidR="00450688" w:rsidRPr="00C9365B" w:rsidRDefault="00450688" w:rsidP="00450688">
      <w:pPr>
        <w:rPr>
          <w:rFonts w:ascii="Times New Roman" w:eastAsia="DengXian" w:hAnsi="Times New Roman" w:cs="Times New Roman"/>
          <w:sz w:val="18"/>
          <w:szCs w:val="18"/>
          <w:lang w:eastAsia="zh-CN"/>
        </w:rPr>
      </w:pPr>
    </w:p>
    <w:p w14:paraId="2D2ED5E3" w14:textId="18E7F362" w:rsidR="00C94B13" w:rsidRPr="00AC6160" w:rsidRDefault="009D525C" w:rsidP="00450688">
      <w:pPr>
        <w:rPr>
          <w:rFonts w:ascii="Times New Roman" w:eastAsiaTheme="minorEastAsia" w:hAnsi="Times New Roman" w:cs="Times New Roman"/>
          <w:sz w:val="18"/>
          <w:szCs w:val="18"/>
        </w:rPr>
      </w:pPr>
      <w:r w:rsidRPr="009D525C">
        <w:rPr>
          <w:rFonts w:ascii="Times New Roman" w:eastAsiaTheme="minorEastAsia" w:hAnsi="Times New Roman" w:cs="Times New Roman"/>
          <w:noProof/>
          <w:sz w:val="18"/>
          <w:szCs w:val="18"/>
        </w:rPr>
        <w:lastRenderedPageBreak/>
        <w:drawing>
          <wp:inline distT="0" distB="0" distL="0" distR="0" wp14:anchorId="1570C32E" wp14:editId="27288ABE">
            <wp:extent cx="5400040" cy="3868420"/>
            <wp:effectExtent l="0" t="0" r="0" b="0"/>
            <wp:docPr id="23" name="図 22" descr="アプリケーション&#10;&#10;AI によって生成されたコンテンツは間違っている可能性があります。">
              <a:extLst xmlns:a="http://schemas.openxmlformats.org/drawingml/2006/main">
                <a:ext uri="{FF2B5EF4-FFF2-40B4-BE49-F238E27FC236}">
                  <a16:creationId xmlns:a16="http://schemas.microsoft.com/office/drawing/2014/main" id="{E45985F7-B162-7F5C-0FB6-950D75C7B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アプリケーション&#10;&#10;AI によって生成されたコンテンツは間違っている可能性があります。">
                      <a:extLst>
                        <a:ext uri="{FF2B5EF4-FFF2-40B4-BE49-F238E27FC236}">
                          <a16:creationId xmlns:a16="http://schemas.microsoft.com/office/drawing/2014/main" id="{E45985F7-B162-7F5C-0FB6-950D75C7B81E}"/>
                        </a:ext>
                      </a:extLst>
                    </pic:cNvPr>
                    <pic:cNvPicPr>
                      <a:picLocks noChangeAspect="1"/>
                    </pic:cNvPicPr>
                  </pic:nvPicPr>
                  <pic:blipFill>
                    <a:blip r:embed="rId39"/>
                    <a:stretch>
                      <a:fillRect/>
                    </a:stretch>
                  </pic:blipFill>
                  <pic:spPr>
                    <a:xfrm>
                      <a:off x="0" y="0"/>
                      <a:ext cx="5400040" cy="3868420"/>
                    </a:xfrm>
                    <a:prstGeom prst="rect">
                      <a:avLst/>
                    </a:prstGeom>
                  </pic:spPr>
                </pic:pic>
              </a:graphicData>
            </a:graphic>
          </wp:inline>
        </w:drawing>
      </w:r>
    </w:p>
    <w:p w14:paraId="01FED054" w14:textId="0F8FEAE1" w:rsidR="00BF2E07" w:rsidRPr="000854A9" w:rsidRDefault="00BF2E07" w:rsidP="00BF2E07">
      <w:pPr>
        <w:pStyle w:val="af"/>
        <w:jc w:val="center"/>
        <w:rPr>
          <w:rFonts w:ascii="Times New Roman" w:eastAsia="DengXian" w:hAnsi="Times New Roman" w:cs="Times New Roman"/>
          <w:lang w:eastAsia="zh-CN"/>
        </w:rPr>
      </w:pPr>
      <w:bookmarkStart w:id="55" w:name="_Toc208439491"/>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737CA3">
        <w:rPr>
          <w:rFonts w:ascii="Times New Roman" w:hAnsi="Times New Roman" w:cs="Times New Roman"/>
          <w:noProof/>
        </w:rPr>
        <w:t>25</w:t>
      </w:r>
      <w:r w:rsidRPr="007F5CA8">
        <w:rPr>
          <w:rFonts w:ascii="Times New Roman" w:hAnsi="Times New Roman" w:cs="Times New Roman"/>
        </w:rPr>
        <w:fldChar w:fldCharType="end"/>
      </w:r>
      <w:r w:rsidRPr="007F5CA8">
        <w:rPr>
          <w:rFonts w:ascii="Times New Roman" w:hAnsi="Times New Roman" w:cs="Times New Roman"/>
        </w:rPr>
        <w:t xml:space="preserve">. </w:t>
      </w:r>
      <w:r w:rsidR="00321B3F">
        <w:rPr>
          <w:rFonts w:ascii="Times New Roman" w:eastAsia="DengXian" w:hAnsi="Times New Roman" w:cs="Times New Roman" w:hint="eastAsia"/>
          <w:lang w:eastAsia="zh-CN"/>
        </w:rPr>
        <w:t>Final c</w:t>
      </w:r>
      <w:r w:rsidR="000854A9">
        <w:rPr>
          <w:rFonts w:ascii="Times New Roman" w:eastAsia="DengXian" w:hAnsi="Times New Roman" w:cs="Times New Roman"/>
          <w:lang w:eastAsia="zh-CN"/>
        </w:rPr>
        <w:t>ollection</w:t>
      </w:r>
      <w:r w:rsidR="000854A9">
        <w:rPr>
          <w:rFonts w:ascii="Times New Roman" w:eastAsia="DengXian" w:hAnsi="Times New Roman" w:cs="Times New Roman" w:hint="eastAsia"/>
          <w:lang w:eastAsia="zh-CN"/>
        </w:rPr>
        <w:t xml:space="preserve"> of spent automotive LIBs</w:t>
      </w:r>
      <w:r w:rsidR="00321B3F">
        <w:rPr>
          <w:rFonts w:ascii="Times New Roman" w:eastAsia="DengXian" w:hAnsi="Times New Roman" w:cs="Times New Roman" w:hint="eastAsia"/>
          <w:lang w:eastAsia="zh-CN"/>
        </w:rPr>
        <w:t xml:space="preserve"> in scenarios</w:t>
      </w:r>
      <w:bookmarkEnd w:id="55"/>
    </w:p>
    <w:p w14:paraId="549A9BD9" w14:textId="77777777" w:rsidR="00F17E61" w:rsidRPr="00F17E61" w:rsidRDefault="00F17E61" w:rsidP="00450688">
      <w:pPr>
        <w:rPr>
          <w:rFonts w:ascii="Times New Roman" w:eastAsia="DengXian" w:hAnsi="Times New Roman" w:cs="Times New Roman"/>
          <w:sz w:val="18"/>
          <w:szCs w:val="18"/>
          <w:lang w:eastAsia="zh-CN"/>
        </w:rPr>
      </w:pPr>
    </w:p>
    <w:p w14:paraId="5D3FBC43" w14:textId="75048787" w:rsidR="00315810" w:rsidRDefault="00315810" w:rsidP="00D946B5">
      <w:pPr>
        <w:rPr>
          <w:rFonts w:ascii="Times New Roman" w:eastAsia="DengXian" w:hAnsi="Times New Roman" w:cs="Times New Roman"/>
          <w:sz w:val="21"/>
          <w:szCs w:val="21"/>
          <w:lang w:eastAsia="zh-CN"/>
        </w:rPr>
      </w:pPr>
      <w:r w:rsidRPr="00315810">
        <w:rPr>
          <w:rFonts w:ascii="Times New Roman" w:eastAsia="DengXian" w:hAnsi="Times New Roman" w:cs="Times New Roman"/>
          <w:sz w:val="21"/>
          <w:szCs w:val="21"/>
          <w:lang w:eastAsia="zh-CN"/>
        </w:rPr>
        <w:t>This study assumes no upper limit on the capacity for repurposing spent LIBs in stationary energy storage systems under scenarios promoting secondary use. However, in practice, the stationary energy storage market is likely to have finite capacity. According to projections by IRENA, the global market for stationary energy storage may be sufficient to absorb all spent LIBs originating from Japan, while the domestic Japanese market alone may not</w:t>
      </w:r>
      <w:r w:rsidRPr="00450688">
        <w:rPr>
          <w:rFonts w:ascii="Times New Roman" w:eastAsia="DengXian" w:hAnsi="Times New Roman" w:cs="Times New Roman"/>
          <w:sz w:val="21"/>
          <w:szCs w:val="18"/>
        </w:rPr>
        <w:fldChar w:fldCharType="begin"/>
      </w:r>
      <w:r w:rsidRPr="00450688">
        <w:rPr>
          <w:rFonts w:ascii="Times New Roman" w:eastAsia="DengXian" w:hAnsi="Times New Roman" w:cs="Times New Roman"/>
          <w:sz w:val="21"/>
          <w:szCs w:val="18"/>
        </w:rPr>
        <w:instrText xml:space="preserve"> ADDIN EN.CITE &lt;EndNote&gt;&lt;Cite&gt;&lt;Author&gt;IRENA&lt;/Author&gt;&lt;Year&gt;2020&lt;/Year&gt;&lt;RecNum&gt;234&lt;/RecNum&gt;&lt;DisplayText&gt;&lt;style face="superscript"&gt;15&lt;/style&gt;&lt;/DisplayText&gt;&lt;record&gt;&lt;rec-number&gt;234&lt;/rec-number&gt;&lt;foreign-keys&gt;&lt;key app="EN" db-id="200xxs0psrtaz4eze9pp5vvrdraszefpsp0w" timestamp="1742190437"&gt;234&lt;/key&gt;&lt;/foreign-keys&gt;&lt;ref-type name="Report"&gt;27&lt;/ref-type&gt;&lt;contributors&gt;&lt;authors&gt;&lt;author&gt;IRENA&lt;/author&gt;&lt;/authors&gt;&lt;/contributors&gt;&lt;titles&gt;&lt;title&gt;Global Renewables Outlook: Energy Transformation 2050&lt;/title&gt;&lt;/titles&gt;&lt;dates&gt;&lt;year&gt;2020&lt;/year&gt;&lt;/dates&gt;&lt;publisher&gt;The International Renewable Energy Agency (IRENA)&lt;/publisher&gt;&lt;urls&gt;&lt;/urls&gt;&lt;/record&gt;&lt;/Cite&gt;&lt;/EndNote&gt;</w:instrText>
      </w:r>
      <w:r w:rsidRPr="00450688">
        <w:rPr>
          <w:rFonts w:ascii="Times New Roman" w:eastAsia="DengXian" w:hAnsi="Times New Roman" w:cs="Times New Roman"/>
          <w:sz w:val="21"/>
          <w:szCs w:val="18"/>
        </w:rPr>
        <w:fldChar w:fldCharType="separate"/>
      </w:r>
      <w:r w:rsidRPr="00450688">
        <w:rPr>
          <w:rFonts w:ascii="Times New Roman" w:eastAsia="DengXian" w:hAnsi="Times New Roman" w:cs="Times New Roman"/>
          <w:noProof/>
          <w:sz w:val="21"/>
          <w:szCs w:val="18"/>
          <w:vertAlign w:val="superscript"/>
        </w:rPr>
        <w:t>15</w:t>
      </w:r>
      <w:r w:rsidRPr="00450688">
        <w:rPr>
          <w:rFonts w:ascii="Times New Roman" w:eastAsia="DengXian" w:hAnsi="Times New Roman" w:cs="Times New Roman"/>
          <w:sz w:val="21"/>
          <w:szCs w:val="18"/>
        </w:rPr>
        <w:fldChar w:fldCharType="end"/>
      </w:r>
      <w:r w:rsidRPr="00315810">
        <w:rPr>
          <w:rFonts w:ascii="Times New Roman" w:eastAsia="DengXian" w:hAnsi="Times New Roman" w:cs="Times New Roman"/>
          <w:sz w:val="21"/>
          <w:szCs w:val="21"/>
          <w:lang w:eastAsia="zh-CN"/>
        </w:rPr>
        <w:t>. Figure S26 illustrates that the demand for secondary use capacity increases under two key conditions: (1) policy-driven promotion of secondary use across all LIB types (scenarios S11, S12, S13), and (2) widespread adoption of LFP batteries with corresponding diversion of spent LFP cells to secondary applications.</w:t>
      </w:r>
    </w:p>
    <w:p w14:paraId="45D893A0" w14:textId="77777777" w:rsidR="00450688" w:rsidRPr="00450688" w:rsidRDefault="00450688" w:rsidP="00450688">
      <w:pPr>
        <w:rPr>
          <w:rFonts w:eastAsia="DengXian"/>
          <w:sz w:val="21"/>
          <w:szCs w:val="21"/>
          <w:lang w:eastAsia="zh-CN"/>
        </w:rPr>
      </w:pPr>
    </w:p>
    <w:p w14:paraId="1C3AB7C3" w14:textId="05836CD2" w:rsidR="00121FD3" w:rsidRPr="000F62FA" w:rsidRDefault="008D58ED" w:rsidP="00121FD3">
      <w:pPr>
        <w:rPr>
          <w:rFonts w:ascii="Times New Roman" w:eastAsia="DengXian" w:hAnsi="Times New Roman" w:cs="Times New Roman"/>
          <w:color w:val="000000"/>
          <w:szCs w:val="21"/>
        </w:rPr>
      </w:pPr>
      <w:r w:rsidRPr="008D58ED">
        <w:rPr>
          <w:rFonts w:ascii="Times New Roman" w:eastAsia="DengXian" w:hAnsi="Times New Roman" w:cs="Times New Roman"/>
          <w:noProof/>
          <w:color w:val="000000"/>
          <w:szCs w:val="21"/>
        </w:rPr>
        <w:lastRenderedPageBreak/>
        <w:drawing>
          <wp:inline distT="0" distB="0" distL="0" distR="0" wp14:anchorId="1DF26A9D" wp14:editId="3B25C04C">
            <wp:extent cx="5400040" cy="3840480"/>
            <wp:effectExtent l="0" t="0" r="0" b="7620"/>
            <wp:docPr id="190092126" name="図 22" descr="グラフィカル ユーザー インターフェイス, アプリケーション, 多角形&#10;&#10;AI によって生成されたコンテンツは間違っている可能性があります。">
              <a:extLst xmlns:a="http://schemas.openxmlformats.org/drawingml/2006/main">
                <a:ext uri="{FF2B5EF4-FFF2-40B4-BE49-F238E27FC236}">
                  <a16:creationId xmlns:a16="http://schemas.microsoft.com/office/drawing/2014/main" id="{845203A3-34F4-186B-9988-4339179ED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2126" name="図 22" descr="グラフィカル ユーザー インターフェイス, アプリケーション, 多角形&#10;&#10;AI によって生成されたコンテンツは間違っている可能性があります。">
                      <a:extLst>
                        <a:ext uri="{FF2B5EF4-FFF2-40B4-BE49-F238E27FC236}">
                          <a16:creationId xmlns:a16="http://schemas.microsoft.com/office/drawing/2014/main" id="{845203A3-34F4-186B-9988-4339179ED2C5}"/>
                        </a:ext>
                      </a:extLst>
                    </pic:cNvPr>
                    <pic:cNvPicPr>
                      <a:picLocks noChangeAspect="1"/>
                    </pic:cNvPicPr>
                  </pic:nvPicPr>
                  <pic:blipFill>
                    <a:blip r:embed="rId40"/>
                    <a:stretch>
                      <a:fillRect/>
                    </a:stretch>
                  </pic:blipFill>
                  <pic:spPr>
                    <a:xfrm>
                      <a:off x="0" y="0"/>
                      <a:ext cx="5400040" cy="3840480"/>
                    </a:xfrm>
                    <a:prstGeom prst="rect">
                      <a:avLst/>
                    </a:prstGeom>
                  </pic:spPr>
                </pic:pic>
              </a:graphicData>
            </a:graphic>
          </wp:inline>
        </w:drawing>
      </w:r>
    </w:p>
    <w:p w14:paraId="7773CEC7" w14:textId="7E7164B8" w:rsidR="001B31BC" w:rsidRPr="002F1F71" w:rsidRDefault="001B31BC" w:rsidP="001B31BC">
      <w:pPr>
        <w:pStyle w:val="af"/>
        <w:jc w:val="center"/>
        <w:rPr>
          <w:rFonts w:ascii="Times New Roman" w:eastAsia="DengXian" w:hAnsi="Times New Roman" w:cs="Times New Roman"/>
          <w:lang w:eastAsia="zh-CN"/>
        </w:rPr>
      </w:pPr>
      <w:bookmarkStart w:id="56" w:name="_Toc208439492"/>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0B1795">
        <w:rPr>
          <w:rFonts w:ascii="Times New Roman" w:hAnsi="Times New Roman" w:cs="Times New Roman"/>
          <w:noProof/>
        </w:rPr>
        <w:t>26</w:t>
      </w:r>
      <w:r w:rsidRPr="007F5CA8">
        <w:rPr>
          <w:rFonts w:ascii="Times New Roman" w:hAnsi="Times New Roman" w:cs="Times New Roman"/>
        </w:rPr>
        <w:fldChar w:fldCharType="end"/>
      </w:r>
      <w:r w:rsidRPr="007F5CA8">
        <w:rPr>
          <w:rFonts w:ascii="Times New Roman" w:hAnsi="Times New Roman" w:cs="Times New Roman"/>
        </w:rPr>
        <w:t xml:space="preserve">. </w:t>
      </w:r>
      <w:r w:rsidR="002F1F71">
        <w:rPr>
          <w:rFonts w:ascii="Times New Roman" w:eastAsia="DengXian" w:hAnsi="Times New Roman" w:cs="Times New Roman" w:hint="eastAsia"/>
          <w:lang w:eastAsia="zh-CN"/>
        </w:rPr>
        <w:t>In-use capacity of automobile LIBs in scenarios</w:t>
      </w:r>
      <w:bookmarkEnd w:id="56"/>
    </w:p>
    <w:p w14:paraId="4BCC4B5B" w14:textId="77777777" w:rsidR="001B31BC" w:rsidRPr="001B31BC" w:rsidRDefault="001B31BC" w:rsidP="00121FD3">
      <w:pPr>
        <w:rPr>
          <w:rFonts w:ascii="Times New Roman" w:eastAsia="DengXian" w:hAnsi="Times New Roman" w:cs="Times New Roman"/>
          <w:lang w:eastAsia="zh-CN"/>
        </w:rPr>
      </w:pPr>
    </w:p>
    <w:p w14:paraId="42C92F79" w14:textId="4BEC981A" w:rsidR="00121FD3" w:rsidRPr="001944E1" w:rsidRDefault="00F72354" w:rsidP="00121FD3">
      <w:pPr>
        <w:rPr>
          <w:rFonts w:ascii="Times New Roman" w:eastAsia="DengXian" w:hAnsi="Times New Roman" w:cs="Times New Roman"/>
          <w:sz w:val="21"/>
          <w:szCs w:val="21"/>
          <w:lang w:eastAsia="zh-CN"/>
        </w:rPr>
      </w:pPr>
      <w:r w:rsidRPr="001944E1">
        <w:rPr>
          <w:rFonts w:ascii="Times New Roman" w:eastAsia="DengXian" w:hAnsi="Times New Roman" w:cs="Times New Roman" w:hint="eastAsia"/>
          <w:sz w:val="21"/>
          <w:szCs w:val="21"/>
          <w:lang w:eastAsia="zh-CN"/>
        </w:rPr>
        <w:t xml:space="preserve">The </w:t>
      </w:r>
      <w:r w:rsidR="009E7607" w:rsidRPr="001944E1">
        <w:rPr>
          <w:rFonts w:ascii="Times New Roman" w:eastAsia="DengXian" w:hAnsi="Times New Roman" w:cs="Times New Roman" w:hint="eastAsia"/>
          <w:sz w:val="21"/>
          <w:szCs w:val="21"/>
          <w:lang w:eastAsia="zh-CN"/>
        </w:rPr>
        <w:t>policy</w:t>
      </w:r>
      <w:r w:rsidR="00E3250B" w:rsidRPr="001944E1">
        <w:rPr>
          <w:rFonts w:ascii="Times New Roman" w:eastAsia="DengXian" w:hAnsi="Times New Roman" w:cs="Times New Roman" w:hint="eastAsia"/>
          <w:sz w:val="21"/>
          <w:szCs w:val="21"/>
          <w:lang w:eastAsia="zh-CN"/>
        </w:rPr>
        <w:t xml:space="preserve"> options regarding secondary use are repeated in Table S</w:t>
      </w:r>
      <w:r w:rsidR="001944E1" w:rsidRPr="001944E1">
        <w:rPr>
          <w:rFonts w:ascii="Times New Roman" w:eastAsiaTheme="minorEastAsia" w:hAnsi="Times New Roman" w:cs="Times New Roman" w:hint="eastAsia"/>
          <w:sz w:val="21"/>
          <w:szCs w:val="21"/>
        </w:rPr>
        <w:t>9</w:t>
      </w:r>
      <w:r w:rsidR="00E3250B" w:rsidRPr="001944E1">
        <w:rPr>
          <w:rFonts w:ascii="Times New Roman" w:eastAsia="DengXian" w:hAnsi="Times New Roman" w:cs="Times New Roman" w:hint="eastAsia"/>
          <w:sz w:val="21"/>
          <w:szCs w:val="21"/>
          <w:lang w:eastAsia="zh-CN"/>
        </w:rPr>
        <w:t xml:space="preserve">. </w:t>
      </w:r>
    </w:p>
    <w:p w14:paraId="04AEFC28" w14:textId="77777777" w:rsidR="00C004DA" w:rsidRDefault="00C004DA">
      <w:pPr>
        <w:rPr>
          <w:rFonts w:ascii="Times New Roman" w:eastAsia="DengXian" w:hAnsi="Times New Roman" w:cs="Times New Roman"/>
          <w:sz w:val="21"/>
          <w:szCs w:val="21"/>
          <w:lang w:eastAsia="zh-CN"/>
        </w:rPr>
      </w:pPr>
    </w:p>
    <w:p w14:paraId="683C99A6" w14:textId="0173855B" w:rsidR="00AA4AC5" w:rsidRPr="005A1912" w:rsidRDefault="00AA4AC5" w:rsidP="00AA4AC5">
      <w:pPr>
        <w:jc w:val="center"/>
        <w:rPr>
          <w:rFonts w:ascii="Times New Roman" w:eastAsia="DengXian" w:hAnsi="Times New Roman" w:cs="Times New Roman"/>
          <w:b/>
          <w:bCs/>
          <w:sz w:val="21"/>
          <w:szCs w:val="21"/>
          <w:lang w:eastAsia="zh-CN"/>
        </w:rPr>
      </w:pPr>
      <w:bookmarkStart w:id="57" w:name="_Toc199865715"/>
      <w:bookmarkStart w:id="58" w:name="_Toc208439370"/>
      <w:r w:rsidRPr="003573A7">
        <w:rPr>
          <w:rFonts w:ascii="Times New Roman" w:hAnsi="Times New Roman" w:cs="Times New Roman"/>
          <w:b/>
          <w:bCs/>
          <w:sz w:val="21"/>
          <w:szCs w:val="21"/>
        </w:rPr>
        <w:t xml:space="preserve">Table </w:t>
      </w:r>
      <w:r w:rsidRPr="003573A7">
        <w:rPr>
          <w:rFonts w:ascii="Times New Roman" w:eastAsia="DengXian" w:hAnsi="Times New Roman" w:cs="Times New Roman"/>
          <w:b/>
          <w:bCs/>
          <w:sz w:val="21"/>
          <w:szCs w:val="21"/>
          <w:lang w:eastAsia="zh-CN"/>
        </w:rPr>
        <w:t>S</w:t>
      </w:r>
      <w:r w:rsidRPr="003573A7">
        <w:rPr>
          <w:rFonts w:ascii="Times New Roman" w:hAnsi="Times New Roman" w:cs="Times New Roman"/>
          <w:b/>
          <w:bCs/>
          <w:sz w:val="21"/>
          <w:szCs w:val="21"/>
        </w:rPr>
        <w:fldChar w:fldCharType="begin"/>
      </w:r>
      <w:r w:rsidRPr="003573A7">
        <w:rPr>
          <w:rFonts w:ascii="Times New Roman" w:hAnsi="Times New Roman" w:cs="Times New Roman"/>
          <w:b/>
          <w:bCs/>
          <w:sz w:val="21"/>
          <w:szCs w:val="21"/>
        </w:rPr>
        <w:instrText xml:space="preserve"> SEQ </w:instrText>
      </w:r>
      <w:r w:rsidRPr="003573A7">
        <w:rPr>
          <w:rFonts w:ascii="Times New Roman" w:hAnsi="Times New Roman" w:cs="Times New Roman"/>
          <w:b/>
          <w:bCs/>
          <w:sz w:val="21"/>
          <w:szCs w:val="21"/>
        </w:rPr>
        <w:instrText>表格</w:instrText>
      </w:r>
      <w:r w:rsidRPr="003573A7">
        <w:rPr>
          <w:rFonts w:ascii="Times New Roman" w:hAnsi="Times New Roman" w:cs="Times New Roman"/>
          <w:b/>
          <w:bCs/>
          <w:sz w:val="21"/>
          <w:szCs w:val="21"/>
        </w:rPr>
        <w:instrText xml:space="preserve"> \* ARABIC </w:instrText>
      </w:r>
      <w:r w:rsidRPr="003573A7">
        <w:rPr>
          <w:rFonts w:ascii="Times New Roman" w:hAnsi="Times New Roman" w:cs="Times New Roman"/>
          <w:b/>
          <w:bCs/>
          <w:sz w:val="21"/>
          <w:szCs w:val="21"/>
        </w:rPr>
        <w:fldChar w:fldCharType="separate"/>
      </w:r>
      <w:r w:rsidR="001944E1">
        <w:rPr>
          <w:rFonts w:ascii="Times New Roman" w:hAnsi="Times New Roman" w:cs="Times New Roman"/>
          <w:b/>
          <w:bCs/>
          <w:noProof/>
          <w:sz w:val="21"/>
          <w:szCs w:val="21"/>
        </w:rPr>
        <w:t>9</w:t>
      </w:r>
      <w:r w:rsidRPr="003573A7">
        <w:rPr>
          <w:rFonts w:ascii="Times New Roman" w:hAnsi="Times New Roman" w:cs="Times New Roman"/>
          <w:b/>
          <w:bCs/>
          <w:sz w:val="21"/>
          <w:szCs w:val="21"/>
        </w:rPr>
        <w:fldChar w:fldCharType="end"/>
      </w:r>
      <w:r w:rsidRPr="003573A7">
        <w:rPr>
          <w:rFonts w:ascii="Times New Roman" w:hAnsi="Times New Roman" w:cs="Times New Roman"/>
          <w:b/>
          <w:bCs/>
          <w:sz w:val="21"/>
          <w:szCs w:val="21"/>
        </w:rPr>
        <w:t xml:space="preserve">. </w:t>
      </w:r>
      <w:r w:rsidR="00662646">
        <w:rPr>
          <w:rFonts w:ascii="Times New Roman" w:eastAsia="DengXian" w:hAnsi="Times New Roman" w:cs="Times New Roman" w:hint="eastAsia"/>
          <w:b/>
          <w:bCs/>
          <w:sz w:val="21"/>
          <w:szCs w:val="21"/>
          <w:lang w:eastAsia="zh-CN"/>
        </w:rPr>
        <w:t>Policy options regarding secondary use of spent automotive LIBs</w:t>
      </w:r>
      <w:bookmarkEnd w:id="57"/>
      <w:bookmarkEnd w:id="58"/>
    </w:p>
    <w:tbl>
      <w:tblPr>
        <w:tblStyle w:val="a7"/>
        <w:tblW w:w="0" w:type="auto"/>
        <w:tblLayout w:type="fixed"/>
        <w:tblLook w:val="04A0" w:firstRow="1" w:lastRow="0" w:firstColumn="1" w:lastColumn="0" w:noHBand="0" w:noVBand="1"/>
      </w:tblPr>
      <w:tblGrid>
        <w:gridCol w:w="2123"/>
        <w:gridCol w:w="2124"/>
        <w:gridCol w:w="2123"/>
        <w:gridCol w:w="2124"/>
      </w:tblGrid>
      <w:tr w:rsidR="0051301C" w:rsidRPr="000D2985" w14:paraId="08451BE5" w14:textId="0AFEC1D7" w:rsidTr="0069030B">
        <w:trPr>
          <w:trHeight w:val="366"/>
        </w:trPr>
        <w:tc>
          <w:tcPr>
            <w:tcW w:w="2123" w:type="dxa"/>
            <w:tcBorders>
              <w:tl2br w:val="single" w:sz="4" w:space="0" w:color="auto"/>
            </w:tcBorders>
            <w:noWrap/>
            <w:hideMark/>
          </w:tcPr>
          <w:p w14:paraId="24CFCE9D" w14:textId="77777777" w:rsidR="003C3A98" w:rsidRDefault="003C3A98" w:rsidP="003C3A98">
            <w:pPr>
              <w:adjustRightInd w:val="0"/>
              <w:jc w:val="right"/>
              <w:rPr>
                <w:rFonts w:ascii="Times New Roman" w:eastAsia="DengXian" w:hAnsi="Times New Roman" w:cs="Times New Roman"/>
                <w:b/>
                <w:bCs/>
                <w:color w:val="000000"/>
                <w:sz w:val="21"/>
                <w:szCs w:val="21"/>
                <w:lang w:eastAsia="zh-CN"/>
              </w:rPr>
            </w:pPr>
            <w:r>
              <w:rPr>
                <w:rFonts w:ascii="Times New Roman" w:eastAsia="DengXian" w:hAnsi="Times New Roman" w:cs="Times New Roman" w:hint="eastAsia"/>
                <w:b/>
                <w:bCs/>
                <w:color w:val="000000"/>
                <w:sz w:val="21"/>
                <w:szCs w:val="21"/>
                <w:lang w:eastAsia="zh-CN"/>
              </w:rPr>
              <w:t>Policy option</w:t>
            </w:r>
          </w:p>
          <w:p w14:paraId="1180EF8D" w14:textId="0590F33B" w:rsidR="0051301C" w:rsidRPr="000D2985" w:rsidRDefault="00BF64D8" w:rsidP="004673C3">
            <w:pPr>
              <w:adjustRightInd w:val="0"/>
              <w:rPr>
                <w:rFonts w:ascii="Times New Roman" w:eastAsia="DengXian" w:hAnsi="Times New Roman" w:cs="Times New Roman"/>
                <w:b/>
                <w:bCs/>
                <w:color w:val="000000"/>
                <w:sz w:val="21"/>
                <w:szCs w:val="21"/>
                <w:lang w:eastAsia="zh-CN"/>
              </w:rPr>
            </w:pPr>
            <w:r>
              <w:rPr>
                <w:rFonts w:ascii="Times New Roman" w:eastAsia="DengXian" w:hAnsi="Times New Roman" w:cs="Times New Roman" w:hint="eastAsia"/>
                <w:b/>
                <w:bCs/>
                <w:color w:val="000000"/>
                <w:sz w:val="21"/>
                <w:szCs w:val="21"/>
                <w:lang w:eastAsia="zh-CN"/>
              </w:rPr>
              <w:t>Battery type</w:t>
            </w:r>
          </w:p>
        </w:tc>
        <w:tc>
          <w:tcPr>
            <w:tcW w:w="2124" w:type="dxa"/>
            <w:noWrap/>
            <w:hideMark/>
          </w:tcPr>
          <w:p w14:paraId="1A72B257" w14:textId="4EEEC2F3" w:rsidR="0051301C" w:rsidRPr="000D2985" w:rsidRDefault="000D2985" w:rsidP="004673C3">
            <w:pPr>
              <w:adjustRightInd w:val="0"/>
              <w:jc w:val="center"/>
              <w:rPr>
                <w:rFonts w:ascii="Times New Roman" w:eastAsia="DengXian" w:hAnsi="Times New Roman" w:cs="Times New Roman"/>
                <w:b/>
                <w:bCs/>
                <w:color w:val="000000"/>
                <w:sz w:val="21"/>
                <w:szCs w:val="21"/>
                <w:lang w:eastAsia="zh-CN"/>
              </w:rPr>
            </w:pPr>
            <w:r w:rsidRPr="00BF64D8">
              <w:rPr>
                <w:rFonts w:ascii="Cambria Math" w:eastAsia="DengXian" w:hAnsi="Cambria Math" w:cs="Cambria Math"/>
                <w:b/>
                <w:bCs/>
                <w:color w:val="000000"/>
                <w:sz w:val="21"/>
                <w:szCs w:val="21"/>
                <w:lang w:eastAsia="zh-CN"/>
              </w:rPr>
              <w:t>⑥</w:t>
            </w:r>
            <w:r w:rsidRPr="000D2985">
              <w:rPr>
                <w:rFonts w:ascii="Times New Roman" w:eastAsia="DengXian" w:hAnsi="Times New Roman" w:cs="Times New Roman"/>
                <w:b/>
                <w:bCs/>
                <w:color w:val="000000"/>
                <w:sz w:val="21"/>
                <w:szCs w:val="21"/>
                <w:lang w:eastAsia="zh-CN"/>
              </w:rPr>
              <w:t>a</w:t>
            </w:r>
            <w:r w:rsidR="00C66101">
              <w:rPr>
                <w:rFonts w:ascii="Times New Roman" w:eastAsia="DengXian" w:hAnsi="Times New Roman" w:cs="Times New Roman" w:hint="eastAsia"/>
                <w:b/>
                <w:bCs/>
                <w:color w:val="000000"/>
                <w:sz w:val="21"/>
                <w:szCs w:val="21"/>
                <w:lang w:eastAsia="zh-CN"/>
              </w:rPr>
              <w:t>: all for secondary use</w:t>
            </w:r>
          </w:p>
        </w:tc>
        <w:tc>
          <w:tcPr>
            <w:tcW w:w="2123" w:type="dxa"/>
          </w:tcPr>
          <w:p w14:paraId="3D307D56" w14:textId="19579E3F" w:rsidR="0051301C" w:rsidRPr="000D2985" w:rsidRDefault="000D2985" w:rsidP="004673C3">
            <w:pPr>
              <w:adjustRightInd w:val="0"/>
              <w:jc w:val="center"/>
              <w:rPr>
                <w:rFonts w:ascii="Times New Roman" w:eastAsia="DengXian" w:hAnsi="Times New Roman" w:cs="Times New Roman"/>
                <w:b/>
                <w:bCs/>
                <w:color w:val="000000"/>
                <w:sz w:val="21"/>
                <w:szCs w:val="21"/>
                <w:lang w:eastAsia="zh-CN"/>
              </w:rPr>
            </w:pPr>
            <w:r w:rsidRPr="000D2985">
              <w:rPr>
                <w:rFonts w:ascii="Cambria Math" w:eastAsia="DengXian" w:hAnsi="Cambria Math" w:cs="Cambria Math"/>
                <w:b/>
                <w:bCs/>
                <w:color w:val="000000"/>
                <w:sz w:val="21"/>
                <w:szCs w:val="21"/>
                <w:lang w:eastAsia="zh-CN"/>
              </w:rPr>
              <w:t>⑥</w:t>
            </w:r>
            <w:r w:rsidRPr="000D2985">
              <w:rPr>
                <w:rFonts w:ascii="Times New Roman" w:eastAsia="DengXian" w:hAnsi="Times New Roman" w:cs="Times New Roman"/>
                <w:b/>
                <w:bCs/>
                <w:color w:val="000000"/>
                <w:sz w:val="21"/>
                <w:szCs w:val="21"/>
                <w:lang w:eastAsia="zh-CN"/>
              </w:rPr>
              <w:t>b</w:t>
            </w:r>
            <w:r w:rsidR="00C66101">
              <w:rPr>
                <w:rFonts w:ascii="Times New Roman" w:eastAsia="DengXian" w:hAnsi="Times New Roman" w:cs="Times New Roman" w:hint="eastAsia"/>
                <w:b/>
                <w:bCs/>
                <w:color w:val="000000"/>
                <w:sz w:val="21"/>
                <w:szCs w:val="21"/>
                <w:lang w:eastAsia="zh-CN"/>
              </w:rPr>
              <w:t>: LFPs for secondary use</w:t>
            </w:r>
          </w:p>
        </w:tc>
        <w:tc>
          <w:tcPr>
            <w:tcW w:w="2124" w:type="dxa"/>
          </w:tcPr>
          <w:p w14:paraId="6A5F128B" w14:textId="244D5F52" w:rsidR="0051301C" w:rsidRPr="00C66101" w:rsidRDefault="000D2985" w:rsidP="004673C3">
            <w:pPr>
              <w:adjustRightInd w:val="0"/>
              <w:jc w:val="center"/>
              <w:rPr>
                <w:rFonts w:ascii="Times New Roman" w:eastAsia="DengXian" w:hAnsi="Times New Roman" w:cs="Times New Roman"/>
                <w:b/>
                <w:bCs/>
                <w:color w:val="000000"/>
                <w:sz w:val="21"/>
                <w:szCs w:val="21"/>
                <w:lang w:eastAsia="zh-CN"/>
              </w:rPr>
            </w:pPr>
            <w:r w:rsidRPr="000D2985">
              <w:rPr>
                <w:rFonts w:ascii="Cambria Math" w:eastAsia="DengXian" w:hAnsi="Cambria Math" w:cs="Cambria Math"/>
                <w:b/>
                <w:bCs/>
                <w:color w:val="000000"/>
                <w:sz w:val="21"/>
                <w:szCs w:val="21"/>
                <w:lang w:eastAsia="zh-CN"/>
              </w:rPr>
              <w:t>⑥</w:t>
            </w:r>
            <w:r w:rsidRPr="000D2985">
              <w:rPr>
                <w:rFonts w:ascii="Times New Roman" w:eastAsia="DengXian" w:hAnsi="Times New Roman" w:cs="Times New Roman"/>
                <w:b/>
                <w:bCs/>
                <w:color w:val="000000"/>
                <w:sz w:val="21"/>
                <w:szCs w:val="21"/>
                <w:lang w:eastAsia="zh-CN"/>
              </w:rPr>
              <w:t>c</w:t>
            </w:r>
            <w:r w:rsidR="00C66101">
              <w:rPr>
                <w:rFonts w:ascii="Times New Roman" w:eastAsia="DengXian" w:hAnsi="Times New Roman" w:cs="Times New Roman" w:hint="eastAsia"/>
                <w:b/>
                <w:bCs/>
                <w:color w:val="000000"/>
                <w:sz w:val="21"/>
                <w:szCs w:val="21"/>
                <w:lang w:eastAsia="zh-CN"/>
              </w:rPr>
              <w:t xml:space="preserve">: all for </w:t>
            </w:r>
            <w:r w:rsidR="00C66101">
              <w:rPr>
                <w:rFonts w:ascii="Times New Roman" w:eastAsia="DengXian" w:hAnsi="Times New Roman" w:cs="Times New Roman"/>
                <w:b/>
                <w:bCs/>
                <w:color w:val="000000"/>
                <w:sz w:val="21"/>
                <w:szCs w:val="21"/>
                <w:lang w:eastAsia="zh-CN"/>
              </w:rPr>
              <w:t>immediate</w:t>
            </w:r>
            <w:r w:rsidR="00C66101">
              <w:rPr>
                <w:rFonts w:ascii="Times New Roman" w:eastAsia="DengXian" w:hAnsi="Times New Roman" w:cs="Times New Roman" w:hint="eastAsia"/>
                <w:b/>
                <w:bCs/>
                <w:color w:val="000000"/>
                <w:sz w:val="21"/>
                <w:szCs w:val="21"/>
                <w:lang w:eastAsia="zh-CN"/>
              </w:rPr>
              <w:t xml:space="preserve"> recycling</w:t>
            </w:r>
          </w:p>
        </w:tc>
      </w:tr>
      <w:tr w:rsidR="0051301C" w:rsidRPr="00892304" w14:paraId="72C86EA8" w14:textId="6E31797A" w:rsidTr="00C66101">
        <w:trPr>
          <w:trHeight w:val="354"/>
        </w:trPr>
        <w:tc>
          <w:tcPr>
            <w:tcW w:w="2123" w:type="dxa"/>
            <w:noWrap/>
            <w:hideMark/>
          </w:tcPr>
          <w:p w14:paraId="5E4BD6E3" w14:textId="482BFB14" w:rsidR="0051301C" w:rsidRPr="00892304" w:rsidRDefault="004A565C" w:rsidP="0063733B">
            <w:pP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 xml:space="preserve">Spent </w:t>
            </w:r>
            <w:r w:rsidR="0051301C">
              <w:rPr>
                <w:rFonts w:ascii="Times New Roman" w:eastAsia="DengXian" w:hAnsi="Times New Roman" w:cs="Times New Roman" w:hint="eastAsia"/>
                <w:color w:val="000000"/>
                <w:sz w:val="21"/>
                <w:szCs w:val="21"/>
                <w:lang w:eastAsia="zh-CN"/>
              </w:rPr>
              <w:t>LFP batteries</w:t>
            </w:r>
          </w:p>
        </w:tc>
        <w:tc>
          <w:tcPr>
            <w:tcW w:w="2124" w:type="dxa"/>
            <w:noWrap/>
            <w:hideMark/>
          </w:tcPr>
          <w:p w14:paraId="1E7FB33C" w14:textId="47B428D7" w:rsidR="0051301C" w:rsidRPr="00892304" w:rsidRDefault="00EC3BAF" w:rsidP="003637BC">
            <w:pPr>
              <w:jc w:val="center"/>
              <w:rPr>
                <w:rFonts w:ascii="Times New Roman" w:eastAsia="DengXian" w:hAnsi="Times New Roman" w:cs="Times New Roman"/>
                <w:color w:val="000000"/>
                <w:sz w:val="21"/>
                <w:szCs w:val="21"/>
                <w:lang w:eastAsia="zh-CN"/>
              </w:rPr>
            </w:pPr>
            <w:r w:rsidRPr="00EC3BAF">
              <w:rPr>
                <w:rFonts w:ascii="Times New Roman" w:eastAsia="DengXian" w:hAnsi="Times New Roman" w:cs="Times New Roman"/>
                <w:color w:val="000000"/>
                <w:sz w:val="21"/>
                <w:szCs w:val="21"/>
                <w:lang w:eastAsia="zh-CN"/>
              </w:rPr>
              <w:t>○</w:t>
            </w:r>
          </w:p>
        </w:tc>
        <w:tc>
          <w:tcPr>
            <w:tcW w:w="2123" w:type="dxa"/>
          </w:tcPr>
          <w:p w14:paraId="240BC670" w14:textId="74F2D96F" w:rsidR="0051301C" w:rsidRPr="00892304" w:rsidRDefault="00EC3BAF" w:rsidP="003637BC">
            <w:pPr>
              <w:wordWrap w:val="0"/>
              <w:jc w:val="center"/>
              <w:rPr>
                <w:rFonts w:ascii="Times New Roman" w:eastAsia="DengXian" w:hAnsi="Times New Roman" w:cs="Times New Roman"/>
                <w:color w:val="000000"/>
                <w:sz w:val="21"/>
                <w:szCs w:val="21"/>
                <w:lang w:eastAsia="zh-CN"/>
              </w:rPr>
            </w:pPr>
            <w:r w:rsidRPr="00EC3BAF">
              <w:rPr>
                <w:rFonts w:ascii="Times New Roman" w:eastAsia="DengXian" w:hAnsi="Times New Roman" w:cs="Times New Roman"/>
                <w:color w:val="000000"/>
                <w:sz w:val="21"/>
                <w:szCs w:val="21"/>
                <w:lang w:eastAsia="zh-CN"/>
              </w:rPr>
              <w:t>○</w:t>
            </w:r>
          </w:p>
        </w:tc>
        <w:tc>
          <w:tcPr>
            <w:tcW w:w="2124" w:type="dxa"/>
          </w:tcPr>
          <w:p w14:paraId="7B0E276A" w14:textId="019BC9D8" w:rsidR="0051301C" w:rsidRPr="00892304" w:rsidRDefault="00EC3BAF" w:rsidP="003637BC">
            <w:pPr>
              <w:wordWrap w:val="0"/>
              <w:jc w:val="center"/>
              <w:rPr>
                <w:rFonts w:ascii="Times New Roman" w:eastAsia="DengXian" w:hAnsi="Times New Roman" w:cs="Times New Roman"/>
                <w:color w:val="000000"/>
                <w:sz w:val="21"/>
                <w:szCs w:val="21"/>
                <w:lang w:eastAsia="zh-CN"/>
              </w:rPr>
            </w:pPr>
            <w:r>
              <w:rPr>
                <w:rFonts w:ascii="DengXian" w:eastAsia="DengXian" w:hAnsi="DengXian" w:cs="Times New Roman" w:hint="eastAsia"/>
                <w:color w:val="000000"/>
                <w:sz w:val="21"/>
                <w:szCs w:val="21"/>
                <w:lang w:eastAsia="zh-CN"/>
              </w:rPr>
              <w:t>◊</w:t>
            </w:r>
          </w:p>
        </w:tc>
      </w:tr>
      <w:tr w:rsidR="0051301C" w:rsidRPr="00892304" w14:paraId="2D292EE9" w14:textId="0E099346" w:rsidTr="00C66101">
        <w:trPr>
          <w:trHeight w:val="354"/>
        </w:trPr>
        <w:tc>
          <w:tcPr>
            <w:tcW w:w="2123" w:type="dxa"/>
            <w:noWrap/>
          </w:tcPr>
          <w:p w14:paraId="0E4A172C" w14:textId="52CF57F1" w:rsidR="0051301C" w:rsidRPr="00892304" w:rsidRDefault="0051301C" w:rsidP="0063733B">
            <w:pP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 xml:space="preserve">Other </w:t>
            </w:r>
            <w:r w:rsidR="004A565C">
              <w:rPr>
                <w:rFonts w:ascii="Times New Roman" w:eastAsia="DengXian" w:hAnsi="Times New Roman" w:cs="Times New Roman" w:hint="eastAsia"/>
                <w:color w:val="000000"/>
                <w:sz w:val="21"/>
                <w:szCs w:val="21"/>
                <w:lang w:eastAsia="zh-CN"/>
              </w:rPr>
              <w:t xml:space="preserve">spent </w:t>
            </w:r>
            <w:r>
              <w:rPr>
                <w:rFonts w:ascii="Times New Roman" w:eastAsia="DengXian" w:hAnsi="Times New Roman" w:cs="Times New Roman" w:hint="eastAsia"/>
                <w:color w:val="000000"/>
                <w:sz w:val="21"/>
                <w:szCs w:val="21"/>
                <w:lang w:eastAsia="zh-CN"/>
              </w:rPr>
              <w:t>batteries</w:t>
            </w:r>
          </w:p>
        </w:tc>
        <w:tc>
          <w:tcPr>
            <w:tcW w:w="2124" w:type="dxa"/>
            <w:noWrap/>
          </w:tcPr>
          <w:p w14:paraId="4B67BB71" w14:textId="4F14E17A" w:rsidR="0051301C" w:rsidRPr="00892304" w:rsidRDefault="00EC3BAF" w:rsidP="003637BC">
            <w:pPr>
              <w:jc w:val="center"/>
              <w:rPr>
                <w:rFonts w:ascii="Times New Roman" w:eastAsia="DengXian" w:hAnsi="Times New Roman" w:cs="Times New Roman"/>
                <w:color w:val="000000"/>
                <w:sz w:val="21"/>
                <w:szCs w:val="21"/>
                <w:lang w:eastAsia="zh-CN"/>
              </w:rPr>
            </w:pPr>
            <w:r w:rsidRPr="00EC3BAF">
              <w:rPr>
                <w:rFonts w:ascii="Times New Roman" w:eastAsia="DengXian" w:hAnsi="Times New Roman" w:cs="Times New Roman"/>
                <w:color w:val="000000"/>
                <w:sz w:val="21"/>
                <w:szCs w:val="21"/>
                <w:lang w:eastAsia="zh-CN"/>
              </w:rPr>
              <w:t>○</w:t>
            </w:r>
          </w:p>
        </w:tc>
        <w:tc>
          <w:tcPr>
            <w:tcW w:w="2123" w:type="dxa"/>
          </w:tcPr>
          <w:p w14:paraId="658EAA53" w14:textId="45F5A6F6" w:rsidR="0051301C" w:rsidRPr="00892304" w:rsidRDefault="00EC3BAF" w:rsidP="003637BC">
            <w:pPr>
              <w:jc w:val="center"/>
              <w:rPr>
                <w:rFonts w:ascii="Times New Roman" w:eastAsia="DengXian" w:hAnsi="Times New Roman" w:cs="Times New Roman"/>
                <w:color w:val="000000"/>
                <w:sz w:val="21"/>
                <w:szCs w:val="21"/>
                <w:lang w:eastAsia="zh-CN"/>
              </w:rPr>
            </w:pPr>
            <w:r>
              <w:rPr>
                <w:rFonts w:ascii="DengXian" w:eastAsia="DengXian" w:hAnsi="DengXian" w:cs="Times New Roman" w:hint="eastAsia"/>
                <w:color w:val="000000"/>
                <w:sz w:val="21"/>
                <w:szCs w:val="21"/>
                <w:lang w:eastAsia="zh-CN"/>
              </w:rPr>
              <w:t>◊</w:t>
            </w:r>
          </w:p>
        </w:tc>
        <w:tc>
          <w:tcPr>
            <w:tcW w:w="2124" w:type="dxa"/>
          </w:tcPr>
          <w:p w14:paraId="2063AF23" w14:textId="7C130B0C" w:rsidR="0051301C" w:rsidRPr="00892304" w:rsidRDefault="00EC3BAF" w:rsidP="003637BC">
            <w:pPr>
              <w:jc w:val="center"/>
              <w:rPr>
                <w:rFonts w:ascii="Times New Roman" w:eastAsia="DengXian" w:hAnsi="Times New Roman" w:cs="Times New Roman"/>
                <w:color w:val="000000"/>
                <w:sz w:val="21"/>
                <w:szCs w:val="21"/>
                <w:lang w:eastAsia="zh-CN"/>
              </w:rPr>
            </w:pPr>
            <w:r>
              <w:rPr>
                <w:rFonts w:ascii="DengXian" w:eastAsia="DengXian" w:hAnsi="DengXian" w:cs="Times New Roman" w:hint="eastAsia"/>
                <w:color w:val="000000"/>
                <w:sz w:val="21"/>
                <w:szCs w:val="21"/>
                <w:lang w:eastAsia="zh-CN"/>
              </w:rPr>
              <w:t>◊</w:t>
            </w:r>
          </w:p>
        </w:tc>
      </w:tr>
      <w:tr w:rsidR="0051301C" w:rsidRPr="00EC3BAF" w14:paraId="62325504" w14:textId="596D91FD" w:rsidTr="00C66101">
        <w:trPr>
          <w:trHeight w:val="354"/>
        </w:trPr>
        <w:tc>
          <w:tcPr>
            <w:tcW w:w="8494" w:type="dxa"/>
            <w:gridSpan w:val="4"/>
            <w:noWrap/>
          </w:tcPr>
          <w:p w14:paraId="5B86777E" w14:textId="21D2A406" w:rsidR="0051301C" w:rsidRPr="00EC3BAF" w:rsidRDefault="0051301C" w:rsidP="00A73FD6">
            <w:pPr>
              <w:wordWrap w:val="0"/>
              <w:jc w:val="right"/>
              <w:rPr>
                <w:rFonts w:ascii="Times New Roman" w:eastAsia="DengXian" w:hAnsi="Times New Roman" w:cs="Times New Roman"/>
                <w:color w:val="000000"/>
                <w:sz w:val="21"/>
                <w:szCs w:val="21"/>
                <w:lang w:eastAsia="zh-CN"/>
              </w:rPr>
            </w:pPr>
            <w:r w:rsidRPr="00EC3BAF">
              <w:rPr>
                <w:rFonts w:ascii="Times New Roman" w:eastAsia="DengXian" w:hAnsi="Times New Roman" w:cs="Times New Roman"/>
                <w:color w:val="000000"/>
                <w:sz w:val="21"/>
                <w:szCs w:val="21"/>
                <w:lang w:eastAsia="zh-CN"/>
              </w:rPr>
              <w:t xml:space="preserve">○: </w:t>
            </w:r>
            <w:r w:rsidR="000155D5">
              <w:rPr>
                <w:rFonts w:ascii="Times New Roman" w:eastAsia="DengXian" w:hAnsi="Times New Roman" w:cs="Times New Roman" w:hint="eastAsia"/>
                <w:color w:val="000000"/>
                <w:sz w:val="21"/>
                <w:szCs w:val="21"/>
                <w:lang w:eastAsia="zh-CN"/>
              </w:rPr>
              <w:t>repurpose</w:t>
            </w:r>
            <w:r w:rsidRPr="00EC3BAF">
              <w:rPr>
                <w:rFonts w:ascii="Times New Roman" w:eastAsia="DengXian" w:hAnsi="Times New Roman" w:cs="Times New Roman"/>
                <w:color w:val="000000"/>
                <w:sz w:val="21"/>
                <w:szCs w:val="21"/>
                <w:lang w:eastAsia="zh-CN"/>
              </w:rPr>
              <w:t xml:space="preserve"> to secondary use, </w:t>
            </w:r>
            <w:r w:rsidR="00EC3BAF">
              <w:rPr>
                <w:rFonts w:ascii="DengXian" w:eastAsia="DengXian" w:hAnsi="DengXian" w:cs="Times New Roman" w:hint="eastAsia"/>
                <w:color w:val="000000"/>
                <w:sz w:val="21"/>
                <w:szCs w:val="21"/>
                <w:lang w:eastAsia="zh-CN"/>
              </w:rPr>
              <w:t>◊</w:t>
            </w:r>
            <w:r w:rsidRPr="00EC3BAF">
              <w:rPr>
                <w:rFonts w:ascii="Times New Roman" w:eastAsia="DengXian" w:hAnsi="Times New Roman" w:cs="Times New Roman"/>
                <w:color w:val="000000"/>
                <w:sz w:val="21"/>
                <w:szCs w:val="21"/>
                <w:lang w:eastAsia="zh-CN"/>
              </w:rPr>
              <w:t>: immediately recycle</w:t>
            </w:r>
          </w:p>
        </w:tc>
      </w:tr>
    </w:tbl>
    <w:p w14:paraId="4AB31627" w14:textId="77777777" w:rsidR="00AA4AC5" w:rsidRPr="000F62FA" w:rsidRDefault="00AA4AC5">
      <w:pPr>
        <w:rPr>
          <w:rFonts w:ascii="Times New Roman" w:eastAsia="DengXian" w:hAnsi="Times New Roman" w:cs="Times New Roman"/>
          <w:sz w:val="21"/>
          <w:szCs w:val="21"/>
          <w:lang w:eastAsia="zh-CN"/>
        </w:rPr>
      </w:pPr>
    </w:p>
    <w:p w14:paraId="13E4D4B9" w14:textId="32059D4F" w:rsidR="00793759" w:rsidRPr="000F62FA" w:rsidRDefault="00793759" w:rsidP="00793759">
      <w:pPr>
        <w:pStyle w:val="2"/>
        <w:rPr>
          <w:rFonts w:eastAsia="DengXian"/>
        </w:rPr>
      </w:pPr>
      <w:bookmarkStart w:id="59" w:name="_Toc199865020"/>
      <w:r w:rsidRPr="000F62FA">
        <w:rPr>
          <w:rFonts w:eastAsia="DengXian"/>
        </w:rPr>
        <w:t>2</w:t>
      </w:r>
      <w:r w:rsidRPr="000F62FA">
        <w:t>.</w:t>
      </w:r>
      <w:r w:rsidR="002D790A">
        <w:rPr>
          <w:rFonts w:eastAsiaTheme="minorEastAsia" w:hint="eastAsia"/>
          <w:lang w:eastAsia="ja-JP"/>
        </w:rPr>
        <w:t>6</w:t>
      </w:r>
      <w:r w:rsidRPr="000F62FA">
        <w:t xml:space="preserve"> </w:t>
      </w:r>
      <w:r w:rsidRPr="000F62FA">
        <w:rPr>
          <w:rFonts w:eastAsia="DengXian"/>
        </w:rPr>
        <w:t xml:space="preserve">Recycling of </w:t>
      </w:r>
      <w:r w:rsidR="008B1855">
        <w:rPr>
          <w:rFonts w:eastAsia="DengXian" w:hint="eastAsia"/>
        </w:rPr>
        <w:t>S</w:t>
      </w:r>
      <w:r w:rsidRPr="000F62FA">
        <w:rPr>
          <w:rFonts w:eastAsia="DengXian"/>
        </w:rPr>
        <w:t xml:space="preserve">pent </w:t>
      </w:r>
      <w:r w:rsidR="008B1855">
        <w:rPr>
          <w:rFonts w:eastAsia="DengXian" w:hint="eastAsia"/>
        </w:rPr>
        <w:t>B</w:t>
      </w:r>
      <w:r w:rsidRPr="000F62FA">
        <w:rPr>
          <w:rFonts w:eastAsia="DengXian"/>
        </w:rPr>
        <w:t>atteries</w:t>
      </w:r>
      <w:bookmarkEnd w:id="59"/>
    </w:p>
    <w:p w14:paraId="4E43376A" w14:textId="613BF7BD" w:rsidR="007E1E5D" w:rsidRDefault="0097224E" w:rsidP="0097224E">
      <w:pPr>
        <w:rPr>
          <w:rFonts w:ascii="Times New Roman" w:eastAsia="DengXian" w:hAnsi="Times New Roman" w:cs="Times New Roman"/>
          <w:sz w:val="21"/>
          <w:szCs w:val="21"/>
          <w:lang w:eastAsia="zh-CN"/>
        </w:rPr>
      </w:pPr>
      <w:r w:rsidRPr="0097224E">
        <w:rPr>
          <w:rFonts w:ascii="Times New Roman" w:eastAsia="DengXian" w:hAnsi="Times New Roman" w:cs="Times New Roman"/>
          <w:sz w:val="21"/>
          <w:szCs w:val="21"/>
          <w:lang w:eastAsia="zh-CN"/>
        </w:rPr>
        <w:t>As a dynamic MFA of the entire LIB supply chain, this study does not model the technical selection or process optimization of specific recycling methods—such as hydrometallurgical, pyrometallurgical, or direct recycling techniques—but instead assumes three levels of critical mineral recovery rates. Here, the recovery rate refers to the proportion of critical minerals reclaimed from spent LIBs that can be directly reintroduced into new LIB production, fully substituting virgin material inputs.</w:t>
      </w:r>
      <w:r w:rsidR="007E1E5D">
        <w:rPr>
          <w:rFonts w:ascii="Times New Roman" w:eastAsia="DengXian" w:hAnsi="Times New Roman" w:cs="Times New Roman" w:hint="eastAsia"/>
          <w:sz w:val="21"/>
          <w:szCs w:val="21"/>
          <w:lang w:eastAsia="zh-CN"/>
        </w:rPr>
        <w:t xml:space="preserve"> </w:t>
      </w:r>
      <w:r w:rsidRPr="0097224E">
        <w:rPr>
          <w:rFonts w:ascii="Times New Roman" w:eastAsia="DengXian" w:hAnsi="Times New Roman" w:cs="Times New Roman"/>
          <w:sz w:val="21"/>
          <w:szCs w:val="21"/>
          <w:lang w:eastAsia="zh-CN"/>
        </w:rPr>
        <w:t xml:space="preserve">In theory, nearly all materials used in LIBs can be recycled to high purity through hydrometallurgical processes, provided there is no constraint on economic investment. However, in </w:t>
      </w:r>
      <w:r w:rsidRPr="0097224E">
        <w:rPr>
          <w:rFonts w:ascii="Times New Roman" w:eastAsia="DengXian" w:hAnsi="Times New Roman" w:cs="Times New Roman"/>
          <w:sz w:val="21"/>
          <w:szCs w:val="21"/>
          <w:lang w:eastAsia="zh-CN"/>
        </w:rPr>
        <w:lastRenderedPageBreak/>
        <w:t>practice, the purity of recovered materials often limits their direct substitution for virgin inputs. For example, recycled materials may constitute 90% of the input blend, complemented by 10% virgin materials, to maintain 95% of the performance level of batteries made from entirely virgin inputs.</w:t>
      </w:r>
      <w:r w:rsidR="007E1E5D">
        <w:rPr>
          <w:rFonts w:ascii="Times New Roman" w:eastAsia="DengXian" w:hAnsi="Times New Roman" w:cs="Times New Roman" w:hint="eastAsia"/>
          <w:sz w:val="21"/>
          <w:szCs w:val="21"/>
          <w:lang w:eastAsia="zh-CN"/>
        </w:rPr>
        <w:t xml:space="preserve"> </w:t>
      </w:r>
      <w:r w:rsidRPr="0097224E">
        <w:rPr>
          <w:rFonts w:ascii="Times New Roman" w:eastAsia="DengXian" w:hAnsi="Times New Roman" w:cs="Times New Roman"/>
          <w:sz w:val="21"/>
          <w:szCs w:val="21"/>
          <w:lang w:eastAsia="zh-CN"/>
        </w:rPr>
        <w:t>As detailed in Table S</w:t>
      </w:r>
      <w:r w:rsidR="00212327">
        <w:rPr>
          <w:rFonts w:ascii="Times New Roman" w:eastAsiaTheme="minorEastAsia" w:hAnsi="Times New Roman" w:cs="Times New Roman" w:hint="eastAsia"/>
          <w:sz w:val="21"/>
          <w:szCs w:val="21"/>
        </w:rPr>
        <w:t>10</w:t>
      </w:r>
      <w:r w:rsidRPr="0097224E">
        <w:rPr>
          <w:rFonts w:ascii="Times New Roman" w:eastAsia="DengXian" w:hAnsi="Times New Roman" w:cs="Times New Roman"/>
          <w:sz w:val="21"/>
          <w:szCs w:val="21"/>
          <w:lang w:eastAsia="zh-CN"/>
        </w:rPr>
        <w:t xml:space="preserve">, under a low-recycling scenario, LFP batteries are not recovered due to their relatively low economic value, and lithium recovery is </w:t>
      </w:r>
      <w:r w:rsidR="003A04A9">
        <w:rPr>
          <w:rFonts w:ascii="Times New Roman" w:eastAsia="DengXian" w:hAnsi="Times New Roman" w:cs="Times New Roman" w:hint="eastAsia"/>
          <w:sz w:val="21"/>
          <w:szCs w:val="21"/>
          <w:lang w:eastAsia="zh-CN"/>
        </w:rPr>
        <w:t>50% recovered</w:t>
      </w:r>
      <w:r w:rsidRPr="0097224E">
        <w:rPr>
          <w:rFonts w:ascii="Times New Roman" w:eastAsia="DengXian" w:hAnsi="Times New Roman" w:cs="Times New Roman"/>
          <w:sz w:val="21"/>
          <w:szCs w:val="21"/>
          <w:lang w:eastAsia="zh-CN"/>
        </w:rPr>
        <w:t xml:space="preserve"> under a combined pyro- and hydrometallurgical treatment assumption. In a moderate scenario, increased investment enables the recycling of LFP batteries and improved lithium extraction. Under the ambitious scenario, all critical minerals are recovered at ultra-high rates, reflecting optimal technological effort and financial commitment.</w:t>
      </w:r>
    </w:p>
    <w:p w14:paraId="53722EB7" w14:textId="77777777" w:rsidR="000D04D0" w:rsidRPr="005279AC" w:rsidRDefault="000D04D0">
      <w:pPr>
        <w:rPr>
          <w:rFonts w:ascii="Times New Roman" w:eastAsia="DengXian" w:hAnsi="Times New Roman" w:cs="Times New Roman"/>
          <w:sz w:val="21"/>
          <w:szCs w:val="21"/>
          <w:lang w:eastAsia="zh-CN"/>
        </w:rPr>
      </w:pPr>
    </w:p>
    <w:p w14:paraId="77B535D6" w14:textId="3578226E" w:rsidR="00416D89" w:rsidRPr="005A1912" w:rsidRDefault="00416D89" w:rsidP="00416D89">
      <w:pPr>
        <w:jc w:val="center"/>
        <w:rPr>
          <w:rFonts w:ascii="Times New Roman" w:eastAsia="DengXian" w:hAnsi="Times New Roman" w:cs="Times New Roman"/>
          <w:b/>
          <w:bCs/>
          <w:sz w:val="21"/>
          <w:szCs w:val="21"/>
          <w:lang w:eastAsia="zh-CN"/>
        </w:rPr>
      </w:pPr>
      <w:bookmarkStart w:id="60" w:name="_Toc199865716"/>
      <w:bookmarkStart w:id="61" w:name="_Toc208439371"/>
      <w:r w:rsidRPr="003573A7">
        <w:rPr>
          <w:rFonts w:ascii="Times New Roman" w:hAnsi="Times New Roman" w:cs="Times New Roman"/>
          <w:b/>
          <w:bCs/>
          <w:sz w:val="21"/>
          <w:szCs w:val="21"/>
        </w:rPr>
        <w:t xml:space="preserve">Table </w:t>
      </w:r>
      <w:r w:rsidRPr="003573A7">
        <w:rPr>
          <w:rFonts w:ascii="Times New Roman" w:eastAsia="DengXian" w:hAnsi="Times New Roman" w:cs="Times New Roman"/>
          <w:b/>
          <w:bCs/>
          <w:sz w:val="21"/>
          <w:szCs w:val="21"/>
          <w:lang w:eastAsia="zh-CN"/>
        </w:rPr>
        <w:t>S</w:t>
      </w:r>
      <w:r w:rsidRPr="003573A7">
        <w:rPr>
          <w:rFonts w:ascii="Times New Roman" w:hAnsi="Times New Roman" w:cs="Times New Roman"/>
          <w:b/>
          <w:bCs/>
          <w:sz w:val="21"/>
          <w:szCs w:val="21"/>
        </w:rPr>
        <w:fldChar w:fldCharType="begin"/>
      </w:r>
      <w:r w:rsidRPr="003573A7">
        <w:rPr>
          <w:rFonts w:ascii="Times New Roman" w:hAnsi="Times New Roman" w:cs="Times New Roman"/>
          <w:b/>
          <w:bCs/>
          <w:sz w:val="21"/>
          <w:szCs w:val="21"/>
        </w:rPr>
        <w:instrText xml:space="preserve"> SEQ </w:instrText>
      </w:r>
      <w:r w:rsidRPr="003573A7">
        <w:rPr>
          <w:rFonts w:ascii="Times New Roman" w:hAnsi="Times New Roman" w:cs="Times New Roman"/>
          <w:b/>
          <w:bCs/>
          <w:sz w:val="21"/>
          <w:szCs w:val="21"/>
        </w:rPr>
        <w:instrText>表格</w:instrText>
      </w:r>
      <w:r w:rsidRPr="003573A7">
        <w:rPr>
          <w:rFonts w:ascii="Times New Roman" w:hAnsi="Times New Roman" w:cs="Times New Roman"/>
          <w:b/>
          <w:bCs/>
          <w:sz w:val="21"/>
          <w:szCs w:val="21"/>
        </w:rPr>
        <w:instrText xml:space="preserve"> \* ARABIC </w:instrText>
      </w:r>
      <w:r w:rsidRPr="003573A7">
        <w:rPr>
          <w:rFonts w:ascii="Times New Roman" w:hAnsi="Times New Roman" w:cs="Times New Roman"/>
          <w:b/>
          <w:bCs/>
          <w:sz w:val="21"/>
          <w:szCs w:val="21"/>
        </w:rPr>
        <w:fldChar w:fldCharType="separate"/>
      </w:r>
      <w:r w:rsidR="00212327">
        <w:rPr>
          <w:rFonts w:ascii="Times New Roman" w:hAnsi="Times New Roman" w:cs="Times New Roman"/>
          <w:b/>
          <w:bCs/>
          <w:noProof/>
          <w:sz w:val="21"/>
          <w:szCs w:val="21"/>
        </w:rPr>
        <w:t>10</w:t>
      </w:r>
      <w:r w:rsidRPr="003573A7">
        <w:rPr>
          <w:rFonts w:ascii="Times New Roman" w:hAnsi="Times New Roman" w:cs="Times New Roman"/>
          <w:b/>
          <w:bCs/>
          <w:sz w:val="21"/>
          <w:szCs w:val="21"/>
        </w:rPr>
        <w:fldChar w:fldCharType="end"/>
      </w:r>
      <w:r w:rsidRPr="003573A7">
        <w:rPr>
          <w:rFonts w:ascii="Times New Roman" w:hAnsi="Times New Roman" w:cs="Times New Roman"/>
          <w:b/>
          <w:bCs/>
          <w:sz w:val="21"/>
          <w:szCs w:val="21"/>
        </w:rPr>
        <w:t xml:space="preserve">. </w:t>
      </w:r>
      <w:r w:rsidR="00A665F9">
        <w:rPr>
          <w:rFonts w:ascii="Times New Roman" w:eastAsia="DengXian" w:hAnsi="Times New Roman" w:cs="Times New Roman" w:hint="eastAsia"/>
          <w:b/>
          <w:bCs/>
          <w:sz w:val="21"/>
          <w:szCs w:val="21"/>
          <w:lang w:eastAsia="zh-CN"/>
        </w:rPr>
        <w:t xml:space="preserve">Recycling progress </w:t>
      </w:r>
      <w:r w:rsidR="00B65848">
        <w:rPr>
          <w:rFonts w:ascii="Times New Roman" w:eastAsiaTheme="minorEastAsia" w:hAnsi="Times New Roman" w:cs="Times New Roman" w:hint="eastAsia"/>
          <w:b/>
          <w:bCs/>
          <w:sz w:val="21"/>
          <w:szCs w:val="21"/>
        </w:rPr>
        <w:t>under</w:t>
      </w:r>
      <w:r w:rsidR="005963E4">
        <w:rPr>
          <w:rFonts w:ascii="Times New Roman" w:eastAsia="DengXian" w:hAnsi="Times New Roman" w:cs="Times New Roman" w:hint="eastAsia"/>
          <w:b/>
          <w:bCs/>
          <w:sz w:val="21"/>
          <w:szCs w:val="21"/>
          <w:lang w:eastAsia="zh-CN"/>
        </w:rPr>
        <w:t xml:space="preserve"> three </w:t>
      </w:r>
      <w:r w:rsidR="00B65848">
        <w:rPr>
          <w:rFonts w:ascii="Times New Roman" w:eastAsiaTheme="minorEastAsia" w:hAnsi="Times New Roman" w:cs="Times New Roman" w:hint="eastAsia"/>
          <w:b/>
          <w:bCs/>
          <w:sz w:val="21"/>
          <w:szCs w:val="21"/>
        </w:rPr>
        <w:t xml:space="preserve">assumed </w:t>
      </w:r>
      <w:r w:rsidR="005963E4">
        <w:rPr>
          <w:rFonts w:ascii="Times New Roman" w:eastAsia="DengXian" w:hAnsi="Times New Roman" w:cs="Times New Roman" w:hint="eastAsia"/>
          <w:b/>
          <w:bCs/>
          <w:sz w:val="21"/>
          <w:szCs w:val="21"/>
          <w:lang w:eastAsia="zh-CN"/>
        </w:rPr>
        <w:t>levels</w:t>
      </w:r>
      <w:bookmarkEnd w:id="60"/>
      <w:bookmarkEnd w:id="61"/>
    </w:p>
    <w:tbl>
      <w:tblPr>
        <w:tblStyle w:val="a7"/>
        <w:tblW w:w="5000" w:type="pct"/>
        <w:tblLook w:val="04A0" w:firstRow="1" w:lastRow="0" w:firstColumn="1" w:lastColumn="0" w:noHBand="0" w:noVBand="1"/>
      </w:tblPr>
      <w:tblGrid>
        <w:gridCol w:w="2893"/>
        <w:gridCol w:w="1867"/>
        <w:gridCol w:w="1867"/>
        <w:gridCol w:w="1867"/>
      </w:tblGrid>
      <w:tr w:rsidR="00314CF5" w:rsidRPr="002E67CC" w14:paraId="6B8A9859" w14:textId="77777777" w:rsidTr="004070D8">
        <w:trPr>
          <w:trHeight w:val="366"/>
        </w:trPr>
        <w:tc>
          <w:tcPr>
            <w:tcW w:w="1250" w:type="pct"/>
            <w:noWrap/>
            <w:vAlign w:val="center"/>
            <w:hideMark/>
          </w:tcPr>
          <w:p w14:paraId="52F6D266" w14:textId="65BC91F0" w:rsidR="00314CF5" w:rsidRPr="002E67CC" w:rsidRDefault="00314CF5" w:rsidP="004070D8">
            <w:pPr>
              <w:adjustRightInd w:val="0"/>
              <w:jc w:val="both"/>
              <w:rPr>
                <w:rFonts w:ascii="Times New Roman" w:eastAsia="DengXian" w:hAnsi="Times New Roman" w:cs="Times New Roman"/>
                <w:b/>
                <w:bCs/>
                <w:color w:val="000000"/>
                <w:sz w:val="21"/>
                <w:szCs w:val="21"/>
                <w:lang w:eastAsia="zh-CN"/>
              </w:rPr>
            </w:pPr>
            <w:r w:rsidRPr="002E67CC">
              <w:rPr>
                <w:rFonts w:ascii="Times New Roman" w:eastAsia="DengXian" w:hAnsi="Times New Roman" w:cs="Times New Roman"/>
                <w:b/>
                <w:bCs/>
                <w:color w:val="000000"/>
                <w:sz w:val="21"/>
                <w:szCs w:val="21"/>
                <w:lang w:eastAsia="zh-CN"/>
              </w:rPr>
              <w:t>Policy option</w:t>
            </w:r>
          </w:p>
        </w:tc>
        <w:tc>
          <w:tcPr>
            <w:tcW w:w="1250" w:type="pct"/>
            <w:noWrap/>
            <w:hideMark/>
          </w:tcPr>
          <w:p w14:paraId="61F27463" w14:textId="7B1A159F" w:rsidR="00314CF5" w:rsidRPr="002E67CC" w:rsidRDefault="00AC2112" w:rsidP="00766B94">
            <w:pPr>
              <w:adjustRightInd w:val="0"/>
              <w:jc w:val="center"/>
              <w:rPr>
                <w:rFonts w:ascii="Times New Roman" w:eastAsia="DengXian" w:hAnsi="Times New Roman" w:cs="Times New Roman"/>
                <w:b/>
                <w:bCs/>
                <w:color w:val="000000"/>
                <w:sz w:val="21"/>
                <w:szCs w:val="21"/>
                <w:lang w:eastAsia="zh-CN"/>
              </w:rPr>
            </w:pPr>
            <w:r w:rsidRPr="002E67CC">
              <w:rPr>
                <w:rFonts w:ascii="Cambria Math" w:eastAsia="DengXian" w:hAnsi="Cambria Math" w:cs="Cambria Math"/>
                <w:b/>
                <w:bCs/>
                <w:color w:val="000000"/>
                <w:sz w:val="21"/>
                <w:szCs w:val="21"/>
                <w:lang w:eastAsia="zh-CN"/>
              </w:rPr>
              <w:t>④</w:t>
            </w:r>
            <w:r w:rsidR="00314CF5" w:rsidRPr="002E67CC">
              <w:rPr>
                <w:rFonts w:ascii="Times New Roman" w:eastAsia="DengXian" w:hAnsi="Times New Roman" w:cs="Times New Roman"/>
                <w:b/>
                <w:bCs/>
                <w:color w:val="000000"/>
                <w:sz w:val="21"/>
                <w:szCs w:val="21"/>
                <w:lang w:eastAsia="zh-CN"/>
              </w:rPr>
              <w:t xml:space="preserve">a: </w:t>
            </w:r>
            <w:r w:rsidR="007E2628" w:rsidRPr="002E67CC">
              <w:rPr>
                <w:rFonts w:ascii="Times New Roman" w:eastAsia="DengXian" w:hAnsi="Times New Roman" w:cs="Times New Roman"/>
                <w:b/>
                <w:bCs/>
                <w:color w:val="000000"/>
                <w:sz w:val="21"/>
                <w:szCs w:val="21"/>
                <w:lang w:eastAsia="zh-CN"/>
              </w:rPr>
              <w:t>low level</w:t>
            </w:r>
          </w:p>
        </w:tc>
        <w:tc>
          <w:tcPr>
            <w:tcW w:w="1250" w:type="pct"/>
          </w:tcPr>
          <w:p w14:paraId="2D67D1EF" w14:textId="3F020BA6" w:rsidR="00314CF5" w:rsidRPr="002E67CC" w:rsidRDefault="00AC2112" w:rsidP="00766B94">
            <w:pPr>
              <w:adjustRightInd w:val="0"/>
              <w:jc w:val="center"/>
              <w:rPr>
                <w:rFonts w:ascii="Times New Roman" w:eastAsia="DengXian" w:hAnsi="Times New Roman" w:cs="Times New Roman"/>
                <w:b/>
                <w:bCs/>
                <w:color w:val="000000"/>
                <w:sz w:val="21"/>
                <w:szCs w:val="21"/>
                <w:lang w:eastAsia="zh-CN"/>
              </w:rPr>
            </w:pPr>
            <w:r w:rsidRPr="002E67CC">
              <w:rPr>
                <w:rFonts w:ascii="Cambria Math" w:eastAsia="DengXian" w:hAnsi="Cambria Math" w:cs="Cambria Math"/>
                <w:b/>
                <w:bCs/>
                <w:color w:val="000000"/>
                <w:sz w:val="21"/>
                <w:szCs w:val="21"/>
                <w:lang w:eastAsia="zh-CN"/>
              </w:rPr>
              <w:t>④</w:t>
            </w:r>
            <w:r w:rsidR="00314CF5" w:rsidRPr="002E67CC">
              <w:rPr>
                <w:rFonts w:ascii="Times New Roman" w:eastAsia="DengXian" w:hAnsi="Times New Roman" w:cs="Times New Roman"/>
                <w:b/>
                <w:bCs/>
                <w:color w:val="000000"/>
                <w:sz w:val="21"/>
                <w:szCs w:val="21"/>
                <w:lang w:eastAsia="zh-CN"/>
              </w:rPr>
              <w:t xml:space="preserve">b: </w:t>
            </w:r>
            <w:r w:rsidR="007E2628" w:rsidRPr="002E67CC">
              <w:rPr>
                <w:rFonts w:ascii="Times New Roman" w:eastAsia="DengXian" w:hAnsi="Times New Roman" w:cs="Times New Roman"/>
                <w:b/>
                <w:bCs/>
                <w:color w:val="000000"/>
                <w:sz w:val="21"/>
                <w:szCs w:val="21"/>
                <w:lang w:eastAsia="zh-CN"/>
              </w:rPr>
              <w:t>expected level</w:t>
            </w:r>
          </w:p>
        </w:tc>
        <w:tc>
          <w:tcPr>
            <w:tcW w:w="1250" w:type="pct"/>
          </w:tcPr>
          <w:p w14:paraId="02ED7ABF" w14:textId="38AF62CE" w:rsidR="00314CF5" w:rsidRPr="002E67CC" w:rsidRDefault="00AC2112" w:rsidP="00766B94">
            <w:pPr>
              <w:adjustRightInd w:val="0"/>
              <w:jc w:val="center"/>
              <w:rPr>
                <w:rFonts w:ascii="Times New Roman" w:eastAsia="DengXian" w:hAnsi="Times New Roman" w:cs="Times New Roman"/>
                <w:b/>
                <w:bCs/>
                <w:color w:val="000000"/>
                <w:sz w:val="21"/>
                <w:szCs w:val="21"/>
                <w:lang w:eastAsia="zh-CN"/>
              </w:rPr>
            </w:pPr>
            <w:r w:rsidRPr="002E67CC">
              <w:rPr>
                <w:rFonts w:ascii="Cambria Math" w:eastAsia="DengXian" w:hAnsi="Cambria Math" w:cs="Cambria Math"/>
                <w:b/>
                <w:bCs/>
                <w:color w:val="000000"/>
                <w:sz w:val="21"/>
                <w:szCs w:val="21"/>
                <w:lang w:eastAsia="zh-CN"/>
              </w:rPr>
              <w:t>④</w:t>
            </w:r>
            <w:r w:rsidR="00314CF5" w:rsidRPr="002E67CC">
              <w:rPr>
                <w:rFonts w:ascii="Times New Roman" w:eastAsia="DengXian" w:hAnsi="Times New Roman" w:cs="Times New Roman"/>
                <w:b/>
                <w:bCs/>
                <w:color w:val="000000"/>
                <w:sz w:val="21"/>
                <w:szCs w:val="21"/>
                <w:lang w:eastAsia="zh-CN"/>
              </w:rPr>
              <w:t xml:space="preserve">c: </w:t>
            </w:r>
            <w:r w:rsidR="007E2628" w:rsidRPr="002E67CC">
              <w:rPr>
                <w:rFonts w:ascii="Times New Roman" w:eastAsia="DengXian" w:hAnsi="Times New Roman" w:cs="Times New Roman"/>
                <w:b/>
                <w:bCs/>
                <w:color w:val="000000"/>
                <w:sz w:val="21"/>
                <w:szCs w:val="21"/>
                <w:lang w:eastAsia="zh-CN"/>
              </w:rPr>
              <w:t>ambitious level</w:t>
            </w:r>
          </w:p>
        </w:tc>
      </w:tr>
      <w:tr w:rsidR="00314CF5" w:rsidRPr="002E67CC" w14:paraId="22CD6A7A" w14:textId="77777777" w:rsidTr="00E77DAA">
        <w:trPr>
          <w:trHeight w:val="354"/>
        </w:trPr>
        <w:tc>
          <w:tcPr>
            <w:tcW w:w="1250" w:type="pct"/>
            <w:noWrap/>
            <w:hideMark/>
          </w:tcPr>
          <w:p w14:paraId="3F03798F" w14:textId="493D041C" w:rsidR="00314CF5" w:rsidRPr="002E67CC" w:rsidRDefault="00271546" w:rsidP="00766B94">
            <w:pPr>
              <w:rPr>
                <w:rFonts w:ascii="Times New Roman" w:eastAsia="DengXian" w:hAnsi="Times New Roman" w:cs="Times New Roman"/>
                <w:color w:val="000000"/>
                <w:sz w:val="21"/>
                <w:szCs w:val="21"/>
                <w:lang w:eastAsia="zh-CN"/>
              </w:rPr>
            </w:pPr>
            <w:r w:rsidRPr="002E67CC">
              <w:rPr>
                <w:rFonts w:ascii="Times New Roman" w:eastAsia="DengXian" w:hAnsi="Times New Roman" w:cs="Times New Roman"/>
                <w:color w:val="000000"/>
                <w:sz w:val="21"/>
                <w:szCs w:val="21"/>
                <w:lang w:eastAsia="zh-CN"/>
              </w:rPr>
              <w:t>Recycle</w:t>
            </w:r>
            <w:r w:rsidR="00314CF5" w:rsidRPr="002E67CC">
              <w:rPr>
                <w:rFonts w:ascii="Times New Roman" w:eastAsia="DengXian" w:hAnsi="Times New Roman" w:cs="Times New Roman"/>
                <w:color w:val="000000"/>
                <w:sz w:val="21"/>
                <w:szCs w:val="21"/>
                <w:lang w:eastAsia="zh-CN"/>
              </w:rPr>
              <w:t xml:space="preserve"> LFP batteries</w:t>
            </w:r>
            <w:r w:rsidRPr="002E67CC">
              <w:rPr>
                <w:rFonts w:ascii="Times New Roman" w:eastAsia="DengXian" w:hAnsi="Times New Roman" w:cs="Times New Roman"/>
                <w:color w:val="000000"/>
                <w:sz w:val="21"/>
                <w:szCs w:val="21"/>
                <w:lang w:eastAsia="zh-CN"/>
              </w:rPr>
              <w:t>?</w:t>
            </w:r>
          </w:p>
        </w:tc>
        <w:tc>
          <w:tcPr>
            <w:tcW w:w="1250" w:type="pct"/>
            <w:noWrap/>
            <w:hideMark/>
          </w:tcPr>
          <w:p w14:paraId="035B2AA9" w14:textId="615766CB" w:rsidR="00314CF5" w:rsidRPr="002E67CC" w:rsidRDefault="00271546" w:rsidP="00766B94">
            <w:pPr>
              <w:jc w:val="center"/>
              <w:rPr>
                <w:rFonts w:ascii="Times New Roman" w:eastAsia="DengXian" w:hAnsi="Times New Roman" w:cs="Times New Roman"/>
                <w:color w:val="000000"/>
                <w:sz w:val="21"/>
                <w:szCs w:val="21"/>
                <w:lang w:eastAsia="zh-CN"/>
              </w:rPr>
            </w:pPr>
            <w:r w:rsidRPr="002E67CC">
              <w:rPr>
                <w:rFonts w:ascii="Times New Roman" w:eastAsia="DengXian" w:hAnsi="Times New Roman" w:cs="Times New Roman"/>
                <w:color w:val="000000"/>
                <w:sz w:val="21"/>
                <w:szCs w:val="21"/>
                <w:lang w:eastAsia="zh-CN"/>
              </w:rPr>
              <w:t>No</w:t>
            </w:r>
          </w:p>
        </w:tc>
        <w:tc>
          <w:tcPr>
            <w:tcW w:w="1250" w:type="pct"/>
          </w:tcPr>
          <w:p w14:paraId="5B80425A" w14:textId="3BA44C63" w:rsidR="00314CF5" w:rsidRPr="002E67CC" w:rsidRDefault="00271546" w:rsidP="00766B94">
            <w:pPr>
              <w:wordWrap w:val="0"/>
              <w:jc w:val="center"/>
              <w:rPr>
                <w:rFonts w:ascii="Times New Roman" w:eastAsia="DengXian" w:hAnsi="Times New Roman" w:cs="Times New Roman"/>
                <w:color w:val="000000"/>
                <w:sz w:val="21"/>
                <w:szCs w:val="21"/>
                <w:lang w:eastAsia="zh-CN"/>
              </w:rPr>
            </w:pPr>
            <w:r w:rsidRPr="002E67CC">
              <w:rPr>
                <w:rFonts w:ascii="Times New Roman" w:eastAsia="DengXian" w:hAnsi="Times New Roman" w:cs="Times New Roman"/>
                <w:color w:val="000000"/>
                <w:sz w:val="21"/>
                <w:szCs w:val="21"/>
                <w:lang w:eastAsia="zh-CN"/>
              </w:rPr>
              <w:t>Yes</w:t>
            </w:r>
          </w:p>
        </w:tc>
        <w:tc>
          <w:tcPr>
            <w:tcW w:w="1250" w:type="pct"/>
          </w:tcPr>
          <w:p w14:paraId="627E4FEF" w14:textId="0058F87D" w:rsidR="00314CF5" w:rsidRPr="002E67CC" w:rsidRDefault="00271546" w:rsidP="00766B94">
            <w:pPr>
              <w:wordWrap w:val="0"/>
              <w:jc w:val="center"/>
              <w:rPr>
                <w:rFonts w:ascii="Times New Roman" w:eastAsia="DengXian" w:hAnsi="Times New Roman" w:cs="Times New Roman"/>
                <w:color w:val="000000"/>
                <w:sz w:val="21"/>
                <w:szCs w:val="21"/>
                <w:lang w:eastAsia="zh-CN"/>
              </w:rPr>
            </w:pPr>
            <w:r w:rsidRPr="002E67CC">
              <w:rPr>
                <w:rFonts w:ascii="Times New Roman" w:eastAsia="DengXian" w:hAnsi="Times New Roman" w:cs="Times New Roman"/>
                <w:color w:val="000000"/>
                <w:sz w:val="21"/>
                <w:szCs w:val="21"/>
                <w:lang w:eastAsia="zh-CN"/>
              </w:rPr>
              <w:t>Yes</w:t>
            </w:r>
          </w:p>
        </w:tc>
      </w:tr>
      <w:tr w:rsidR="00314CF5" w:rsidRPr="002E67CC" w14:paraId="161F3464" w14:textId="77777777" w:rsidTr="00E77DAA">
        <w:trPr>
          <w:trHeight w:val="354"/>
        </w:trPr>
        <w:tc>
          <w:tcPr>
            <w:tcW w:w="1250" w:type="pct"/>
            <w:noWrap/>
          </w:tcPr>
          <w:p w14:paraId="3D7A9E51" w14:textId="6EBB9CE1" w:rsidR="00314CF5" w:rsidRPr="002E67CC" w:rsidRDefault="004070D8" w:rsidP="00766B94">
            <w:pP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Recovery rate (</w:t>
            </w:r>
            <w:r w:rsidR="007E77BF">
              <w:rPr>
                <w:rFonts w:ascii="Times New Roman" w:eastAsia="DengXian" w:hAnsi="Times New Roman" w:cs="Times New Roman" w:hint="eastAsia"/>
                <w:color w:val="000000"/>
                <w:sz w:val="21"/>
                <w:szCs w:val="21"/>
                <w:lang w:eastAsia="zh-CN"/>
              </w:rPr>
              <w:t>Li</w:t>
            </w:r>
            <w:r>
              <w:rPr>
                <w:rFonts w:ascii="Times New Roman" w:eastAsia="DengXian" w:hAnsi="Times New Roman" w:cs="Times New Roman" w:hint="eastAsia"/>
                <w:color w:val="000000"/>
                <w:sz w:val="21"/>
                <w:szCs w:val="21"/>
                <w:lang w:eastAsia="zh-CN"/>
              </w:rPr>
              <w:t>)</w:t>
            </w:r>
          </w:p>
        </w:tc>
        <w:tc>
          <w:tcPr>
            <w:tcW w:w="1250" w:type="pct"/>
            <w:noWrap/>
          </w:tcPr>
          <w:p w14:paraId="241854A8" w14:textId="4E1CB13D" w:rsidR="00314CF5" w:rsidRPr="002E67CC" w:rsidRDefault="00E448F6" w:rsidP="00766B94">
            <w:pPr>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5</w:t>
            </w:r>
            <w:r w:rsidR="007E77BF">
              <w:rPr>
                <w:rFonts w:ascii="Times New Roman" w:eastAsia="DengXian" w:hAnsi="Times New Roman" w:cs="Times New Roman" w:hint="eastAsia"/>
                <w:color w:val="000000"/>
                <w:sz w:val="21"/>
                <w:szCs w:val="21"/>
                <w:lang w:eastAsia="zh-CN"/>
              </w:rPr>
              <w:t>0%</w:t>
            </w:r>
          </w:p>
        </w:tc>
        <w:tc>
          <w:tcPr>
            <w:tcW w:w="1250" w:type="pct"/>
          </w:tcPr>
          <w:p w14:paraId="54747298" w14:textId="3BE08253" w:rsidR="00314CF5" w:rsidRPr="002E67CC" w:rsidRDefault="008C2CB3" w:rsidP="00766B94">
            <w:pPr>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90%</w:t>
            </w:r>
          </w:p>
        </w:tc>
        <w:tc>
          <w:tcPr>
            <w:tcW w:w="1250" w:type="pct"/>
          </w:tcPr>
          <w:p w14:paraId="125D0897" w14:textId="42AF7DA7" w:rsidR="00314CF5" w:rsidRPr="002E67CC" w:rsidRDefault="008C2CB3" w:rsidP="00766B94">
            <w:pPr>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99%</w:t>
            </w:r>
          </w:p>
        </w:tc>
      </w:tr>
      <w:tr w:rsidR="002E67CC" w:rsidRPr="002E67CC" w14:paraId="5B5C2A09" w14:textId="77777777" w:rsidTr="00E77DAA">
        <w:trPr>
          <w:trHeight w:val="354"/>
        </w:trPr>
        <w:tc>
          <w:tcPr>
            <w:tcW w:w="1250" w:type="pct"/>
            <w:noWrap/>
          </w:tcPr>
          <w:p w14:paraId="2CDF5788" w14:textId="6A870E28" w:rsidR="002E67CC" w:rsidRPr="002E67CC" w:rsidRDefault="004070D8" w:rsidP="00766B94">
            <w:pP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Recovery rate (</w:t>
            </w:r>
            <w:r w:rsidR="007E77BF">
              <w:rPr>
                <w:rFonts w:ascii="Times New Roman" w:eastAsia="DengXian" w:hAnsi="Times New Roman" w:cs="Times New Roman" w:hint="eastAsia"/>
                <w:color w:val="000000"/>
                <w:sz w:val="21"/>
                <w:szCs w:val="21"/>
                <w:lang w:eastAsia="zh-CN"/>
              </w:rPr>
              <w:t>Ni, Co, and Mn</w:t>
            </w:r>
            <w:r>
              <w:rPr>
                <w:rFonts w:ascii="Times New Roman" w:eastAsia="DengXian" w:hAnsi="Times New Roman" w:cs="Times New Roman" w:hint="eastAsia"/>
                <w:color w:val="000000"/>
                <w:sz w:val="21"/>
                <w:szCs w:val="21"/>
                <w:lang w:eastAsia="zh-CN"/>
              </w:rPr>
              <w:t>)</w:t>
            </w:r>
          </w:p>
        </w:tc>
        <w:tc>
          <w:tcPr>
            <w:tcW w:w="1250" w:type="pct"/>
            <w:noWrap/>
          </w:tcPr>
          <w:p w14:paraId="0F2DBB59" w14:textId="7006CC42" w:rsidR="002E67CC" w:rsidRPr="002E67CC" w:rsidRDefault="007E77BF" w:rsidP="00766B94">
            <w:pPr>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90%</w:t>
            </w:r>
          </w:p>
        </w:tc>
        <w:tc>
          <w:tcPr>
            <w:tcW w:w="1250" w:type="pct"/>
          </w:tcPr>
          <w:p w14:paraId="68790EFC" w14:textId="56D972F3" w:rsidR="002E67CC" w:rsidRPr="002E67CC" w:rsidRDefault="008C2CB3" w:rsidP="00766B94">
            <w:pPr>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90%</w:t>
            </w:r>
          </w:p>
        </w:tc>
        <w:tc>
          <w:tcPr>
            <w:tcW w:w="1250" w:type="pct"/>
          </w:tcPr>
          <w:p w14:paraId="0740C898" w14:textId="3648DC40" w:rsidR="002E67CC" w:rsidRPr="002E67CC" w:rsidRDefault="008C2CB3" w:rsidP="00766B94">
            <w:pPr>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99%</w:t>
            </w:r>
          </w:p>
        </w:tc>
      </w:tr>
    </w:tbl>
    <w:p w14:paraId="777BB9E6" w14:textId="77777777" w:rsidR="002802F5" w:rsidRPr="00314CF5" w:rsidRDefault="002802F5">
      <w:pPr>
        <w:rPr>
          <w:rFonts w:ascii="Times New Roman" w:eastAsia="DengXian" w:hAnsi="Times New Roman" w:cs="Times New Roman"/>
          <w:sz w:val="21"/>
          <w:szCs w:val="21"/>
          <w:lang w:eastAsia="zh-CN"/>
        </w:rPr>
      </w:pPr>
    </w:p>
    <w:p w14:paraId="3940C225" w14:textId="0B5A50C7" w:rsidR="001B31D0" w:rsidRPr="00F06C8E" w:rsidRDefault="001B31D0" w:rsidP="001B31D0">
      <w:pPr>
        <w:pStyle w:val="2"/>
        <w:rPr>
          <w:rFonts w:eastAsiaTheme="minorEastAsia"/>
          <w:lang w:eastAsia="ja-JP"/>
        </w:rPr>
      </w:pPr>
      <w:bookmarkStart w:id="62" w:name="_Toc199865021"/>
      <w:r w:rsidRPr="000F62FA">
        <w:rPr>
          <w:rFonts w:eastAsia="DengXian"/>
        </w:rPr>
        <w:t>2</w:t>
      </w:r>
      <w:r w:rsidRPr="000F62FA">
        <w:t>.</w:t>
      </w:r>
      <w:r>
        <w:rPr>
          <w:rFonts w:eastAsia="DengXian" w:hint="eastAsia"/>
        </w:rPr>
        <w:t>7</w:t>
      </w:r>
      <w:r w:rsidRPr="000F62FA">
        <w:t xml:space="preserve"> </w:t>
      </w:r>
      <w:r w:rsidR="008B1855">
        <w:rPr>
          <w:rFonts w:eastAsia="DengXian" w:hint="eastAsia"/>
        </w:rPr>
        <w:t>Tracking</w:t>
      </w:r>
      <w:r>
        <w:rPr>
          <w:rFonts w:eastAsia="DengXian" w:hint="eastAsia"/>
        </w:rPr>
        <w:t xml:space="preserve"> and </w:t>
      </w:r>
      <w:r w:rsidR="00A506AF">
        <w:rPr>
          <w:rFonts w:eastAsia="DengXian" w:hint="eastAsia"/>
        </w:rPr>
        <w:t>M</w:t>
      </w:r>
      <w:r>
        <w:rPr>
          <w:rFonts w:eastAsia="DengXian" w:hint="eastAsia"/>
        </w:rPr>
        <w:t xml:space="preserve">andatory </w:t>
      </w:r>
      <w:r w:rsidR="00A506AF">
        <w:rPr>
          <w:rFonts w:eastAsia="DengXian" w:hint="eastAsia"/>
        </w:rPr>
        <w:t>C</w:t>
      </w:r>
      <w:r>
        <w:rPr>
          <w:rFonts w:eastAsia="DengXian" w:hint="eastAsia"/>
        </w:rPr>
        <w:t>ollection</w:t>
      </w:r>
      <w:r w:rsidR="00F06C8E">
        <w:rPr>
          <w:rFonts w:eastAsiaTheme="minorEastAsia" w:hint="eastAsia"/>
          <w:lang w:eastAsia="ja-JP"/>
        </w:rPr>
        <w:t xml:space="preserve"> of Batteries</w:t>
      </w:r>
      <w:bookmarkEnd w:id="62"/>
    </w:p>
    <w:p w14:paraId="1DC52D95" w14:textId="587C8D0D" w:rsidR="00F94A6C" w:rsidRDefault="00F94A6C" w:rsidP="00F94A6C">
      <w:pPr>
        <w:rPr>
          <w:rFonts w:ascii="Times New Roman" w:eastAsia="DengXian" w:hAnsi="Times New Roman" w:cs="Times New Roman"/>
          <w:sz w:val="21"/>
          <w:szCs w:val="21"/>
          <w:lang w:eastAsia="zh-CN"/>
        </w:rPr>
      </w:pPr>
      <w:r w:rsidRPr="00F94A6C">
        <w:rPr>
          <w:rFonts w:ascii="Times New Roman" w:eastAsia="DengXian" w:hAnsi="Times New Roman" w:cs="Times New Roman"/>
          <w:sz w:val="21"/>
          <w:szCs w:val="21"/>
          <w:lang w:eastAsia="zh-CN"/>
        </w:rPr>
        <w:t>The collection rate of spent automotive LIBs is a pivotal factor influencing the material flow of critical minerals. According to a survey conducted by METI</w:t>
      </w:r>
      <w:r w:rsidRPr="00B34D92">
        <w:rPr>
          <w:rFonts w:ascii="Times New Roman" w:eastAsia="SimSun" w:hAnsi="Times New Roman" w:cs="Times New Roman"/>
          <w:sz w:val="21"/>
          <w:szCs w:val="21"/>
          <w:lang w:eastAsia="zh-CN"/>
        </w:rPr>
        <w:fldChar w:fldCharType="begin"/>
      </w:r>
      <w:r>
        <w:rPr>
          <w:rFonts w:ascii="Times New Roman" w:eastAsia="SimSun" w:hAnsi="Times New Roman" w:cs="Times New Roman"/>
          <w:sz w:val="21"/>
          <w:szCs w:val="21"/>
          <w:lang w:eastAsia="zh-CN"/>
        </w:rPr>
        <w:instrText xml:space="preserve"> ADDIN EN.CITE &lt;EndNote&gt;&lt;Cite&gt;&lt;Author&gt;METI&lt;/Author&gt;&lt;Year&gt;2022&lt;/Year&gt;&lt;RecNum&gt;232&lt;/RecNum&gt;&lt;DisplayText&gt;&lt;style face="superscript"&gt;13&lt;/style&gt;&lt;/DisplayText&gt;&lt;record&gt;&lt;rec-number&gt;232&lt;/rec-number&gt;&lt;foreign-keys&gt;&lt;key app="EN" db-id="200xxs0psrtaz4eze9pp5vvrdraszefpsp0w" timestamp="1742128355"&gt;232&lt;/key&gt;&lt;/foreign-keys&gt;&lt;ref-type name="Report"&gt;27&lt;/ref-type&gt;&lt;contributors&gt;&lt;authors&gt;&lt;author&gt;METI&lt;/author&gt;&lt;/authors&gt;&lt;/contributors&gt;&lt;titles&gt;&lt;title&gt;Presentation by the Study Group on the Sustainability of Batteries: Interim Summary&lt;/title&gt;&lt;/titles&gt;&lt;dates&gt;&lt;year&gt;2022&lt;/year&gt;&lt;/dates&gt;&lt;pub-location&gt;Tokyo&lt;/pub-location&gt;&lt;publisher&gt;Ministry of Economy, Trade and Industry of Japan (METI)&lt;/publisher&gt;&lt;urls&gt;&lt;related-urls&gt;&lt;url&gt;https://www.meti.go.jp/shingikai/mono_info_service/chikudenchi_sustainability/003.html&lt;/url&gt;&lt;/related-urls&gt;&lt;/urls&gt;&lt;/record&gt;&lt;/Cite&gt;&lt;/EndNote&gt;</w:instrText>
      </w:r>
      <w:r w:rsidRPr="00B34D92">
        <w:rPr>
          <w:rFonts w:ascii="Times New Roman" w:eastAsia="SimSun" w:hAnsi="Times New Roman" w:cs="Times New Roman"/>
          <w:sz w:val="21"/>
          <w:szCs w:val="21"/>
          <w:lang w:eastAsia="zh-CN"/>
        </w:rPr>
        <w:fldChar w:fldCharType="separate"/>
      </w:r>
      <w:r w:rsidRPr="00100173">
        <w:rPr>
          <w:rFonts w:ascii="Times New Roman" w:eastAsia="SimSun" w:hAnsi="Times New Roman" w:cs="Times New Roman"/>
          <w:noProof/>
          <w:sz w:val="21"/>
          <w:szCs w:val="21"/>
          <w:vertAlign w:val="superscript"/>
          <w:lang w:eastAsia="zh-CN"/>
        </w:rPr>
        <w:t>13</w:t>
      </w:r>
      <w:r w:rsidRPr="00B34D92">
        <w:rPr>
          <w:rFonts w:ascii="Times New Roman" w:eastAsia="SimSun" w:hAnsi="Times New Roman" w:cs="Times New Roman"/>
          <w:sz w:val="21"/>
          <w:szCs w:val="21"/>
          <w:lang w:eastAsia="zh-CN"/>
        </w:rPr>
        <w:fldChar w:fldCharType="end"/>
      </w:r>
      <w:r w:rsidRPr="00F94A6C">
        <w:rPr>
          <w:rFonts w:ascii="Times New Roman" w:eastAsia="DengXian" w:hAnsi="Times New Roman" w:cs="Times New Roman"/>
          <w:sz w:val="21"/>
          <w:szCs w:val="21"/>
          <w:lang w:eastAsia="zh-CN"/>
        </w:rPr>
        <w:t>, approximately 75% of spent automotive LIBs currently remain in Japan, where they are directed either to recycling or secondary use, while the remaining 25% are exported. Based on this, we assume an initial domestic collection rate of 75%, which could be further improved through enhanced traceability systems and mandatory collection policies.</w:t>
      </w:r>
      <w:r>
        <w:rPr>
          <w:rFonts w:ascii="Times New Roman" w:eastAsia="DengXian" w:hAnsi="Times New Roman" w:cs="Times New Roman" w:hint="eastAsia"/>
          <w:sz w:val="21"/>
          <w:szCs w:val="21"/>
          <w:lang w:eastAsia="zh-CN"/>
        </w:rPr>
        <w:t xml:space="preserve"> </w:t>
      </w:r>
      <w:r w:rsidRPr="00F94A6C">
        <w:rPr>
          <w:rFonts w:ascii="Times New Roman" w:eastAsia="DengXian" w:hAnsi="Times New Roman" w:cs="Times New Roman"/>
          <w:sz w:val="21"/>
          <w:szCs w:val="21"/>
          <w:lang w:eastAsia="zh-CN"/>
        </w:rPr>
        <w:t>In contrast, the overseas collection rate—defined here as the proportion of spent LIBs exported in vehicles that are eventually returned to Japan through a closed-loop supply chain—is initially set at 10%. This low figure reflects the limited collection infrastructure in some importing regions, particularly ASEAN countries, which currently receive about 40% of Japan’s passenger car exports and generally lack robust end-of-life vehicle policies. Conversely, major importers such as the United States and European Union have made significant progress in developing local recycling systems for spent LIBs.</w:t>
      </w:r>
      <w:r>
        <w:rPr>
          <w:rFonts w:ascii="Times New Roman" w:eastAsia="DengXian" w:hAnsi="Times New Roman" w:cs="Times New Roman" w:hint="eastAsia"/>
          <w:sz w:val="21"/>
          <w:szCs w:val="21"/>
          <w:lang w:eastAsia="zh-CN"/>
        </w:rPr>
        <w:t xml:space="preserve"> </w:t>
      </w:r>
      <w:r w:rsidRPr="00F94A6C">
        <w:rPr>
          <w:rFonts w:ascii="Times New Roman" w:eastAsia="DengXian" w:hAnsi="Times New Roman" w:cs="Times New Roman"/>
          <w:sz w:val="21"/>
          <w:szCs w:val="21"/>
          <w:lang w:eastAsia="zh-CN"/>
        </w:rPr>
        <w:t>If Japanese automotive manufacturers enhance battery traceability through their international sales networks, the overseas collection rate could increase to approximately 40%. Moreover, if international regulations are established that mandate producer responsibility for the collection and recycling of exported batteries, the overseas collection rate could potentially reach 90%. These scenarios are summarized in Table S1</w:t>
      </w:r>
      <w:r w:rsidR="00212327">
        <w:rPr>
          <w:rFonts w:ascii="Times New Roman" w:eastAsiaTheme="minorEastAsia" w:hAnsi="Times New Roman" w:cs="Times New Roman" w:hint="eastAsia"/>
          <w:sz w:val="21"/>
          <w:szCs w:val="21"/>
        </w:rPr>
        <w:t>1</w:t>
      </w:r>
      <w:r w:rsidRPr="00F94A6C">
        <w:rPr>
          <w:rFonts w:ascii="Times New Roman" w:eastAsia="DengXian" w:hAnsi="Times New Roman" w:cs="Times New Roman"/>
          <w:sz w:val="21"/>
          <w:szCs w:val="21"/>
          <w:lang w:eastAsia="zh-CN"/>
        </w:rPr>
        <w:t>.</w:t>
      </w:r>
    </w:p>
    <w:p w14:paraId="0B1B6033" w14:textId="77777777" w:rsidR="00D064F1" w:rsidRPr="00884000" w:rsidRDefault="00D064F1" w:rsidP="001B31D0">
      <w:pPr>
        <w:rPr>
          <w:rFonts w:ascii="Times New Roman" w:eastAsia="DengXian" w:hAnsi="Times New Roman" w:cs="Times New Roman"/>
          <w:sz w:val="21"/>
          <w:szCs w:val="21"/>
          <w:lang w:eastAsia="zh-CN"/>
        </w:rPr>
      </w:pPr>
    </w:p>
    <w:p w14:paraId="42BED2A4" w14:textId="16161C4D" w:rsidR="00F1741B" w:rsidRPr="005A1912" w:rsidRDefault="00F1741B" w:rsidP="00F1741B">
      <w:pPr>
        <w:jc w:val="center"/>
        <w:rPr>
          <w:rFonts w:ascii="Times New Roman" w:eastAsia="DengXian" w:hAnsi="Times New Roman" w:cs="Times New Roman"/>
          <w:b/>
          <w:bCs/>
          <w:sz w:val="21"/>
          <w:szCs w:val="21"/>
          <w:lang w:eastAsia="zh-CN"/>
        </w:rPr>
      </w:pPr>
      <w:bookmarkStart w:id="63" w:name="_Toc199865717"/>
      <w:bookmarkStart w:id="64" w:name="_Toc208439372"/>
      <w:bookmarkStart w:id="65" w:name="_Hlk199793725"/>
      <w:r w:rsidRPr="003573A7">
        <w:rPr>
          <w:rFonts w:ascii="Times New Roman" w:hAnsi="Times New Roman" w:cs="Times New Roman"/>
          <w:b/>
          <w:bCs/>
          <w:sz w:val="21"/>
          <w:szCs w:val="21"/>
        </w:rPr>
        <w:t xml:space="preserve">Table </w:t>
      </w:r>
      <w:r w:rsidRPr="003573A7">
        <w:rPr>
          <w:rFonts w:ascii="Times New Roman" w:eastAsia="DengXian" w:hAnsi="Times New Roman" w:cs="Times New Roman"/>
          <w:b/>
          <w:bCs/>
          <w:sz w:val="21"/>
          <w:szCs w:val="21"/>
          <w:lang w:eastAsia="zh-CN"/>
        </w:rPr>
        <w:t>S</w:t>
      </w:r>
      <w:r w:rsidRPr="003573A7">
        <w:rPr>
          <w:rFonts w:ascii="Times New Roman" w:hAnsi="Times New Roman" w:cs="Times New Roman"/>
          <w:b/>
          <w:bCs/>
          <w:sz w:val="21"/>
          <w:szCs w:val="21"/>
        </w:rPr>
        <w:fldChar w:fldCharType="begin"/>
      </w:r>
      <w:r w:rsidRPr="003573A7">
        <w:rPr>
          <w:rFonts w:ascii="Times New Roman" w:hAnsi="Times New Roman" w:cs="Times New Roman"/>
          <w:b/>
          <w:bCs/>
          <w:sz w:val="21"/>
          <w:szCs w:val="21"/>
        </w:rPr>
        <w:instrText xml:space="preserve"> SEQ </w:instrText>
      </w:r>
      <w:r w:rsidRPr="003573A7">
        <w:rPr>
          <w:rFonts w:ascii="Times New Roman" w:hAnsi="Times New Roman" w:cs="Times New Roman"/>
          <w:b/>
          <w:bCs/>
          <w:sz w:val="21"/>
          <w:szCs w:val="21"/>
        </w:rPr>
        <w:instrText>表格</w:instrText>
      </w:r>
      <w:r w:rsidRPr="003573A7">
        <w:rPr>
          <w:rFonts w:ascii="Times New Roman" w:hAnsi="Times New Roman" w:cs="Times New Roman"/>
          <w:b/>
          <w:bCs/>
          <w:sz w:val="21"/>
          <w:szCs w:val="21"/>
        </w:rPr>
        <w:instrText xml:space="preserve"> \* ARABIC </w:instrText>
      </w:r>
      <w:r w:rsidRPr="003573A7">
        <w:rPr>
          <w:rFonts w:ascii="Times New Roman" w:hAnsi="Times New Roman" w:cs="Times New Roman"/>
          <w:b/>
          <w:bCs/>
          <w:sz w:val="21"/>
          <w:szCs w:val="21"/>
        </w:rPr>
        <w:fldChar w:fldCharType="separate"/>
      </w:r>
      <w:r w:rsidR="00212327">
        <w:rPr>
          <w:rFonts w:ascii="Times New Roman" w:hAnsi="Times New Roman" w:cs="Times New Roman"/>
          <w:b/>
          <w:bCs/>
          <w:noProof/>
          <w:sz w:val="21"/>
          <w:szCs w:val="21"/>
        </w:rPr>
        <w:t>11</w:t>
      </w:r>
      <w:r w:rsidRPr="003573A7">
        <w:rPr>
          <w:rFonts w:ascii="Times New Roman" w:hAnsi="Times New Roman" w:cs="Times New Roman"/>
          <w:b/>
          <w:bCs/>
          <w:sz w:val="21"/>
          <w:szCs w:val="21"/>
        </w:rPr>
        <w:fldChar w:fldCharType="end"/>
      </w:r>
      <w:r w:rsidRPr="003573A7">
        <w:rPr>
          <w:rFonts w:ascii="Times New Roman" w:hAnsi="Times New Roman" w:cs="Times New Roman"/>
          <w:b/>
          <w:bCs/>
          <w:sz w:val="21"/>
          <w:szCs w:val="21"/>
        </w:rPr>
        <w:t xml:space="preserve">. </w:t>
      </w:r>
      <w:r w:rsidR="00E21304">
        <w:rPr>
          <w:rFonts w:ascii="Times New Roman" w:eastAsia="DengXian" w:hAnsi="Times New Roman" w:cs="Times New Roman" w:hint="eastAsia"/>
          <w:b/>
          <w:bCs/>
          <w:sz w:val="21"/>
          <w:szCs w:val="21"/>
          <w:lang w:eastAsia="zh-CN"/>
        </w:rPr>
        <w:t>Parameter setting</w:t>
      </w:r>
      <w:r w:rsidR="009F14CD">
        <w:rPr>
          <w:rFonts w:ascii="Times New Roman" w:eastAsiaTheme="minorEastAsia" w:hAnsi="Times New Roman" w:cs="Times New Roman" w:hint="eastAsia"/>
          <w:b/>
          <w:bCs/>
          <w:sz w:val="21"/>
          <w:szCs w:val="21"/>
        </w:rPr>
        <w:t>s</w:t>
      </w:r>
      <w:r w:rsidR="00E21304">
        <w:rPr>
          <w:rFonts w:ascii="Times New Roman" w:eastAsia="DengXian" w:hAnsi="Times New Roman" w:cs="Times New Roman" w:hint="eastAsia"/>
          <w:b/>
          <w:bCs/>
          <w:sz w:val="21"/>
          <w:szCs w:val="21"/>
          <w:lang w:eastAsia="zh-CN"/>
        </w:rPr>
        <w:t xml:space="preserve"> for tracing and mandatory collection</w:t>
      </w:r>
      <w:bookmarkEnd w:id="63"/>
      <w:bookmarkEnd w:id="64"/>
    </w:p>
    <w:tbl>
      <w:tblPr>
        <w:tblStyle w:val="a7"/>
        <w:tblW w:w="5000" w:type="pct"/>
        <w:tblLayout w:type="fixed"/>
        <w:tblLook w:val="04A0" w:firstRow="1" w:lastRow="0" w:firstColumn="1" w:lastColumn="0" w:noHBand="0" w:noVBand="1"/>
      </w:tblPr>
      <w:tblGrid>
        <w:gridCol w:w="2123"/>
        <w:gridCol w:w="2123"/>
        <w:gridCol w:w="2124"/>
        <w:gridCol w:w="2124"/>
      </w:tblGrid>
      <w:tr w:rsidR="008F5078" w:rsidRPr="00634AD3" w14:paraId="178B1D09" w14:textId="77777777" w:rsidTr="00226600">
        <w:trPr>
          <w:trHeight w:val="366"/>
        </w:trPr>
        <w:tc>
          <w:tcPr>
            <w:tcW w:w="1250" w:type="pct"/>
            <w:noWrap/>
            <w:vAlign w:val="center"/>
            <w:hideMark/>
          </w:tcPr>
          <w:bookmarkEnd w:id="65"/>
          <w:p w14:paraId="7EFE559C" w14:textId="50F8E7ED" w:rsidR="00091334" w:rsidRPr="00634AD3" w:rsidRDefault="00EE1F1D" w:rsidP="00766B94">
            <w:pPr>
              <w:adjustRightInd w:val="0"/>
              <w:jc w:val="both"/>
              <w:rPr>
                <w:rFonts w:ascii="Times New Roman" w:eastAsia="DengXian" w:hAnsi="Times New Roman" w:cs="Times New Roman"/>
                <w:b/>
                <w:bCs/>
                <w:color w:val="000000"/>
                <w:sz w:val="21"/>
                <w:szCs w:val="21"/>
                <w:lang w:eastAsia="zh-CN"/>
              </w:rPr>
            </w:pPr>
            <w:r w:rsidRPr="00634AD3">
              <w:rPr>
                <w:rFonts w:ascii="Times New Roman" w:eastAsia="DengXian" w:hAnsi="Times New Roman" w:cs="Times New Roman"/>
                <w:b/>
                <w:bCs/>
                <w:color w:val="000000"/>
                <w:sz w:val="21"/>
                <w:szCs w:val="21"/>
                <w:lang w:eastAsia="zh-CN"/>
              </w:rPr>
              <w:lastRenderedPageBreak/>
              <w:t>Collection rate of spent LIBs</w:t>
            </w:r>
          </w:p>
        </w:tc>
        <w:tc>
          <w:tcPr>
            <w:tcW w:w="1250" w:type="pct"/>
            <w:noWrap/>
            <w:hideMark/>
          </w:tcPr>
          <w:p w14:paraId="7E274E63" w14:textId="4B743671" w:rsidR="00091334" w:rsidRPr="00634AD3" w:rsidRDefault="001E3B3B" w:rsidP="00766B94">
            <w:pPr>
              <w:adjustRightInd w:val="0"/>
              <w:jc w:val="center"/>
              <w:rPr>
                <w:rFonts w:ascii="Times New Roman" w:eastAsia="DengXian" w:hAnsi="Times New Roman" w:cs="Times New Roman"/>
                <w:b/>
                <w:bCs/>
                <w:color w:val="000000"/>
                <w:sz w:val="21"/>
                <w:szCs w:val="21"/>
                <w:lang w:eastAsia="zh-CN"/>
              </w:rPr>
            </w:pPr>
            <w:r w:rsidRPr="00634AD3">
              <w:rPr>
                <w:rFonts w:ascii="Cambria Math" w:eastAsia="DengXian" w:hAnsi="Cambria Math" w:cs="Cambria Math"/>
                <w:b/>
                <w:bCs/>
                <w:color w:val="000000"/>
                <w:sz w:val="21"/>
                <w:szCs w:val="21"/>
                <w:lang w:eastAsia="zh-CN"/>
              </w:rPr>
              <w:t>③</w:t>
            </w:r>
            <w:r w:rsidR="00091334" w:rsidRPr="00634AD3">
              <w:rPr>
                <w:rFonts w:ascii="Times New Roman" w:eastAsia="DengXian" w:hAnsi="Times New Roman" w:cs="Times New Roman"/>
                <w:b/>
                <w:bCs/>
                <w:color w:val="000000"/>
                <w:sz w:val="21"/>
                <w:szCs w:val="21"/>
                <w:lang w:eastAsia="zh-CN"/>
              </w:rPr>
              <w:t xml:space="preserve">a: </w:t>
            </w:r>
            <w:r w:rsidRPr="00634AD3">
              <w:rPr>
                <w:rFonts w:ascii="Times New Roman" w:eastAsia="DengXian" w:hAnsi="Times New Roman" w:cs="Times New Roman"/>
                <w:b/>
                <w:bCs/>
                <w:color w:val="000000"/>
                <w:sz w:val="21"/>
                <w:szCs w:val="21"/>
                <w:lang w:eastAsia="zh-CN"/>
              </w:rPr>
              <w:t>current situation unchanged</w:t>
            </w:r>
          </w:p>
        </w:tc>
        <w:tc>
          <w:tcPr>
            <w:tcW w:w="1250" w:type="pct"/>
          </w:tcPr>
          <w:p w14:paraId="44F72187" w14:textId="12B46753" w:rsidR="00091334" w:rsidRPr="00634AD3" w:rsidRDefault="001E3B3B" w:rsidP="00766B94">
            <w:pPr>
              <w:adjustRightInd w:val="0"/>
              <w:jc w:val="center"/>
              <w:rPr>
                <w:rFonts w:ascii="Times New Roman" w:eastAsia="DengXian" w:hAnsi="Times New Roman" w:cs="Times New Roman"/>
                <w:b/>
                <w:bCs/>
                <w:color w:val="000000"/>
                <w:sz w:val="21"/>
                <w:szCs w:val="21"/>
                <w:lang w:eastAsia="zh-CN"/>
              </w:rPr>
            </w:pPr>
            <w:r w:rsidRPr="00634AD3">
              <w:rPr>
                <w:rFonts w:ascii="Cambria Math" w:eastAsia="DengXian" w:hAnsi="Cambria Math" w:cs="Cambria Math"/>
                <w:b/>
                <w:bCs/>
                <w:color w:val="000000"/>
                <w:sz w:val="21"/>
                <w:szCs w:val="21"/>
                <w:lang w:eastAsia="zh-CN"/>
              </w:rPr>
              <w:t>③</w:t>
            </w:r>
            <w:r w:rsidR="00091334" w:rsidRPr="00634AD3">
              <w:rPr>
                <w:rFonts w:ascii="Times New Roman" w:eastAsia="DengXian" w:hAnsi="Times New Roman" w:cs="Times New Roman"/>
                <w:b/>
                <w:bCs/>
                <w:color w:val="000000"/>
                <w:sz w:val="21"/>
                <w:szCs w:val="21"/>
                <w:lang w:eastAsia="zh-CN"/>
              </w:rPr>
              <w:t xml:space="preserve">b: </w:t>
            </w:r>
            <w:r w:rsidR="008F5078" w:rsidRPr="00634AD3">
              <w:rPr>
                <w:rFonts w:ascii="Times New Roman" w:eastAsia="DengXian" w:hAnsi="Times New Roman" w:cs="Times New Roman"/>
                <w:b/>
                <w:bCs/>
                <w:color w:val="000000"/>
                <w:sz w:val="21"/>
                <w:szCs w:val="21"/>
                <w:lang w:eastAsia="zh-CN"/>
              </w:rPr>
              <w:t>strengthened by sales network</w:t>
            </w:r>
          </w:p>
        </w:tc>
        <w:tc>
          <w:tcPr>
            <w:tcW w:w="1250" w:type="pct"/>
          </w:tcPr>
          <w:p w14:paraId="57CE11BB" w14:textId="46190D3F" w:rsidR="00091334" w:rsidRPr="00634AD3" w:rsidRDefault="001E3B3B" w:rsidP="00766B94">
            <w:pPr>
              <w:adjustRightInd w:val="0"/>
              <w:jc w:val="center"/>
              <w:rPr>
                <w:rFonts w:ascii="Times New Roman" w:eastAsia="DengXian" w:hAnsi="Times New Roman" w:cs="Times New Roman"/>
                <w:b/>
                <w:bCs/>
                <w:color w:val="000000"/>
                <w:sz w:val="21"/>
                <w:szCs w:val="21"/>
                <w:lang w:eastAsia="zh-CN"/>
              </w:rPr>
            </w:pPr>
            <w:r w:rsidRPr="00634AD3">
              <w:rPr>
                <w:rFonts w:ascii="Cambria Math" w:eastAsia="DengXian" w:hAnsi="Cambria Math" w:cs="Cambria Math"/>
                <w:b/>
                <w:bCs/>
                <w:color w:val="000000"/>
                <w:sz w:val="21"/>
                <w:szCs w:val="21"/>
                <w:lang w:eastAsia="zh-CN"/>
              </w:rPr>
              <w:t>③</w:t>
            </w:r>
            <w:r w:rsidR="00091334" w:rsidRPr="00634AD3">
              <w:rPr>
                <w:rFonts w:ascii="Times New Roman" w:eastAsia="DengXian" w:hAnsi="Times New Roman" w:cs="Times New Roman"/>
                <w:b/>
                <w:bCs/>
                <w:color w:val="000000"/>
                <w:sz w:val="21"/>
                <w:szCs w:val="21"/>
                <w:lang w:eastAsia="zh-CN"/>
              </w:rPr>
              <w:t xml:space="preserve">c: </w:t>
            </w:r>
            <w:r w:rsidR="008F5078" w:rsidRPr="00634AD3">
              <w:rPr>
                <w:rFonts w:ascii="Times New Roman" w:eastAsia="DengXian" w:hAnsi="Times New Roman" w:cs="Times New Roman"/>
                <w:b/>
                <w:bCs/>
                <w:color w:val="000000"/>
                <w:sz w:val="21"/>
                <w:szCs w:val="21"/>
                <w:lang w:eastAsia="zh-CN"/>
              </w:rPr>
              <w:t>international rulemaking</w:t>
            </w:r>
          </w:p>
        </w:tc>
      </w:tr>
      <w:tr w:rsidR="008F5078" w:rsidRPr="002E67CC" w14:paraId="19BAE702" w14:textId="77777777" w:rsidTr="00226600">
        <w:trPr>
          <w:trHeight w:val="354"/>
        </w:trPr>
        <w:tc>
          <w:tcPr>
            <w:tcW w:w="1250" w:type="pct"/>
            <w:noWrap/>
            <w:hideMark/>
          </w:tcPr>
          <w:p w14:paraId="4EE59D8A" w14:textId="7EB2503A" w:rsidR="00091334" w:rsidRPr="002E67CC" w:rsidRDefault="00EE1F1D" w:rsidP="00766B94">
            <w:pP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Domestic</w:t>
            </w:r>
          </w:p>
        </w:tc>
        <w:tc>
          <w:tcPr>
            <w:tcW w:w="1250" w:type="pct"/>
            <w:noWrap/>
            <w:hideMark/>
          </w:tcPr>
          <w:p w14:paraId="59D9849B" w14:textId="0F5C8F3B" w:rsidR="00091334" w:rsidRPr="002E67CC" w:rsidRDefault="002D7E60" w:rsidP="00766B94">
            <w:pPr>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75%</w:t>
            </w:r>
          </w:p>
        </w:tc>
        <w:tc>
          <w:tcPr>
            <w:tcW w:w="1250" w:type="pct"/>
          </w:tcPr>
          <w:p w14:paraId="08C12779" w14:textId="34F65852" w:rsidR="00091334" w:rsidRPr="002E67CC" w:rsidRDefault="00226600" w:rsidP="00766B94">
            <w:pPr>
              <w:wordWrap w:val="0"/>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95%</w:t>
            </w:r>
          </w:p>
        </w:tc>
        <w:tc>
          <w:tcPr>
            <w:tcW w:w="1250" w:type="pct"/>
          </w:tcPr>
          <w:p w14:paraId="7513F56A" w14:textId="4706A542" w:rsidR="00091334" w:rsidRPr="002E67CC" w:rsidRDefault="00226600" w:rsidP="00766B94">
            <w:pPr>
              <w:wordWrap w:val="0"/>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95%</w:t>
            </w:r>
          </w:p>
        </w:tc>
      </w:tr>
      <w:tr w:rsidR="008F5078" w:rsidRPr="002E67CC" w14:paraId="6282C3BF" w14:textId="77777777" w:rsidTr="00226600">
        <w:trPr>
          <w:trHeight w:val="354"/>
        </w:trPr>
        <w:tc>
          <w:tcPr>
            <w:tcW w:w="1250" w:type="pct"/>
            <w:noWrap/>
          </w:tcPr>
          <w:p w14:paraId="323D092D" w14:textId="435CE4AA" w:rsidR="00091334" w:rsidRPr="002E67CC" w:rsidRDefault="00EE1F1D" w:rsidP="00766B94">
            <w:pP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Overseas</w:t>
            </w:r>
          </w:p>
        </w:tc>
        <w:tc>
          <w:tcPr>
            <w:tcW w:w="1250" w:type="pct"/>
            <w:noWrap/>
          </w:tcPr>
          <w:p w14:paraId="6A95C7D4" w14:textId="60B81309" w:rsidR="00091334" w:rsidRPr="002E67CC" w:rsidRDefault="002D7E60" w:rsidP="00766B94">
            <w:pPr>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10</w:t>
            </w:r>
            <w:r w:rsidR="00091334">
              <w:rPr>
                <w:rFonts w:ascii="Times New Roman" w:eastAsia="DengXian" w:hAnsi="Times New Roman" w:cs="Times New Roman" w:hint="eastAsia"/>
                <w:color w:val="000000"/>
                <w:sz w:val="21"/>
                <w:szCs w:val="21"/>
                <w:lang w:eastAsia="zh-CN"/>
              </w:rPr>
              <w:t>%</w:t>
            </w:r>
          </w:p>
        </w:tc>
        <w:tc>
          <w:tcPr>
            <w:tcW w:w="1250" w:type="pct"/>
          </w:tcPr>
          <w:p w14:paraId="0F2010F8" w14:textId="49FE6B1E" w:rsidR="00091334" w:rsidRPr="002E67CC" w:rsidRDefault="00226600" w:rsidP="00766B94">
            <w:pPr>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4</w:t>
            </w:r>
            <w:r w:rsidR="00091334">
              <w:rPr>
                <w:rFonts w:ascii="Times New Roman" w:eastAsia="DengXian" w:hAnsi="Times New Roman" w:cs="Times New Roman" w:hint="eastAsia"/>
                <w:color w:val="000000"/>
                <w:sz w:val="21"/>
                <w:szCs w:val="21"/>
                <w:lang w:eastAsia="zh-CN"/>
              </w:rPr>
              <w:t>0%</w:t>
            </w:r>
          </w:p>
        </w:tc>
        <w:tc>
          <w:tcPr>
            <w:tcW w:w="1250" w:type="pct"/>
          </w:tcPr>
          <w:p w14:paraId="5C37C4B9" w14:textId="1BF7FD68" w:rsidR="00091334" w:rsidRPr="002E67CC" w:rsidRDefault="00091334" w:rsidP="00766B94">
            <w:pPr>
              <w:jc w:val="center"/>
              <w:rPr>
                <w:rFonts w:ascii="Times New Roman" w:eastAsia="DengXian" w:hAnsi="Times New Roman" w:cs="Times New Roman"/>
                <w:color w:val="000000"/>
                <w:sz w:val="21"/>
                <w:szCs w:val="21"/>
                <w:lang w:eastAsia="zh-CN"/>
              </w:rPr>
            </w:pPr>
            <w:r>
              <w:rPr>
                <w:rFonts w:ascii="Times New Roman" w:eastAsia="DengXian" w:hAnsi="Times New Roman" w:cs="Times New Roman" w:hint="eastAsia"/>
                <w:color w:val="000000"/>
                <w:sz w:val="21"/>
                <w:szCs w:val="21"/>
                <w:lang w:eastAsia="zh-CN"/>
              </w:rPr>
              <w:t>9</w:t>
            </w:r>
            <w:r w:rsidR="00226600">
              <w:rPr>
                <w:rFonts w:ascii="Times New Roman" w:eastAsia="DengXian" w:hAnsi="Times New Roman" w:cs="Times New Roman" w:hint="eastAsia"/>
                <w:color w:val="000000"/>
                <w:sz w:val="21"/>
                <w:szCs w:val="21"/>
                <w:lang w:eastAsia="zh-CN"/>
              </w:rPr>
              <w:t>0</w:t>
            </w:r>
            <w:r>
              <w:rPr>
                <w:rFonts w:ascii="Times New Roman" w:eastAsia="DengXian" w:hAnsi="Times New Roman" w:cs="Times New Roman" w:hint="eastAsia"/>
                <w:color w:val="000000"/>
                <w:sz w:val="21"/>
                <w:szCs w:val="21"/>
                <w:lang w:eastAsia="zh-CN"/>
              </w:rPr>
              <w:t>%</w:t>
            </w:r>
          </w:p>
        </w:tc>
      </w:tr>
    </w:tbl>
    <w:p w14:paraId="4E0C239B" w14:textId="77777777" w:rsidR="00F1741B" w:rsidRDefault="00F1741B" w:rsidP="001B31D0">
      <w:pPr>
        <w:rPr>
          <w:rFonts w:ascii="Times New Roman" w:eastAsiaTheme="minorEastAsia" w:hAnsi="Times New Roman" w:cs="Times New Roman"/>
          <w:sz w:val="21"/>
          <w:szCs w:val="21"/>
        </w:rPr>
      </w:pPr>
    </w:p>
    <w:p w14:paraId="609A0771" w14:textId="1A8C1007" w:rsidR="002332A5" w:rsidRDefault="002332A5" w:rsidP="002332A5">
      <w:pPr>
        <w:rPr>
          <w:rFonts w:ascii="Times New Roman" w:eastAsiaTheme="minorEastAsia" w:hAnsi="Times New Roman" w:cs="Times New Roman"/>
          <w:sz w:val="21"/>
          <w:szCs w:val="21"/>
        </w:rPr>
      </w:pPr>
      <w:r w:rsidRPr="002332A5">
        <w:rPr>
          <w:rFonts w:ascii="Times New Roman" w:eastAsiaTheme="minorEastAsia" w:hAnsi="Times New Roman" w:cs="Times New Roman"/>
          <w:sz w:val="21"/>
          <w:szCs w:val="21"/>
        </w:rPr>
        <w:t>The export of used vehicles is also affected by policies related to battery traceability and mandatory collection. Japan remains one of the world’s largest exporters of used vehicles, with approximately 1 million used passenger cars exported annually between 2017 and 2024 (Figure S18). These exported vehicles are included in official statistics as part of the deregistered fleet, accounting for roughly 25% of total annual deregistrations—a proportion that forms the basis for future projections in this study.</w:t>
      </w:r>
      <w:r>
        <w:rPr>
          <w:rFonts w:ascii="Times New Roman" w:eastAsiaTheme="minorEastAsia" w:hAnsi="Times New Roman" w:cs="Times New Roman" w:hint="eastAsia"/>
          <w:sz w:val="21"/>
          <w:szCs w:val="21"/>
        </w:rPr>
        <w:t xml:space="preserve"> </w:t>
      </w:r>
      <w:r w:rsidRPr="002332A5">
        <w:rPr>
          <w:rFonts w:ascii="Times New Roman" w:eastAsiaTheme="minorEastAsia" w:hAnsi="Times New Roman" w:cs="Times New Roman"/>
          <w:sz w:val="21"/>
          <w:szCs w:val="21"/>
        </w:rPr>
        <w:t>Aligned with the projected evolution of Japan’s passenger car fleet, the export volume of BEVs and PHEVs is expected to remain relatively low through 2035 but increase rapidly thereafter, reaching an estimated 500,000 units by 2050 (Figure S27). Nevertheless, this figure remains modest when compared to annual new passenger car sales, which are projected to reach approximately 10 million units globally. Consequently, extracting automotive LIBs from used vehicles prior to export has only limited potential to enhance the circularity of critical minerals on a large scale.</w:t>
      </w:r>
    </w:p>
    <w:p w14:paraId="02C367A1" w14:textId="77777777" w:rsidR="00694353" w:rsidRPr="00694353" w:rsidRDefault="00694353" w:rsidP="001B31D0">
      <w:pPr>
        <w:rPr>
          <w:rFonts w:ascii="Times New Roman" w:eastAsiaTheme="minorEastAsia" w:hAnsi="Times New Roman" w:cs="Times New Roman"/>
          <w:sz w:val="21"/>
          <w:szCs w:val="21"/>
        </w:rPr>
      </w:pPr>
    </w:p>
    <w:p w14:paraId="03CE3C53" w14:textId="7CA4A6F0" w:rsidR="00D064F1" w:rsidRDefault="00E40AE1" w:rsidP="00E40AE1">
      <w:pPr>
        <w:jc w:val="center"/>
        <w:rPr>
          <w:rFonts w:ascii="Times New Roman" w:eastAsia="DengXian" w:hAnsi="Times New Roman" w:cs="Times New Roman"/>
          <w:sz w:val="21"/>
          <w:szCs w:val="21"/>
          <w:lang w:eastAsia="zh-CN"/>
        </w:rPr>
      </w:pPr>
      <w:r>
        <w:rPr>
          <w:noProof/>
        </w:rPr>
        <w:drawing>
          <wp:inline distT="0" distB="0" distL="0" distR="0" wp14:anchorId="53A53C9F" wp14:editId="05138E49">
            <wp:extent cx="4903470" cy="2762250"/>
            <wp:effectExtent l="0" t="0" r="0" b="0"/>
            <wp:docPr id="369621792" name="グラフ 1">
              <a:extLst xmlns:a="http://schemas.openxmlformats.org/drawingml/2006/main">
                <a:ext uri="{FF2B5EF4-FFF2-40B4-BE49-F238E27FC236}">
                  <a16:creationId xmlns:a16="http://schemas.microsoft.com/office/drawing/2014/main" id="{049E92D5-8D33-6316-B78A-7F28CAFEA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47797C" w14:textId="7A7E9F2F" w:rsidR="002D61AD" w:rsidRPr="00C43F3D" w:rsidRDefault="002D61AD" w:rsidP="00C43F3D">
      <w:pPr>
        <w:jc w:val="center"/>
        <w:rPr>
          <w:rFonts w:ascii="Times New Roman" w:eastAsiaTheme="minorEastAsia" w:hAnsi="Times New Roman" w:cs="Times New Roman"/>
          <w:sz w:val="21"/>
          <w:szCs w:val="21"/>
        </w:rPr>
      </w:pPr>
      <w:r>
        <w:rPr>
          <w:rFonts w:ascii="Times New Roman" w:eastAsia="DengXian" w:hAnsi="Times New Roman" w:cs="Times New Roman" w:hint="eastAsia"/>
          <w:sz w:val="21"/>
          <w:szCs w:val="21"/>
          <w:lang w:eastAsia="zh-CN"/>
        </w:rPr>
        <w:t>a.</w:t>
      </w:r>
      <w:r w:rsidR="00C43F3D">
        <w:rPr>
          <w:rFonts w:ascii="Times New Roman" w:eastAsiaTheme="minorEastAsia" w:hAnsi="Times New Roman" w:cs="Times New Roman" w:hint="eastAsia"/>
          <w:sz w:val="21"/>
          <w:szCs w:val="21"/>
        </w:rPr>
        <w:t xml:space="preserve"> U</w:t>
      </w:r>
      <w:r w:rsidR="009D58E4">
        <w:rPr>
          <w:rFonts w:ascii="Times New Roman" w:eastAsiaTheme="minorEastAsia" w:hAnsi="Times New Roman" w:cs="Times New Roman" w:hint="eastAsia"/>
          <w:sz w:val="21"/>
          <w:szCs w:val="21"/>
        </w:rPr>
        <w:t>rban form</w:t>
      </w:r>
      <w:r w:rsidR="00D46F31">
        <w:rPr>
          <w:rFonts w:ascii="Times New Roman" w:eastAsiaTheme="minorEastAsia" w:hAnsi="Times New Roman" w:cs="Times New Roman" w:hint="eastAsia"/>
          <w:sz w:val="21"/>
          <w:szCs w:val="21"/>
        </w:rPr>
        <w:t xml:space="preserve"> unchanges</w:t>
      </w:r>
    </w:p>
    <w:p w14:paraId="736265E9" w14:textId="67CE9D6B" w:rsidR="00A148DD" w:rsidRDefault="007C408E" w:rsidP="007C408E">
      <w:pPr>
        <w:jc w:val="center"/>
        <w:rPr>
          <w:rFonts w:ascii="Times New Roman" w:eastAsia="DengXian" w:hAnsi="Times New Roman" w:cs="Times New Roman"/>
          <w:sz w:val="21"/>
          <w:szCs w:val="21"/>
          <w:lang w:eastAsia="zh-CN"/>
        </w:rPr>
      </w:pPr>
      <w:r>
        <w:rPr>
          <w:noProof/>
        </w:rPr>
        <w:lastRenderedPageBreak/>
        <w:drawing>
          <wp:inline distT="0" distB="0" distL="0" distR="0" wp14:anchorId="7C7A009D" wp14:editId="6F7672B4">
            <wp:extent cx="4903470" cy="2762250"/>
            <wp:effectExtent l="0" t="0" r="0" b="0"/>
            <wp:docPr id="263558649" name="グラフ 1">
              <a:extLst xmlns:a="http://schemas.openxmlformats.org/drawingml/2006/main">
                <a:ext uri="{FF2B5EF4-FFF2-40B4-BE49-F238E27FC236}">
                  <a16:creationId xmlns:a16="http://schemas.microsoft.com/office/drawing/2014/main" id="{049E92D5-8D33-6316-B78A-7F28CAFEA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A88DAC" w14:textId="14D7202A" w:rsidR="00A148DD" w:rsidRPr="00D46F31" w:rsidRDefault="002D61AD" w:rsidP="009D58E4">
      <w:pPr>
        <w:jc w:val="center"/>
        <w:rPr>
          <w:rFonts w:ascii="Times New Roman" w:eastAsiaTheme="minorEastAsia" w:hAnsi="Times New Roman" w:cs="Times New Roman"/>
          <w:sz w:val="21"/>
          <w:szCs w:val="21"/>
        </w:rPr>
      </w:pPr>
      <w:r>
        <w:rPr>
          <w:rFonts w:ascii="Times New Roman" w:eastAsia="DengXian" w:hAnsi="Times New Roman" w:cs="Times New Roman" w:hint="eastAsia"/>
          <w:sz w:val="21"/>
          <w:szCs w:val="21"/>
          <w:lang w:eastAsia="zh-CN"/>
        </w:rPr>
        <w:t>b.</w:t>
      </w:r>
      <w:r w:rsidR="00D46F31">
        <w:rPr>
          <w:rFonts w:ascii="Times New Roman" w:eastAsiaTheme="minorEastAsia" w:hAnsi="Times New Roman" w:cs="Times New Roman" w:hint="eastAsia"/>
          <w:sz w:val="21"/>
          <w:szCs w:val="21"/>
        </w:rPr>
        <w:t xml:space="preserve"> Compact city and car sharing</w:t>
      </w:r>
    </w:p>
    <w:p w14:paraId="0DE5E848" w14:textId="0D2F5513" w:rsidR="00B65F10" w:rsidRPr="00290221" w:rsidRDefault="00B65F10" w:rsidP="00B65F10">
      <w:pPr>
        <w:pStyle w:val="af"/>
        <w:jc w:val="center"/>
        <w:rPr>
          <w:rFonts w:ascii="Times New Roman" w:eastAsia="DengXian" w:hAnsi="Times New Roman" w:cs="Times New Roman"/>
          <w:lang w:eastAsia="zh-CN"/>
        </w:rPr>
      </w:pPr>
      <w:bookmarkStart w:id="66" w:name="_Toc208439493"/>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4819C1">
        <w:rPr>
          <w:rFonts w:ascii="Times New Roman" w:hAnsi="Times New Roman" w:cs="Times New Roman"/>
          <w:noProof/>
        </w:rPr>
        <w:t>27</w:t>
      </w:r>
      <w:r w:rsidRPr="007F5CA8">
        <w:rPr>
          <w:rFonts w:ascii="Times New Roman" w:hAnsi="Times New Roman" w:cs="Times New Roman"/>
        </w:rPr>
        <w:fldChar w:fldCharType="end"/>
      </w:r>
      <w:r w:rsidRPr="007F5CA8">
        <w:rPr>
          <w:rFonts w:ascii="Times New Roman" w:hAnsi="Times New Roman" w:cs="Times New Roman"/>
        </w:rPr>
        <w:t xml:space="preserve">. </w:t>
      </w:r>
      <w:r w:rsidR="008C0F6B" w:rsidRPr="008C0F6B">
        <w:rPr>
          <w:rFonts w:ascii="Times New Roman" w:hAnsi="Times New Roman" w:cs="Times New Roman"/>
        </w:rPr>
        <w:t>Used</w:t>
      </w:r>
      <w:r w:rsidR="00C84745">
        <w:rPr>
          <w:rFonts w:ascii="Times New Roman" w:hAnsi="Times New Roman" w:cs="Times New Roman" w:hint="eastAsia"/>
        </w:rPr>
        <w:t xml:space="preserve"> </w:t>
      </w:r>
      <w:r w:rsidR="008C0F6B" w:rsidRPr="008C0F6B">
        <w:rPr>
          <w:rFonts w:ascii="Times New Roman" w:hAnsi="Times New Roman" w:cs="Times New Roman"/>
        </w:rPr>
        <w:t xml:space="preserve">car export </w:t>
      </w:r>
      <w:r w:rsidR="009D58E4">
        <w:rPr>
          <w:rFonts w:ascii="Times New Roman" w:hAnsi="Times New Roman" w:cs="Times New Roman" w:hint="eastAsia"/>
        </w:rPr>
        <w:t xml:space="preserve">(2017-2023) </w:t>
      </w:r>
      <w:r w:rsidR="008C0F6B" w:rsidRPr="008C0F6B">
        <w:rPr>
          <w:rFonts w:ascii="Times New Roman" w:hAnsi="Times New Roman" w:cs="Times New Roman"/>
        </w:rPr>
        <w:t>and</w:t>
      </w:r>
      <w:r w:rsidR="009D58E4">
        <w:rPr>
          <w:rFonts w:ascii="Times New Roman" w:hAnsi="Times New Roman" w:cs="Times New Roman" w:hint="eastAsia"/>
        </w:rPr>
        <w:t xml:space="preserve"> the projection (2024-2050)</w:t>
      </w:r>
      <w:bookmarkEnd w:id="66"/>
    </w:p>
    <w:p w14:paraId="353E86A3" w14:textId="1F022F6D" w:rsidR="002802F5" w:rsidRPr="001F6AAF" w:rsidRDefault="002802F5">
      <w:pPr>
        <w:rPr>
          <w:rFonts w:ascii="Times New Roman" w:eastAsiaTheme="minorEastAsia" w:hAnsi="Times New Roman" w:cs="Times New Roman"/>
          <w:sz w:val="21"/>
          <w:szCs w:val="21"/>
        </w:rPr>
      </w:pPr>
    </w:p>
    <w:p w14:paraId="2A6459C0" w14:textId="16DF8639" w:rsidR="003307C1" w:rsidRPr="000F62FA" w:rsidRDefault="003307C1" w:rsidP="003307C1">
      <w:pPr>
        <w:pStyle w:val="1"/>
        <w:rPr>
          <w:rFonts w:eastAsia="DengXian" w:cs="Times New Roman"/>
          <w:lang w:eastAsia="zh-CN"/>
        </w:rPr>
      </w:pPr>
      <w:bookmarkStart w:id="67" w:name="_Toc199865022"/>
      <w:r w:rsidRPr="000F62FA">
        <w:rPr>
          <w:rFonts w:eastAsia="DengXian" w:cs="Times New Roman"/>
          <w:lang w:eastAsia="zh-CN"/>
        </w:rPr>
        <w:t xml:space="preserve">3. </w:t>
      </w:r>
      <w:r w:rsidR="00346CB4">
        <w:rPr>
          <w:rFonts w:eastAsia="DengXian" w:cs="Times New Roman" w:hint="eastAsia"/>
          <w:lang w:eastAsia="zh-CN"/>
        </w:rPr>
        <w:t xml:space="preserve">Supplementary </w:t>
      </w:r>
      <w:r w:rsidR="00A506AF">
        <w:rPr>
          <w:rFonts w:eastAsia="DengXian" w:cs="Times New Roman" w:hint="eastAsia"/>
          <w:lang w:eastAsia="zh-CN"/>
        </w:rPr>
        <w:t>I</w:t>
      </w:r>
      <w:r w:rsidR="00346CB4">
        <w:rPr>
          <w:rFonts w:eastAsia="DengXian" w:cs="Times New Roman" w:hint="eastAsia"/>
          <w:lang w:eastAsia="zh-CN"/>
        </w:rPr>
        <w:t>nformation</w:t>
      </w:r>
      <w:r w:rsidR="00F147A4">
        <w:rPr>
          <w:rFonts w:eastAsia="DengXian" w:cs="Times New Roman" w:hint="eastAsia"/>
          <w:lang w:eastAsia="zh-CN"/>
        </w:rPr>
        <w:t xml:space="preserve"> </w:t>
      </w:r>
      <w:r w:rsidR="00346CB4">
        <w:rPr>
          <w:rFonts w:eastAsia="DengXian" w:cs="Times New Roman" w:hint="eastAsia"/>
          <w:lang w:eastAsia="zh-CN"/>
        </w:rPr>
        <w:t>on</w:t>
      </w:r>
      <w:r w:rsidR="00F147A4">
        <w:rPr>
          <w:rFonts w:eastAsia="DengXian" w:cs="Times New Roman" w:hint="eastAsia"/>
          <w:lang w:eastAsia="zh-CN"/>
        </w:rPr>
        <w:t xml:space="preserve"> </w:t>
      </w:r>
      <w:r w:rsidR="00A506AF">
        <w:rPr>
          <w:rFonts w:eastAsia="DengXian" w:cs="Times New Roman" w:hint="eastAsia"/>
          <w:lang w:eastAsia="zh-CN"/>
        </w:rPr>
        <w:t>S</w:t>
      </w:r>
      <w:r w:rsidRPr="000F62FA">
        <w:rPr>
          <w:rFonts w:eastAsia="DengXian" w:cs="Times New Roman"/>
          <w:lang w:eastAsia="zh-CN"/>
        </w:rPr>
        <w:t>cenario</w:t>
      </w:r>
      <w:r w:rsidR="007E5283" w:rsidRPr="000F62FA">
        <w:rPr>
          <w:rFonts w:eastAsia="DengXian" w:cs="Times New Roman"/>
          <w:lang w:eastAsia="zh-CN"/>
        </w:rPr>
        <w:t xml:space="preserve"> </w:t>
      </w:r>
      <w:r w:rsidR="00A506AF">
        <w:rPr>
          <w:rFonts w:eastAsia="DengXian" w:cs="Times New Roman" w:hint="eastAsia"/>
          <w:lang w:eastAsia="zh-CN"/>
        </w:rPr>
        <w:t>A</w:t>
      </w:r>
      <w:r w:rsidR="00F147A4">
        <w:rPr>
          <w:rFonts w:eastAsia="DengXian" w:cs="Times New Roman" w:hint="eastAsia"/>
          <w:lang w:eastAsia="zh-CN"/>
        </w:rPr>
        <w:t>nalysis</w:t>
      </w:r>
      <w:bookmarkEnd w:id="67"/>
    </w:p>
    <w:p w14:paraId="2840248F" w14:textId="7F717240" w:rsidR="007E5283" w:rsidRPr="000F62FA" w:rsidRDefault="007E5283" w:rsidP="007E5283">
      <w:pPr>
        <w:pStyle w:val="2"/>
        <w:rPr>
          <w:rFonts w:eastAsia="DengXian"/>
        </w:rPr>
      </w:pPr>
      <w:bookmarkStart w:id="68" w:name="_Toc199865023"/>
      <w:r w:rsidRPr="000F62FA">
        <w:rPr>
          <w:rFonts w:eastAsia="DengXian"/>
        </w:rPr>
        <w:t>3</w:t>
      </w:r>
      <w:r w:rsidRPr="000F62FA">
        <w:t xml:space="preserve">.1 </w:t>
      </w:r>
      <w:r w:rsidR="00C8336C">
        <w:rPr>
          <w:rFonts w:eastAsia="DengXian" w:hint="eastAsia"/>
        </w:rPr>
        <w:t>M</w:t>
      </w:r>
      <w:r w:rsidR="00715BBF">
        <w:rPr>
          <w:rFonts w:eastAsia="DengXian" w:hint="eastAsia"/>
        </w:rPr>
        <w:t xml:space="preserve">aterial </w:t>
      </w:r>
      <w:r w:rsidR="00C8336C">
        <w:rPr>
          <w:rFonts w:eastAsia="DengXian" w:hint="eastAsia"/>
        </w:rPr>
        <w:t>F</w:t>
      </w:r>
      <w:r w:rsidR="00715BBF">
        <w:rPr>
          <w:rFonts w:eastAsia="DengXian" w:hint="eastAsia"/>
        </w:rPr>
        <w:t xml:space="preserve">low and </w:t>
      </w:r>
      <w:r w:rsidR="00C8336C">
        <w:rPr>
          <w:rFonts w:eastAsia="DengXian" w:hint="eastAsia"/>
        </w:rPr>
        <w:t>C</w:t>
      </w:r>
      <w:r w:rsidR="00715BBF">
        <w:rPr>
          <w:rFonts w:eastAsia="DengXian" w:hint="eastAsia"/>
        </w:rPr>
        <w:t>ircularity</w:t>
      </w:r>
      <w:r w:rsidR="00C8336C">
        <w:rPr>
          <w:rFonts w:eastAsia="DengXian" w:hint="eastAsia"/>
        </w:rPr>
        <w:t xml:space="preserve"> </w:t>
      </w:r>
      <w:r w:rsidR="00BE3F26">
        <w:rPr>
          <w:rFonts w:eastAsia="DengXian" w:hint="eastAsia"/>
        </w:rPr>
        <w:t>Changes by</w:t>
      </w:r>
      <w:r w:rsidR="00C8336C">
        <w:rPr>
          <w:rFonts w:eastAsia="DengXian" w:hint="eastAsia"/>
        </w:rPr>
        <w:t xml:space="preserve"> Elements</w:t>
      </w:r>
      <w:bookmarkEnd w:id="68"/>
    </w:p>
    <w:p w14:paraId="48739A06" w14:textId="66B531F3" w:rsidR="00847F5C" w:rsidRDefault="00847F5C" w:rsidP="00FC172B">
      <w:pPr>
        <w:tabs>
          <w:tab w:val="left" w:pos="2442"/>
        </w:tabs>
        <w:rPr>
          <w:rFonts w:ascii="Times New Roman" w:eastAsia="DengXian" w:hAnsi="Times New Roman" w:cs="Times New Roman"/>
          <w:sz w:val="21"/>
          <w:szCs w:val="21"/>
          <w:lang w:eastAsia="zh-CN"/>
        </w:rPr>
      </w:pPr>
      <w:r w:rsidRPr="00847F5C">
        <w:rPr>
          <w:rFonts w:ascii="Times New Roman" w:eastAsia="DengXian" w:hAnsi="Times New Roman" w:cs="Times New Roman"/>
          <w:sz w:val="21"/>
          <w:szCs w:val="21"/>
          <w:lang w:eastAsia="zh-CN"/>
        </w:rPr>
        <w:t>As shown in Figure 3 of the manuscript, nickel constitutes the largest share among the four key critical minerals—lithium, nickel, cobalt, and manganese. However, greater attention is currently directed toward Li and Co. This is due to the high sensitivity of lithium recovery rates to the effectiveness of recycling systems and policy targets, and to the significant socio-economic and ethical concerns associated with cobalt mining and extraction at the global level. Therefore, this section provides a more detailed analysis of the material flows and circularity trends of each individual element.</w:t>
      </w:r>
    </w:p>
    <w:p w14:paraId="5862A958" w14:textId="77777777" w:rsidR="00342EDA" w:rsidRDefault="00342EDA" w:rsidP="00FC172B">
      <w:pPr>
        <w:tabs>
          <w:tab w:val="left" w:pos="2442"/>
        </w:tabs>
        <w:rPr>
          <w:rFonts w:ascii="Times New Roman" w:eastAsia="DengXian" w:hAnsi="Times New Roman" w:cs="Times New Roman"/>
          <w:sz w:val="21"/>
          <w:szCs w:val="21"/>
          <w:lang w:eastAsia="zh-CN"/>
        </w:rPr>
      </w:pPr>
    </w:p>
    <w:p w14:paraId="3EAEAFC9" w14:textId="77777777" w:rsidR="006B5E7B" w:rsidRDefault="006B5E7B" w:rsidP="00FC172B">
      <w:pPr>
        <w:tabs>
          <w:tab w:val="left" w:pos="2442"/>
        </w:tabs>
        <w:rPr>
          <w:rFonts w:ascii="Times New Roman" w:eastAsia="DengXian" w:hAnsi="Times New Roman" w:cs="Times New Roman"/>
          <w:sz w:val="21"/>
          <w:szCs w:val="21"/>
          <w:lang w:eastAsia="zh-CN"/>
        </w:rPr>
      </w:pPr>
      <w:r w:rsidRPr="006B5E7B">
        <w:rPr>
          <w:rFonts w:ascii="Times New Roman" w:eastAsia="DengXian" w:hAnsi="Times New Roman" w:cs="Times New Roman"/>
          <w:sz w:val="21"/>
          <w:szCs w:val="21"/>
          <w:lang w:eastAsia="zh-CN"/>
        </w:rPr>
        <w:t>Figure S28 illustrates the evolution of lithium flows under various combinations of policy measures. In scenarios with underdeveloped recycling systems (e.g., S11, S21, S31), the predominant loss of lithium occurs during the recycling process rather than during collection or tracking. In scenarios such as S12 and S22, reductions in virgin lithium demand are limited, primarily due to the lower energy density of LFP batteries and the delay in recycling resulting from their secondary use.</w:t>
      </w:r>
    </w:p>
    <w:p w14:paraId="595B1DE5" w14:textId="77777777" w:rsidR="00FC172B" w:rsidRPr="00053B63" w:rsidRDefault="00FC172B" w:rsidP="00FC172B">
      <w:pPr>
        <w:tabs>
          <w:tab w:val="left" w:pos="2442"/>
        </w:tabs>
        <w:rPr>
          <w:rFonts w:ascii="Times New Roman" w:eastAsia="DengXian" w:hAnsi="Times New Roman" w:cs="Times New Roman"/>
          <w:sz w:val="21"/>
          <w:szCs w:val="21"/>
          <w:lang w:eastAsia="zh-CN"/>
        </w:rPr>
      </w:pPr>
    </w:p>
    <w:p w14:paraId="0F81DAAC" w14:textId="3199D194" w:rsidR="00FC172B" w:rsidRDefault="00FC172B" w:rsidP="00FC172B">
      <w:pPr>
        <w:tabs>
          <w:tab w:val="left" w:pos="2442"/>
        </w:tabs>
        <w:rPr>
          <w:rFonts w:ascii="Times New Roman" w:eastAsia="DengXian" w:hAnsi="Times New Roman" w:cs="Times New Roman"/>
          <w:sz w:val="21"/>
          <w:szCs w:val="21"/>
          <w:lang w:eastAsia="zh-CN"/>
        </w:rPr>
      </w:pPr>
      <w:r w:rsidRPr="00FC172B">
        <w:rPr>
          <w:rFonts w:ascii="Times New Roman" w:eastAsia="DengXian" w:hAnsi="Times New Roman" w:cs="Times New Roman"/>
          <w:noProof/>
          <w:sz w:val="21"/>
          <w:szCs w:val="21"/>
          <w:lang w:eastAsia="zh-CN"/>
        </w:rPr>
        <w:lastRenderedPageBreak/>
        <w:drawing>
          <wp:inline distT="0" distB="0" distL="0" distR="0" wp14:anchorId="7509F08E" wp14:editId="480B222D">
            <wp:extent cx="5400040" cy="3963035"/>
            <wp:effectExtent l="0" t="0" r="0" b="0"/>
            <wp:docPr id="43" name="図 42" descr="グラフ&#10;&#10;AI によって生成されたコンテンツは間違っている可能性があります。">
              <a:extLst xmlns:a="http://schemas.openxmlformats.org/drawingml/2006/main">
                <a:ext uri="{FF2B5EF4-FFF2-40B4-BE49-F238E27FC236}">
                  <a16:creationId xmlns:a16="http://schemas.microsoft.com/office/drawing/2014/main" id="{131D521E-314B-BB1A-8A6E-B4EEA1153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descr="グラフ&#10;&#10;AI によって生成されたコンテンツは間違っている可能性があります。">
                      <a:extLst>
                        <a:ext uri="{FF2B5EF4-FFF2-40B4-BE49-F238E27FC236}">
                          <a16:creationId xmlns:a16="http://schemas.microsoft.com/office/drawing/2014/main" id="{131D521E-314B-BB1A-8A6E-B4EEA1153A4D}"/>
                        </a:ext>
                      </a:extLst>
                    </pic:cNvPr>
                    <pic:cNvPicPr>
                      <a:picLocks noChangeAspect="1"/>
                    </pic:cNvPicPr>
                  </pic:nvPicPr>
                  <pic:blipFill>
                    <a:blip r:embed="rId43"/>
                    <a:stretch>
                      <a:fillRect/>
                    </a:stretch>
                  </pic:blipFill>
                  <pic:spPr>
                    <a:xfrm>
                      <a:off x="0" y="0"/>
                      <a:ext cx="5400040" cy="3963035"/>
                    </a:xfrm>
                    <a:prstGeom prst="rect">
                      <a:avLst/>
                    </a:prstGeom>
                  </pic:spPr>
                </pic:pic>
              </a:graphicData>
            </a:graphic>
          </wp:inline>
        </w:drawing>
      </w:r>
    </w:p>
    <w:p w14:paraId="71081CB9" w14:textId="45E4C7A2" w:rsidR="004D18BE" w:rsidRPr="009D5904" w:rsidRDefault="004D18BE" w:rsidP="004D18BE">
      <w:pPr>
        <w:pStyle w:val="af"/>
        <w:jc w:val="center"/>
        <w:rPr>
          <w:rFonts w:ascii="Times New Roman" w:eastAsia="DengXian" w:hAnsi="Times New Roman" w:cs="Times New Roman"/>
          <w:lang w:eastAsia="zh-CN"/>
        </w:rPr>
      </w:pPr>
      <w:bookmarkStart w:id="69" w:name="_Toc208439494"/>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346CB4">
        <w:rPr>
          <w:rFonts w:ascii="Times New Roman" w:hAnsi="Times New Roman" w:cs="Times New Roman"/>
          <w:noProof/>
        </w:rPr>
        <w:t>28</w:t>
      </w:r>
      <w:r w:rsidRPr="007F5CA8">
        <w:rPr>
          <w:rFonts w:ascii="Times New Roman" w:hAnsi="Times New Roman" w:cs="Times New Roman"/>
        </w:rPr>
        <w:fldChar w:fldCharType="end"/>
      </w:r>
      <w:r w:rsidRPr="007F5CA8">
        <w:rPr>
          <w:rFonts w:ascii="Times New Roman" w:hAnsi="Times New Roman" w:cs="Times New Roman"/>
        </w:rPr>
        <w:t xml:space="preserve">. </w:t>
      </w:r>
      <w:r w:rsidR="009D5904">
        <w:rPr>
          <w:rFonts w:ascii="Times New Roman" w:eastAsia="DengXian" w:hAnsi="Times New Roman" w:cs="Times New Roman" w:hint="eastAsia"/>
          <w:lang w:eastAsia="zh-CN"/>
        </w:rPr>
        <w:t xml:space="preserve">Material flow </w:t>
      </w:r>
      <w:r w:rsidR="00662485">
        <w:rPr>
          <w:rFonts w:ascii="Times New Roman" w:eastAsia="DengXian" w:hAnsi="Times New Roman" w:cs="Times New Roman" w:hint="eastAsia"/>
          <w:lang w:eastAsia="zh-CN"/>
        </w:rPr>
        <w:t xml:space="preserve">changes </w:t>
      </w:r>
      <w:r w:rsidR="009D5904">
        <w:rPr>
          <w:rFonts w:ascii="Times New Roman" w:eastAsia="DengXian" w:hAnsi="Times New Roman" w:cs="Times New Roman" w:hint="eastAsia"/>
          <w:lang w:eastAsia="zh-CN"/>
        </w:rPr>
        <w:t>of lithium</w:t>
      </w:r>
      <w:r w:rsidR="00662485">
        <w:rPr>
          <w:rFonts w:ascii="Times New Roman" w:eastAsia="DengXian" w:hAnsi="Times New Roman" w:cs="Times New Roman" w:hint="eastAsia"/>
          <w:lang w:eastAsia="zh-CN"/>
        </w:rPr>
        <w:t xml:space="preserve"> in automobile LIBs</w:t>
      </w:r>
      <w:bookmarkEnd w:id="69"/>
    </w:p>
    <w:p w14:paraId="5FD4F4BA" w14:textId="77777777" w:rsidR="004D18BE" w:rsidRDefault="004D18BE">
      <w:pPr>
        <w:rPr>
          <w:rFonts w:ascii="Times New Roman" w:eastAsia="DengXian" w:hAnsi="Times New Roman" w:cs="Times New Roman"/>
          <w:sz w:val="21"/>
          <w:szCs w:val="21"/>
          <w:lang w:eastAsia="zh-CN"/>
        </w:rPr>
      </w:pPr>
    </w:p>
    <w:p w14:paraId="6C7BB434" w14:textId="77777777" w:rsidR="00B63885" w:rsidRDefault="00B63885">
      <w:pPr>
        <w:rPr>
          <w:rFonts w:ascii="Times New Roman" w:eastAsia="DengXian" w:hAnsi="Times New Roman" w:cs="Times New Roman"/>
          <w:sz w:val="21"/>
          <w:szCs w:val="21"/>
          <w:lang w:eastAsia="zh-CN"/>
        </w:rPr>
      </w:pPr>
      <w:r w:rsidRPr="00B63885">
        <w:rPr>
          <w:rFonts w:ascii="Times New Roman" w:eastAsia="DengXian" w:hAnsi="Times New Roman" w:cs="Times New Roman"/>
          <w:sz w:val="21"/>
          <w:szCs w:val="21"/>
          <w:lang w:eastAsia="zh-CN"/>
        </w:rPr>
        <w:t>In contrast, cobalt shows a higher responsiveness to policy interventions. As demonstrated in Figure S29, the implementation of ambitious policies—such as the adoption of cobalt-free chemistries, immediate recycling, and advanced recovery technologies—could significantly reduce the demand for virgin cobalt, potentially approaching zero as early as 2040.</w:t>
      </w:r>
    </w:p>
    <w:p w14:paraId="588A3573" w14:textId="77777777" w:rsidR="0046245C" w:rsidRPr="008F6CA3" w:rsidRDefault="0046245C">
      <w:pPr>
        <w:rPr>
          <w:rFonts w:ascii="Times New Roman" w:eastAsia="DengXian" w:hAnsi="Times New Roman" w:cs="Times New Roman"/>
          <w:sz w:val="21"/>
          <w:szCs w:val="21"/>
          <w:lang w:eastAsia="zh-CN"/>
        </w:rPr>
      </w:pPr>
    </w:p>
    <w:p w14:paraId="4BD9E4F3" w14:textId="1CB8689D" w:rsidR="00376B17" w:rsidRDefault="00217D6D">
      <w:pPr>
        <w:rPr>
          <w:rFonts w:ascii="Times New Roman" w:eastAsia="DengXian" w:hAnsi="Times New Roman" w:cs="Times New Roman"/>
          <w:sz w:val="21"/>
          <w:szCs w:val="21"/>
          <w:lang w:eastAsia="zh-CN"/>
        </w:rPr>
      </w:pPr>
      <w:r w:rsidRPr="00217D6D">
        <w:rPr>
          <w:rFonts w:ascii="Times New Roman" w:eastAsia="DengXian" w:hAnsi="Times New Roman" w:cs="Times New Roman"/>
          <w:noProof/>
          <w:sz w:val="21"/>
          <w:szCs w:val="21"/>
          <w:lang w:eastAsia="zh-CN"/>
        </w:rPr>
        <w:lastRenderedPageBreak/>
        <w:drawing>
          <wp:inline distT="0" distB="0" distL="0" distR="0" wp14:anchorId="69920FFF" wp14:editId="77D4174A">
            <wp:extent cx="5400040" cy="3983990"/>
            <wp:effectExtent l="0" t="0" r="0" b="0"/>
            <wp:docPr id="13" name="図 12" descr="グラフィカル ユーザー インターフェイス&#10;&#10;AI によって生成されたコンテンツは間違っている可能性があります。">
              <a:extLst xmlns:a="http://schemas.openxmlformats.org/drawingml/2006/main">
                <a:ext uri="{FF2B5EF4-FFF2-40B4-BE49-F238E27FC236}">
                  <a16:creationId xmlns:a16="http://schemas.microsoft.com/office/drawing/2014/main" id="{C65270C7-CCE2-1C2D-4FB1-9A38D5FA5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グラフィカル ユーザー インターフェイス&#10;&#10;AI によって生成されたコンテンツは間違っている可能性があります。">
                      <a:extLst>
                        <a:ext uri="{FF2B5EF4-FFF2-40B4-BE49-F238E27FC236}">
                          <a16:creationId xmlns:a16="http://schemas.microsoft.com/office/drawing/2014/main" id="{C65270C7-CCE2-1C2D-4FB1-9A38D5FA5105}"/>
                        </a:ext>
                      </a:extLst>
                    </pic:cNvPr>
                    <pic:cNvPicPr>
                      <a:picLocks noChangeAspect="1"/>
                    </pic:cNvPicPr>
                  </pic:nvPicPr>
                  <pic:blipFill>
                    <a:blip r:embed="rId44"/>
                    <a:stretch>
                      <a:fillRect/>
                    </a:stretch>
                  </pic:blipFill>
                  <pic:spPr>
                    <a:xfrm>
                      <a:off x="0" y="0"/>
                      <a:ext cx="5400040" cy="3983990"/>
                    </a:xfrm>
                    <a:prstGeom prst="rect">
                      <a:avLst/>
                    </a:prstGeom>
                  </pic:spPr>
                </pic:pic>
              </a:graphicData>
            </a:graphic>
          </wp:inline>
        </w:drawing>
      </w:r>
    </w:p>
    <w:p w14:paraId="41291128" w14:textId="47F0F76A" w:rsidR="00376B17" w:rsidRPr="00290221" w:rsidRDefault="00376B17" w:rsidP="00376B17">
      <w:pPr>
        <w:pStyle w:val="af"/>
        <w:jc w:val="center"/>
        <w:rPr>
          <w:rFonts w:ascii="Times New Roman" w:eastAsia="DengXian" w:hAnsi="Times New Roman" w:cs="Times New Roman"/>
          <w:lang w:eastAsia="zh-CN"/>
        </w:rPr>
      </w:pPr>
      <w:bookmarkStart w:id="70" w:name="_Toc208439495"/>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Pr>
          <w:rFonts w:ascii="Times New Roman" w:hAnsi="Times New Roman" w:cs="Times New Roman"/>
          <w:noProof/>
        </w:rPr>
        <w:t>29</w:t>
      </w:r>
      <w:r w:rsidRPr="007F5CA8">
        <w:rPr>
          <w:rFonts w:ascii="Times New Roman" w:hAnsi="Times New Roman" w:cs="Times New Roman"/>
        </w:rPr>
        <w:fldChar w:fldCharType="end"/>
      </w:r>
      <w:r w:rsidRPr="007F5CA8">
        <w:rPr>
          <w:rFonts w:ascii="Times New Roman" w:hAnsi="Times New Roman" w:cs="Times New Roman"/>
        </w:rPr>
        <w:t xml:space="preserve">. </w:t>
      </w:r>
      <w:r w:rsidR="00662485">
        <w:rPr>
          <w:rFonts w:ascii="Times New Roman" w:eastAsia="DengXian" w:hAnsi="Times New Roman" w:cs="Times New Roman" w:hint="eastAsia"/>
          <w:lang w:eastAsia="zh-CN"/>
        </w:rPr>
        <w:t>Material flow changes of cobalt in automobile LIBs</w:t>
      </w:r>
      <w:bookmarkEnd w:id="70"/>
    </w:p>
    <w:p w14:paraId="4F7BEC6C" w14:textId="77777777" w:rsidR="00376B17" w:rsidRDefault="00376B17">
      <w:pPr>
        <w:rPr>
          <w:rFonts w:ascii="Times New Roman" w:eastAsia="DengXian" w:hAnsi="Times New Roman" w:cs="Times New Roman"/>
          <w:sz w:val="21"/>
          <w:szCs w:val="21"/>
          <w:lang w:eastAsia="zh-CN"/>
        </w:rPr>
      </w:pPr>
    </w:p>
    <w:p w14:paraId="3833B082" w14:textId="37F89FDF" w:rsidR="001C3B5E" w:rsidRDefault="0055145E">
      <w:pPr>
        <w:rPr>
          <w:rFonts w:ascii="Times New Roman" w:eastAsia="DengXian" w:hAnsi="Times New Roman" w:cs="Times New Roman"/>
          <w:sz w:val="21"/>
          <w:szCs w:val="21"/>
          <w:lang w:eastAsia="zh-CN"/>
        </w:rPr>
      </w:pPr>
      <w:r w:rsidRPr="0055145E">
        <w:rPr>
          <w:rFonts w:ascii="Times New Roman" w:eastAsia="DengXian" w:hAnsi="Times New Roman" w:cs="Times New Roman"/>
          <w:noProof/>
          <w:sz w:val="21"/>
          <w:szCs w:val="21"/>
          <w:lang w:eastAsia="zh-CN"/>
        </w:rPr>
        <w:lastRenderedPageBreak/>
        <w:drawing>
          <wp:inline distT="0" distB="0" distL="0" distR="0" wp14:anchorId="581A078D" wp14:editId="019AEA60">
            <wp:extent cx="5400040" cy="3983990"/>
            <wp:effectExtent l="0" t="0" r="0" b="0"/>
            <wp:docPr id="33" name="図 32" descr="グラフ&#10;&#10;AI 生成コンテンツは誤りを含む可能性があります。">
              <a:extLst xmlns:a="http://schemas.openxmlformats.org/drawingml/2006/main">
                <a:ext uri="{FF2B5EF4-FFF2-40B4-BE49-F238E27FC236}">
                  <a16:creationId xmlns:a16="http://schemas.microsoft.com/office/drawing/2014/main" id="{133494BF-B64A-7962-EDB7-5D69EB248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descr="グラフ&#10;&#10;AI 生成コンテンツは誤りを含む可能性があります。">
                      <a:extLst>
                        <a:ext uri="{FF2B5EF4-FFF2-40B4-BE49-F238E27FC236}">
                          <a16:creationId xmlns:a16="http://schemas.microsoft.com/office/drawing/2014/main" id="{133494BF-B64A-7962-EDB7-5D69EB24801B}"/>
                        </a:ext>
                      </a:extLst>
                    </pic:cNvPr>
                    <pic:cNvPicPr>
                      <a:picLocks noChangeAspect="1"/>
                    </pic:cNvPicPr>
                  </pic:nvPicPr>
                  <pic:blipFill>
                    <a:blip r:embed="rId45"/>
                    <a:stretch>
                      <a:fillRect/>
                    </a:stretch>
                  </pic:blipFill>
                  <pic:spPr>
                    <a:xfrm>
                      <a:off x="0" y="0"/>
                      <a:ext cx="5400040" cy="3983990"/>
                    </a:xfrm>
                    <a:prstGeom prst="rect">
                      <a:avLst/>
                    </a:prstGeom>
                  </pic:spPr>
                </pic:pic>
              </a:graphicData>
            </a:graphic>
          </wp:inline>
        </w:drawing>
      </w:r>
    </w:p>
    <w:p w14:paraId="2F000DBA" w14:textId="6C2973C9" w:rsidR="004F4B46" w:rsidRPr="00290221" w:rsidRDefault="004F4B46" w:rsidP="004F4B46">
      <w:pPr>
        <w:pStyle w:val="af"/>
        <w:jc w:val="center"/>
        <w:rPr>
          <w:rFonts w:ascii="Times New Roman" w:eastAsia="DengXian" w:hAnsi="Times New Roman" w:cs="Times New Roman"/>
          <w:lang w:eastAsia="zh-CN"/>
        </w:rPr>
      </w:pPr>
      <w:bookmarkStart w:id="71" w:name="_Toc208439496"/>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595C13">
        <w:rPr>
          <w:rFonts w:ascii="Times New Roman" w:hAnsi="Times New Roman" w:cs="Times New Roman"/>
          <w:noProof/>
        </w:rPr>
        <w:t>30</w:t>
      </w:r>
      <w:r w:rsidRPr="007F5CA8">
        <w:rPr>
          <w:rFonts w:ascii="Times New Roman" w:hAnsi="Times New Roman" w:cs="Times New Roman"/>
        </w:rPr>
        <w:fldChar w:fldCharType="end"/>
      </w:r>
      <w:r w:rsidRPr="007F5CA8">
        <w:rPr>
          <w:rFonts w:ascii="Times New Roman" w:hAnsi="Times New Roman" w:cs="Times New Roman"/>
        </w:rPr>
        <w:t xml:space="preserve">. </w:t>
      </w:r>
      <w:r>
        <w:rPr>
          <w:rFonts w:ascii="Times New Roman" w:eastAsia="DengXian" w:hAnsi="Times New Roman" w:cs="Times New Roman" w:hint="eastAsia"/>
          <w:lang w:eastAsia="zh-CN"/>
        </w:rPr>
        <w:t xml:space="preserve">Material flow changes of </w:t>
      </w:r>
      <w:r w:rsidR="00595C13">
        <w:rPr>
          <w:rFonts w:ascii="Times New Roman" w:eastAsia="DengXian" w:hAnsi="Times New Roman" w:cs="Times New Roman" w:hint="eastAsia"/>
          <w:lang w:eastAsia="zh-CN"/>
        </w:rPr>
        <w:t>nickel</w:t>
      </w:r>
      <w:r>
        <w:rPr>
          <w:rFonts w:ascii="Times New Roman" w:eastAsia="DengXian" w:hAnsi="Times New Roman" w:cs="Times New Roman" w:hint="eastAsia"/>
          <w:lang w:eastAsia="zh-CN"/>
        </w:rPr>
        <w:t xml:space="preserve"> in automobile LIBs</w:t>
      </w:r>
      <w:bookmarkEnd w:id="71"/>
    </w:p>
    <w:p w14:paraId="38733689" w14:textId="77777777" w:rsidR="001C3B5E" w:rsidRPr="004F4B46" w:rsidRDefault="001C3B5E">
      <w:pPr>
        <w:rPr>
          <w:rFonts w:ascii="Times New Roman" w:eastAsia="DengXian" w:hAnsi="Times New Roman" w:cs="Times New Roman"/>
          <w:sz w:val="21"/>
          <w:szCs w:val="21"/>
          <w:lang w:eastAsia="zh-CN"/>
        </w:rPr>
      </w:pPr>
    </w:p>
    <w:p w14:paraId="723726AA" w14:textId="77777777" w:rsidR="004F4B46" w:rsidRDefault="004F4B46">
      <w:pPr>
        <w:rPr>
          <w:rFonts w:ascii="Times New Roman" w:eastAsia="DengXian" w:hAnsi="Times New Roman" w:cs="Times New Roman"/>
          <w:sz w:val="21"/>
          <w:szCs w:val="21"/>
          <w:lang w:eastAsia="zh-CN"/>
        </w:rPr>
      </w:pPr>
    </w:p>
    <w:p w14:paraId="631FDD89" w14:textId="7FC30840" w:rsidR="00D32D04" w:rsidRDefault="00853993">
      <w:pPr>
        <w:rPr>
          <w:rFonts w:ascii="Times New Roman" w:eastAsia="DengXian" w:hAnsi="Times New Roman" w:cs="Times New Roman"/>
          <w:sz w:val="21"/>
          <w:szCs w:val="21"/>
          <w:lang w:eastAsia="zh-CN"/>
        </w:rPr>
      </w:pPr>
      <w:r w:rsidRPr="00853993">
        <w:rPr>
          <w:rFonts w:ascii="Times New Roman" w:eastAsia="DengXian" w:hAnsi="Times New Roman" w:cs="Times New Roman"/>
          <w:noProof/>
          <w:sz w:val="21"/>
          <w:szCs w:val="21"/>
          <w:lang w:eastAsia="zh-CN"/>
        </w:rPr>
        <w:lastRenderedPageBreak/>
        <w:drawing>
          <wp:inline distT="0" distB="0" distL="0" distR="0" wp14:anchorId="78208BE3" wp14:editId="2E86C590">
            <wp:extent cx="5400040" cy="3904615"/>
            <wp:effectExtent l="0" t="0" r="0" b="635"/>
            <wp:docPr id="33673924" name="図 36" descr="グラフィカル ユーザー インターフェイス, グラフ&#10;&#10;AI 生成コンテンツは誤りを含む可能性があります。">
              <a:extLst xmlns:a="http://schemas.openxmlformats.org/drawingml/2006/main">
                <a:ext uri="{FF2B5EF4-FFF2-40B4-BE49-F238E27FC236}">
                  <a16:creationId xmlns:a16="http://schemas.microsoft.com/office/drawing/2014/main" id="{FCC04B9F-103B-E4F7-2D02-DA4967083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3924" name="図 36" descr="グラフィカル ユーザー インターフェイス, グラフ&#10;&#10;AI 生成コンテンツは誤りを含む可能性があります。">
                      <a:extLst>
                        <a:ext uri="{FF2B5EF4-FFF2-40B4-BE49-F238E27FC236}">
                          <a16:creationId xmlns:a16="http://schemas.microsoft.com/office/drawing/2014/main" id="{FCC04B9F-103B-E4F7-2D02-DA496708352C}"/>
                        </a:ext>
                      </a:extLst>
                    </pic:cNvPr>
                    <pic:cNvPicPr>
                      <a:picLocks noChangeAspect="1"/>
                    </pic:cNvPicPr>
                  </pic:nvPicPr>
                  <pic:blipFill>
                    <a:blip r:embed="rId46"/>
                    <a:stretch>
                      <a:fillRect/>
                    </a:stretch>
                  </pic:blipFill>
                  <pic:spPr>
                    <a:xfrm>
                      <a:off x="0" y="0"/>
                      <a:ext cx="5400040" cy="3904615"/>
                    </a:xfrm>
                    <a:prstGeom prst="rect">
                      <a:avLst/>
                    </a:prstGeom>
                  </pic:spPr>
                </pic:pic>
              </a:graphicData>
            </a:graphic>
          </wp:inline>
        </w:drawing>
      </w:r>
    </w:p>
    <w:p w14:paraId="278EB65C" w14:textId="2940DA09" w:rsidR="00595C13" w:rsidRPr="00290221" w:rsidRDefault="00595C13" w:rsidP="00595C13">
      <w:pPr>
        <w:pStyle w:val="af"/>
        <w:jc w:val="center"/>
        <w:rPr>
          <w:rFonts w:ascii="Times New Roman" w:eastAsia="DengXian" w:hAnsi="Times New Roman" w:cs="Times New Roman"/>
          <w:lang w:eastAsia="zh-CN"/>
        </w:rPr>
      </w:pPr>
      <w:bookmarkStart w:id="72" w:name="_Toc208439497"/>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Pr>
          <w:rFonts w:ascii="Times New Roman" w:hAnsi="Times New Roman" w:cs="Times New Roman"/>
          <w:noProof/>
        </w:rPr>
        <w:t>31</w:t>
      </w:r>
      <w:r w:rsidRPr="007F5CA8">
        <w:rPr>
          <w:rFonts w:ascii="Times New Roman" w:hAnsi="Times New Roman" w:cs="Times New Roman"/>
        </w:rPr>
        <w:fldChar w:fldCharType="end"/>
      </w:r>
      <w:r w:rsidRPr="007F5CA8">
        <w:rPr>
          <w:rFonts w:ascii="Times New Roman" w:hAnsi="Times New Roman" w:cs="Times New Roman"/>
        </w:rPr>
        <w:t xml:space="preserve">. </w:t>
      </w:r>
      <w:r>
        <w:rPr>
          <w:rFonts w:ascii="Times New Roman" w:eastAsia="DengXian" w:hAnsi="Times New Roman" w:cs="Times New Roman" w:hint="eastAsia"/>
          <w:lang w:eastAsia="zh-CN"/>
        </w:rPr>
        <w:t xml:space="preserve">Material flow changes of </w:t>
      </w:r>
      <w:r w:rsidR="00907529">
        <w:rPr>
          <w:rFonts w:ascii="Times New Roman" w:eastAsia="DengXian" w:hAnsi="Times New Roman" w:cs="Times New Roman" w:hint="eastAsia"/>
          <w:lang w:eastAsia="zh-CN"/>
        </w:rPr>
        <w:t xml:space="preserve">copper </w:t>
      </w:r>
      <w:r>
        <w:rPr>
          <w:rFonts w:ascii="Times New Roman" w:eastAsia="DengXian" w:hAnsi="Times New Roman" w:cs="Times New Roman" w:hint="eastAsia"/>
          <w:lang w:eastAsia="zh-CN"/>
        </w:rPr>
        <w:t>in automobile LIBs</w:t>
      </w:r>
      <w:bookmarkEnd w:id="72"/>
    </w:p>
    <w:p w14:paraId="29592304" w14:textId="77777777" w:rsidR="00D32D04" w:rsidRPr="00595C13" w:rsidRDefault="00D32D04">
      <w:pPr>
        <w:rPr>
          <w:rFonts w:ascii="Times New Roman" w:eastAsia="DengXian" w:hAnsi="Times New Roman" w:cs="Times New Roman"/>
          <w:sz w:val="21"/>
          <w:szCs w:val="21"/>
          <w:lang w:eastAsia="zh-CN"/>
        </w:rPr>
      </w:pPr>
    </w:p>
    <w:p w14:paraId="0330EE94" w14:textId="77777777" w:rsidR="00595C13" w:rsidRDefault="00595C13">
      <w:pPr>
        <w:rPr>
          <w:rFonts w:ascii="Times New Roman" w:eastAsia="DengXian" w:hAnsi="Times New Roman" w:cs="Times New Roman"/>
          <w:sz w:val="21"/>
          <w:szCs w:val="21"/>
          <w:lang w:eastAsia="zh-CN"/>
        </w:rPr>
      </w:pPr>
    </w:p>
    <w:p w14:paraId="56CA3CE3" w14:textId="77777777" w:rsidR="00595C13" w:rsidRPr="00376B17" w:rsidRDefault="00595C13">
      <w:pPr>
        <w:rPr>
          <w:rFonts w:ascii="Times New Roman" w:eastAsia="DengXian" w:hAnsi="Times New Roman" w:cs="Times New Roman"/>
          <w:sz w:val="21"/>
          <w:szCs w:val="21"/>
          <w:lang w:eastAsia="zh-CN"/>
        </w:rPr>
      </w:pPr>
    </w:p>
    <w:p w14:paraId="47AE05A6" w14:textId="0DB22863" w:rsidR="00C47560" w:rsidRPr="00C47560" w:rsidRDefault="00C47560" w:rsidP="00C47560">
      <w:pPr>
        <w:rPr>
          <w:rFonts w:ascii="Times New Roman" w:eastAsia="DengXian" w:hAnsi="Times New Roman" w:cs="Times New Roman"/>
          <w:sz w:val="21"/>
          <w:szCs w:val="21"/>
          <w:lang w:eastAsia="zh-CN"/>
        </w:rPr>
      </w:pPr>
      <w:r w:rsidRPr="00C47560">
        <w:rPr>
          <w:rFonts w:ascii="Times New Roman" w:eastAsia="DengXian" w:hAnsi="Times New Roman" w:cs="Times New Roman"/>
          <w:sz w:val="21"/>
          <w:szCs w:val="21"/>
          <w:lang w:eastAsia="zh-CN"/>
        </w:rPr>
        <w:t>Figure S3</w:t>
      </w:r>
      <w:r w:rsidR="00595C13">
        <w:rPr>
          <w:rFonts w:ascii="Times New Roman" w:eastAsia="DengXian" w:hAnsi="Times New Roman" w:cs="Times New Roman" w:hint="eastAsia"/>
          <w:sz w:val="21"/>
          <w:szCs w:val="21"/>
          <w:lang w:eastAsia="zh-CN"/>
        </w:rPr>
        <w:t>2</w:t>
      </w:r>
      <w:r w:rsidRPr="00C47560">
        <w:rPr>
          <w:rFonts w:ascii="Times New Roman" w:eastAsia="DengXian" w:hAnsi="Times New Roman" w:cs="Times New Roman"/>
          <w:sz w:val="21"/>
          <w:szCs w:val="21"/>
          <w:lang w:eastAsia="zh-CN"/>
        </w:rPr>
        <w:t xml:space="preserve"> illustrates the variation in the circulation rates of critical minerals in automotive LIBs under different policy scenarios. As discussed in the main text, the circulation rate does not increase rapidly in the early stages due to a temporal mismatch between the accelerated initial demand and the delayed emergence of secondary supply, even in scenarios with advanced recycling systems. Notably, the circulation rate of lithium proves particularly difficult to improve. This is largely attributable to the lower material value of LFP batteries and the economic challenges associated with lithium recovery, especially through pyrometallurgical processes. Furthermore, across all scenarios, the circulation rates of lithium and nickel remain consistently lower than those of cobalt and manganese. This outcome reflects recent trends in battery chemistry development, as newer battery types are engineered to reduce the use of cobalt and manganese.</w:t>
      </w:r>
    </w:p>
    <w:p w14:paraId="113344F6" w14:textId="77777777" w:rsidR="002C2913" w:rsidRPr="00C47560" w:rsidRDefault="002C2913">
      <w:pPr>
        <w:rPr>
          <w:rFonts w:ascii="Times New Roman" w:eastAsia="DengXian" w:hAnsi="Times New Roman" w:cs="Times New Roman"/>
          <w:sz w:val="21"/>
          <w:szCs w:val="21"/>
          <w:lang w:eastAsia="zh-CN"/>
        </w:rPr>
      </w:pPr>
    </w:p>
    <w:p w14:paraId="4C430E89" w14:textId="59D4A7B8" w:rsidR="007C7C66" w:rsidRPr="004D18BE" w:rsidRDefault="00100855">
      <w:pPr>
        <w:rPr>
          <w:rFonts w:ascii="Times New Roman" w:eastAsia="DengXian" w:hAnsi="Times New Roman" w:cs="Times New Roman"/>
          <w:sz w:val="21"/>
          <w:szCs w:val="21"/>
          <w:lang w:eastAsia="zh-CN"/>
        </w:rPr>
      </w:pPr>
      <w:r w:rsidRPr="00100855">
        <w:rPr>
          <w:rFonts w:ascii="Times New Roman" w:eastAsia="DengXian" w:hAnsi="Times New Roman" w:cs="Times New Roman"/>
          <w:noProof/>
          <w:sz w:val="21"/>
          <w:szCs w:val="21"/>
          <w:lang w:eastAsia="zh-CN"/>
        </w:rPr>
        <w:lastRenderedPageBreak/>
        <w:drawing>
          <wp:inline distT="0" distB="0" distL="0" distR="0" wp14:anchorId="4E332219" wp14:editId="41296C50">
            <wp:extent cx="5400040" cy="4385310"/>
            <wp:effectExtent l="0" t="0" r="0" b="0"/>
            <wp:docPr id="37" name="図 36" descr="グラフィカル ユーザー インターフェイス, アプリケーション&#10;&#10;AI によって生成されたコンテンツは間違っている可能性があります。">
              <a:extLst xmlns:a="http://schemas.openxmlformats.org/drawingml/2006/main">
                <a:ext uri="{FF2B5EF4-FFF2-40B4-BE49-F238E27FC236}">
                  <a16:creationId xmlns:a16="http://schemas.microsoft.com/office/drawing/2014/main" id="{F13DBF22-551E-A3D1-E4A7-BAF41E51A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descr="グラフィカル ユーザー インターフェイス, アプリケーション&#10;&#10;AI によって生成されたコンテンツは間違っている可能性があります。">
                      <a:extLst>
                        <a:ext uri="{FF2B5EF4-FFF2-40B4-BE49-F238E27FC236}">
                          <a16:creationId xmlns:a16="http://schemas.microsoft.com/office/drawing/2014/main" id="{F13DBF22-551E-A3D1-E4A7-BAF41E51A767}"/>
                        </a:ext>
                      </a:extLst>
                    </pic:cNvPr>
                    <pic:cNvPicPr>
                      <a:picLocks noChangeAspect="1"/>
                    </pic:cNvPicPr>
                  </pic:nvPicPr>
                  <pic:blipFill>
                    <a:blip r:embed="rId47"/>
                    <a:stretch>
                      <a:fillRect/>
                    </a:stretch>
                  </pic:blipFill>
                  <pic:spPr>
                    <a:xfrm>
                      <a:off x="0" y="0"/>
                      <a:ext cx="5400040" cy="4385310"/>
                    </a:xfrm>
                    <a:prstGeom prst="rect">
                      <a:avLst/>
                    </a:prstGeom>
                  </pic:spPr>
                </pic:pic>
              </a:graphicData>
            </a:graphic>
          </wp:inline>
        </w:drawing>
      </w:r>
    </w:p>
    <w:p w14:paraId="56A7B5A0" w14:textId="3D5AC1AF" w:rsidR="00DA20D7" w:rsidRPr="006304CA" w:rsidRDefault="00DA20D7" w:rsidP="00DA20D7">
      <w:pPr>
        <w:pStyle w:val="af"/>
        <w:jc w:val="center"/>
        <w:rPr>
          <w:rFonts w:ascii="Times New Roman" w:eastAsia="DengXian" w:hAnsi="Times New Roman" w:cs="Times New Roman"/>
          <w:lang w:eastAsia="zh-CN"/>
        </w:rPr>
      </w:pPr>
      <w:bookmarkStart w:id="73" w:name="_Toc208439498"/>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595C13">
        <w:rPr>
          <w:rFonts w:ascii="Times New Roman" w:hAnsi="Times New Roman" w:cs="Times New Roman"/>
          <w:noProof/>
        </w:rPr>
        <w:t>32</w:t>
      </w:r>
      <w:r w:rsidRPr="007F5CA8">
        <w:rPr>
          <w:rFonts w:ascii="Times New Roman" w:hAnsi="Times New Roman" w:cs="Times New Roman"/>
        </w:rPr>
        <w:fldChar w:fldCharType="end"/>
      </w:r>
      <w:r w:rsidRPr="007F5CA8">
        <w:rPr>
          <w:rFonts w:ascii="Times New Roman" w:hAnsi="Times New Roman" w:cs="Times New Roman"/>
        </w:rPr>
        <w:t xml:space="preserve">. </w:t>
      </w:r>
      <w:r w:rsidR="006304CA">
        <w:rPr>
          <w:rFonts w:ascii="Times New Roman" w:eastAsia="DengXian" w:hAnsi="Times New Roman" w:cs="Times New Roman" w:hint="eastAsia"/>
          <w:lang w:eastAsia="zh-CN"/>
        </w:rPr>
        <w:t xml:space="preserve">Changes on </w:t>
      </w:r>
      <w:r w:rsidR="00152604">
        <w:rPr>
          <w:rFonts w:ascii="Times New Roman" w:eastAsia="DengXian" w:hAnsi="Times New Roman" w:cs="Times New Roman" w:hint="eastAsia"/>
          <w:lang w:eastAsia="zh-CN"/>
        </w:rPr>
        <w:t>circulation rate</w:t>
      </w:r>
      <w:r w:rsidR="006304CA">
        <w:rPr>
          <w:rFonts w:ascii="Times New Roman" w:eastAsia="DengXian" w:hAnsi="Times New Roman" w:cs="Times New Roman" w:hint="eastAsia"/>
          <w:lang w:eastAsia="zh-CN"/>
        </w:rPr>
        <w:t xml:space="preserve"> of critical minerals </w:t>
      </w:r>
      <w:r w:rsidR="000C2524">
        <w:rPr>
          <w:rFonts w:ascii="Times New Roman" w:eastAsia="DengXian" w:hAnsi="Times New Roman" w:cs="Times New Roman" w:hint="eastAsia"/>
          <w:lang w:eastAsia="zh-CN"/>
        </w:rPr>
        <w:t>in automotive LIBs</w:t>
      </w:r>
      <w:bookmarkEnd w:id="73"/>
    </w:p>
    <w:p w14:paraId="330B617D" w14:textId="77777777" w:rsidR="00DA20D7" w:rsidRDefault="00DA20D7">
      <w:pPr>
        <w:rPr>
          <w:rFonts w:ascii="Times New Roman" w:eastAsia="DengXian" w:hAnsi="Times New Roman" w:cs="Times New Roman"/>
          <w:sz w:val="21"/>
          <w:szCs w:val="21"/>
          <w:lang w:eastAsia="zh-CN"/>
        </w:rPr>
      </w:pPr>
    </w:p>
    <w:p w14:paraId="545F872C" w14:textId="1DF8EF17" w:rsidR="003F4AAC" w:rsidRDefault="005F5B57">
      <w:pPr>
        <w:rPr>
          <w:rFonts w:ascii="Times New Roman" w:eastAsia="DengXian" w:hAnsi="Times New Roman" w:cs="Times New Roman"/>
          <w:sz w:val="21"/>
          <w:szCs w:val="21"/>
          <w:lang w:eastAsia="zh-CN"/>
        </w:rPr>
      </w:pPr>
      <w:r w:rsidRPr="005F5B57">
        <w:rPr>
          <w:rFonts w:ascii="Times New Roman" w:eastAsia="DengXian" w:hAnsi="Times New Roman" w:cs="Times New Roman"/>
          <w:noProof/>
          <w:sz w:val="21"/>
          <w:szCs w:val="21"/>
          <w:lang w:eastAsia="zh-CN"/>
        </w:rPr>
        <w:drawing>
          <wp:inline distT="0" distB="0" distL="0" distR="0" wp14:anchorId="71F8F7A1" wp14:editId="0174DF1B">
            <wp:extent cx="5400040" cy="1270635"/>
            <wp:effectExtent l="0" t="0" r="0" b="5715"/>
            <wp:docPr id="3" name="図 2">
              <a:extLst xmlns:a="http://schemas.openxmlformats.org/drawingml/2006/main">
                <a:ext uri="{FF2B5EF4-FFF2-40B4-BE49-F238E27FC236}">
                  <a16:creationId xmlns:a16="http://schemas.microsoft.com/office/drawing/2014/main" id="{66742B6E-0BA3-9A7C-7DEF-163947B5E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6742B6E-0BA3-9A7C-7DEF-163947B5E2E4}"/>
                        </a:ext>
                      </a:extLst>
                    </pic:cNvPr>
                    <pic:cNvPicPr>
                      <a:picLocks noChangeAspect="1"/>
                    </pic:cNvPicPr>
                  </pic:nvPicPr>
                  <pic:blipFill>
                    <a:blip r:embed="rId48"/>
                    <a:stretch>
                      <a:fillRect/>
                    </a:stretch>
                  </pic:blipFill>
                  <pic:spPr>
                    <a:xfrm>
                      <a:off x="0" y="0"/>
                      <a:ext cx="5400040" cy="1270635"/>
                    </a:xfrm>
                    <a:prstGeom prst="rect">
                      <a:avLst/>
                    </a:prstGeom>
                  </pic:spPr>
                </pic:pic>
              </a:graphicData>
            </a:graphic>
          </wp:inline>
        </w:drawing>
      </w:r>
    </w:p>
    <w:p w14:paraId="1A797A00" w14:textId="6E9EDC06" w:rsidR="005F5B57" w:rsidRDefault="00FB2073" w:rsidP="008B3718">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a.</w:t>
      </w:r>
      <w:r w:rsidR="009B2EDB">
        <w:rPr>
          <w:rFonts w:ascii="Times New Roman" w:eastAsia="DengXian" w:hAnsi="Times New Roman" w:cs="Times New Roman" w:hint="eastAsia"/>
          <w:sz w:val="21"/>
          <w:szCs w:val="21"/>
          <w:lang w:eastAsia="zh-CN"/>
        </w:rPr>
        <w:t xml:space="preserve"> Comparison between </w:t>
      </w:r>
      <w:r w:rsidR="00D3474F">
        <w:rPr>
          <w:rFonts w:ascii="Times New Roman" w:eastAsia="DengXian" w:hAnsi="Times New Roman" w:cs="Times New Roman" w:hint="eastAsia"/>
          <w:sz w:val="21"/>
          <w:szCs w:val="21"/>
          <w:lang w:eastAsia="zh-CN"/>
        </w:rPr>
        <w:t>supplier</w:t>
      </w:r>
      <w:r w:rsidR="009B2EDB">
        <w:rPr>
          <w:rFonts w:ascii="Times New Roman" w:eastAsia="DengXian" w:hAnsi="Times New Roman" w:cs="Times New Roman" w:hint="eastAsia"/>
          <w:sz w:val="21"/>
          <w:szCs w:val="21"/>
          <w:lang w:eastAsia="zh-CN"/>
        </w:rPr>
        <w:t xml:space="preserve">-side policy </w:t>
      </w:r>
      <w:r w:rsidR="00D3474F">
        <w:rPr>
          <w:rFonts w:ascii="Times New Roman" w:eastAsia="DengXian" w:hAnsi="Times New Roman" w:cs="Times New Roman" w:hint="eastAsia"/>
          <w:sz w:val="21"/>
          <w:szCs w:val="21"/>
          <w:lang w:eastAsia="zh-CN"/>
        </w:rPr>
        <w:t>options</w:t>
      </w:r>
    </w:p>
    <w:p w14:paraId="5DF4F335" w14:textId="34B67596" w:rsidR="005F5B57" w:rsidRDefault="00C9247E">
      <w:pPr>
        <w:rPr>
          <w:rFonts w:ascii="Times New Roman" w:eastAsia="DengXian" w:hAnsi="Times New Roman" w:cs="Times New Roman"/>
          <w:sz w:val="21"/>
          <w:szCs w:val="21"/>
          <w:lang w:eastAsia="zh-CN"/>
        </w:rPr>
      </w:pPr>
      <w:r w:rsidRPr="00C9247E">
        <w:rPr>
          <w:rFonts w:ascii="Times New Roman" w:eastAsia="DengXian" w:hAnsi="Times New Roman" w:cs="Times New Roman"/>
          <w:noProof/>
          <w:sz w:val="21"/>
          <w:szCs w:val="21"/>
          <w:lang w:eastAsia="zh-CN"/>
        </w:rPr>
        <w:drawing>
          <wp:inline distT="0" distB="0" distL="0" distR="0" wp14:anchorId="56C9D9E7" wp14:editId="27E12C4A">
            <wp:extent cx="5400040" cy="1277620"/>
            <wp:effectExtent l="0" t="0" r="0" b="0"/>
            <wp:docPr id="4" name="図 3" descr="黒い背景に白い文字の絵&#10;&#10;AI 生成コンテンツは誤りを含む可能性があります。">
              <a:extLst xmlns:a="http://schemas.openxmlformats.org/drawingml/2006/main">
                <a:ext uri="{FF2B5EF4-FFF2-40B4-BE49-F238E27FC236}">
                  <a16:creationId xmlns:a16="http://schemas.microsoft.com/office/drawing/2014/main" id="{EFE035C8-0C35-6AD9-71F1-192E9FE1D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黒い背景に白い文字の絵&#10;&#10;AI 生成コンテンツは誤りを含む可能性があります。">
                      <a:extLst>
                        <a:ext uri="{FF2B5EF4-FFF2-40B4-BE49-F238E27FC236}">
                          <a16:creationId xmlns:a16="http://schemas.microsoft.com/office/drawing/2014/main" id="{EFE035C8-0C35-6AD9-71F1-192E9FE1DFEF}"/>
                        </a:ext>
                      </a:extLst>
                    </pic:cNvPr>
                    <pic:cNvPicPr>
                      <a:picLocks noChangeAspect="1"/>
                    </pic:cNvPicPr>
                  </pic:nvPicPr>
                  <pic:blipFill>
                    <a:blip r:embed="rId49"/>
                    <a:stretch>
                      <a:fillRect/>
                    </a:stretch>
                  </pic:blipFill>
                  <pic:spPr>
                    <a:xfrm>
                      <a:off x="0" y="0"/>
                      <a:ext cx="5400040" cy="1277620"/>
                    </a:xfrm>
                    <a:prstGeom prst="rect">
                      <a:avLst/>
                    </a:prstGeom>
                  </pic:spPr>
                </pic:pic>
              </a:graphicData>
            </a:graphic>
          </wp:inline>
        </w:drawing>
      </w:r>
    </w:p>
    <w:p w14:paraId="4152BE56" w14:textId="39D45032" w:rsidR="00FB2073" w:rsidRDefault="00200658" w:rsidP="008B3718">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b.</w:t>
      </w:r>
      <w:r w:rsidR="00D3474F">
        <w:rPr>
          <w:rFonts w:ascii="Times New Roman" w:eastAsia="DengXian" w:hAnsi="Times New Roman" w:cs="Times New Roman" w:hint="eastAsia"/>
          <w:sz w:val="21"/>
          <w:szCs w:val="21"/>
          <w:lang w:eastAsia="zh-CN"/>
        </w:rPr>
        <w:t xml:space="preserve"> Comparison between user-side policy options</w:t>
      </w:r>
    </w:p>
    <w:p w14:paraId="6620DA54" w14:textId="0F44517C" w:rsidR="003F4AAC" w:rsidRPr="006304CA" w:rsidRDefault="003F4AAC" w:rsidP="003F4AAC">
      <w:pPr>
        <w:pStyle w:val="af"/>
        <w:jc w:val="center"/>
        <w:rPr>
          <w:rFonts w:ascii="Times New Roman" w:eastAsia="DengXian" w:hAnsi="Times New Roman" w:cs="Times New Roman"/>
          <w:lang w:eastAsia="zh-CN"/>
        </w:rPr>
      </w:pPr>
      <w:bookmarkStart w:id="74" w:name="_Toc208439499"/>
      <w:r w:rsidRPr="007F5CA8">
        <w:rPr>
          <w:rFonts w:ascii="Times New Roman" w:eastAsia="Microsoft YaHei" w:hAnsi="Times New Roman" w:cs="Times New Roman"/>
          <w:lang w:eastAsia="zh-CN"/>
        </w:rPr>
        <w:lastRenderedPageBreak/>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8209B4">
        <w:rPr>
          <w:rFonts w:ascii="Times New Roman" w:hAnsi="Times New Roman" w:cs="Times New Roman"/>
          <w:noProof/>
        </w:rPr>
        <w:t>33</w:t>
      </w:r>
      <w:r w:rsidRPr="007F5CA8">
        <w:rPr>
          <w:rFonts w:ascii="Times New Roman" w:hAnsi="Times New Roman" w:cs="Times New Roman"/>
        </w:rPr>
        <w:fldChar w:fldCharType="end"/>
      </w:r>
      <w:r w:rsidRPr="007F5CA8">
        <w:rPr>
          <w:rFonts w:ascii="Times New Roman" w:hAnsi="Times New Roman" w:cs="Times New Roman"/>
        </w:rPr>
        <w:t xml:space="preserve">. </w:t>
      </w:r>
      <w:r w:rsidR="00B23926" w:rsidRPr="00B23926">
        <w:rPr>
          <w:rFonts w:ascii="Times New Roman" w:eastAsia="DengXian" w:hAnsi="Times New Roman" w:cs="Times New Roman"/>
          <w:lang w:eastAsia="zh-CN"/>
        </w:rPr>
        <w:t>Indicators comparison between integrated scenarios</w:t>
      </w:r>
      <w:bookmarkEnd w:id="74"/>
    </w:p>
    <w:p w14:paraId="54A2BCD3" w14:textId="77777777" w:rsidR="003F4AAC" w:rsidRPr="003F4AAC" w:rsidRDefault="003F4AAC">
      <w:pPr>
        <w:rPr>
          <w:rFonts w:ascii="Times New Roman" w:eastAsia="DengXian" w:hAnsi="Times New Roman" w:cs="Times New Roman"/>
          <w:sz w:val="21"/>
          <w:szCs w:val="21"/>
          <w:lang w:eastAsia="zh-CN"/>
        </w:rPr>
      </w:pPr>
    </w:p>
    <w:p w14:paraId="7495118F" w14:textId="77777777" w:rsidR="003F4AAC" w:rsidRPr="000F62FA" w:rsidRDefault="003F4AAC">
      <w:pPr>
        <w:rPr>
          <w:rFonts w:ascii="Times New Roman" w:eastAsia="DengXian" w:hAnsi="Times New Roman" w:cs="Times New Roman"/>
          <w:sz w:val="21"/>
          <w:szCs w:val="21"/>
          <w:lang w:eastAsia="zh-CN"/>
        </w:rPr>
      </w:pPr>
    </w:p>
    <w:p w14:paraId="2025606A" w14:textId="4A94EF9E" w:rsidR="00D911EC" w:rsidRPr="000F62FA" w:rsidRDefault="00D911EC" w:rsidP="00D911EC">
      <w:pPr>
        <w:pStyle w:val="2"/>
        <w:rPr>
          <w:rFonts w:eastAsia="DengXian"/>
        </w:rPr>
      </w:pPr>
      <w:bookmarkStart w:id="75" w:name="_Toc199865024"/>
      <w:r w:rsidRPr="000F62FA">
        <w:rPr>
          <w:rFonts w:eastAsia="DengXian"/>
        </w:rPr>
        <w:t>3</w:t>
      </w:r>
      <w:r w:rsidRPr="000F62FA">
        <w:t>.</w:t>
      </w:r>
      <w:r w:rsidRPr="000F62FA">
        <w:rPr>
          <w:rFonts w:eastAsia="DengXian"/>
        </w:rPr>
        <w:t>2</w:t>
      </w:r>
      <w:r w:rsidRPr="000F62FA">
        <w:t xml:space="preserve"> </w:t>
      </w:r>
      <w:r w:rsidR="007F716A">
        <w:rPr>
          <w:rFonts w:eastAsia="DengXian" w:hint="eastAsia"/>
        </w:rPr>
        <w:t xml:space="preserve">Detailed </w:t>
      </w:r>
      <w:r w:rsidR="00C8336C">
        <w:rPr>
          <w:rFonts w:eastAsia="DengXian" w:hint="eastAsia"/>
        </w:rPr>
        <w:t>R</w:t>
      </w:r>
      <w:r w:rsidR="007F716A">
        <w:rPr>
          <w:rFonts w:eastAsia="DengXian" w:hint="eastAsia"/>
        </w:rPr>
        <w:t xml:space="preserve">esults </w:t>
      </w:r>
      <w:r w:rsidR="00C8336C">
        <w:rPr>
          <w:rFonts w:eastAsia="DengXian" w:hint="eastAsia"/>
        </w:rPr>
        <w:t>from</w:t>
      </w:r>
      <w:r w:rsidR="007F716A">
        <w:rPr>
          <w:rFonts w:eastAsia="DengXian" w:hint="eastAsia"/>
        </w:rPr>
        <w:t xml:space="preserve"> </w:t>
      </w:r>
      <w:r w:rsidR="00C8336C">
        <w:rPr>
          <w:rFonts w:eastAsia="DengXian" w:hint="eastAsia"/>
        </w:rPr>
        <w:t>S</w:t>
      </w:r>
      <w:r w:rsidRPr="000F62FA">
        <w:rPr>
          <w:rFonts w:eastAsia="DengXian"/>
        </w:rPr>
        <w:t xml:space="preserve">cenario </w:t>
      </w:r>
      <w:r w:rsidR="00C8336C">
        <w:rPr>
          <w:rFonts w:eastAsia="DengXian" w:hint="eastAsia"/>
        </w:rPr>
        <w:t>M</w:t>
      </w:r>
      <w:r w:rsidRPr="000F62FA">
        <w:rPr>
          <w:rFonts w:eastAsia="DengXian"/>
        </w:rPr>
        <w:t xml:space="preserve">atrix for </w:t>
      </w:r>
      <w:r w:rsidR="00C8336C">
        <w:rPr>
          <w:rFonts w:eastAsia="DengXian" w:hint="eastAsia"/>
        </w:rPr>
        <w:t>P</w:t>
      </w:r>
      <w:r w:rsidRPr="000F62FA">
        <w:rPr>
          <w:rFonts w:eastAsia="DengXian"/>
        </w:rPr>
        <w:t xml:space="preserve">olicy </w:t>
      </w:r>
      <w:r w:rsidR="00C8336C">
        <w:rPr>
          <w:rFonts w:eastAsia="DengXian" w:hint="eastAsia"/>
        </w:rPr>
        <w:t>A</w:t>
      </w:r>
      <w:r w:rsidRPr="000F62FA">
        <w:rPr>
          <w:rFonts w:eastAsia="DengXian"/>
        </w:rPr>
        <w:t>ssessment</w:t>
      </w:r>
      <w:bookmarkEnd w:id="75"/>
    </w:p>
    <w:p w14:paraId="473A5B77" w14:textId="2FAB7F5B" w:rsidR="00895996" w:rsidRDefault="00AD1D87">
      <w:pPr>
        <w:rPr>
          <w:rFonts w:ascii="Times New Roman" w:eastAsia="DengXian" w:hAnsi="Times New Roman" w:cs="Times New Roman"/>
          <w:sz w:val="21"/>
          <w:szCs w:val="21"/>
          <w:lang w:eastAsia="zh-CN"/>
        </w:rPr>
      </w:pPr>
      <w:r w:rsidRPr="00AD1D87">
        <w:rPr>
          <w:rFonts w:ascii="Times New Roman" w:eastAsia="DengXian" w:hAnsi="Times New Roman" w:cs="Times New Roman"/>
          <w:sz w:val="21"/>
          <w:szCs w:val="21"/>
          <w:lang w:eastAsia="zh-CN"/>
        </w:rPr>
        <w:t>In the main text, we presented the results of the scenario matrix to evaluate the effectiveness of individual policies and the synergistic effects of paired policy combinations, using tables highlighted with color-coded hotspots. This section provides the detailed numerical values corresponding to each cell in those tables. Figure S3</w:t>
      </w:r>
      <w:r w:rsidR="0075405E">
        <w:rPr>
          <w:rFonts w:ascii="Times New Roman" w:eastAsia="DengXian" w:hAnsi="Times New Roman" w:cs="Times New Roman" w:hint="eastAsia"/>
          <w:sz w:val="21"/>
          <w:szCs w:val="21"/>
          <w:lang w:eastAsia="zh-CN"/>
        </w:rPr>
        <w:t>4</w:t>
      </w:r>
      <w:r w:rsidRPr="00AD1D87">
        <w:rPr>
          <w:rFonts w:ascii="Times New Roman" w:eastAsia="DengXian" w:hAnsi="Times New Roman" w:cs="Times New Roman"/>
          <w:sz w:val="21"/>
          <w:szCs w:val="21"/>
          <w:lang w:eastAsia="zh-CN"/>
        </w:rPr>
        <w:t xml:space="preserve"> shows the annual virgin material input of critical minerals in automotive LIBs in 2035 and 2050.</w:t>
      </w:r>
    </w:p>
    <w:p w14:paraId="2B776774" w14:textId="77777777" w:rsidR="00AD1D87" w:rsidRPr="00895996" w:rsidRDefault="00AD1D87">
      <w:pPr>
        <w:rPr>
          <w:rFonts w:ascii="Times New Roman" w:eastAsia="DengXian" w:hAnsi="Times New Roman" w:cs="Times New Roman"/>
          <w:sz w:val="21"/>
          <w:szCs w:val="21"/>
          <w:lang w:eastAsia="zh-CN"/>
        </w:rPr>
      </w:pPr>
    </w:p>
    <w:p w14:paraId="4EA16C49" w14:textId="63344F1E" w:rsidR="00F00255" w:rsidRDefault="000A2C74" w:rsidP="00A9082A">
      <w:pPr>
        <w:jc w:val="center"/>
        <w:rPr>
          <w:rFonts w:ascii="Times New Roman" w:eastAsia="DengXian" w:hAnsi="Times New Roman" w:cs="Times New Roman"/>
          <w:sz w:val="21"/>
          <w:szCs w:val="21"/>
          <w:lang w:eastAsia="zh-CN"/>
        </w:rPr>
      </w:pPr>
      <w:r w:rsidRPr="000A2C74">
        <w:rPr>
          <w:rFonts w:hint="eastAsia"/>
          <w:noProof/>
        </w:rPr>
        <w:drawing>
          <wp:inline distT="0" distB="0" distL="0" distR="0" wp14:anchorId="6BC1779A" wp14:editId="50E2E150">
            <wp:extent cx="5400040" cy="2701290"/>
            <wp:effectExtent l="0" t="0" r="0" b="3810"/>
            <wp:docPr id="14359721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2701290"/>
                    </a:xfrm>
                    <a:prstGeom prst="rect">
                      <a:avLst/>
                    </a:prstGeom>
                    <a:noFill/>
                    <a:ln>
                      <a:noFill/>
                    </a:ln>
                  </pic:spPr>
                </pic:pic>
              </a:graphicData>
            </a:graphic>
          </wp:inline>
        </w:drawing>
      </w:r>
    </w:p>
    <w:p w14:paraId="4AAD7050" w14:textId="509572C3" w:rsidR="00A9082A" w:rsidRDefault="00A9082A" w:rsidP="00A9082A">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a</w:t>
      </w:r>
      <w:r w:rsidR="00FD7F1A">
        <w:rPr>
          <w:rFonts w:ascii="Times New Roman" w:eastAsia="DengXian" w:hAnsi="Times New Roman" w:cs="Times New Roman" w:hint="eastAsia"/>
          <w:sz w:val="21"/>
          <w:szCs w:val="21"/>
          <w:lang w:eastAsia="zh-CN"/>
        </w:rPr>
        <w:t>. 2035</w:t>
      </w:r>
    </w:p>
    <w:p w14:paraId="5E46DFA3" w14:textId="622E059A" w:rsidR="00A9082A" w:rsidRDefault="002D7374" w:rsidP="00A9082A">
      <w:pPr>
        <w:jc w:val="center"/>
        <w:rPr>
          <w:rFonts w:ascii="Times New Roman" w:eastAsia="DengXian" w:hAnsi="Times New Roman" w:cs="Times New Roman"/>
          <w:sz w:val="21"/>
          <w:szCs w:val="21"/>
          <w:lang w:eastAsia="zh-CN"/>
        </w:rPr>
      </w:pPr>
      <w:r w:rsidRPr="002D7374">
        <w:rPr>
          <w:noProof/>
        </w:rPr>
        <w:drawing>
          <wp:inline distT="0" distB="0" distL="0" distR="0" wp14:anchorId="3F00FB74" wp14:editId="7422B98B">
            <wp:extent cx="5400040" cy="2701290"/>
            <wp:effectExtent l="0" t="0" r="0" b="3810"/>
            <wp:docPr id="3960989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2701290"/>
                    </a:xfrm>
                    <a:prstGeom prst="rect">
                      <a:avLst/>
                    </a:prstGeom>
                    <a:noFill/>
                    <a:ln>
                      <a:noFill/>
                    </a:ln>
                  </pic:spPr>
                </pic:pic>
              </a:graphicData>
            </a:graphic>
          </wp:inline>
        </w:drawing>
      </w:r>
    </w:p>
    <w:p w14:paraId="1019B0B7" w14:textId="6353D8B5" w:rsidR="00A9082A" w:rsidRDefault="00A9082A" w:rsidP="00A9082A">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b</w:t>
      </w:r>
      <w:r w:rsidR="00FD7F1A">
        <w:rPr>
          <w:rFonts w:ascii="Times New Roman" w:eastAsia="DengXian" w:hAnsi="Times New Roman" w:cs="Times New Roman" w:hint="eastAsia"/>
          <w:sz w:val="21"/>
          <w:szCs w:val="21"/>
          <w:lang w:eastAsia="zh-CN"/>
        </w:rPr>
        <w:t>. 2050</w:t>
      </w:r>
    </w:p>
    <w:p w14:paraId="10771859" w14:textId="61FF49B7" w:rsidR="004A0F9F" w:rsidRPr="00B82642" w:rsidRDefault="004A0F9F" w:rsidP="004A0F9F">
      <w:pPr>
        <w:pStyle w:val="af"/>
        <w:jc w:val="center"/>
        <w:rPr>
          <w:rFonts w:ascii="Times New Roman" w:eastAsia="DengXian" w:hAnsi="Times New Roman" w:cs="Times New Roman"/>
          <w:lang w:eastAsia="zh-CN"/>
        </w:rPr>
      </w:pPr>
      <w:bookmarkStart w:id="76" w:name="_Toc208439500"/>
      <w:r w:rsidRPr="007F5CA8">
        <w:rPr>
          <w:rFonts w:ascii="Times New Roman" w:eastAsia="Microsoft YaHei" w:hAnsi="Times New Roman" w:cs="Times New Roman"/>
          <w:lang w:eastAsia="zh-CN"/>
        </w:rPr>
        <w:lastRenderedPageBreak/>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75405E">
        <w:rPr>
          <w:rFonts w:ascii="Times New Roman" w:hAnsi="Times New Roman" w:cs="Times New Roman"/>
          <w:noProof/>
        </w:rPr>
        <w:t>34</w:t>
      </w:r>
      <w:r w:rsidRPr="007F5CA8">
        <w:rPr>
          <w:rFonts w:ascii="Times New Roman" w:hAnsi="Times New Roman" w:cs="Times New Roman"/>
        </w:rPr>
        <w:fldChar w:fldCharType="end"/>
      </w:r>
      <w:r w:rsidRPr="007F5CA8">
        <w:rPr>
          <w:rFonts w:ascii="Times New Roman" w:hAnsi="Times New Roman" w:cs="Times New Roman"/>
        </w:rPr>
        <w:t xml:space="preserve">. </w:t>
      </w:r>
      <w:r w:rsidR="00073189">
        <w:rPr>
          <w:rFonts w:ascii="Times New Roman" w:eastAsia="DengXian" w:hAnsi="Times New Roman" w:cs="Times New Roman" w:hint="eastAsia"/>
          <w:lang w:eastAsia="zh-CN"/>
        </w:rPr>
        <w:t>Annual v</w:t>
      </w:r>
      <w:r w:rsidR="00804EFA">
        <w:rPr>
          <w:rFonts w:ascii="Times New Roman" w:eastAsia="DengXian" w:hAnsi="Times New Roman" w:cs="Times New Roman" w:hint="eastAsia"/>
          <w:lang w:eastAsia="zh-CN"/>
        </w:rPr>
        <w:t>irgin</w:t>
      </w:r>
      <w:r w:rsidR="001D71B0">
        <w:rPr>
          <w:rFonts w:ascii="Times New Roman" w:eastAsia="DengXian" w:hAnsi="Times New Roman" w:cs="Times New Roman" w:hint="eastAsia"/>
          <w:lang w:eastAsia="zh-CN"/>
        </w:rPr>
        <w:t xml:space="preserve"> material input of critical minerals in automotive LIBs</w:t>
      </w:r>
      <w:r w:rsidR="00AD1D87">
        <w:rPr>
          <w:rFonts w:ascii="Times New Roman" w:eastAsia="DengXian" w:hAnsi="Times New Roman" w:cs="Times New Roman" w:hint="eastAsia"/>
          <w:lang w:eastAsia="zh-CN"/>
        </w:rPr>
        <w:t xml:space="preserve"> in 2035 and 2050</w:t>
      </w:r>
      <w:r w:rsidR="00B82642">
        <w:rPr>
          <w:rFonts w:ascii="Times New Roman" w:eastAsia="DengXian" w:hAnsi="Times New Roman" w:cs="Times New Roman" w:hint="eastAsia"/>
          <w:lang w:eastAsia="zh-CN"/>
        </w:rPr>
        <w:t>.</w:t>
      </w:r>
      <w:bookmarkEnd w:id="76"/>
      <w:r w:rsidR="00B82642">
        <w:rPr>
          <w:rFonts w:ascii="Times New Roman" w:eastAsia="DengXian" w:hAnsi="Times New Roman" w:cs="Times New Roman" w:hint="eastAsia"/>
          <w:lang w:eastAsia="zh-CN"/>
        </w:rPr>
        <w:t xml:space="preserve"> </w:t>
      </w:r>
    </w:p>
    <w:p w14:paraId="65ABF00F" w14:textId="77777777" w:rsidR="004A0F9F" w:rsidRDefault="004A0F9F">
      <w:pPr>
        <w:rPr>
          <w:rFonts w:ascii="Times New Roman" w:eastAsia="DengXian" w:hAnsi="Times New Roman" w:cs="Times New Roman"/>
          <w:sz w:val="21"/>
          <w:szCs w:val="21"/>
          <w:lang w:eastAsia="zh-CN"/>
        </w:rPr>
      </w:pPr>
    </w:p>
    <w:p w14:paraId="6025E4A9" w14:textId="5511F359" w:rsidR="00933203" w:rsidRDefault="00783C89">
      <w:pPr>
        <w:rPr>
          <w:rFonts w:ascii="Times New Roman" w:eastAsia="DengXian" w:hAnsi="Times New Roman" w:cs="Times New Roman"/>
          <w:sz w:val="21"/>
          <w:szCs w:val="21"/>
          <w:lang w:eastAsia="zh-CN"/>
        </w:rPr>
      </w:pPr>
      <w:r w:rsidRPr="00783C89">
        <w:rPr>
          <w:rFonts w:ascii="Times New Roman" w:eastAsia="DengXian" w:hAnsi="Times New Roman" w:cs="Times New Roman"/>
          <w:sz w:val="21"/>
          <w:szCs w:val="21"/>
          <w:lang w:eastAsia="zh-CN"/>
        </w:rPr>
        <w:t>Figure S3</w:t>
      </w:r>
      <w:r w:rsidR="0075405E">
        <w:rPr>
          <w:rFonts w:ascii="Times New Roman" w:eastAsia="DengXian" w:hAnsi="Times New Roman" w:cs="Times New Roman" w:hint="eastAsia"/>
          <w:sz w:val="21"/>
          <w:szCs w:val="21"/>
          <w:lang w:eastAsia="zh-CN"/>
        </w:rPr>
        <w:t>5</w:t>
      </w:r>
      <w:r w:rsidRPr="00783C89">
        <w:rPr>
          <w:rFonts w:ascii="Times New Roman" w:eastAsia="DengXian" w:hAnsi="Times New Roman" w:cs="Times New Roman"/>
          <w:sz w:val="21"/>
          <w:szCs w:val="21"/>
          <w:lang w:eastAsia="zh-CN"/>
        </w:rPr>
        <w:t xml:space="preserve"> presents the reduction rates relative to the maximum annual virgin material input of critical minerals in automotive LIBs for the same years.</w:t>
      </w:r>
      <w:r w:rsidR="00DC1B82">
        <w:rPr>
          <w:rFonts w:ascii="Times New Roman" w:eastAsia="DengXian" w:hAnsi="Times New Roman" w:cs="Times New Roman" w:hint="eastAsia"/>
          <w:sz w:val="21"/>
          <w:szCs w:val="21"/>
          <w:lang w:eastAsia="zh-CN"/>
        </w:rPr>
        <w:t xml:space="preserve"> </w:t>
      </w:r>
    </w:p>
    <w:p w14:paraId="4BE56DC6" w14:textId="77777777" w:rsidR="00783C89" w:rsidRDefault="00783C89">
      <w:pPr>
        <w:rPr>
          <w:rFonts w:ascii="Times New Roman" w:eastAsia="DengXian" w:hAnsi="Times New Roman" w:cs="Times New Roman"/>
          <w:sz w:val="21"/>
          <w:szCs w:val="21"/>
          <w:lang w:eastAsia="zh-CN"/>
        </w:rPr>
      </w:pPr>
    </w:p>
    <w:p w14:paraId="0E8C1304" w14:textId="10C2E728" w:rsidR="00073189" w:rsidRDefault="00B1257A">
      <w:pPr>
        <w:rPr>
          <w:rFonts w:ascii="Times New Roman" w:eastAsia="DengXian" w:hAnsi="Times New Roman" w:cs="Times New Roman"/>
          <w:sz w:val="21"/>
          <w:szCs w:val="21"/>
          <w:lang w:eastAsia="zh-CN"/>
        </w:rPr>
      </w:pPr>
      <w:r w:rsidRPr="00B1257A">
        <w:rPr>
          <w:noProof/>
        </w:rPr>
        <w:drawing>
          <wp:inline distT="0" distB="0" distL="0" distR="0" wp14:anchorId="6A7C5251" wp14:editId="3F058C70">
            <wp:extent cx="5400040" cy="2701290"/>
            <wp:effectExtent l="0" t="0" r="0" b="3810"/>
            <wp:docPr id="16292968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2701290"/>
                    </a:xfrm>
                    <a:prstGeom prst="rect">
                      <a:avLst/>
                    </a:prstGeom>
                    <a:noFill/>
                    <a:ln>
                      <a:noFill/>
                    </a:ln>
                  </pic:spPr>
                </pic:pic>
              </a:graphicData>
            </a:graphic>
          </wp:inline>
        </w:drawing>
      </w:r>
    </w:p>
    <w:p w14:paraId="1221EF03" w14:textId="07019676" w:rsidR="00864052" w:rsidRDefault="00864052" w:rsidP="00F4506A">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a. 2035</w:t>
      </w:r>
    </w:p>
    <w:p w14:paraId="0153D6EF" w14:textId="74FE84CE" w:rsidR="00864052" w:rsidRDefault="008E22CA">
      <w:pPr>
        <w:rPr>
          <w:rFonts w:ascii="Times New Roman" w:eastAsia="DengXian" w:hAnsi="Times New Roman" w:cs="Times New Roman"/>
          <w:sz w:val="21"/>
          <w:szCs w:val="21"/>
          <w:lang w:eastAsia="zh-CN"/>
        </w:rPr>
      </w:pPr>
      <w:r w:rsidRPr="008E22CA">
        <w:rPr>
          <w:noProof/>
        </w:rPr>
        <w:drawing>
          <wp:inline distT="0" distB="0" distL="0" distR="0" wp14:anchorId="557B3740" wp14:editId="4304BD21">
            <wp:extent cx="5400040" cy="2701290"/>
            <wp:effectExtent l="0" t="0" r="0" b="3810"/>
            <wp:docPr id="6194063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2701290"/>
                    </a:xfrm>
                    <a:prstGeom prst="rect">
                      <a:avLst/>
                    </a:prstGeom>
                    <a:noFill/>
                    <a:ln>
                      <a:noFill/>
                    </a:ln>
                  </pic:spPr>
                </pic:pic>
              </a:graphicData>
            </a:graphic>
          </wp:inline>
        </w:drawing>
      </w:r>
    </w:p>
    <w:p w14:paraId="0D3966D1" w14:textId="640C2BE0" w:rsidR="00864052" w:rsidRPr="00073189" w:rsidRDefault="00864052" w:rsidP="00F4506A">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b. 2050</w:t>
      </w:r>
    </w:p>
    <w:p w14:paraId="2BE4F39E" w14:textId="0FA5B82E" w:rsidR="00C6691A" w:rsidRPr="000F1027" w:rsidRDefault="00C6691A" w:rsidP="00C6691A">
      <w:pPr>
        <w:pStyle w:val="af"/>
        <w:jc w:val="center"/>
        <w:rPr>
          <w:rFonts w:ascii="Times New Roman" w:eastAsia="DengXian" w:hAnsi="Times New Roman" w:cs="Times New Roman"/>
          <w:lang w:eastAsia="zh-CN"/>
        </w:rPr>
      </w:pPr>
      <w:bookmarkStart w:id="77" w:name="_Toc208439501"/>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B23926">
        <w:rPr>
          <w:rFonts w:ascii="Times New Roman" w:hAnsi="Times New Roman" w:cs="Times New Roman"/>
          <w:noProof/>
        </w:rPr>
        <w:t>35</w:t>
      </w:r>
      <w:r w:rsidRPr="007F5CA8">
        <w:rPr>
          <w:rFonts w:ascii="Times New Roman" w:hAnsi="Times New Roman" w:cs="Times New Roman"/>
        </w:rPr>
        <w:fldChar w:fldCharType="end"/>
      </w:r>
      <w:r w:rsidRPr="007F5CA8">
        <w:rPr>
          <w:rFonts w:ascii="Times New Roman" w:hAnsi="Times New Roman" w:cs="Times New Roman"/>
        </w:rPr>
        <w:t xml:space="preserve">. </w:t>
      </w:r>
      <w:r w:rsidR="000F1027">
        <w:rPr>
          <w:rFonts w:ascii="Times New Roman" w:eastAsia="DengXian" w:hAnsi="Times New Roman" w:cs="Times New Roman" w:hint="eastAsia"/>
          <w:lang w:eastAsia="zh-CN"/>
        </w:rPr>
        <w:t>R</w:t>
      </w:r>
      <w:r w:rsidR="000F1027" w:rsidRPr="000F1027">
        <w:rPr>
          <w:rFonts w:ascii="Times New Roman" w:hAnsi="Times New Roman" w:cs="Times New Roman"/>
        </w:rPr>
        <w:t>eduction rates relative to the maximum annual virgin material input of critical minerals in automotive LIBs</w:t>
      </w:r>
      <w:r w:rsidR="000F1027">
        <w:rPr>
          <w:rFonts w:ascii="Times New Roman" w:eastAsia="DengXian" w:hAnsi="Times New Roman" w:cs="Times New Roman" w:hint="eastAsia"/>
          <w:lang w:eastAsia="zh-CN"/>
        </w:rPr>
        <w:t xml:space="preserve"> in 2035 and 2050.</w:t>
      </w:r>
      <w:bookmarkEnd w:id="77"/>
      <w:r w:rsidR="000F1027">
        <w:rPr>
          <w:rFonts w:ascii="Times New Roman" w:eastAsia="DengXian" w:hAnsi="Times New Roman" w:cs="Times New Roman" w:hint="eastAsia"/>
          <w:lang w:eastAsia="zh-CN"/>
        </w:rPr>
        <w:t xml:space="preserve"> </w:t>
      </w:r>
    </w:p>
    <w:p w14:paraId="399BDFC9" w14:textId="77777777" w:rsidR="00C6691A" w:rsidRDefault="00C6691A">
      <w:pPr>
        <w:rPr>
          <w:rFonts w:ascii="Times New Roman" w:eastAsia="DengXian" w:hAnsi="Times New Roman" w:cs="Times New Roman"/>
          <w:sz w:val="21"/>
          <w:szCs w:val="21"/>
          <w:lang w:eastAsia="zh-CN"/>
        </w:rPr>
      </w:pPr>
    </w:p>
    <w:p w14:paraId="390F2BB2" w14:textId="463E7603" w:rsidR="0062158E" w:rsidRPr="001249EE" w:rsidRDefault="001249EE">
      <w:pPr>
        <w:rPr>
          <w:rFonts w:ascii="Times New Roman" w:eastAsia="DengXian" w:hAnsi="Times New Roman" w:cs="Times New Roman"/>
          <w:sz w:val="21"/>
          <w:szCs w:val="21"/>
          <w:lang w:eastAsia="zh-CN"/>
        </w:rPr>
      </w:pPr>
      <w:r w:rsidRPr="00783C89">
        <w:rPr>
          <w:rFonts w:ascii="Times New Roman" w:eastAsia="DengXian" w:hAnsi="Times New Roman" w:cs="Times New Roman"/>
          <w:sz w:val="21"/>
          <w:szCs w:val="21"/>
          <w:lang w:eastAsia="zh-CN"/>
        </w:rPr>
        <w:lastRenderedPageBreak/>
        <w:t>Figure S3</w:t>
      </w:r>
      <w:r w:rsidR="00B23926">
        <w:rPr>
          <w:rFonts w:ascii="Times New Roman" w:eastAsia="DengXian" w:hAnsi="Times New Roman" w:cs="Times New Roman" w:hint="eastAsia"/>
          <w:sz w:val="21"/>
          <w:szCs w:val="21"/>
          <w:lang w:eastAsia="zh-CN"/>
        </w:rPr>
        <w:t>6</w:t>
      </w:r>
      <w:r w:rsidRPr="00783C89">
        <w:rPr>
          <w:rFonts w:ascii="Times New Roman" w:eastAsia="DengXian" w:hAnsi="Times New Roman" w:cs="Times New Roman"/>
          <w:sz w:val="21"/>
          <w:szCs w:val="21"/>
          <w:lang w:eastAsia="zh-CN"/>
        </w:rPr>
        <w:t xml:space="preserve"> presents the </w:t>
      </w:r>
      <w:bookmarkStart w:id="78" w:name="OLE_LINK3"/>
      <w:r w:rsidR="00B8542F">
        <w:rPr>
          <w:rFonts w:ascii="Times New Roman" w:eastAsia="DengXian" w:hAnsi="Times New Roman" w:cs="Times New Roman" w:hint="eastAsia"/>
          <w:sz w:val="21"/>
          <w:szCs w:val="21"/>
          <w:lang w:eastAsia="zh-CN"/>
        </w:rPr>
        <w:t xml:space="preserve">inflow </w:t>
      </w:r>
      <w:r w:rsidR="00F72C1F">
        <w:rPr>
          <w:rFonts w:ascii="Times New Roman" w:eastAsia="DengXian" w:hAnsi="Times New Roman" w:cs="Times New Roman" w:hint="eastAsia"/>
          <w:sz w:val="21"/>
          <w:szCs w:val="21"/>
          <w:lang w:eastAsia="zh-CN"/>
        </w:rPr>
        <w:t xml:space="preserve">circulation rate of critical minerals </w:t>
      </w:r>
      <w:r w:rsidR="00232029">
        <w:rPr>
          <w:rFonts w:ascii="Times New Roman" w:eastAsia="DengXian" w:hAnsi="Times New Roman" w:cs="Times New Roman" w:hint="eastAsia"/>
          <w:sz w:val="21"/>
          <w:szCs w:val="21"/>
          <w:lang w:eastAsia="zh-CN"/>
        </w:rPr>
        <w:t xml:space="preserve">in automotive LIBs </w:t>
      </w:r>
      <w:r w:rsidR="00D841C6">
        <w:rPr>
          <w:rFonts w:ascii="Times New Roman" w:eastAsia="DengXian" w:hAnsi="Times New Roman" w:cs="Times New Roman" w:hint="eastAsia"/>
          <w:sz w:val="21"/>
          <w:szCs w:val="21"/>
          <w:lang w:eastAsia="zh-CN"/>
        </w:rPr>
        <w:t>in 2035 and 2050</w:t>
      </w:r>
      <w:bookmarkEnd w:id="78"/>
      <w:r w:rsidR="00315332">
        <w:rPr>
          <w:rFonts w:ascii="Times New Roman" w:eastAsia="DengXian" w:hAnsi="Times New Roman" w:cs="Times New Roman" w:hint="eastAsia"/>
          <w:sz w:val="21"/>
          <w:szCs w:val="21"/>
          <w:lang w:eastAsia="zh-CN"/>
        </w:rPr>
        <w:t xml:space="preserve">, </w:t>
      </w:r>
      <w:r w:rsidR="00FA4781">
        <w:rPr>
          <w:rFonts w:ascii="Times New Roman" w:eastAsia="DengXian" w:hAnsi="Times New Roman" w:cs="Times New Roman" w:hint="eastAsia"/>
          <w:sz w:val="21"/>
          <w:szCs w:val="21"/>
          <w:lang w:eastAsia="zh-CN"/>
        </w:rPr>
        <w:t xml:space="preserve">considering various policies and </w:t>
      </w:r>
      <w:r w:rsidR="005D306C">
        <w:rPr>
          <w:rFonts w:ascii="Times New Roman" w:eastAsia="DengXian" w:hAnsi="Times New Roman" w:cs="Times New Roman" w:hint="eastAsia"/>
          <w:sz w:val="21"/>
          <w:szCs w:val="21"/>
          <w:lang w:eastAsia="zh-CN"/>
        </w:rPr>
        <w:t xml:space="preserve">their </w:t>
      </w:r>
      <w:r w:rsidR="00FA4781">
        <w:rPr>
          <w:rFonts w:ascii="Times New Roman" w:eastAsia="DengXian" w:hAnsi="Times New Roman" w:cs="Times New Roman" w:hint="eastAsia"/>
          <w:sz w:val="21"/>
          <w:szCs w:val="21"/>
          <w:lang w:eastAsia="zh-CN"/>
        </w:rPr>
        <w:t>pair</w:t>
      </w:r>
      <w:r w:rsidR="005D306C">
        <w:rPr>
          <w:rFonts w:ascii="Times New Roman" w:eastAsia="DengXian" w:hAnsi="Times New Roman" w:cs="Times New Roman" w:hint="eastAsia"/>
          <w:sz w:val="21"/>
          <w:szCs w:val="21"/>
          <w:lang w:eastAsia="zh-CN"/>
        </w:rPr>
        <w:t xml:space="preserve">s. </w:t>
      </w:r>
    </w:p>
    <w:p w14:paraId="43F3E980" w14:textId="77777777" w:rsidR="0062158E" w:rsidRPr="00FA4781" w:rsidRDefault="0062158E">
      <w:pPr>
        <w:rPr>
          <w:rFonts w:ascii="Times New Roman" w:eastAsia="DengXian" w:hAnsi="Times New Roman" w:cs="Times New Roman"/>
          <w:sz w:val="21"/>
          <w:szCs w:val="21"/>
          <w:lang w:eastAsia="zh-CN"/>
        </w:rPr>
      </w:pPr>
    </w:p>
    <w:p w14:paraId="1A34B0DC" w14:textId="424C2732" w:rsidR="00314A44" w:rsidRDefault="001C6B93" w:rsidP="00844861">
      <w:pPr>
        <w:jc w:val="center"/>
        <w:rPr>
          <w:rFonts w:ascii="Times New Roman" w:eastAsia="DengXian" w:hAnsi="Times New Roman" w:cs="Times New Roman"/>
          <w:sz w:val="21"/>
          <w:szCs w:val="21"/>
          <w:lang w:eastAsia="zh-CN"/>
        </w:rPr>
      </w:pPr>
      <w:r w:rsidRPr="001C6B93">
        <w:rPr>
          <w:noProof/>
        </w:rPr>
        <w:drawing>
          <wp:inline distT="0" distB="0" distL="0" distR="0" wp14:anchorId="639EF068" wp14:editId="62127937">
            <wp:extent cx="5400040" cy="2701290"/>
            <wp:effectExtent l="0" t="0" r="0" b="3810"/>
            <wp:docPr id="111160636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2701290"/>
                    </a:xfrm>
                    <a:prstGeom prst="rect">
                      <a:avLst/>
                    </a:prstGeom>
                    <a:noFill/>
                    <a:ln>
                      <a:noFill/>
                    </a:ln>
                  </pic:spPr>
                </pic:pic>
              </a:graphicData>
            </a:graphic>
          </wp:inline>
        </w:drawing>
      </w:r>
    </w:p>
    <w:p w14:paraId="2D420685" w14:textId="213B3468" w:rsidR="00314A44" w:rsidRDefault="00844861" w:rsidP="00844861">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a. 2035</w:t>
      </w:r>
    </w:p>
    <w:p w14:paraId="10DCBD27" w14:textId="355A0FB1" w:rsidR="00314A44" w:rsidRDefault="001C6B93" w:rsidP="00844861">
      <w:pPr>
        <w:jc w:val="center"/>
        <w:rPr>
          <w:rFonts w:ascii="Times New Roman" w:eastAsia="DengXian" w:hAnsi="Times New Roman" w:cs="Times New Roman"/>
          <w:sz w:val="21"/>
          <w:szCs w:val="21"/>
          <w:lang w:eastAsia="zh-CN"/>
        </w:rPr>
      </w:pPr>
      <w:r w:rsidRPr="001C6B93">
        <w:rPr>
          <w:noProof/>
        </w:rPr>
        <w:drawing>
          <wp:inline distT="0" distB="0" distL="0" distR="0" wp14:anchorId="28CBDEE8" wp14:editId="22D381CB">
            <wp:extent cx="5400040" cy="2701290"/>
            <wp:effectExtent l="0" t="0" r="0" b="3810"/>
            <wp:docPr id="11778856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2701290"/>
                    </a:xfrm>
                    <a:prstGeom prst="rect">
                      <a:avLst/>
                    </a:prstGeom>
                    <a:noFill/>
                    <a:ln>
                      <a:noFill/>
                    </a:ln>
                  </pic:spPr>
                </pic:pic>
              </a:graphicData>
            </a:graphic>
          </wp:inline>
        </w:drawing>
      </w:r>
    </w:p>
    <w:p w14:paraId="4490DAEB" w14:textId="72AF7A5F" w:rsidR="00844861" w:rsidRDefault="00844861" w:rsidP="00844861">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b. 2050</w:t>
      </w:r>
    </w:p>
    <w:p w14:paraId="2F302D66" w14:textId="5972DF64" w:rsidR="00C6691A" w:rsidRPr="00290221" w:rsidRDefault="00C6691A" w:rsidP="00C6691A">
      <w:pPr>
        <w:pStyle w:val="af"/>
        <w:jc w:val="center"/>
        <w:rPr>
          <w:rFonts w:ascii="Times New Roman" w:eastAsia="DengXian" w:hAnsi="Times New Roman" w:cs="Times New Roman"/>
          <w:lang w:eastAsia="zh-CN"/>
        </w:rPr>
      </w:pPr>
      <w:bookmarkStart w:id="79" w:name="_Toc208439502"/>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B23926">
        <w:rPr>
          <w:rFonts w:ascii="Times New Roman" w:hAnsi="Times New Roman" w:cs="Times New Roman"/>
          <w:noProof/>
        </w:rPr>
        <w:t>36</w:t>
      </w:r>
      <w:r w:rsidRPr="007F5CA8">
        <w:rPr>
          <w:rFonts w:ascii="Times New Roman" w:hAnsi="Times New Roman" w:cs="Times New Roman"/>
        </w:rPr>
        <w:fldChar w:fldCharType="end"/>
      </w:r>
      <w:r w:rsidRPr="007F5CA8">
        <w:rPr>
          <w:rFonts w:ascii="Times New Roman" w:hAnsi="Times New Roman" w:cs="Times New Roman"/>
        </w:rPr>
        <w:t xml:space="preserve">. </w:t>
      </w:r>
      <w:r w:rsidR="006A5D80">
        <w:rPr>
          <w:rFonts w:ascii="Times New Roman" w:eastAsia="DengXian" w:hAnsi="Times New Roman" w:cs="Times New Roman" w:hint="eastAsia"/>
          <w:lang w:eastAsia="zh-CN"/>
        </w:rPr>
        <w:t>I</w:t>
      </w:r>
      <w:r w:rsidR="006A5D80" w:rsidRPr="006A5D80">
        <w:rPr>
          <w:rFonts w:ascii="Times New Roman" w:hAnsi="Times New Roman" w:cs="Times New Roman"/>
        </w:rPr>
        <w:t>nflow circulation rate of critical minerals in automotive LIBs in 2035 and 2050</w:t>
      </w:r>
      <w:r w:rsidR="00A60FD6" w:rsidRPr="00A60FD6">
        <w:rPr>
          <w:rFonts w:ascii="Times New Roman" w:hAnsi="Times New Roman" w:cs="Times New Roman"/>
        </w:rPr>
        <w:t>.</w:t>
      </w:r>
      <w:bookmarkEnd w:id="79"/>
    </w:p>
    <w:p w14:paraId="5D7A12CD" w14:textId="77777777" w:rsidR="00C6691A" w:rsidRDefault="00C6691A">
      <w:pPr>
        <w:rPr>
          <w:rFonts w:ascii="Times New Roman" w:eastAsia="DengXian" w:hAnsi="Times New Roman" w:cs="Times New Roman"/>
          <w:sz w:val="21"/>
          <w:szCs w:val="21"/>
          <w:lang w:eastAsia="zh-CN"/>
        </w:rPr>
      </w:pPr>
    </w:p>
    <w:p w14:paraId="5258F50A" w14:textId="6A24B90D" w:rsidR="00E906C3" w:rsidRPr="00141875" w:rsidRDefault="00DC125B">
      <w:pPr>
        <w:rPr>
          <w:rFonts w:ascii="Times New Roman" w:eastAsia="DengXian" w:hAnsi="Times New Roman" w:cs="Times New Roman"/>
          <w:sz w:val="21"/>
          <w:szCs w:val="21"/>
          <w:lang w:eastAsia="zh-CN"/>
        </w:rPr>
      </w:pPr>
      <w:r w:rsidRPr="00DC125B">
        <w:rPr>
          <w:rFonts w:ascii="Times New Roman" w:eastAsia="DengXian" w:hAnsi="Times New Roman" w:cs="Times New Roman"/>
          <w:sz w:val="21"/>
          <w:szCs w:val="21"/>
          <w:lang w:eastAsia="zh-CN"/>
        </w:rPr>
        <w:t>Given the complexity and dynamic nature of the system, quantifying the synergy effects between paired policies presents a significant challenge. However, based on the results shown in Figures S3</w:t>
      </w:r>
      <w:r w:rsidR="0069753C">
        <w:rPr>
          <w:rFonts w:ascii="Times New Roman" w:eastAsia="DengXian" w:hAnsi="Times New Roman" w:cs="Times New Roman" w:hint="eastAsia"/>
          <w:sz w:val="21"/>
          <w:szCs w:val="21"/>
          <w:lang w:eastAsia="zh-CN"/>
        </w:rPr>
        <w:t>5</w:t>
      </w:r>
      <w:r w:rsidRPr="00DC125B">
        <w:rPr>
          <w:rFonts w:ascii="Times New Roman" w:eastAsia="DengXian" w:hAnsi="Times New Roman" w:cs="Times New Roman"/>
          <w:sz w:val="21"/>
          <w:szCs w:val="21"/>
          <w:lang w:eastAsia="zh-CN"/>
        </w:rPr>
        <w:t xml:space="preserve"> and S3</w:t>
      </w:r>
      <w:r w:rsidR="0069753C">
        <w:rPr>
          <w:rFonts w:ascii="Times New Roman" w:eastAsia="DengXian" w:hAnsi="Times New Roman" w:cs="Times New Roman" w:hint="eastAsia"/>
          <w:sz w:val="21"/>
          <w:szCs w:val="21"/>
          <w:lang w:eastAsia="zh-CN"/>
        </w:rPr>
        <w:t>6</w:t>
      </w:r>
      <w:r w:rsidRPr="00DC125B">
        <w:rPr>
          <w:rFonts w:ascii="Times New Roman" w:eastAsia="DengXian" w:hAnsi="Times New Roman" w:cs="Times New Roman"/>
          <w:sz w:val="21"/>
          <w:szCs w:val="21"/>
          <w:lang w:eastAsia="zh-CN"/>
        </w:rPr>
        <w:t>, we evaluate the synergy effects using the following equation:</w:t>
      </w:r>
    </w:p>
    <w:p w14:paraId="04762744" w14:textId="181434F7" w:rsidR="00E906C3" w:rsidRDefault="00E906C3" w:rsidP="00A24387">
      <w:pPr>
        <w:wordWrap w:val="0"/>
        <w:jc w:val="right"/>
        <w:rPr>
          <w:rFonts w:ascii="Times New Roman" w:eastAsia="DengXian" w:hAnsi="Times New Roman" w:cs="Times New Roman"/>
          <w:sz w:val="21"/>
          <w:szCs w:val="21"/>
          <w:lang w:eastAsia="zh-CN"/>
        </w:rPr>
      </w:pPr>
      <w:r w:rsidRPr="00E906C3">
        <w:rPr>
          <w:rFonts w:ascii="Times New Roman" w:eastAsia="DengXian" w:hAnsi="Times New Roman" w:cs="Times New Roman"/>
          <w:sz w:val="21"/>
          <w:szCs w:val="21"/>
          <w:lang w:eastAsia="zh-CN"/>
        </w:rPr>
        <w:t>S=E</w:t>
      </w:r>
      <w:r w:rsidRPr="00DD0361">
        <w:rPr>
          <w:rFonts w:ascii="Times New Roman" w:eastAsia="DengXian" w:hAnsi="Times New Roman" w:cs="Times New Roman"/>
          <w:sz w:val="21"/>
          <w:szCs w:val="21"/>
          <w:vertAlign w:val="subscript"/>
          <w:lang w:eastAsia="zh-CN"/>
        </w:rPr>
        <w:t>A+B</w:t>
      </w:r>
      <w:r w:rsidRPr="00E906C3">
        <w:rPr>
          <w:rFonts w:ascii="Times New Roman" w:eastAsia="DengXian" w:hAnsi="Times New Roman" w:cs="Times New Roman"/>
          <w:sz w:val="21"/>
          <w:szCs w:val="21"/>
          <w:lang w:eastAsia="zh-CN"/>
        </w:rPr>
        <w:t>​−</w:t>
      </w:r>
      <w:r w:rsidR="00DD0361">
        <w:rPr>
          <w:rFonts w:ascii="Times New Roman" w:eastAsia="DengXian" w:hAnsi="Times New Roman" w:cs="Times New Roman" w:hint="eastAsia"/>
          <w:sz w:val="21"/>
          <w:szCs w:val="21"/>
          <w:lang w:eastAsia="zh-CN"/>
        </w:rPr>
        <w:t>max</w:t>
      </w:r>
      <w:r w:rsidRPr="00E906C3">
        <w:rPr>
          <w:rFonts w:ascii="Times New Roman" w:eastAsia="DengXian" w:hAnsi="Times New Roman" w:cs="Times New Roman"/>
          <w:sz w:val="21"/>
          <w:szCs w:val="21"/>
          <w:lang w:eastAsia="zh-CN"/>
        </w:rPr>
        <w:t>(E</w:t>
      </w:r>
      <w:r w:rsidRPr="00DD0361">
        <w:rPr>
          <w:rFonts w:ascii="Times New Roman" w:eastAsia="DengXian" w:hAnsi="Times New Roman" w:cs="Times New Roman"/>
          <w:sz w:val="21"/>
          <w:szCs w:val="21"/>
          <w:vertAlign w:val="subscript"/>
          <w:lang w:eastAsia="zh-CN"/>
        </w:rPr>
        <w:t>A</w:t>
      </w:r>
      <w:r w:rsidRPr="00E906C3">
        <w:rPr>
          <w:rFonts w:ascii="Times New Roman" w:eastAsia="DengXian" w:hAnsi="Times New Roman" w:cs="Times New Roman"/>
          <w:sz w:val="21"/>
          <w:szCs w:val="21"/>
          <w:lang w:eastAsia="zh-CN"/>
        </w:rPr>
        <w:t>, E</w:t>
      </w:r>
      <w:r w:rsidRPr="00DD0361">
        <w:rPr>
          <w:rFonts w:ascii="Times New Roman" w:eastAsia="DengXian" w:hAnsi="Times New Roman" w:cs="Times New Roman"/>
          <w:sz w:val="21"/>
          <w:szCs w:val="21"/>
          <w:vertAlign w:val="subscript"/>
          <w:lang w:eastAsia="zh-CN"/>
        </w:rPr>
        <w:t>B</w:t>
      </w:r>
      <w:r w:rsidRPr="00E906C3">
        <w:rPr>
          <w:rFonts w:ascii="Times New Roman" w:eastAsia="DengXian" w:hAnsi="Times New Roman" w:cs="Times New Roman"/>
          <w:sz w:val="21"/>
          <w:szCs w:val="21"/>
          <w:lang w:eastAsia="zh-CN"/>
        </w:rPr>
        <w:t>)</w:t>
      </w:r>
      <w:r w:rsidR="00A24387">
        <w:rPr>
          <w:rFonts w:ascii="Times New Roman" w:eastAsia="DengXian" w:hAnsi="Times New Roman" w:cs="Times New Roman" w:hint="eastAsia"/>
          <w:sz w:val="21"/>
          <w:szCs w:val="21"/>
          <w:lang w:eastAsia="zh-CN"/>
        </w:rPr>
        <w:t xml:space="preserve">        </w:t>
      </w:r>
      <w:r w:rsidR="0053620E">
        <w:rPr>
          <w:rFonts w:ascii="Times New Roman" w:eastAsia="DengXian" w:hAnsi="Times New Roman" w:cs="Times New Roman" w:hint="eastAsia"/>
          <w:sz w:val="21"/>
          <w:szCs w:val="21"/>
          <w:lang w:eastAsia="zh-CN"/>
        </w:rPr>
        <w:t xml:space="preserve">   </w:t>
      </w:r>
      <w:r w:rsidR="00A24387">
        <w:rPr>
          <w:rFonts w:ascii="Times New Roman" w:eastAsia="DengXian" w:hAnsi="Times New Roman" w:cs="Times New Roman" w:hint="eastAsia"/>
          <w:sz w:val="21"/>
          <w:szCs w:val="21"/>
          <w:lang w:eastAsia="zh-CN"/>
        </w:rPr>
        <w:t xml:space="preserve">          </w:t>
      </w:r>
      <w:r w:rsidR="0053620E">
        <w:rPr>
          <w:rFonts w:ascii="Times New Roman" w:eastAsia="DengXian" w:hAnsi="Times New Roman" w:cs="Times New Roman" w:hint="eastAsia"/>
          <w:sz w:val="21"/>
          <w:szCs w:val="21"/>
          <w:lang w:eastAsia="zh-CN"/>
        </w:rPr>
        <w:t>(equation 8)</w:t>
      </w:r>
    </w:p>
    <w:p w14:paraId="2DDA5D3A" w14:textId="35DBA0A1" w:rsidR="00E906C3" w:rsidRPr="0053620E" w:rsidRDefault="00104413">
      <w:pP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lastRenderedPageBreak/>
        <w:t>where E</w:t>
      </w:r>
      <w:r w:rsidRPr="007C695D">
        <w:rPr>
          <w:rFonts w:ascii="Times New Roman" w:eastAsia="DengXian" w:hAnsi="Times New Roman" w:cs="Times New Roman" w:hint="eastAsia"/>
          <w:sz w:val="21"/>
          <w:szCs w:val="21"/>
          <w:vertAlign w:val="subscript"/>
          <w:lang w:eastAsia="zh-CN"/>
        </w:rPr>
        <w:t>A+B</w:t>
      </w:r>
      <w:r>
        <w:rPr>
          <w:rFonts w:ascii="Times New Roman" w:eastAsia="DengXian" w:hAnsi="Times New Roman" w:cs="Times New Roman" w:hint="eastAsia"/>
          <w:sz w:val="21"/>
          <w:szCs w:val="21"/>
          <w:lang w:eastAsia="zh-CN"/>
        </w:rPr>
        <w:t xml:space="preserve"> </w:t>
      </w:r>
      <w:r w:rsidR="00961584" w:rsidRPr="00961584">
        <w:rPr>
          <w:rFonts w:ascii="Times New Roman" w:eastAsia="DengXian" w:hAnsi="Times New Roman" w:cs="Times New Roman"/>
          <w:sz w:val="21"/>
          <w:szCs w:val="21"/>
          <w:lang w:eastAsia="zh-CN"/>
        </w:rPr>
        <w:t>represents the outcome of implementing both policies A and B together, and</w:t>
      </w:r>
      <w:r w:rsidR="00886EA8">
        <w:rPr>
          <w:rFonts w:ascii="Times New Roman" w:eastAsia="DengXian" w:hAnsi="Times New Roman" w:cs="Times New Roman" w:hint="eastAsia"/>
          <w:sz w:val="21"/>
          <w:szCs w:val="21"/>
          <w:lang w:eastAsia="zh-CN"/>
        </w:rPr>
        <w:t xml:space="preserve"> E</w:t>
      </w:r>
      <w:r w:rsidR="00886EA8" w:rsidRPr="007C695D">
        <w:rPr>
          <w:rFonts w:ascii="Times New Roman" w:eastAsia="DengXian" w:hAnsi="Times New Roman" w:cs="Times New Roman" w:hint="eastAsia"/>
          <w:sz w:val="21"/>
          <w:szCs w:val="21"/>
          <w:vertAlign w:val="subscript"/>
          <w:lang w:eastAsia="zh-CN"/>
        </w:rPr>
        <w:t>A</w:t>
      </w:r>
      <w:r w:rsidR="00886EA8">
        <w:rPr>
          <w:rFonts w:ascii="Times New Roman" w:eastAsia="DengXian" w:hAnsi="Times New Roman" w:cs="Times New Roman" w:hint="eastAsia"/>
          <w:sz w:val="21"/>
          <w:szCs w:val="21"/>
          <w:lang w:eastAsia="zh-CN"/>
        </w:rPr>
        <w:t xml:space="preserve"> and E</w:t>
      </w:r>
      <w:r w:rsidR="00886EA8" w:rsidRPr="007C695D">
        <w:rPr>
          <w:rFonts w:ascii="Times New Roman" w:eastAsia="DengXian" w:hAnsi="Times New Roman" w:cs="Times New Roman" w:hint="eastAsia"/>
          <w:sz w:val="21"/>
          <w:szCs w:val="21"/>
          <w:vertAlign w:val="subscript"/>
          <w:lang w:eastAsia="zh-CN"/>
        </w:rPr>
        <w:t>B</w:t>
      </w:r>
      <w:r w:rsidR="00886EA8">
        <w:rPr>
          <w:rFonts w:ascii="Times New Roman" w:eastAsia="DengXian" w:hAnsi="Times New Roman" w:cs="Times New Roman" w:hint="eastAsia"/>
          <w:sz w:val="21"/>
          <w:szCs w:val="21"/>
          <w:lang w:eastAsia="zh-CN"/>
        </w:rPr>
        <w:t xml:space="preserve"> </w:t>
      </w:r>
      <w:r w:rsidR="00B06A32" w:rsidRPr="00B06A32">
        <w:rPr>
          <w:rFonts w:ascii="Times New Roman" w:eastAsia="DengXian" w:hAnsi="Times New Roman" w:cs="Times New Roman"/>
          <w:sz w:val="21"/>
          <w:szCs w:val="21"/>
          <w:lang w:eastAsia="zh-CN"/>
        </w:rPr>
        <w:t>represent the outcomes of implementing policy A and policy B individually, respectively. The calculated results are presented in Figures S3</w:t>
      </w:r>
      <w:r w:rsidR="0069753C">
        <w:rPr>
          <w:rFonts w:ascii="Times New Roman" w:eastAsia="DengXian" w:hAnsi="Times New Roman" w:cs="Times New Roman" w:hint="eastAsia"/>
          <w:sz w:val="21"/>
          <w:szCs w:val="21"/>
          <w:lang w:eastAsia="zh-CN"/>
        </w:rPr>
        <w:t>7</w:t>
      </w:r>
      <w:r w:rsidR="00B06A32" w:rsidRPr="00B06A32">
        <w:rPr>
          <w:rFonts w:ascii="Times New Roman" w:eastAsia="DengXian" w:hAnsi="Times New Roman" w:cs="Times New Roman"/>
          <w:sz w:val="21"/>
          <w:szCs w:val="21"/>
          <w:lang w:eastAsia="zh-CN"/>
        </w:rPr>
        <w:t xml:space="preserve"> and S3</w:t>
      </w:r>
      <w:r w:rsidR="0069753C">
        <w:rPr>
          <w:rFonts w:ascii="Times New Roman" w:eastAsia="DengXian" w:hAnsi="Times New Roman" w:cs="Times New Roman" w:hint="eastAsia"/>
          <w:sz w:val="21"/>
          <w:szCs w:val="21"/>
          <w:lang w:eastAsia="zh-CN"/>
        </w:rPr>
        <w:t>8</w:t>
      </w:r>
      <w:r w:rsidR="00B06A32" w:rsidRPr="00B06A32">
        <w:rPr>
          <w:rFonts w:ascii="Times New Roman" w:eastAsia="DengXian" w:hAnsi="Times New Roman" w:cs="Times New Roman"/>
          <w:sz w:val="21"/>
          <w:szCs w:val="21"/>
          <w:lang w:eastAsia="zh-CN"/>
        </w:rPr>
        <w:t>. These findings are discussed in detail in the main text.</w:t>
      </w:r>
    </w:p>
    <w:p w14:paraId="18312C6E" w14:textId="77777777" w:rsidR="00DD0361" w:rsidRDefault="00DD0361">
      <w:pPr>
        <w:rPr>
          <w:rFonts w:ascii="Times New Roman" w:eastAsia="DengXian" w:hAnsi="Times New Roman" w:cs="Times New Roman"/>
          <w:sz w:val="21"/>
          <w:szCs w:val="21"/>
          <w:lang w:eastAsia="zh-CN"/>
        </w:rPr>
      </w:pPr>
    </w:p>
    <w:p w14:paraId="5667F200" w14:textId="1835C9FD" w:rsidR="005E775C" w:rsidRDefault="001F00D6">
      <w:pPr>
        <w:rPr>
          <w:rFonts w:ascii="Times New Roman" w:eastAsia="DengXian" w:hAnsi="Times New Roman" w:cs="Times New Roman"/>
          <w:sz w:val="21"/>
          <w:szCs w:val="21"/>
          <w:lang w:eastAsia="zh-CN"/>
        </w:rPr>
      </w:pPr>
      <w:r w:rsidRPr="001F00D6">
        <w:rPr>
          <w:noProof/>
        </w:rPr>
        <w:drawing>
          <wp:inline distT="0" distB="0" distL="0" distR="0" wp14:anchorId="02E345F7" wp14:editId="2F31B5CD">
            <wp:extent cx="5400040" cy="2701290"/>
            <wp:effectExtent l="0" t="0" r="0" b="3810"/>
            <wp:docPr id="16909853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2701290"/>
                    </a:xfrm>
                    <a:prstGeom prst="rect">
                      <a:avLst/>
                    </a:prstGeom>
                    <a:noFill/>
                    <a:ln>
                      <a:noFill/>
                    </a:ln>
                  </pic:spPr>
                </pic:pic>
              </a:graphicData>
            </a:graphic>
          </wp:inline>
        </w:drawing>
      </w:r>
    </w:p>
    <w:p w14:paraId="613EB253" w14:textId="109EDEA3" w:rsidR="00E9497A" w:rsidRDefault="00AA34EA" w:rsidP="00AA34EA">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a. 2035</w:t>
      </w:r>
    </w:p>
    <w:p w14:paraId="2A5C44C2" w14:textId="64A45F1D" w:rsidR="00562C91" w:rsidRDefault="001F00D6">
      <w:pPr>
        <w:rPr>
          <w:rFonts w:ascii="Times New Roman" w:eastAsia="DengXian" w:hAnsi="Times New Roman" w:cs="Times New Roman"/>
          <w:sz w:val="21"/>
          <w:szCs w:val="21"/>
          <w:lang w:eastAsia="zh-CN"/>
        </w:rPr>
      </w:pPr>
      <w:r w:rsidRPr="001F00D6">
        <w:rPr>
          <w:noProof/>
        </w:rPr>
        <w:drawing>
          <wp:inline distT="0" distB="0" distL="0" distR="0" wp14:anchorId="4181AAFA" wp14:editId="3623A899">
            <wp:extent cx="5400040" cy="2701290"/>
            <wp:effectExtent l="0" t="0" r="0" b="3810"/>
            <wp:docPr id="13158402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2701290"/>
                    </a:xfrm>
                    <a:prstGeom prst="rect">
                      <a:avLst/>
                    </a:prstGeom>
                    <a:noFill/>
                    <a:ln>
                      <a:noFill/>
                    </a:ln>
                  </pic:spPr>
                </pic:pic>
              </a:graphicData>
            </a:graphic>
          </wp:inline>
        </w:drawing>
      </w:r>
    </w:p>
    <w:p w14:paraId="4EDE96A6" w14:textId="000AE304" w:rsidR="00562C91" w:rsidRDefault="00AA34EA" w:rsidP="00AA34EA">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b. 2050</w:t>
      </w:r>
    </w:p>
    <w:p w14:paraId="7048347B" w14:textId="6C1F6011" w:rsidR="009D5759" w:rsidRPr="00693A59" w:rsidRDefault="009D5759" w:rsidP="009D5759">
      <w:pPr>
        <w:pStyle w:val="af"/>
        <w:jc w:val="center"/>
        <w:rPr>
          <w:rFonts w:ascii="Times New Roman" w:eastAsia="DengXian" w:hAnsi="Times New Roman" w:cs="Times New Roman"/>
          <w:lang w:eastAsia="zh-CN"/>
        </w:rPr>
      </w:pPr>
      <w:bookmarkStart w:id="80" w:name="_Toc208439503"/>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69753C">
        <w:rPr>
          <w:rFonts w:ascii="Times New Roman" w:hAnsi="Times New Roman" w:cs="Times New Roman"/>
          <w:noProof/>
        </w:rPr>
        <w:t>37</w:t>
      </w:r>
      <w:r w:rsidRPr="007F5CA8">
        <w:rPr>
          <w:rFonts w:ascii="Times New Roman" w:hAnsi="Times New Roman" w:cs="Times New Roman"/>
        </w:rPr>
        <w:fldChar w:fldCharType="end"/>
      </w:r>
      <w:r w:rsidRPr="007F5CA8">
        <w:rPr>
          <w:rFonts w:ascii="Times New Roman" w:hAnsi="Times New Roman" w:cs="Times New Roman"/>
        </w:rPr>
        <w:t xml:space="preserve">. </w:t>
      </w:r>
      <w:r w:rsidR="00693A59">
        <w:rPr>
          <w:rFonts w:ascii="Times New Roman" w:eastAsia="DengXian" w:hAnsi="Times New Roman" w:cs="Times New Roman" w:hint="eastAsia"/>
          <w:lang w:eastAsia="zh-CN"/>
        </w:rPr>
        <w:t>Synergy effect</w:t>
      </w:r>
      <w:r w:rsidR="00B02534">
        <w:rPr>
          <w:rFonts w:ascii="Times New Roman" w:eastAsiaTheme="minorEastAsia" w:hAnsi="Times New Roman" w:cs="Times New Roman" w:hint="eastAsia"/>
        </w:rPr>
        <w:t>s</w:t>
      </w:r>
      <w:r w:rsidR="00693A59">
        <w:rPr>
          <w:rFonts w:ascii="Times New Roman" w:eastAsia="DengXian" w:hAnsi="Times New Roman" w:cs="Times New Roman" w:hint="eastAsia"/>
          <w:lang w:eastAsia="zh-CN"/>
        </w:rPr>
        <w:t xml:space="preserve"> of paired policies</w:t>
      </w:r>
      <w:r w:rsidR="003D4106">
        <w:rPr>
          <w:rFonts w:ascii="Times New Roman" w:eastAsia="DengXian" w:hAnsi="Times New Roman" w:cs="Times New Roman" w:hint="eastAsia"/>
          <w:lang w:eastAsia="zh-CN"/>
        </w:rPr>
        <w:t xml:space="preserve"> on the reduction rate of virgin material input of critical minerals in 2035 and 2050.</w:t>
      </w:r>
      <w:bookmarkEnd w:id="80"/>
      <w:r w:rsidR="003D4106">
        <w:rPr>
          <w:rFonts w:ascii="Times New Roman" w:eastAsia="DengXian" w:hAnsi="Times New Roman" w:cs="Times New Roman" w:hint="eastAsia"/>
          <w:lang w:eastAsia="zh-CN"/>
        </w:rPr>
        <w:t xml:space="preserve"> </w:t>
      </w:r>
    </w:p>
    <w:p w14:paraId="26A28006" w14:textId="77777777" w:rsidR="00E9497A" w:rsidRDefault="00E9497A">
      <w:pPr>
        <w:rPr>
          <w:rFonts w:ascii="Times New Roman" w:eastAsia="DengXian" w:hAnsi="Times New Roman" w:cs="Times New Roman"/>
          <w:sz w:val="21"/>
          <w:szCs w:val="21"/>
          <w:lang w:eastAsia="zh-CN"/>
        </w:rPr>
      </w:pPr>
    </w:p>
    <w:p w14:paraId="594326BC" w14:textId="1F144735" w:rsidR="00560E7A" w:rsidRDefault="00FE4B71">
      <w:pPr>
        <w:rPr>
          <w:rFonts w:ascii="Times New Roman" w:eastAsia="DengXian" w:hAnsi="Times New Roman" w:cs="Times New Roman"/>
          <w:sz w:val="21"/>
          <w:szCs w:val="21"/>
          <w:lang w:eastAsia="zh-CN"/>
        </w:rPr>
      </w:pPr>
      <w:r w:rsidRPr="00FE4B71">
        <w:rPr>
          <w:noProof/>
        </w:rPr>
        <w:lastRenderedPageBreak/>
        <w:drawing>
          <wp:inline distT="0" distB="0" distL="0" distR="0" wp14:anchorId="13050F82" wp14:editId="50755EB7">
            <wp:extent cx="5400040" cy="2701290"/>
            <wp:effectExtent l="0" t="0" r="0" b="3810"/>
            <wp:docPr id="108192860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2701290"/>
                    </a:xfrm>
                    <a:prstGeom prst="rect">
                      <a:avLst/>
                    </a:prstGeom>
                    <a:noFill/>
                    <a:ln>
                      <a:noFill/>
                    </a:ln>
                  </pic:spPr>
                </pic:pic>
              </a:graphicData>
            </a:graphic>
          </wp:inline>
        </w:drawing>
      </w:r>
    </w:p>
    <w:p w14:paraId="788438B1" w14:textId="0D1BB65D" w:rsidR="00560E7A" w:rsidRDefault="00AA34EA" w:rsidP="00AA34EA">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a. 2035</w:t>
      </w:r>
    </w:p>
    <w:p w14:paraId="45330D8D" w14:textId="0B44DF2B" w:rsidR="00E9497A" w:rsidRPr="00177F26" w:rsidRDefault="00FE4B71">
      <w:pPr>
        <w:rPr>
          <w:rFonts w:ascii="Times New Roman" w:eastAsiaTheme="minorEastAsia" w:hAnsi="Times New Roman" w:cs="Times New Roman"/>
          <w:sz w:val="21"/>
          <w:szCs w:val="21"/>
        </w:rPr>
      </w:pPr>
      <w:r w:rsidRPr="00FE4B71">
        <w:rPr>
          <w:noProof/>
        </w:rPr>
        <w:drawing>
          <wp:inline distT="0" distB="0" distL="0" distR="0" wp14:anchorId="2270BA13" wp14:editId="0CBD57AB">
            <wp:extent cx="5400040" cy="2701290"/>
            <wp:effectExtent l="0" t="0" r="0" b="3810"/>
            <wp:docPr id="18030275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2701290"/>
                    </a:xfrm>
                    <a:prstGeom prst="rect">
                      <a:avLst/>
                    </a:prstGeom>
                    <a:noFill/>
                    <a:ln>
                      <a:noFill/>
                    </a:ln>
                  </pic:spPr>
                </pic:pic>
              </a:graphicData>
            </a:graphic>
          </wp:inline>
        </w:drawing>
      </w:r>
    </w:p>
    <w:p w14:paraId="3C0F67B3" w14:textId="271E601D" w:rsidR="00E9497A" w:rsidRDefault="00AA34EA" w:rsidP="00AA34EA">
      <w:pPr>
        <w:jc w:val="center"/>
        <w:rPr>
          <w:rFonts w:ascii="Times New Roman" w:eastAsia="DengXian" w:hAnsi="Times New Roman" w:cs="Times New Roman"/>
          <w:sz w:val="21"/>
          <w:szCs w:val="21"/>
          <w:lang w:eastAsia="zh-CN"/>
        </w:rPr>
      </w:pPr>
      <w:r>
        <w:rPr>
          <w:rFonts w:ascii="Times New Roman" w:eastAsia="DengXian" w:hAnsi="Times New Roman" w:cs="Times New Roman" w:hint="eastAsia"/>
          <w:sz w:val="21"/>
          <w:szCs w:val="21"/>
          <w:lang w:eastAsia="zh-CN"/>
        </w:rPr>
        <w:t>b. 2050</w:t>
      </w:r>
    </w:p>
    <w:p w14:paraId="1B0B7571" w14:textId="1BFA26D9" w:rsidR="00E9497A" w:rsidRPr="00290221" w:rsidRDefault="00E9497A" w:rsidP="00E9497A">
      <w:pPr>
        <w:pStyle w:val="af"/>
        <w:jc w:val="center"/>
        <w:rPr>
          <w:rFonts w:ascii="Times New Roman" w:eastAsia="DengXian" w:hAnsi="Times New Roman" w:cs="Times New Roman"/>
          <w:lang w:eastAsia="zh-CN"/>
        </w:rPr>
      </w:pPr>
      <w:bookmarkStart w:id="81" w:name="_Toc208439504"/>
      <w:r w:rsidRPr="007F5CA8">
        <w:rPr>
          <w:rFonts w:ascii="Times New Roman" w:eastAsia="Microsoft YaHei" w:hAnsi="Times New Roman" w:cs="Times New Roman"/>
          <w:lang w:eastAsia="zh-CN"/>
        </w:rPr>
        <w:t>Figure</w:t>
      </w:r>
      <w:r w:rsidRPr="007F5CA8">
        <w:rPr>
          <w:rFonts w:ascii="Times New Roman" w:hAnsi="Times New Roman" w:cs="Times New Roman"/>
        </w:rPr>
        <w:t xml:space="preserve"> </w:t>
      </w:r>
      <w:r w:rsidRPr="007F5CA8">
        <w:rPr>
          <w:rFonts w:ascii="Times New Roman" w:eastAsia="DengXian" w:hAnsi="Times New Roman" w:cs="Times New Roman"/>
          <w:lang w:eastAsia="zh-CN"/>
        </w:rPr>
        <w:t>S</w:t>
      </w:r>
      <w:r w:rsidRPr="007F5CA8">
        <w:rPr>
          <w:rFonts w:ascii="Times New Roman" w:hAnsi="Times New Roman" w:cs="Times New Roman"/>
        </w:rPr>
        <w:fldChar w:fldCharType="begin"/>
      </w:r>
      <w:r w:rsidRPr="007F5CA8">
        <w:rPr>
          <w:rFonts w:ascii="Times New Roman" w:hAnsi="Times New Roman" w:cs="Times New Roman"/>
        </w:rPr>
        <w:instrText xml:space="preserve"> SEQ </w:instrText>
      </w:r>
      <w:r w:rsidRPr="007F5CA8">
        <w:rPr>
          <w:rFonts w:ascii="Times New Roman" w:eastAsia="Microsoft YaHei" w:hAnsi="Times New Roman" w:cs="Times New Roman"/>
        </w:rPr>
        <w:instrText>图</w:instrText>
      </w:r>
      <w:r w:rsidRPr="007F5CA8">
        <w:rPr>
          <w:rFonts w:ascii="Times New Roman" w:hAnsi="Times New Roman" w:cs="Times New Roman"/>
        </w:rPr>
        <w:instrText>表</w:instrText>
      </w:r>
      <w:r w:rsidRPr="007F5CA8">
        <w:rPr>
          <w:rFonts w:ascii="Times New Roman" w:hAnsi="Times New Roman" w:cs="Times New Roman"/>
        </w:rPr>
        <w:instrText xml:space="preserve"> \* ARABIC </w:instrText>
      </w:r>
      <w:r w:rsidRPr="007F5CA8">
        <w:rPr>
          <w:rFonts w:ascii="Times New Roman" w:hAnsi="Times New Roman" w:cs="Times New Roman"/>
        </w:rPr>
        <w:fldChar w:fldCharType="separate"/>
      </w:r>
      <w:r w:rsidR="0069753C">
        <w:rPr>
          <w:rFonts w:ascii="Times New Roman" w:hAnsi="Times New Roman" w:cs="Times New Roman"/>
          <w:noProof/>
        </w:rPr>
        <w:t>38</w:t>
      </w:r>
      <w:r w:rsidRPr="007F5CA8">
        <w:rPr>
          <w:rFonts w:ascii="Times New Roman" w:hAnsi="Times New Roman" w:cs="Times New Roman"/>
        </w:rPr>
        <w:fldChar w:fldCharType="end"/>
      </w:r>
      <w:r w:rsidRPr="007F5CA8">
        <w:rPr>
          <w:rFonts w:ascii="Times New Roman" w:hAnsi="Times New Roman" w:cs="Times New Roman"/>
        </w:rPr>
        <w:t xml:space="preserve">. </w:t>
      </w:r>
      <w:r w:rsidR="003D4106">
        <w:rPr>
          <w:rFonts w:ascii="Times New Roman" w:eastAsia="DengXian" w:hAnsi="Times New Roman" w:cs="Times New Roman" w:hint="eastAsia"/>
          <w:lang w:eastAsia="zh-CN"/>
        </w:rPr>
        <w:t>Synergy effect</w:t>
      </w:r>
      <w:r w:rsidR="00422384">
        <w:rPr>
          <w:rFonts w:ascii="Times New Roman" w:eastAsiaTheme="minorEastAsia" w:hAnsi="Times New Roman" w:cs="Times New Roman" w:hint="eastAsia"/>
        </w:rPr>
        <w:t>s</w:t>
      </w:r>
      <w:r w:rsidR="003D4106">
        <w:rPr>
          <w:rFonts w:ascii="Times New Roman" w:eastAsia="DengXian" w:hAnsi="Times New Roman" w:cs="Times New Roman" w:hint="eastAsia"/>
          <w:lang w:eastAsia="zh-CN"/>
        </w:rPr>
        <w:t xml:space="preserve"> of paired policies on the </w:t>
      </w:r>
      <w:r w:rsidR="00CE2507">
        <w:rPr>
          <w:rFonts w:ascii="Times New Roman" w:eastAsia="DengXian" w:hAnsi="Times New Roman" w:cs="Times New Roman" w:hint="eastAsia"/>
          <w:lang w:eastAsia="zh-CN"/>
        </w:rPr>
        <w:t>circulation</w:t>
      </w:r>
      <w:r w:rsidR="003D4106">
        <w:rPr>
          <w:rFonts w:ascii="Times New Roman" w:eastAsia="DengXian" w:hAnsi="Times New Roman" w:cs="Times New Roman" w:hint="eastAsia"/>
          <w:lang w:eastAsia="zh-CN"/>
        </w:rPr>
        <w:t xml:space="preserve"> rate of virgin material input of critical minerals in 2035 and 2050.</w:t>
      </w:r>
      <w:bookmarkEnd w:id="81"/>
    </w:p>
    <w:p w14:paraId="069102F2" w14:textId="77777777" w:rsidR="004A0F9F" w:rsidRPr="00DE28D0" w:rsidRDefault="004A0F9F">
      <w:pPr>
        <w:rPr>
          <w:rFonts w:ascii="Times New Roman" w:eastAsiaTheme="minorEastAsia" w:hAnsi="Times New Roman" w:cs="Times New Roman"/>
          <w:sz w:val="21"/>
          <w:szCs w:val="21"/>
        </w:rPr>
      </w:pPr>
    </w:p>
    <w:p w14:paraId="3A4FA70B" w14:textId="5A9C44FE" w:rsidR="00B72AF0" w:rsidRPr="000F62FA" w:rsidRDefault="00B72AF0" w:rsidP="00B72AF0">
      <w:pPr>
        <w:pStyle w:val="2"/>
        <w:rPr>
          <w:lang w:eastAsia="ja-JP"/>
        </w:rPr>
      </w:pPr>
      <w:bookmarkStart w:id="82" w:name="_Toc199865025"/>
      <w:r w:rsidRPr="000F62FA">
        <w:t xml:space="preserve">3.3 </w:t>
      </w:r>
      <w:r w:rsidR="00203606">
        <w:rPr>
          <w:rFonts w:hint="eastAsia"/>
          <w:lang w:eastAsia="ja-JP"/>
        </w:rPr>
        <w:t xml:space="preserve">Additional </w:t>
      </w:r>
      <w:r w:rsidR="00F938AE">
        <w:rPr>
          <w:rFonts w:hint="eastAsia"/>
          <w:lang w:eastAsia="ja-JP"/>
        </w:rPr>
        <w:t>S</w:t>
      </w:r>
      <w:r w:rsidR="00203606">
        <w:rPr>
          <w:rFonts w:hint="eastAsia"/>
          <w:lang w:eastAsia="ja-JP"/>
        </w:rPr>
        <w:t>cenarios</w:t>
      </w:r>
      <w:bookmarkEnd w:id="82"/>
    </w:p>
    <w:p w14:paraId="1CC8175B" w14:textId="7D992527" w:rsidR="00B72AF0" w:rsidRPr="003550C4" w:rsidRDefault="00D1081B" w:rsidP="00B72AF0">
      <w:pPr>
        <w:rPr>
          <w:rFonts w:ascii="Times New Roman" w:eastAsiaTheme="minorEastAsia" w:hAnsi="Times New Roman" w:cs="Times New Roman"/>
          <w:color w:val="000000"/>
          <w:sz w:val="21"/>
          <w:szCs w:val="18"/>
        </w:rPr>
      </w:pPr>
      <w:r w:rsidRPr="00D1081B">
        <w:rPr>
          <w:rFonts w:ascii="Times New Roman" w:eastAsiaTheme="minorEastAsia" w:hAnsi="Times New Roman" w:cs="Times New Roman"/>
          <w:color w:val="000000"/>
          <w:sz w:val="21"/>
          <w:szCs w:val="18"/>
        </w:rPr>
        <w:t>In addition to the nine scenarios previously defined, we conducted supplementary scenario analyses assuming Japan adopts an NCX-oriented strategy for battery technology development. This reflects a situation in which the promotion of Li-S/Air batteries progresses more slowly than anticipated, and Japan faces challenges in producing economically competitive LFP batteries. Under such conditions, policy efforts would need to align with the NCX-oriented trajectory. Figure S3</w:t>
      </w:r>
      <w:r w:rsidR="00476B81">
        <w:rPr>
          <w:rFonts w:ascii="Times New Roman" w:eastAsia="DengXian" w:hAnsi="Times New Roman" w:cs="Times New Roman" w:hint="eastAsia"/>
          <w:color w:val="000000"/>
          <w:sz w:val="21"/>
          <w:szCs w:val="18"/>
          <w:lang w:eastAsia="zh-CN"/>
        </w:rPr>
        <w:t>9</w:t>
      </w:r>
      <w:r w:rsidRPr="00D1081B">
        <w:rPr>
          <w:rFonts w:ascii="Times New Roman" w:eastAsiaTheme="minorEastAsia" w:hAnsi="Times New Roman" w:cs="Times New Roman"/>
          <w:color w:val="000000"/>
          <w:sz w:val="21"/>
          <w:szCs w:val="18"/>
        </w:rPr>
        <w:t xml:space="preserve"> presents three such </w:t>
      </w:r>
      <w:r w:rsidRPr="00D1081B">
        <w:rPr>
          <w:rFonts w:ascii="Times New Roman" w:eastAsiaTheme="minorEastAsia" w:hAnsi="Times New Roman" w:cs="Times New Roman"/>
          <w:color w:val="000000"/>
          <w:sz w:val="21"/>
          <w:szCs w:val="18"/>
        </w:rPr>
        <w:lastRenderedPageBreak/>
        <w:t>scenarios, corresponding to low-level (identical to S11), moderate-level (SS2), and ambitious-level (SS3) policy combinations along the battery supply chain.</w:t>
      </w:r>
      <w:r w:rsidR="00B561B4">
        <w:rPr>
          <w:rFonts w:ascii="Times New Roman" w:eastAsiaTheme="minorEastAsia" w:hAnsi="Times New Roman" w:cs="Times New Roman" w:hint="eastAsia"/>
          <w:color w:val="000000"/>
          <w:sz w:val="21"/>
          <w:szCs w:val="18"/>
        </w:rPr>
        <w:t xml:space="preserve"> </w:t>
      </w:r>
    </w:p>
    <w:p w14:paraId="56D46A5F" w14:textId="77777777" w:rsidR="00DA0C77" w:rsidRPr="003550C4" w:rsidRDefault="00DA0C77" w:rsidP="00B72AF0">
      <w:pPr>
        <w:rPr>
          <w:rFonts w:ascii="Times New Roman" w:eastAsiaTheme="minorEastAsia" w:hAnsi="Times New Roman" w:cs="Times New Roman"/>
          <w:color w:val="000000"/>
          <w:sz w:val="21"/>
          <w:szCs w:val="18"/>
        </w:rPr>
      </w:pPr>
    </w:p>
    <w:p w14:paraId="054F8CF0" w14:textId="65F804F0" w:rsidR="00DA0C77" w:rsidRDefault="00DA0C77" w:rsidP="00B72AF0">
      <w:pPr>
        <w:rPr>
          <w:rFonts w:ascii="Times New Roman" w:eastAsiaTheme="minorEastAsia" w:hAnsi="Times New Roman" w:cs="Times New Roman"/>
          <w:color w:val="000000"/>
          <w:szCs w:val="21"/>
        </w:rPr>
      </w:pPr>
      <w:r w:rsidRPr="00DA0C77">
        <w:rPr>
          <w:rFonts w:ascii="Times New Roman" w:eastAsiaTheme="minorEastAsia" w:hAnsi="Times New Roman" w:cs="Times New Roman"/>
          <w:noProof/>
          <w:color w:val="000000"/>
          <w:szCs w:val="21"/>
        </w:rPr>
        <w:drawing>
          <wp:inline distT="0" distB="0" distL="0" distR="0" wp14:anchorId="76E25C7A" wp14:editId="0B352CCB">
            <wp:extent cx="5400040" cy="3794760"/>
            <wp:effectExtent l="0" t="0" r="0" b="0"/>
            <wp:docPr id="51" name="図 50" descr="テキスト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A96D6102-30AF-DF7A-91EE-E27E32635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0" descr="テキスト が含まれている画像&#10;&#10;AI によって生成されたコンテンツは間違っている可能性があります。">
                      <a:extLst>
                        <a:ext uri="{FF2B5EF4-FFF2-40B4-BE49-F238E27FC236}">
                          <a16:creationId xmlns:a16="http://schemas.microsoft.com/office/drawing/2014/main" id="{A96D6102-30AF-DF7A-91EE-E27E326350F6}"/>
                        </a:ext>
                      </a:extLst>
                    </pic:cNvPr>
                    <pic:cNvPicPr>
                      <a:picLocks noChangeAspect="1"/>
                    </pic:cNvPicPr>
                  </pic:nvPicPr>
                  <pic:blipFill>
                    <a:blip r:embed="rId60"/>
                    <a:stretch>
                      <a:fillRect/>
                    </a:stretch>
                  </pic:blipFill>
                  <pic:spPr>
                    <a:xfrm>
                      <a:off x="0" y="0"/>
                      <a:ext cx="5400040" cy="3794760"/>
                    </a:xfrm>
                    <a:prstGeom prst="rect">
                      <a:avLst/>
                    </a:prstGeom>
                  </pic:spPr>
                </pic:pic>
              </a:graphicData>
            </a:graphic>
          </wp:inline>
        </w:drawing>
      </w:r>
    </w:p>
    <w:p w14:paraId="7F2189D1" w14:textId="3C290F05" w:rsidR="003A4231" w:rsidRPr="00D951CB" w:rsidRDefault="003A4231" w:rsidP="003A4231">
      <w:pPr>
        <w:pStyle w:val="af"/>
        <w:jc w:val="center"/>
        <w:rPr>
          <w:rFonts w:ascii="Times New Roman" w:eastAsia="DengXian" w:hAnsi="Times New Roman" w:cs="Times New Roman"/>
          <w:lang w:eastAsia="zh-CN"/>
        </w:rPr>
      </w:pPr>
      <w:bookmarkStart w:id="83" w:name="_Toc208439505"/>
      <w:r w:rsidRPr="00D951CB">
        <w:rPr>
          <w:rFonts w:ascii="Times New Roman" w:eastAsia="Microsoft YaHei" w:hAnsi="Times New Roman" w:cs="Times New Roman"/>
          <w:lang w:eastAsia="zh-CN"/>
        </w:rPr>
        <w:t>Figure</w:t>
      </w:r>
      <w:r w:rsidRPr="00D951CB">
        <w:rPr>
          <w:rFonts w:ascii="Times New Roman" w:hAnsi="Times New Roman" w:cs="Times New Roman"/>
        </w:rPr>
        <w:t xml:space="preserve"> </w:t>
      </w:r>
      <w:r w:rsidRPr="00D951CB">
        <w:rPr>
          <w:rFonts w:ascii="Times New Roman" w:eastAsia="DengXian" w:hAnsi="Times New Roman" w:cs="Times New Roman"/>
          <w:lang w:eastAsia="zh-CN"/>
        </w:rPr>
        <w:t>S</w:t>
      </w:r>
      <w:r w:rsidRPr="00D951CB">
        <w:rPr>
          <w:rFonts w:ascii="Times New Roman" w:hAnsi="Times New Roman" w:cs="Times New Roman"/>
        </w:rPr>
        <w:fldChar w:fldCharType="begin"/>
      </w:r>
      <w:r w:rsidRPr="00D951CB">
        <w:rPr>
          <w:rFonts w:ascii="Times New Roman" w:hAnsi="Times New Roman" w:cs="Times New Roman"/>
        </w:rPr>
        <w:instrText xml:space="preserve"> SEQ </w:instrText>
      </w:r>
      <w:r w:rsidRPr="00D951CB">
        <w:rPr>
          <w:rFonts w:ascii="Times New Roman" w:eastAsia="Microsoft YaHei" w:hAnsi="Times New Roman" w:cs="Times New Roman"/>
        </w:rPr>
        <w:instrText>图</w:instrText>
      </w:r>
      <w:r w:rsidRPr="00D951CB">
        <w:rPr>
          <w:rFonts w:ascii="Times New Roman" w:hAnsi="Times New Roman" w:cs="Times New Roman"/>
        </w:rPr>
        <w:instrText>表</w:instrText>
      </w:r>
      <w:r w:rsidRPr="00D951CB">
        <w:rPr>
          <w:rFonts w:ascii="Times New Roman" w:hAnsi="Times New Roman" w:cs="Times New Roman"/>
        </w:rPr>
        <w:instrText xml:space="preserve"> \* ARABIC </w:instrText>
      </w:r>
      <w:r w:rsidRPr="00D951CB">
        <w:rPr>
          <w:rFonts w:ascii="Times New Roman" w:hAnsi="Times New Roman" w:cs="Times New Roman"/>
        </w:rPr>
        <w:fldChar w:fldCharType="separate"/>
      </w:r>
      <w:r w:rsidR="00476B81">
        <w:rPr>
          <w:rFonts w:ascii="Times New Roman" w:hAnsi="Times New Roman" w:cs="Times New Roman"/>
          <w:noProof/>
        </w:rPr>
        <w:t>39</w:t>
      </w:r>
      <w:r w:rsidRPr="00D951CB">
        <w:rPr>
          <w:rFonts w:ascii="Times New Roman" w:hAnsi="Times New Roman" w:cs="Times New Roman"/>
        </w:rPr>
        <w:fldChar w:fldCharType="end"/>
      </w:r>
      <w:r w:rsidRPr="00D951CB">
        <w:rPr>
          <w:rFonts w:ascii="Times New Roman" w:hAnsi="Times New Roman" w:cs="Times New Roman"/>
        </w:rPr>
        <w:t xml:space="preserve">. </w:t>
      </w:r>
      <w:r>
        <w:rPr>
          <w:rFonts w:ascii="Times New Roman" w:eastAsiaTheme="minorEastAsia" w:hAnsi="Times New Roman" w:cs="Times New Roman" w:hint="eastAsia"/>
        </w:rPr>
        <w:t>Additional scenarios</w:t>
      </w:r>
      <w:r w:rsidR="006B051E">
        <w:rPr>
          <w:rFonts w:ascii="Times New Roman" w:eastAsiaTheme="minorEastAsia" w:hAnsi="Times New Roman" w:cs="Times New Roman" w:hint="eastAsia"/>
        </w:rPr>
        <w:t xml:space="preserve"> under </w:t>
      </w:r>
      <w:r w:rsidR="00821C88">
        <w:rPr>
          <w:rFonts w:ascii="Times New Roman" w:eastAsiaTheme="minorEastAsia" w:hAnsi="Times New Roman" w:cs="Times New Roman" w:hint="eastAsia"/>
        </w:rPr>
        <w:t xml:space="preserve">NCX-oriented </w:t>
      </w:r>
      <w:r w:rsidR="0090112E">
        <w:rPr>
          <w:rFonts w:ascii="Times New Roman" w:eastAsiaTheme="minorEastAsia" w:hAnsi="Times New Roman" w:cs="Times New Roman" w:hint="eastAsia"/>
        </w:rPr>
        <w:t>strategy</w:t>
      </w:r>
      <w:r w:rsidRPr="00D951CB">
        <w:rPr>
          <w:rFonts w:ascii="Times New Roman" w:hAnsi="Times New Roman" w:cs="Times New Roman"/>
        </w:rPr>
        <w:t>.</w:t>
      </w:r>
      <w:bookmarkEnd w:id="83"/>
    </w:p>
    <w:p w14:paraId="4334C70A" w14:textId="77777777" w:rsidR="00B72AF0" w:rsidRDefault="00B72AF0" w:rsidP="00B72AF0">
      <w:pPr>
        <w:rPr>
          <w:rFonts w:ascii="Times New Roman" w:eastAsia="DengXian" w:hAnsi="Times New Roman" w:cs="Times New Roman"/>
          <w:color w:val="000000"/>
          <w:szCs w:val="21"/>
          <w:lang w:eastAsia="zh-CN"/>
        </w:rPr>
      </w:pPr>
    </w:p>
    <w:p w14:paraId="3F350BB6" w14:textId="6128668E" w:rsidR="00824C73" w:rsidRDefault="00824C73" w:rsidP="00B72AF0">
      <w:pPr>
        <w:rPr>
          <w:rFonts w:ascii="Times New Roman" w:eastAsia="DengXian" w:hAnsi="Times New Roman" w:cs="Times New Roman"/>
          <w:color w:val="000000"/>
          <w:sz w:val="21"/>
          <w:szCs w:val="18"/>
          <w:lang w:eastAsia="zh-CN"/>
        </w:rPr>
      </w:pPr>
      <w:r w:rsidRPr="00D1081B">
        <w:rPr>
          <w:rFonts w:ascii="Times New Roman" w:eastAsiaTheme="minorEastAsia" w:hAnsi="Times New Roman" w:cs="Times New Roman"/>
          <w:color w:val="000000"/>
          <w:sz w:val="21"/>
          <w:szCs w:val="18"/>
        </w:rPr>
        <w:t>Figure S</w:t>
      </w:r>
      <w:r w:rsidR="00476B81">
        <w:rPr>
          <w:rFonts w:ascii="Times New Roman" w:eastAsia="DengXian" w:hAnsi="Times New Roman" w:cs="Times New Roman" w:hint="eastAsia"/>
          <w:color w:val="000000"/>
          <w:sz w:val="21"/>
          <w:szCs w:val="18"/>
          <w:lang w:eastAsia="zh-CN"/>
        </w:rPr>
        <w:t>40</w:t>
      </w:r>
      <w:r w:rsidRPr="00D1081B">
        <w:rPr>
          <w:rFonts w:ascii="Times New Roman" w:eastAsiaTheme="minorEastAsia" w:hAnsi="Times New Roman" w:cs="Times New Roman"/>
          <w:color w:val="000000"/>
          <w:sz w:val="21"/>
          <w:szCs w:val="18"/>
        </w:rPr>
        <w:t xml:space="preserve"> presents three scenarios</w:t>
      </w:r>
      <w:r w:rsidR="00975D44">
        <w:rPr>
          <w:rFonts w:ascii="Times New Roman" w:eastAsia="DengXian" w:hAnsi="Times New Roman" w:cs="Times New Roman" w:hint="eastAsia"/>
          <w:color w:val="000000"/>
          <w:sz w:val="21"/>
          <w:szCs w:val="18"/>
          <w:lang w:eastAsia="zh-CN"/>
        </w:rPr>
        <w:t xml:space="preserve"> under full secondary usage of all spent LIBs</w:t>
      </w:r>
      <w:r w:rsidRPr="00D1081B">
        <w:rPr>
          <w:rFonts w:ascii="Times New Roman" w:eastAsiaTheme="minorEastAsia" w:hAnsi="Times New Roman" w:cs="Times New Roman"/>
          <w:color w:val="000000"/>
          <w:sz w:val="21"/>
          <w:szCs w:val="18"/>
        </w:rPr>
        <w:t>, corresponding to low-level (identical to S11), moderate-level (SS2), and ambitious-level (SS3) policy combinations along the battery supply chain.</w:t>
      </w:r>
    </w:p>
    <w:p w14:paraId="1C3BB676" w14:textId="77777777" w:rsidR="00824C73" w:rsidRPr="00824C73" w:rsidRDefault="00824C73" w:rsidP="00B72AF0">
      <w:pPr>
        <w:rPr>
          <w:rFonts w:ascii="Times New Roman" w:eastAsia="DengXian" w:hAnsi="Times New Roman" w:cs="Times New Roman"/>
          <w:color w:val="000000"/>
          <w:szCs w:val="21"/>
          <w:lang w:eastAsia="zh-CN"/>
        </w:rPr>
      </w:pPr>
    </w:p>
    <w:p w14:paraId="25FD5907" w14:textId="5C765DB3" w:rsidR="0018400A" w:rsidRPr="00D32D04" w:rsidRDefault="0018400A" w:rsidP="00B72AF0">
      <w:pPr>
        <w:rPr>
          <w:rFonts w:ascii="Times New Roman" w:eastAsiaTheme="minorEastAsia" w:hAnsi="Times New Roman" w:cs="Times New Roman"/>
          <w:color w:val="000000"/>
          <w:szCs w:val="21"/>
        </w:rPr>
      </w:pPr>
      <w:r w:rsidRPr="0018400A">
        <w:rPr>
          <w:rFonts w:ascii="Times New Roman" w:eastAsia="DengXian" w:hAnsi="Times New Roman" w:cs="Times New Roman"/>
          <w:noProof/>
          <w:color w:val="000000"/>
          <w:szCs w:val="21"/>
          <w:lang w:eastAsia="zh-CN"/>
        </w:rPr>
        <w:lastRenderedPageBreak/>
        <w:drawing>
          <wp:inline distT="0" distB="0" distL="0" distR="0" wp14:anchorId="43F584C7" wp14:editId="3ACD6099">
            <wp:extent cx="5400040" cy="3797935"/>
            <wp:effectExtent l="0" t="0" r="0" b="0"/>
            <wp:docPr id="16" name="図 15" descr="グラフィカル ユーザー インターフェイス&#10;&#10;AI 生成コンテンツは誤りを含む可能性があります。">
              <a:extLst xmlns:a="http://schemas.openxmlformats.org/drawingml/2006/main">
                <a:ext uri="{FF2B5EF4-FFF2-40B4-BE49-F238E27FC236}">
                  <a16:creationId xmlns:a16="http://schemas.microsoft.com/office/drawing/2014/main" id="{F35C7B5A-E436-2EEA-B908-2588D9F1A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グラフィカル ユーザー インターフェイス&#10;&#10;AI 生成コンテンツは誤りを含む可能性があります。">
                      <a:extLst>
                        <a:ext uri="{FF2B5EF4-FFF2-40B4-BE49-F238E27FC236}">
                          <a16:creationId xmlns:a16="http://schemas.microsoft.com/office/drawing/2014/main" id="{F35C7B5A-E436-2EEA-B908-2588D9F1A696}"/>
                        </a:ext>
                      </a:extLst>
                    </pic:cNvPr>
                    <pic:cNvPicPr>
                      <a:picLocks noChangeAspect="1"/>
                    </pic:cNvPicPr>
                  </pic:nvPicPr>
                  <pic:blipFill>
                    <a:blip r:embed="rId61"/>
                    <a:stretch>
                      <a:fillRect/>
                    </a:stretch>
                  </pic:blipFill>
                  <pic:spPr>
                    <a:xfrm>
                      <a:off x="0" y="0"/>
                      <a:ext cx="5400040" cy="3797935"/>
                    </a:xfrm>
                    <a:prstGeom prst="rect">
                      <a:avLst/>
                    </a:prstGeom>
                  </pic:spPr>
                </pic:pic>
              </a:graphicData>
            </a:graphic>
          </wp:inline>
        </w:drawing>
      </w:r>
    </w:p>
    <w:p w14:paraId="44900B6A" w14:textId="18103131" w:rsidR="0018400A" w:rsidRPr="0018400A" w:rsidRDefault="0018400A" w:rsidP="0018400A">
      <w:pPr>
        <w:pStyle w:val="af"/>
        <w:jc w:val="center"/>
        <w:rPr>
          <w:rFonts w:ascii="Times New Roman" w:eastAsia="DengXian" w:hAnsi="Times New Roman" w:cs="Times New Roman"/>
          <w:lang w:eastAsia="zh-CN"/>
        </w:rPr>
      </w:pPr>
      <w:bookmarkStart w:id="84" w:name="_Toc208439506"/>
      <w:r w:rsidRPr="00D951CB">
        <w:rPr>
          <w:rFonts w:ascii="Times New Roman" w:eastAsia="Microsoft YaHei" w:hAnsi="Times New Roman" w:cs="Times New Roman"/>
          <w:lang w:eastAsia="zh-CN"/>
        </w:rPr>
        <w:t>Figure</w:t>
      </w:r>
      <w:r w:rsidRPr="00D951CB">
        <w:rPr>
          <w:rFonts w:ascii="Times New Roman" w:hAnsi="Times New Roman" w:cs="Times New Roman"/>
        </w:rPr>
        <w:t xml:space="preserve"> </w:t>
      </w:r>
      <w:r w:rsidRPr="00D951CB">
        <w:rPr>
          <w:rFonts w:ascii="Times New Roman" w:eastAsia="DengXian" w:hAnsi="Times New Roman" w:cs="Times New Roman"/>
          <w:lang w:eastAsia="zh-CN"/>
        </w:rPr>
        <w:t>S</w:t>
      </w:r>
      <w:r w:rsidRPr="00D951CB">
        <w:rPr>
          <w:rFonts w:ascii="Times New Roman" w:hAnsi="Times New Roman" w:cs="Times New Roman"/>
        </w:rPr>
        <w:fldChar w:fldCharType="begin"/>
      </w:r>
      <w:r w:rsidRPr="00D951CB">
        <w:rPr>
          <w:rFonts w:ascii="Times New Roman" w:hAnsi="Times New Roman" w:cs="Times New Roman"/>
        </w:rPr>
        <w:instrText xml:space="preserve"> SEQ </w:instrText>
      </w:r>
      <w:r w:rsidRPr="00D951CB">
        <w:rPr>
          <w:rFonts w:ascii="Times New Roman" w:eastAsia="Microsoft YaHei" w:hAnsi="Times New Roman" w:cs="Times New Roman"/>
        </w:rPr>
        <w:instrText>图</w:instrText>
      </w:r>
      <w:r w:rsidRPr="00D951CB">
        <w:rPr>
          <w:rFonts w:ascii="Times New Roman" w:hAnsi="Times New Roman" w:cs="Times New Roman"/>
        </w:rPr>
        <w:instrText>表</w:instrText>
      </w:r>
      <w:r w:rsidRPr="00D951CB">
        <w:rPr>
          <w:rFonts w:ascii="Times New Roman" w:hAnsi="Times New Roman" w:cs="Times New Roman"/>
        </w:rPr>
        <w:instrText xml:space="preserve"> \* ARABIC </w:instrText>
      </w:r>
      <w:r w:rsidRPr="00D951CB">
        <w:rPr>
          <w:rFonts w:ascii="Times New Roman" w:hAnsi="Times New Roman" w:cs="Times New Roman"/>
        </w:rPr>
        <w:fldChar w:fldCharType="separate"/>
      </w:r>
      <w:r w:rsidR="00476B81">
        <w:rPr>
          <w:rFonts w:ascii="Times New Roman" w:hAnsi="Times New Roman" w:cs="Times New Roman"/>
          <w:noProof/>
        </w:rPr>
        <w:t>40</w:t>
      </w:r>
      <w:r w:rsidRPr="00D951CB">
        <w:rPr>
          <w:rFonts w:ascii="Times New Roman" w:hAnsi="Times New Roman" w:cs="Times New Roman"/>
        </w:rPr>
        <w:fldChar w:fldCharType="end"/>
      </w:r>
      <w:r w:rsidRPr="00D951CB">
        <w:rPr>
          <w:rFonts w:ascii="Times New Roman" w:hAnsi="Times New Roman" w:cs="Times New Roman"/>
        </w:rPr>
        <w:t xml:space="preserve">. </w:t>
      </w:r>
      <w:r>
        <w:rPr>
          <w:rFonts w:ascii="Times New Roman" w:eastAsiaTheme="minorEastAsia" w:hAnsi="Times New Roman" w:cs="Times New Roman" w:hint="eastAsia"/>
        </w:rPr>
        <w:t xml:space="preserve">Additional scenarios under </w:t>
      </w:r>
      <w:r>
        <w:rPr>
          <w:rFonts w:ascii="Times New Roman" w:eastAsia="DengXian" w:hAnsi="Times New Roman" w:cs="Times New Roman" w:hint="eastAsia"/>
          <w:lang w:eastAsia="zh-CN"/>
        </w:rPr>
        <w:t>secondary use of all spent LIBs</w:t>
      </w:r>
      <w:r w:rsidRPr="00D951CB">
        <w:rPr>
          <w:rFonts w:ascii="Times New Roman" w:hAnsi="Times New Roman" w:cs="Times New Roman"/>
        </w:rPr>
        <w:t>.</w:t>
      </w:r>
      <w:bookmarkEnd w:id="84"/>
    </w:p>
    <w:p w14:paraId="363B265A" w14:textId="77777777" w:rsidR="0018400A" w:rsidRPr="0018400A" w:rsidRDefault="0018400A" w:rsidP="00B72AF0">
      <w:pPr>
        <w:rPr>
          <w:rFonts w:ascii="Times New Roman" w:eastAsia="DengXian" w:hAnsi="Times New Roman" w:cs="Times New Roman"/>
          <w:color w:val="000000"/>
          <w:szCs w:val="21"/>
          <w:lang w:eastAsia="zh-CN"/>
        </w:rPr>
      </w:pPr>
    </w:p>
    <w:p w14:paraId="270FFC93" w14:textId="4360A578" w:rsidR="00D911EC" w:rsidRPr="000F62FA" w:rsidRDefault="00D911EC" w:rsidP="00EA6449">
      <w:pPr>
        <w:pStyle w:val="2"/>
      </w:pPr>
      <w:bookmarkStart w:id="85" w:name="_Toc199865026"/>
      <w:r w:rsidRPr="000F62FA">
        <w:t>3.</w:t>
      </w:r>
      <w:r w:rsidR="00B72AF0">
        <w:rPr>
          <w:rFonts w:hint="eastAsia"/>
          <w:lang w:eastAsia="ja-JP"/>
        </w:rPr>
        <w:t>4</w:t>
      </w:r>
      <w:r w:rsidRPr="000F62FA">
        <w:t xml:space="preserve"> Sensitivity </w:t>
      </w:r>
      <w:r w:rsidR="00C8336C">
        <w:rPr>
          <w:rFonts w:eastAsia="DengXian" w:hint="eastAsia"/>
        </w:rPr>
        <w:t>A</w:t>
      </w:r>
      <w:r w:rsidRPr="000F62FA">
        <w:t>nalysis</w:t>
      </w:r>
      <w:bookmarkEnd w:id="85"/>
    </w:p>
    <w:p w14:paraId="7463DDA9" w14:textId="56E15F8E" w:rsidR="00B21629" w:rsidRDefault="004B2962" w:rsidP="004B2962">
      <w:pPr>
        <w:rPr>
          <w:rFonts w:ascii="Times New Roman" w:eastAsiaTheme="minorEastAsia" w:hAnsi="Times New Roman" w:cs="Times New Roman"/>
          <w:color w:val="000000"/>
          <w:sz w:val="21"/>
          <w:szCs w:val="18"/>
        </w:rPr>
      </w:pPr>
      <w:r w:rsidRPr="004B2962">
        <w:rPr>
          <w:rFonts w:ascii="Times New Roman" w:eastAsiaTheme="minorEastAsia" w:hAnsi="Times New Roman" w:cs="Times New Roman"/>
          <w:color w:val="000000"/>
          <w:sz w:val="21"/>
          <w:szCs w:val="18"/>
        </w:rPr>
        <w:t>To evaluate the potential uncertainties arising from factors treated as assumptions rather than scenario variables, we conducted a sensitivity analysis on population, required battery capacity per EV, vehicle lifespan, passenger car exports, and used-car exports. Table S</w:t>
      </w:r>
      <w:r w:rsidR="00212327">
        <w:rPr>
          <w:rFonts w:ascii="Times New Roman" w:eastAsiaTheme="minorEastAsia" w:hAnsi="Times New Roman" w:cs="Times New Roman" w:hint="eastAsia"/>
          <w:color w:val="000000"/>
          <w:sz w:val="21"/>
          <w:szCs w:val="18"/>
        </w:rPr>
        <w:t>12</w:t>
      </w:r>
      <w:r w:rsidRPr="004B2962">
        <w:rPr>
          <w:rFonts w:ascii="Times New Roman" w:eastAsiaTheme="minorEastAsia" w:hAnsi="Times New Roman" w:cs="Times New Roman"/>
          <w:color w:val="000000"/>
          <w:sz w:val="21"/>
          <w:szCs w:val="18"/>
        </w:rPr>
        <w:t xml:space="preserve"> and Figure S</w:t>
      </w:r>
      <w:r w:rsidR="00481857">
        <w:rPr>
          <w:rFonts w:ascii="Times New Roman" w:eastAsia="DengXian" w:hAnsi="Times New Roman" w:cs="Times New Roman" w:hint="eastAsia"/>
          <w:color w:val="000000"/>
          <w:sz w:val="21"/>
          <w:szCs w:val="18"/>
          <w:lang w:eastAsia="zh-CN"/>
        </w:rPr>
        <w:t>4</w:t>
      </w:r>
      <w:r w:rsidR="00476B81">
        <w:rPr>
          <w:rFonts w:ascii="Times New Roman" w:eastAsia="DengXian" w:hAnsi="Times New Roman" w:cs="Times New Roman" w:hint="eastAsia"/>
          <w:color w:val="000000"/>
          <w:sz w:val="21"/>
          <w:szCs w:val="18"/>
          <w:lang w:eastAsia="zh-CN"/>
        </w:rPr>
        <w:t>1</w:t>
      </w:r>
      <w:r w:rsidRPr="004B2962">
        <w:rPr>
          <w:rFonts w:ascii="Times New Roman" w:eastAsiaTheme="minorEastAsia" w:hAnsi="Times New Roman" w:cs="Times New Roman"/>
          <w:color w:val="000000"/>
          <w:sz w:val="21"/>
          <w:szCs w:val="18"/>
        </w:rPr>
        <w:t xml:space="preserve"> present the impacts on virgin material input and the circulation rate of critical minerals under ±10% variations of these factors, using Scenario S22 as the baseline.</w:t>
      </w:r>
      <w:r>
        <w:rPr>
          <w:rFonts w:ascii="Times New Roman" w:eastAsiaTheme="minorEastAsia" w:hAnsi="Times New Roman" w:cs="Times New Roman" w:hint="eastAsia"/>
          <w:color w:val="000000"/>
          <w:sz w:val="21"/>
          <w:szCs w:val="18"/>
        </w:rPr>
        <w:t xml:space="preserve"> </w:t>
      </w:r>
      <w:r w:rsidRPr="004B2962">
        <w:rPr>
          <w:rFonts w:ascii="Times New Roman" w:eastAsiaTheme="minorEastAsia" w:hAnsi="Times New Roman" w:cs="Times New Roman"/>
          <w:color w:val="000000"/>
          <w:sz w:val="21"/>
          <w:szCs w:val="18"/>
        </w:rPr>
        <w:t>The results suggest that a larger population significantly reduces virgin material input and enhances the circulation rate by 2050, despite a slight increase in virgin material input and a decrease in circulation rate in the short term. This trend likely reflects the assumed high collection rate of spent LIBs in the domestic passenger car market, which strengthens internal resource circularity in Japan. The required capacity per EV shows a linear relationship with both virgin material input and circularity metrics.</w:t>
      </w:r>
      <w:r>
        <w:rPr>
          <w:rFonts w:ascii="Times New Roman" w:eastAsiaTheme="minorEastAsia" w:hAnsi="Times New Roman" w:cs="Times New Roman" w:hint="eastAsia"/>
          <w:color w:val="000000"/>
          <w:sz w:val="21"/>
          <w:szCs w:val="18"/>
        </w:rPr>
        <w:t xml:space="preserve"> </w:t>
      </w:r>
      <w:r w:rsidRPr="004B2962">
        <w:rPr>
          <w:rFonts w:ascii="Times New Roman" w:eastAsiaTheme="minorEastAsia" w:hAnsi="Times New Roman" w:cs="Times New Roman"/>
          <w:color w:val="000000"/>
          <w:sz w:val="21"/>
          <w:szCs w:val="18"/>
        </w:rPr>
        <w:t>Changes in vehicle lifespan (±1</w:t>
      </w:r>
      <w:r w:rsidR="00023A56">
        <w:rPr>
          <w:rFonts w:ascii="Times New Roman" w:eastAsiaTheme="minorEastAsia" w:hAnsi="Times New Roman" w:cs="Times New Roman" w:hint="eastAsia"/>
          <w:color w:val="000000"/>
          <w:sz w:val="21"/>
          <w:szCs w:val="18"/>
        </w:rPr>
        <w:t>.2</w:t>
      </w:r>
      <w:r w:rsidRPr="004B2962">
        <w:rPr>
          <w:rFonts w:ascii="Times New Roman" w:eastAsiaTheme="minorEastAsia" w:hAnsi="Times New Roman" w:cs="Times New Roman"/>
          <w:color w:val="000000"/>
          <w:sz w:val="21"/>
          <w:szCs w:val="18"/>
        </w:rPr>
        <w:t xml:space="preserve"> year) exert only a marginal influence. Passenger car exports substantially affect virgin material input but have limited impact on circulation. The exclusion of LIB extraction prior to used-car exports slightly affects both virgin material input and circularity. It should be noted that the magnitude of these effects may vary depending on the choice of baseline scenario.</w:t>
      </w:r>
    </w:p>
    <w:p w14:paraId="1FAC07DB" w14:textId="77777777" w:rsidR="002F37A6" w:rsidRPr="00AD7354" w:rsidRDefault="002F37A6" w:rsidP="00121FD3">
      <w:pPr>
        <w:rPr>
          <w:rFonts w:ascii="Times New Roman" w:eastAsiaTheme="minorEastAsia" w:hAnsi="Times New Roman" w:cs="Times New Roman"/>
          <w:color w:val="000000"/>
          <w:sz w:val="21"/>
          <w:szCs w:val="18"/>
        </w:rPr>
      </w:pPr>
    </w:p>
    <w:p w14:paraId="7FC33504" w14:textId="70E2A54C" w:rsidR="00981C9B" w:rsidRPr="000B0FC0" w:rsidRDefault="00981C9B" w:rsidP="00981C9B">
      <w:pPr>
        <w:jc w:val="center"/>
        <w:rPr>
          <w:rFonts w:ascii="Times New Roman" w:eastAsiaTheme="minorEastAsia" w:hAnsi="Times New Roman" w:cs="Times New Roman"/>
          <w:b/>
          <w:bCs/>
          <w:sz w:val="21"/>
          <w:szCs w:val="21"/>
        </w:rPr>
      </w:pPr>
      <w:bookmarkStart w:id="86" w:name="_Toc199865718"/>
      <w:bookmarkStart w:id="87" w:name="_Toc208439373"/>
      <w:r w:rsidRPr="003573A7">
        <w:rPr>
          <w:rFonts w:ascii="Times New Roman" w:hAnsi="Times New Roman" w:cs="Times New Roman"/>
          <w:b/>
          <w:bCs/>
          <w:sz w:val="21"/>
          <w:szCs w:val="21"/>
        </w:rPr>
        <w:t xml:space="preserve">Table </w:t>
      </w:r>
      <w:r w:rsidRPr="003573A7">
        <w:rPr>
          <w:rFonts w:ascii="Times New Roman" w:eastAsia="DengXian" w:hAnsi="Times New Roman" w:cs="Times New Roman"/>
          <w:b/>
          <w:bCs/>
          <w:sz w:val="21"/>
          <w:szCs w:val="21"/>
          <w:lang w:eastAsia="zh-CN"/>
        </w:rPr>
        <w:t>S</w:t>
      </w:r>
      <w:r w:rsidRPr="003573A7">
        <w:rPr>
          <w:rFonts w:ascii="Times New Roman" w:hAnsi="Times New Roman" w:cs="Times New Roman"/>
          <w:b/>
          <w:bCs/>
          <w:sz w:val="21"/>
          <w:szCs w:val="21"/>
        </w:rPr>
        <w:fldChar w:fldCharType="begin"/>
      </w:r>
      <w:r w:rsidRPr="003573A7">
        <w:rPr>
          <w:rFonts w:ascii="Times New Roman" w:hAnsi="Times New Roman" w:cs="Times New Roman"/>
          <w:b/>
          <w:bCs/>
          <w:sz w:val="21"/>
          <w:szCs w:val="21"/>
        </w:rPr>
        <w:instrText xml:space="preserve"> SEQ </w:instrText>
      </w:r>
      <w:r w:rsidRPr="003573A7">
        <w:rPr>
          <w:rFonts w:ascii="Times New Roman" w:hAnsi="Times New Roman" w:cs="Times New Roman"/>
          <w:b/>
          <w:bCs/>
          <w:sz w:val="21"/>
          <w:szCs w:val="21"/>
        </w:rPr>
        <w:instrText>表格</w:instrText>
      </w:r>
      <w:r w:rsidRPr="003573A7">
        <w:rPr>
          <w:rFonts w:ascii="Times New Roman" w:hAnsi="Times New Roman" w:cs="Times New Roman"/>
          <w:b/>
          <w:bCs/>
          <w:sz w:val="21"/>
          <w:szCs w:val="21"/>
        </w:rPr>
        <w:instrText xml:space="preserve"> \* ARABIC </w:instrText>
      </w:r>
      <w:r w:rsidRPr="003573A7">
        <w:rPr>
          <w:rFonts w:ascii="Times New Roman" w:hAnsi="Times New Roman" w:cs="Times New Roman"/>
          <w:b/>
          <w:bCs/>
          <w:sz w:val="21"/>
          <w:szCs w:val="21"/>
        </w:rPr>
        <w:fldChar w:fldCharType="separate"/>
      </w:r>
      <w:r w:rsidR="00212327">
        <w:rPr>
          <w:rFonts w:ascii="Times New Roman" w:hAnsi="Times New Roman" w:cs="Times New Roman"/>
          <w:b/>
          <w:bCs/>
          <w:noProof/>
          <w:sz w:val="21"/>
          <w:szCs w:val="21"/>
        </w:rPr>
        <w:t>12</w:t>
      </w:r>
      <w:r w:rsidRPr="003573A7">
        <w:rPr>
          <w:rFonts w:ascii="Times New Roman" w:hAnsi="Times New Roman" w:cs="Times New Roman"/>
          <w:b/>
          <w:bCs/>
          <w:sz w:val="21"/>
          <w:szCs w:val="21"/>
        </w:rPr>
        <w:fldChar w:fldCharType="end"/>
      </w:r>
      <w:r w:rsidRPr="003573A7">
        <w:rPr>
          <w:rFonts w:ascii="Times New Roman" w:hAnsi="Times New Roman" w:cs="Times New Roman"/>
          <w:b/>
          <w:bCs/>
          <w:sz w:val="21"/>
          <w:szCs w:val="21"/>
        </w:rPr>
        <w:t xml:space="preserve">. </w:t>
      </w:r>
      <w:r w:rsidR="000B0FC0">
        <w:rPr>
          <w:rFonts w:ascii="Times New Roman" w:eastAsiaTheme="minorEastAsia" w:hAnsi="Times New Roman" w:cs="Times New Roman" w:hint="eastAsia"/>
          <w:b/>
          <w:bCs/>
          <w:sz w:val="21"/>
          <w:szCs w:val="21"/>
        </w:rPr>
        <w:t>Sensitivity analysis</w:t>
      </w:r>
      <w:r w:rsidR="00D951CB">
        <w:rPr>
          <w:rFonts w:ascii="Times New Roman" w:eastAsiaTheme="minorEastAsia" w:hAnsi="Times New Roman" w:cs="Times New Roman" w:hint="eastAsia"/>
          <w:b/>
          <w:bCs/>
          <w:sz w:val="21"/>
          <w:szCs w:val="21"/>
        </w:rPr>
        <w:t xml:space="preserve"> on virgin material input and inflow circulation rate</w:t>
      </w:r>
      <w:r w:rsidR="000B0FC0">
        <w:rPr>
          <w:rFonts w:ascii="Times New Roman" w:eastAsiaTheme="minorEastAsia" w:hAnsi="Times New Roman" w:cs="Times New Roman" w:hint="eastAsia"/>
          <w:b/>
          <w:bCs/>
          <w:sz w:val="21"/>
          <w:szCs w:val="21"/>
        </w:rPr>
        <w:t>.</w:t>
      </w:r>
      <w:bookmarkEnd w:id="86"/>
      <w:bookmarkEnd w:id="87"/>
    </w:p>
    <w:tbl>
      <w:tblPr>
        <w:tblW w:w="5000" w:type="pct"/>
        <w:tblLayout w:type="fixed"/>
        <w:tblCellMar>
          <w:left w:w="99" w:type="dxa"/>
          <w:right w:w="99" w:type="dxa"/>
        </w:tblCellMar>
        <w:tblLook w:val="04A0" w:firstRow="1" w:lastRow="0" w:firstColumn="1" w:lastColumn="0" w:noHBand="0" w:noVBand="1"/>
      </w:tblPr>
      <w:tblGrid>
        <w:gridCol w:w="1271"/>
        <w:gridCol w:w="851"/>
        <w:gridCol w:w="1062"/>
        <w:gridCol w:w="1062"/>
        <w:gridCol w:w="1062"/>
        <w:gridCol w:w="1062"/>
        <w:gridCol w:w="1062"/>
        <w:gridCol w:w="1062"/>
      </w:tblGrid>
      <w:tr w:rsidR="002733B7" w:rsidRPr="00E65A4C" w14:paraId="4CEA830C" w14:textId="77777777" w:rsidTr="0070230D">
        <w:trPr>
          <w:trHeight w:val="354"/>
        </w:trPr>
        <w:tc>
          <w:tcPr>
            <w:tcW w:w="748" w:type="pct"/>
            <w:tcBorders>
              <w:top w:val="single" w:sz="4" w:space="0" w:color="auto"/>
              <w:left w:val="single" w:sz="4" w:space="0" w:color="auto"/>
              <w:bottom w:val="single" w:sz="4" w:space="0" w:color="auto"/>
              <w:right w:val="single" w:sz="4" w:space="0" w:color="auto"/>
            </w:tcBorders>
            <w:noWrap/>
            <w:vAlign w:val="center"/>
            <w:hideMark/>
          </w:tcPr>
          <w:p w14:paraId="2D64FA91"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lastRenderedPageBreak/>
              <w:t>Indicator</w:t>
            </w:r>
          </w:p>
        </w:tc>
        <w:tc>
          <w:tcPr>
            <w:tcW w:w="501" w:type="pct"/>
            <w:tcBorders>
              <w:top w:val="single" w:sz="4" w:space="0" w:color="auto"/>
              <w:left w:val="nil"/>
              <w:bottom w:val="single" w:sz="4" w:space="0" w:color="auto"/>
              <w:right w:val="single" w:sz="4" w:space="0" w:color="auto"/>
            </w:tcBorders>
            <w:noWrap/>
            <w:vAlign w:val="center"/>
            <w:hideMark/>
          </w:tcPr>
          <w:p w14:paraId="15ED574F" w14:textId="45E607AF" w:rsidR="008603F8" w:rsidRPr="00E65A4C" w:rsidRDefault="0070230D" w:rsidP="00794F66">
            <w:pPr>
              <w:spacing w:line="300" w:lineRule="exact"/>
              <w:jc w:val="center"/>
              <w:rPr>
                <w:rFonts w:ascii="Times New Roman" w:eastAsia="游ゴシック" w:hAnsi="Times New Roman" w:cs="Times New Roman"/>
                <w:color w:val="000000"/>
                <w:sz w:val="18"/>
                <w:szCs w:val="18"/>
              </w:rPr>
            </w:pPr>
            <w:r>
              <w:rPr>
                <w:rFonts w:ascii="Times New Roman" w:eastAsia="游ゴシック" w:hAnsi="Times New Roman" w:cs="Times New Roman" w:hint="eastAsia"/>
                <w:color w:val="000000"/>
                <w:sz w:val="18"/>
                <w:szCs w:val="18"/>
              </w:rPr>
              <w:t>R</w:t>
            </w:r>
            <w:r w:rsidR="008603F8" w:rsidRPr="00E65A4C">
              <w:rPr>
                <w:rFonts w:ascii="Times New Roman" w:eastAsia="游ゴシック" w:hAnsi="Times New Roman" w:cs="Times New Roman"/>
                <w:color w:val="000000"/>
                <w:sz w:val="18"/>
                <w:szCs w:val="18"/>
              </w:rPr>
              <w:t>ate</w:t>
            </w:r>
          </w:p>
        </w:tc>
        <w:tc>
          <w:tcPr>
            <w:tcW w:w="625" w:type="pct"/>
            <w:tcBorders>
              <w:top w:val="single" w:sz="4" w:space="0" w:color="auto"/>
              <w:left w:val="nil"/>
              <w:bottom w:val="single" w:sz="4" w:space="0" w:color="auto"/>
              <w:right w:val="single" w:sz="4" w:space="0" w:color="auto"/>
            </w:tcBorders>
            <w:noWrap/>
            <w:vAlign w:val="center"/>
            <w:hideMark/>
          </w:tcPr>
          <w:p w14:paraId="4D3B21E1" w14:textId="0AA0BDFB"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S22</w:t>
            </w:r>
            <w:r w:rsidR="00794F66">
              <w:rPr>
                <w:rFonts w:ascii="Times New Roman" w:eastAsia="游ゴシック" w:hAnsi="Times New Roman" w:cs="Times New Roman" w:hint="eastAsia"/>
                <w:color w:val="000000"/>
                <w:sz w:val="18"/>
                <w:szCs w:val="18"/>
              </w:rPr>
              <w:t xml:space="preserve"> (reference)</w:t>
            </w:r>
          </w:p>
        </w:tc>
        <w:tc>
          <w:tcPr>
            <w:tcW w:w="625" w:type="pct"/>
            <w:tcBorders>
              <w:top w:val="single" w:sz="4" w:space="0" w:color="auto"/>
              <w:left w:val="nil"/>
              <w:bottom w:val="single" w:sz="4" w:space="0" w:color="auto"/>
              <w:right w:val="single" w:sz="4" w:space="0" w:color="auto"/>
            </w:tcBorders>
            <w:noWrap/>
            <w:vAlign w:val="center"/>
            <w:hideMark/>
          </w:tcPr>
          <w:p w14:paraId="708F86B5"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Population in 2050</w:t>
            </w:r>
          </w:p>
        </w:tc>
        <w:tc>
          <w:tcPr>
            <w:tcW w:w="625" w:type="pct"/>
            <w:tcBorders>
              <w:top w:val="single" w:sz="4" w:space="0" w:color="auto"/>
              <w:left w:val="nil"/>
              <w:bottom w:val="single" w:sz="4" w:space="0" w:color="auto"/>
              <w:right w:val="single" w:sz="4" w:space="0" w:color="auto"/>
            </w:tcBorders>
            <w:noWrap/>
            <w:vAlign w:val="center"/>
            <w:hideMark/>
          </w:tcPr>
          <w:p w14:paraId="4D2FC304"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Required capacity per EV</w:t>
            </w:r>
          </w:p>
        </w:tc>
        <w:tc>
          <w:tcPr>
            <w:tcW w:w="625" w:type="pct"/>
            <w:tcBorders>
              <w:top w:val="single" w:sz="4" w:space="0" w:color="auto"/>
              <w:left w:val="nil"/>
              <w:bottom w:val="single" w:sz="4" w:space="0" w:color="auto"/>
              <w:right w:val="single" w:sz="4" w:space="0" w:color="auto"/>
            </w:tcBorders>
            <w:noWrap/>
            <w:vAlign w:val="center"/>
            <w:hideMark/>
          </w:tcPr>
          <w:p w14:paraId="3C5954A2"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Vehicle lifespan</w:t>
            </w:r>
          </w:p>
        </w:tc>
        <w:tc>
          <w:tcPr>
            <w:tcW w:w="625" w:type="pct"/>
            <w:tcBorders>
              <w:top w:val="single" w:sz="4" w:space="0" w:color="auto"/>
              <w:left w:val="nil"/>
              <w:bottom w:val="single" w:sz="4" w:space="0" w:color="auto"/>
              <w:right w:val="single" w:sz="4" w:space="0" w:color="auto"/>
            </w:tcBorders>
            <w:noWrap/>
            <w:vAlign w:val="center"/>
            <w:hideMark/>
          </w:tcPr>
          <w:p w14:paraId="4A109F12"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Passenger car exports</w:t>
            </w:r>
          </w:p>
        </w:tc>
        <w:tc>
          <w:tcPr>
            <w:tcW w:w="625" w:type="pct"/>
            <w:tcBorders>
              <w:top w:val="single" w:sz="4" w:space="0" w:color="auto"/>
              <w:left w:val="nil"/>
              <w:bottom w:val="single" w:sz="4" w:space="0" w:color="auto"/>
              <w:right w:val="single" w:sz="4" w:space="0" w:color="auto"/>
            </w:tcBorders>
            <w:noWrap/>
            <w:vAlign w:val="center"/>
            <w:hideMark/>
          </w:tcPr>
          <w:p w14:paraId="7AB355AB"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Used-car exports</w:t>
            </w:r>
          </w:p>
        </w:tc>
      </w:tr>
      <w:tr w:rsidR="002733B7" w:rsidRPr="00E65A4C" w14:paraId="52C83601" w14:textId="77777777" w:rsidTr="0070230D">
        <w:trPr>
          <w:trHeight w:val="354"/>
        </w:trPr>
        <w:tc>
          <w:tcPr>
            <w:tcW w:w="748" w:type="pct"/>
            <w:vMerge w:val="restart"/>
            <w:tcBorders>
              <w:top w:val="nil"/>
              <w:left w:val="single" w:sz="4" w:space="0" w:color="auto"/>
              <w:bottom w:val="single" w:sz="4" w:space="0" w:color="auto"/>
              <w:right w:val="single" w:sz="4" w:space="0" w:color="auto"/>
            </w:tcBorders>
            <w:noWrap/>
            <w:vAlign w:val="center"/>
            <w:hideMark/>
          </w:tcPr>
          <w:p w14:paraId="26C54E05" w14:textId="2C0759F5" w:rsidR="002733B7"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Virgin material input</w:t>
            </w:r>
          </w:p>
          <w:p w14:paraId="5BB23C00" w14:textId="25D2E5C4"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(kt-LiNiCoMn, 2035)</w:t>
            </w:r>
          </w:p>
        </w:tc>
        <w:tc>
          <w:tcPr>
            <w:tcW w:w="501" w:type="pct"/>
            <w:tcBorders>
              <w:top w:val="nil"/>
              <w:left w:val="nil"/>
              <w:bottom w:val="single" w:sz="4" w:space="0" w:color="auto"/>
              <w:right w:val="single" w:sz="4" w:space="0" w:color="auto"/>
            </w:tcBorders>
            <w:noWrap/>
            <w:vAlign w:val="center"/>
            <w:hideMark/>
          </w:tcPr>
          <w:p w14:paraId="5FB4A14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2F9BA2A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121.36</w:t>
            </w:r>
          </w:p>
        </w:tc>
        <w:tc>
          <w:tcPr>
            <w:tcW w:w="625" w:type="pct"/>
            <w:tcBorders>
              <w:top w:val="nil"/>
              <w:left w:val="nil"/>
              <w:bottom w:val="single" w:sz="4" w:space="0" w:color="auto"/>
              <w:right w:val="single" w:sz="4" w:space="0" w:color="auto"/>
            </w:tcBorders>
            <w:noWrap/>
            <w:vAlign w:val="center"/>
            <w:hideMark/>
          </w:tcPr>
          <w:p w14:paraId="00BC425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120.28</w:t>
            </w:r>
          </w:p>
        </w:tc>
        <w:tc>
          <w:tcPr>
            <w:tcW w:w="625" w:type="pct"/>
            <w:tcBorders>
              <w:top w:val="nil"/>
              <w:left w:val="nil"/>
              <w:bottom w:val="single" w:sz="4" w:space="0" w:color="auto"/>
              <w:right w:val="single" w:sz="4" w:space="0" w:color="auto"/>
            </w:tcBorders>
            <w:noWrap/>
            <w:vAlign w:val="center"/>
            <w:hideMark/>
          </w:tcPr>
          <w:p w14:paraId="514A546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123.85</w:t>
            </w:r>
          </w:p>
        </w:tc>
        <w:tc>
          <w:tcPr>
            <w:tcW w:w="625" w:type="pct"/>
            <w:tcBorders>
              <w:top w:val="nil"/>
              <w:left w:val="nil"/>
              <w:bottom w:val="single" w:sz="4" w:space="0" w:color="auto"/>
              <w:right w:val="single" w:sz="4" w:space="0" w:color="auto"/>
            </w:tcBorders>
            <w:noWrap/>
            <w:vAlign w:val="center"/>
            <w:hideMark/>
          </w:tcPr>
          <w:p w14:paraId="2B95E2B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121.68</w:t>
            </w:r>
          </w:p>
        </w:tc>
        <w:tc>
          <w:tcPr>
            <w:tcW w:w="625" w:type="pct"/>
            <w:tcBorders>
              <w:top w:val="nil"/>
              <w:left w:val="nil"/>
              <w:bottom w:val="single" w:sz="4" w:space="0" w:color="auto"/>
              <w:right w:val="single" w:sz="4" w:space="0" w:color="auto"/>
            </w:tcBorders>
            <w:noWrap/>
            <w:vAlign w:val="center"/>
            <w:hideMark/>
          </w:tcPr>
          <w:p w14:paraId="30277B3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113.85</w:t>
            </w:r>
          </w:p>
        </w:tc>
        <w:tc>
          <w:tcPr>
            <w:tcW w:w="625" w:type="pct"/>
            <w:tcBorders>
              <w:top w:val="nil"/>
              <w:left w:val="nil"/>
              <w:bottom w:val="single" w:sz="4" w:space="0" w:color="auto"/>
              <w:right w:val="single" w:sz="4" w:space="0" w:color="auto"/>
            </w:tcBorders>
            <w:noWrap/>
            <w:vAlign w:val="center"/>
            <w:hideMark/>
          </w:tcPr>
          <w:p w14:paraId="75AEED0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120.89</w:t>
            </w:r>
          </w:p>
        </w:tc>
      </w:tr>
      <w:tr w:rsidR="002733B7" w:rsidRPr="00E65A4C" w14:paraId="16E3192E"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65CCA5FE"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7708F51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w:t>
            </w:r>
          </w:p>
        </w:tc>
        <w:tc>
          <w:tcPr>
            <w:tcW w:w="625" w:type="pct"/>
            <w:tcBorders>
              <w:top w:val="nil"/>
              <w:left w:val="nil"/>
              <w:bottom w:val="single" w:sz="4" w:space="0" w:color="auto"/>
              <w:right w:val="single" w:sz="4" w:space="0" w:color="auto"/>
            </w:tcBorders>
            <w:noWrap/>
            <w:vAlign w:val="center"/>
            <w:hideMark/>
          </w:tcPr>
          <w:p w14:paraId="2DB02C55"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121.36</w:t>
            </w:r>
          </w:p>
        </w:tc>
        <w:tc>
          <w:tcPr>
            <w:tcW w:w="625" w:type="pct"/>
            <w:tcBorders>
              <w:top w:val="nil"/>
              <w:left w:val="nil"/>
              <w:bottom w:val="single" w:sz="4" w:space="0" w:color="auto"/>
              <w:right w:val="single" w:sz="4" w:space="0" w:color="auto"/>
            </w:tcBorders>
            <w:noWrap/>
            <w:vAlign w:val="center"/>
            <w:hideMark/>
          </w:tcPr>
          <w:p w14:paraId="5AA187C7"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121.36</w:t>
            </w:r>
          </w:p>
        </w:tc>
        <w:tc>
          <w:tcPr>
            <w:tcW w:w="625" w:type="pct"/>
            <w:tcBorders>
              <w:top w:val="nil"/>
              <w:left w:val="nil"/>
              <w:bottom w:val="single" w:sz="4" w:space="0" w:color="auto"/>
              <w:right w:val="single" w:sz="4" w:space="0" w:color="auto"/>
            </w:tcBorders>
            <w:noWrap/>
            <w:vAlign w:val="center"/>
            <w:hideMark/>
          </w:tcPr>
          <w:p w14:paraId="01E2C167"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121.36</w:t>
            </w:r>
          </w:p>
        </w:tc>
        <w:tc>
          <w:tcPr>
            <w:tcW w:w="625" w:type="pct"/>
            <w:tcBorders>
              <w:top w:val="nil"/>
              <w:left w:val="nil"/>
              <w:bottom w:val="single" w:sz="4" w:space="0" w:color="auto"/>
              <w:right w:val="single" w:sz="4" w:space="0" w:color="auto"/>
            </w:tcBorders>
            <w:noWrap/>
            <w:vAlign w:val="center"/>
            <w:hideMark/>
          </w:tcPr>
          <w:p w14:paraId="7322334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121.36</w:t>
            </w:r>
          </w:p>
        </w:tc>
        <w:tc>
          <w:tcPr>
            <w:tcW w:w="625" w:type="pct"/>
            <w:tcBorders>
              <w:top w:val="nil"/>
              <w:left w:val="nil"/>
              <w:bottom w:val="single" w:sz="4" w:space="0" w:color="auto"/>
              <w:right w:val="single" w:sz="4" w:space="0" w:color="auto"/>
            </w:tcBorders>
            <w:noWrap/>
            <w:vAlign w:val="center"/>
            <w:hideMark/>
          </w:tcPr>
          <w:p w14:paraId="02171B99"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121.36</w:t>
            </w:r>
          </w:p>
        </w:tc>
        <w:tc>
          <w:tcPr>
            <w:tcW w:w="625" w:type="pct"/>
            <w:tcBorders>
              <w:top w:val="nil"/>
              <w:left w:val="nil"/>
              <w:bottom w:val="single" w:sz="4" w:space="0" w:color="auto"/>
              <w:right w:val="single" w:sz="4" w:space="0" w:color="auto"/>
            </w:tcBorders>
            <w:noWrap/>
            <w:vAlign w:val="center"/>
            <w:hideMark/>
          </w:tcPr>
          <w:p w14:paraId="4B8A621F"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121.36</w:t>
            </w:r>
          </w:p>
        </w:tc>
      </w:tr>
      <w:tr w:rsidR="002733B7" w:rsidRPr="00E65A4C" w14:paraId="3ECA66DB"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2149C2FE"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25CA567A"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5E6455B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121.36</w:t>
            </w:r>
          </w:p>
        </w:tc>
        <w:tc>
          <w:tcPr>
            <w:tcW w:w="625" w:type="pct"/>
            <w:tcBorders>
              <w:top w:val="nil"/>
              <w:left w:val="nil"/>
              <w:bottom w:val="single" w:sz="4" w:space="0" w:color="auto"/>
              <w:right w:val="single" w:sz="4" w:space="0" w:color="auto"/>
            </w:tcBorders>
            <w:noWrap/>
            <w:vAlign w:val="center"/>
            <w:hideMark/>
          </w:tcPr>
          <w:p w14:paraId="4A3A488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122.39</w:t>
            </w:r>
          </w:p>
        </w:tc>
        <w:tc>
          <w:tcPr>
            <w:tcW w:w="625" w:type="pct"/>
            <w:tcBorders>
              <w:top w:val="nil"/>
              <w:left w:val="nil"/>
              <w:bottom w:val="single" w:sz="4" w:space="0" w:color="auto"/>
              <w:right w:val="single" w:sz="4" w:space="0" w:color="auto"/>
            </w:tcBorders>
            <w:noWrap/>
            <w:vAlign w:val="center"/>
            <w:hideMark/>
          </w:tcPr>
          <w:p w14:paraId="38FDD34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118.87</w:t>
            </w:r>
          </w:p>
        </w:tc>
        <w:tc>
          <w:tcPr>
            <w:tcW w:w="625" w:type="pct"/>
            <w:tcBorders>
              <w:top w:val="nil"/>
              <w:left w:val="nil"/>
              <w:bottom w:val="single" w:sz="4" w:space="0" w:color="auto"/>
              <w:right w:val="single" w:sz="4" w:space="0" w:color="auto"/>
            </w:tcBorders>
            <w:noWrap/>
            <w:vAlign w:val="center"/>
            <w:hideMark/>
          </w:tcPr>
          <w:p w14:paraId="7C9E9837"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121.10</w:t>
            </w:r>
          </w:p>
        </w:tc>
        <w:tc>
          <w:tcPr>
            <w:tcW w:w="625" w:type="pct"/>
            <w:tcBorders>
              <w:top w:val="nil"/>
              <w:left w:val="nil"/>
              <w:bottom w:val="single" w:sz="4" w:space="0" w:color="auto"/>
              <w:right w:val="single" w:sz="4" w:space="0" w:color="auto"/>
            </w:tcBorders>
            <w:noWrap/>
            <w:vAlign w:val="center"/>
            <w:hideMark/>
          </w:tcPr>
          <w:p w14:paraId="6B425EE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128.86</w:t>
            </w:r>
          </w:p>
        </w:tc>
        <w:tc>
          <w:tcPr>
            <w:tcW w:w="625" w:type="pct"/>
            <w:tcBorders>
              <w:top w:val="nil"/>
              <w:left w:val="nil"/>
              <w:bottom w:val="single" w:sz="4" w:space="0" w:color="auto"/>
              <w:right w:val="single" w:sz="4" w:space="0" w:color="auto"/>
            </w:tcBorders>
            <w:noWrap/>
            <w:vAlign w:val="center"/>
            <w:hideMark/>
          </w:tcPr>
          <w:p w14:paraId="6C3EC2F7"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121.81</w:t>
            </w:r>
          </w:p>
        </w:tc>
      </w:tr>
      <w:tr w:rsidR="002733B7" w:rsidRPr="00E65A4C" w14:paraId="0F5FFE01" w14:textId="77777777" w:rsidTr="0070230D">
        <w:trPr>
          <w:trHeight w:val="354"/>
        </w:trPr>
        <w:tc>
          <w:tcPr>
            <w:tcW w:w="748" w:type="pct"/>
            <w:vMerge w:val="restart"/>
            <w:tcBorders>
              <w:top w:val="nil"/>
              <w:left w:val="single" w:sz="4" w:space="0" w:color="auto"/>
              <w:bottom w:val="single" w:sz="4" w:space="0" w:color="auto"/>
              <w:right w:val="single" w:sz="4" w:space="0" w:color="auto"/>
            </w:tcBorders>
            <w:noWrap/>
            <w:vAlign w:val="center"/>
            <w:hideMark/>
          </w:tcPr>
          <w:p w14:paraId="40753B67" w14:textId="3112D669" w:rsidR="002733B7"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Virgin material input</w:t>
            </w:r>
          </w:p>
          <w:p w14:paraId="75D8B367" w14:textId="7A4EEA08"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(kt-LiNiCoMn, 2050)</w:t>
            </w:r>
          </w:p>
        </w:tc>
        <w:tc>
          <w:tcPr>
            <w:tcW w:w="501" w:type="pct"/>
            <w:tcBorders>
              <w:top w:val="nil"/>
              <w:left w:val="nil"/>
              <w:bottom w:val="single" w:sz="4" w:space="0" w:color="auto"/>
              <w:right w:val="single" w:sz="4" w:space="0" w:color="auto"/>
            </w:tcBorders>
            <w:noWrap/>
            <w:vAlign w:val="center"/>
            <w:hideMark/>
          </w:tcPr>
          <w:p w14:paraId="15675A13"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38F754D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164.39</w:t>
            </w:r>
          </w:p>
        </w:tc>
        <w:tc>
          <w:tcPr>
            <w:tcW w:w="625" w:type="pct"/>
            <w:tcBorders>
              <w:top w:val="nil"/>
              <w:left w:val="nil"/>
              <w:bottom w:val="single" w:sz="4" w:space="0" w:color="auto"/>
              <w:right w:val="single" w:sz="4" w:space="0" w:color="auto"/>
            </w:tcBorders>
            <w:noWrap/>
            <w:vAlign w:val="center"/>
            <w:hideMark/>
          </w:tcPr>
          <w:p w14:paraId="037F3A1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183.30</w:t>
            </w:r>
          </w:p>
        </w:tc>
        <w:tc>
          <w:tcPr>
            <w:tcW w:w="625" w:type="pct"/>
            <w:tcBorders>
              <w:top w:val="nil"/>
              <w:left w:val="nil"/>
              <w:bottom w:val="single" w:sz="4" w:space="0" w:color="auto"/>
              <w:right w:val="single" w:sz="4" w:space="0" w:color="auto"/>
            </w:tcBorders>
            <w:noWrap/>
            <w:vAlign w:val="center"/>
            <w:hideMark/>
          </w:tcPr>
          <w:p w14:paraId="42E53B3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175.85</w:t>
            </w:r>
          </w:p>
        </w:tc>
        <w:tc>
          <w:tcPr>
            <w:tcW w:w="625" w:type="pct"/>
            <w:tcBorders>
              <w:top w:val="nil"/>
              <w:left w:val="nil"/>
              <w:bottom w:val="single" w:sz="4" w:space="0" w:color="auto"/>
              <w:right w:val="single" w:sz="4" w:space="0" w:color="auto"/>
            </w:tcBorders>
            <w:noWrap/>
            <w:vAlign w:val="center"/>
            <w:hideMark/>
          </w:tcPr>
          <w:p w14:paraId="6F1E3852"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164.64</w:t>
            </w:r>
          </w:p>
        </w:tc>
        <w:tc>
          <w:tcPr>
            <w:tcW w:w="625" w:type="pct"/>
            <w:tcBorders>
              <w:top w:val="nil"/>
              <w:left w:val="nil"/>
              <w:bottom w:val="single" w:sz="4" w:space="0" w:color="auto"/>
              <w:right w:val="single" w:sz="4" w:space="0" w:color="auto"/>
            </w:tcBorders>
            <w:noWrap/>
            <w:vAlign w:val="center"/>
            <w:hideMark/>
          </w:tcPr>
          <w:p w14:paraId="7563A596"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153.36</w:t>
            </w:r>
          </w:p>
        </w:tc>
        <w:tc>
          <w:tcPr>
            <w:tcW w:w="625" w:type="pct"/>
            <w:tcBorders>
              <w:top w:val="nil"/>
              <w:left w:val="nil"/>
              <w:bottom w:val="single" w:sz="4" w:space="0" w:color="auto"/>
              <w:right w:val="single" w:sz="4" w:space="0" w:color="auto"/>
            </w:tcBorders>
            <w:noWrap/>
            <w:vAlign w:val="center"/>
            <w:hideMark/>
          </w:tcPr>
          <w:p w14:paraId="0AD458D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162.44</w:t>
            </w:r>
          </w:p>
        </w:tc>
      </w:tr>
      <w:tr w:rsidR="002733B7" w:rsidRPr="00E65A4C" w14:paraId="28125BEE"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70A0290D"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4B53DCDF"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w:t>
            </w:r>
          </w:p>
        </w:tc>
        <w:tc>
          <w:tcPr>
            <w:tcW w:w="625" w:type="pct"/>
            <w:tcBorders>
              <w:top w:val="nil"/>
              <w:left w:val="nil"/>
              <w:bottom w:val="single" w:sz="4" w:space="0" w:color="auto"/>
              <w:right w:val="single" w:sz="4" w:space="0" w:color="auto"/>
            </w:tcBorders>
            <w:noWrap/>
            <w:vAlign w:val="center"/>
            <w:hideMark/>
          </w:tcPr>
          <w:p w14:paraId="6B4D284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164.39</w:t>
            </w:r>
          </w:p>
        </w:tc>
        <w:tc>
          <w:tcPr>
            <w:tcW w:w="625" w:type="pct"/>
            <w:tcBorders>
              <w:top w:val="nil"/>
              <w:left w:val="nil"/>
              <w:bottom w:val="single" w:sz="4" w:space="0" w:color="auto"/>
              <w:right w:val="single" w:sz="4" w:space="0" w:color="auto"/>
            </w:tcBorders>
            <w:noWrap/>
            <w:vAlign w:val="center"/>
            <w:hideMark/>
          </w:tcPr>
          <w:p w14:paraId="0A103B9D"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164.39</w:t>
            </w:r>
          </w:p>
        </w:tc>
        <w:tc>
          <w:tcPr>
            <w:tcW w:w="625" w:type="pct"/>
            <w:tcBorders>
              <w:top w:val="nil"/>
              <w:left w:val="nil"/>
              <w:bottom w:val="single" w:sz="4" w:space="0" w:color="auto"/>
              <w:right w:val="single" w:sz="4" w:space="0" w:color="auto"/>
            </w:tcBorders>
            <w:noWrap/>
            <w:vAlign w:val="center"/>
            <w:hideMark/>
          </w:tcPr>
          <w:p w14:paraId="2BCBB28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164.39</w:t>
            </w:r>
          </w:p>
        </w:tc>
        <w:tc>
          <w:tcPr>
            <w:tcW w:w="625" w:type="pct"/>
            <w:tcBorders>
              <w:top w:val="nil"/>
              <w:left w:val="nil"/>
              <w:bottom w:val="single" w:sz="4" w:space="0" w:color="auto"/>
              <w:right w:val="single" w:sz="4" w:space="0" w:color="auto"/>
            </w:tcBorders>
            <w:noWrap/>
            <w:vAlign w:val="center"/>
            <w:hideMark/>
          </w:tcPr>
          <w:p w14:paraId="408BC8B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164.39</w:t>
            </w:r>
          </w:p>
        </w:tc>
        <w:tc>
          <w:tcPr>
            <w:tcW w:w="625" w:type="pct"/>
            <w:tcBorders>
              <w:top w:val="nil"/>
              <w:left w:val="nil"/>
              <w:bottom w:val="single" w:sz="4" w:space="0" w:color="auto"/>
              <w:right w:val="single" w:sz="4" w:space="0" w:color="auto"/>
            </w:tcBorders>
            <w:noWrap/>
            <w:vAlign w:val="center"/>
            <w:hideMark/>
          </w:tcPr>
          <w:p w14:paraId="4DA0FE9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164.39</w:t>
            </w:r>
          </w:p>
        </w:tc>
        <w:tc>
          <w:tcPr>
            <w:tcW w:w="625" w:type="pct"/>
            <w:tcBorders>
              <w:top w:val="nil"/>
              <w:left w:val="nil"/>
              <w:bottom w:val="single" w:sz="4" w:space="0" w:color="auto"/>
              <w:right w:val="single" w:sz="4" w:space="0" w:color="auto"/>
            </w:tcBorders>
            <w:noWrap/>
            <w:vAlign w:val="center"/>
            <w:hideMark/>
          </w:tcPr>
          <w:p w14:paraId="34547B7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164.39</w:t>
            </w:r>
          </w:p>
        </w:tc>
      </w:tr>
      <w:tr w:rsidR="002733B7" w:rsidRPr="00E65A4C" w14:paraId="39A00E28"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635D740E"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133A189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36CD90ED"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164.39</w:t>
            </w:r>
          </w:p>
        </w:tc>
        <w:tc>
          <w:tcPr>
            <w:tcW w:w="625" w:type="pct"/>
            <w:tcBorders>
              <w:top w:val="nil"/>
              <w:left w:val="nil"/>
              <w:bottom w:val="single" w:sz="4" w:space="0" w:color="auto"/>
              <w:right w:val="single" w:sz="4" w:space="0" w:color="auto"/>
            </w:tcBorders>
            <w:noWrap/>
            <w:vAlign w:val="center"/>
            <w:hideMark/>
          </w:tcPr>
          <w:p w14:paraId="073D9F8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146.77</w:t>
            </w:r>
          </w:p>
        </w:tc>
        <w:tc>
          <w:tcPr>
            <w:tcW w:w="625" w:type="pct"/>
            <w:tcBorders>
              <w:top w:val="nil"/>
              <w:left w:val="nil"/>
              <w:bottom w:val="single" w:sz="4" w:space="0" w:color="auto"/>
              <w:right w:val="single" w:sz="4" w:space="0" w:color="auto"/>
            </w:tcBorders>
            <w:noWrap/>
            <w:vAlign w:val="center"/>
            <w:hideMark/>
          </w:tcPr>
          <w:p w14:paraId="621EBAB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152.94</w:t>
            </w:r>
          </w:p>
        </w:tc>
        <w:tc>
          <w:tcPr>
            <w:tcW w:w="625" w:type="pct"/>
            <w:tcBorders>
              <w:top w:val="nil"/>
              <w:left w:val="nil"/>
              <w:bottom w:val="single" w:sz="4" w:space="0" w:color="auto"/>
              <w:right w:val="single" w:sz="4" w:space="0" w:color="auto"/>
            </w:tcBorders>
            <w:noWrap/>
            <w:vAlign w:val="center"/>
            <w:hideMark/>
          </w:tcPr>
          <w:p w14:paraId="4FECE34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164.20</w:t>
            </w:r>
          </w:p>
        </w:tc>
        <w:tc>
          <w:tcPr>
            <w:tcW w:w="625" w:type="pct"/>
            <w:tcBorders>
              <w:top w:val="nil"/>
              <w:left w:val="nil"/>
              <w:bottom w:val="single" w:sz="4" w:space="0" w:color="auto"/>
              <w:right w:val="single" w:sz="4" w:space="0" w:color="auto"/>
            </w:tcBorders>
            <w:noWrap/>
            <w:vAlign w:val="center"/>
            <w:hideMark/>
          </w:tcPr>
          <w:p w14:paraId="4DD8FA5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175.43</w:t>
            </w:r>
          </w:p>
        </w:tc>
        <w:tc>
          <w:tcPr>
            <w:tcW w:w="625" w:type="pct"/>
            <w:tcBorders>
              <w:top w:val="nil"/>
              <w:left w:val="nil"/>
              <w:bottom w:val="single" w:sz="4" w:space="0" w:color="auto"/>
              <w:right w:val="single" w:sz="4" w:space="0" w:color="auto"/>
            </w:tcBorders>
            <w:noWrap/>
            <w:vAlign w:val="center"/>
            <w:hideMark/>
          </w:tcPr>
          <w:p w14:paraId="180958CA"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166.30</w:t>
            </w:r>
          </w:p>
        </w:tc>
      </w:tr>
      <w:tr w:rsidR="002733B7" w:rsidRPr="00E65A4C" w14:paraId="0762DDFD" w14:textId="77777777" w:rsidTr="0070230D">
        <w:trPr>
          <w:trHeight w:val="354"/>
        </w:trPr>
        <w:tc>
          <w:tcPr>
            <w:tcW w:w="748" w:type="pct"/>
            <w:vMerge w:val="restart"/>
            <w:tcBorders>
              <w:top w:val="nil"/>
              <w:left w:val="single" w:sz="4" w:space="0" w:color="auto"/>
              <w:bottom w:val="single" w:sz="4" w:space="0" w:color="auto"/>
              <w:right w:val="single" w:sz="4" w:space="0" w:color="auto"/>
            </w:tcBorders>
            <w:noWrap/>
            <w:vAlign w:val="center"/>
            <w:hideMark/>
          </w:tcPr>
          <w:p w14:paraId="55128A8B" w14:textId="3AB852C9" w:rsidR="002733B7"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Circulation rate</w:t>
            </w:r>
          </w:p>
          <w:p w14:paraId="4C4BE707" w14:textId="6C74BA0E"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 2035)</w:t>
            </w:r>
          </w:p>
        </w:tc>
        <w:tc>
          <w:tcPr>
            <w:tcW w:w="501" w:type="pct"/>
            <w:tcBorders>
              <w:top w:val="nil"/>
              <w:left w:val="nil"/>
              <w:bottom w:val="single" w:sz="4" w:space="0" w:color="auto"/>
              <w:right w:val="single" w:sz="4" w:space="0" w:color="auto"/>
            </w:tcBorders>
            <w:noWrap/>
            <w:vAlign w:val="center"/>
            <w:hideMark/>
          </w:tcPr>
          <w:p w14:paraId="16EAD0D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495B4F2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4EF96795"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5107B11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0.15</w:t>
            </w:r>
          </w:p>
        </w:tc>
        <w:tc>
          <w:tcPr>
            <w:tcW w:w="625" w:type="pct"/>
            <w:tcBorders>
              <w:top w:val="nil"/>
              <w:left w:val="nil"/>
              <w:bottom w:val="single" w:sz="4" w:space="0" w:color="auto"/>
              <w:right w:val="single" w:sz="4" w:space="0" w:color="auto"/>
            </w:tcBorders>
            <w:noWrap/>
            <w:vAlign w:val="center"/>
            <w:hideMark/>
          </w:tcPr>
          <w:p w14:paraId="2F21CA2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3E53F063"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3539D9B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r>
      <w:tr w:rsidR="002733B7" w:rsidRPr="00E65A4C" w14:paraId="6637E5B9"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76EADA78"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2ACC2A33"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w:t>
            </w:r>
          </w:p>
        </w:tc>
        <w:tc>
          <w:tcPr>
            <w:tcW w:w="625" w:type="pct"/>
            <w:tcBorders>
              <w:top w:val="nil"/>
              <w:left w:val="nil"/>
              <w:bottom w:val="single" w:sz="4" w:space="0" w:color="auto"/>
              <w:right w:val="single" w:sz="4" w:space="0" w:color="auto"/>
            </w:tcBorders>
            <w:noWrap/>
            <w:vAlign w:val="center"/>
            <w:hideMark/>
          </w:tcPr>
          <w:p w14:paraId="757BC31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27F7232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4F0CE0E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3C1C747A"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2AAD4A82"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55101D1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r>
      <w:tr w:rsidR="002733B7" w:rsidRPr="00E65A4C" w14:paraId="4953C892"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0974CE2A"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6115E092"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1F552D8A"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21C0BB36"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79DAC34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0.19</w:t>
            </w:r>
          </w:p>
        </w:tc>
        <w:tc>
          <w:tcPr>
            <w:tcW w:w="625" w:type="pct"/>
            <w:tcBorders>
              <w:top w:val="nil"/>
              <w:left w:val="nil"/>
              <w:bottom w:val="single" w:sz="4" w:space="0" w:color="auto"/>
              <w:right w:val="single" w:sz="4" w:space="0" w:color="auto"/>
            </w:tcBorders>
            <w:noWrap/>
            <w:vAlign w:val="center"/>
            <w:hideMark/>
          </w:tcPr>
          <w:p w14:paraId="58838C7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49B1425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c>
          <w:tcPr>
            <w:tcW w:w="625" w:type="pct"/>
            <w:tcBorders>
              <w:top w:val="nil"/>
              <w:left w:val="nil"/>
              <w:bottom w:val="single" w:sz="4" w:space="0" w:color="auto"/>
              <w:right w:val="single" w:sz="4" w:space="0" w:color="auto"/>
            </w:tcBorders>
            <w:noWrap/>
            <w:vAlign w:val="center"/>
            <w:hideMark/>
          </w:tcPr>
          <w:p w14:paraId="304B06E2"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0.17</w:t>
            </w:r>
          </w:p>
        </w:tc>
      </w:tr>
      <w:tr w:rsidR="002733B7" w:rsidRPr="00E65A4C" w14:paraId="516D02E1" w14:textId="77777777" w:rsidTr="0070230D">
        <w:trPr>
          <w:trHeight w:val="354"/>
        </w:trPr>
        <w:tc>
          <w:tcPr>
            <w:tcW w:w="748" w:type="pct"/>
            <w:vMerge w:val="restart"/>
            <w:tcBorders>
              <w:top w:val="nil"/>
              <w:left w:val="single" w:sz="4" w:space="0" w:color="auto"/>
              <w:bottom w:val="single" w:sz="4" w:space="0" w:color="auto"/>
              <w:right w:val="single" w:sz="4" w:space="0" w:color="auto"/>
            </w:tcBorders>
            <w:noWrap/>
            <w:vAlign w:val="center"/>
            <w:hideMark/>
          </w:tcPr>
          <w:p w14:paraId="69FBA97F" w14:textId="4C4CBE4A" w:rsidR="002733B7"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Circulation rate</w:t>
            </w:r>
          </w:p>
          <w:p w14:paraId="2E4252EB" w14:textId="4359E038"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 2050)</w:t>
            </w:r>
          </w:p>
        </w:tc>
        <w:tc>
          <w:tcPr>
            <w:tcW w:w="501" w:type="pct"/>
            <w:tcBorders>
              <w:top w:val="nil"/>
              <w:left w:val="nil"/>
              <w:bottom w:val="single" w:sz="4" w:space="0" w:color="auto"/>
              <w:right w:val="single" w:sz="4" w:space="0" w:color="auto"/>
            </w:tcBorders>
            <w:noWrap/>
            <w:vAlign w:val="center"/>
            <w:hideMark/>
          </w:tcPr>
          <w:p w14:paraId="4173DEF5"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153D31D3"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67AD36C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0.38</w:t>
            </w:r>
          </w:p>
        </w:tc>
        <w:tc>
          <w:tcPr>
            <w:tcW w:w="625" w:type="pct"/>
            <w:tcBorders>
              <w:top w:val="nil"/>
              <w:left w:val="nil"/>
              <w:bottom w:val="single" w:sz="4" w:space="0" w:color="auto"/>
              <w:right w:val="single" w:sz="4" w:space="0" w:color="auto"/>
            </w:tcBorders>
            <w:noWrap/>
            <w:vAlign w:val="center"/>
            <w:hideMark/>
          </w:tcPr>
          <w:p w14:paraId="7B1C5DCA"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0.37</w:t>
            </w:r>
          </w:p>
        </w:tc>
        <w:tc>
          <w:tcPr>
            <w:tcW w:w="625" w:type="pct"/>
            <w:tcBorders>
              <w:top w:val="nil"/>
              <w:left w:val="nil"/>
              <w:bottom w:val="single" w:sz="4" w:space="0" w:color="auto"/>
              <w:right w:val="single" w:sz="4" w:space="0" w:color="auto"/>
            </w:tcBorders>
            <w:noWrap/>
            <w:vAlign w:val="center"/>
            <w:hideMark/>
          </w:tcPr>
          <w:p w14:paraId="0A47103D"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63469F6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275DB81D"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0.42</w:t>
            </w:r>
          </w:p>
        </w:tc>
      </w:tr>
      <w:tr w:rsidR="002733B7" w:rsidRPr="00E65A4C" w14:paraId="350FEFE7"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5E14637A"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4F39352F"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w:t>
            </w:r>
          </w:p>
        </w:tc>
        <w:tc>
          <w:tcPr>
            <w:tcW w:w="625" w:type="pct"/>
            <w:tcBorders>
              <w:top w:val="nil"/>
              <w:left w:val="nil"/>
              <w:bottom w:val="single" w:sz="4" w:space="0" w:color="auto"/>
              <w:right w:val="single" w:sz="4" w:space="0" w:color="auto"/>
            </w:tcBorders>
            <w:noWrap/>
            <w:vAlign w:val="center"/>
            <w:hideMark/>
          </w:tcPr>
          <w:p w14:paraId="60BA1B32"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5EB2462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783AED3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07ABFC2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6BF61B0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5B7866E3"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r>
      <w:tr w:rsidR="002733B7" w:rsidRPr="00E65A4C" w14:paraId="04435D96"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3F7337CD"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423086D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5AB2D2D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194FFE1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0.44</w:t>
            </w:r>
          </w:p>
        </w:tc>
        <w:tc>
          <w:tcPr>
            <w:tcW w:w="625" w:type="pct"/>
            <w:tcBorders>
              <w:top w:val="nil"/>
              <w:left w:val="nil"/>
              <w:bottom w:val="single" w:sz="4" w:space="0" w:color="auto"/>
              <w:right w:val="single" w:sz="4" w:space="0" w:color="auto"/>
            </w:tcBorders>
            <w:noWrap/>
            <w:vAlign w:val="center"/>
            <w:hideMark/>
          </w:tcPr>
          <w:p w14:paraId="2CD38CBA"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0.45</w:t>
            </w:r>
          </w:p>
        </w:tc>
        <w:tc>
          <w:tcPr>
            <w:tcW w:w="625" w:type="pct"/>
            <w:tcBorders>
              <w:top w:val="nil"/>
              <w:left w:val="nil"/>
              <w:bottom w:val="single" w:sz="4" w:space="0" w:color="auto"/>
              <w:right w:val="single" w:sz="4" w:space="0" w:color="auto"/>
            </w:tcBorders>
            <w:noWrap/>
            <w:vAlign w:val="center"/>
            <w:hideMark/>
          </w:tcPr>
          <w:p w14:paraId="4ACA8347"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561B0E1D"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0.41</w:t>
            </w:r>
          </w:p>
        </w:tc>
        <w:tc>
          <w:tcPr>
            <w:tcW w:w="625" w:type="pct"/>
            <w:tcBorders>
              <w:top w:val="nil"/>
              <w:left w:val="nil"/>
              <w:bottom w:val="single" w:sz="4" w:space="0" w:color="auto"/>
              <w:right w:val="single" w:sz="4" w:space="0" w:color="auto"/>
            </w:tcBorders>
            <w:noWrap/>
            <w:vAlign w:val="center"/>
            <w:hideMark/>
          </w:tcPr>
          <w:p w14:paraId="66F947C6"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0.40</w:t>
            </w:r>
          </w:p>
        </w:tc>
      </w:tr>
      <w:tr w:rsidR="002733B7" w:rsidRPr="00E65A4C" w14:paraId="17FD3209" w14:textId="77777777" w:rsidTr="0070230D">
        <w:trPr>
          <w:trHeight w:val="354"/>
        </w:trPr>
        <w:tc>
          <w:tcPr>
            <w:tcW w:w="748" w:type="pct"/>
            <w:vMerge w:val="restart"/>
            <w:tcBorders>
              <w:top w:val="nil"/>
              <w:left w:val="single" w:sz="4" w:space="0" w:color="auto"/>
              <w:bottom w:val="single" w:sz="4" w:space="0" w:color="auto"/>
              <w:right w:val="single" w:sz="4" w:space="0" w:color="auto"/>
            </w:tcBorders>
            <w:noWrap/>
            <w:vAlign w:val="center"/>
            <w:hideMark/>
          </w:tcPr>
          <w:p w14:paraId="4BC5E844" w14:textId="372CEB7C" w:rsidR="002733B7"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Change rate on virgin material input</w:t>
            </w:r>
          </w:p>
          <w:p w14:paraId="2769F120" w14:textId="76A24F37"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 2035)</w:t>
            </w:r>
          </w:p>
        </w:tc>
        <w:tc>
          <w:tcPr>
            <w:tcW w:w="501" w:type="pct"/>
            <w:tcBorders>
              <w:top w:val="nil"/>
              <w:left w:val="nil"/>
              <w:bottom w:val="single" w:sz="4" w:space="0" w:color="auto"/>
              <w:right w:val="single" w:sz="4" w:space="0" w:color="auto"/>
            </w:tcBorders>
            <w:noWrap/>
            <w:vAlign w:val="center"/>
            <w:hideMark/>
          </w:tcPr>
          <w:p w14:paraId="265423D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04F04A2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11585EA2"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-0.9%</w:t>
            </w:r>
          </w:p>
        </w:tc>
        <w:tc>
          <w:tcPr>
            <w:tcW w:w="625" w:type="pct"/>
            <w:tcBorders>
              <w:top w:val="nil"/>
              <w:left w:val="nil"/>
              <w:bottom w:val="single" w:sz="4" w:space="0" w:color="auto"/>
              <w:right w:val="single" w:sz="4" w:space="0" w:color="auto"/>
            </w:tcBorders>
            <w:noWrap/>
            <w:vAlign w:val="center"/>
            <w:hideMark/>
          </w:tcPr>
          <w:p w14:paraId="0633186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2.1%</w:t>
            </w:r>
          </w:p>
        </w:tc>
        <w:tc>
          <w:tcPr>
            <w:tcW w:w="625" w:type="pct"/>
            <w:tcBorders>
              <w:top w:val="nil"/>
              <w:left w:val="nil"/>
              <w:bottom w:val="single" w:sz="4" w:space="0" w:color="auto"/>
              <w:right w:val="single" w:sz="4" w:space="0" w:color="auto"/>
            </w:tcBorders>
            <w:noWrap/>
            <w:vAlign w:val="center"/>
            <w:hideMark/>
          </w:tcPr>
          <w:p w14:paraId="713B55E5"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0.3%</w:t>
            </w:r>
          </w:p>
        </w:tc>
        <w:tc>
          <w:tcPr>
            <w:tcW w:w="625" w:type="pct"/>
            <w:tcBorders>
              <w:top w:val="nil"/>
              <w:left w:val="nil"/>
              <w:bottom w:val="single" w:sz="4" w:space="0" w:color="auto"/>
              <w:right w:val="single" w:sz="4" w:space="0" w:color="auto"/>
            </w:tcBorders>
            <w:noWrap/>
            <w:vAlign w:val="center"/>
            <w:hideMark/>
          </w:tcPr>
          <w:p w14:paraId="0C5B1A6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-6.2%</w:t>
            </w:r>
          </w:p>
        </w:tc>
        <w:tc>
          <w:tcPr>
            <w:tcW w:w="625" w:type="pct"/>
            <w:tcBorders>
              <w:top w:val="nil"/>
              <w:left w:val="nil"/>
              <w:bottom w:val="single" w:sz="4" w:space="0" w:color="auto"/>
              <w:right w:val="single" w:sz="4" w:space="0" w:color="auto"/>
            </w:tcBorders>
            <w:noWrap/>
            <w:vAlign w:val="center"/>
            <w:hideMark/>
          </w:tcPr>
          <w:p w14:paraId="1E1147D3"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w:t>
            </w:r>
          </w:p>
        </w:tc>
      </w:tr>
      <w:tr w:rsidR="002733B7" w:rsidRPr="00E65A4C" w14:paraId="34B7FE6E"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67754893"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196E304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w:t>
            </w:r>
          </w:p>
        </w:tc>
        <w:tc>
          <w:tcPr>
            <w:tcW w:w="625" w:type="pct"/>
            <w:tcBorders>
              <w:top w:val="nil"/>
              <w:left w:val="nil"/>
              <w:bottom w:val="single" w:sz="4" w:space="0" w:color="auto"/>
              <w:right w:val="single" w:sz="4" w:space="0" w:color="auto"/>
            </w:tcBorders>
            <w:noWrap/>
            <w:vAlign w:val="center"/>
            <w:hideMark/>
          </w:tcPr>
          <w:p w14:paraId="333EFDD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129C159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08F51375"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3CF81B9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154635A9"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41855FC6"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r>
      <w:tr w:rsidR="002733B7" w:rsidRPr="00E65A4C" w14:paraId="2DEA5B56"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11A89117"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0AD2CBA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53DB1377"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1686A19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0.8%</w:t>
            </w:r>
          </w:p>
        </w:tc>
        <w:tc>
          <w:tcPr>
            <w:tcW w:w="625" w:type="pct"/>
            <w:tcBorders>
              <w:top w:val="nil"/>
              <w:left w:val="nil"/>
              <w:bottom w:val="single" w:sz="4" w:space="0" w:color="auto"/>
              <w:right w:val="single" w:sz="4" w:space="0" w:color="auto"/>
            </w:tcBorders>
            <w:noWrap/>
            <w:vAlign w:val="center"/>
            <w:hideMark/>
          </w:tcPr>
          <w:p w14:paraId="45F2AE4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-2.1%</w:t>
            </w:r>
          </w:p>
        </w:tc>
        <w:tc>
          <w:tcPr>
            <w:tcW w:w="625" w:type="pct"/>
            <w:tcBorders>
              <w:top w:val="nil"/>
              <w:left w:val="nil"/>
              <w:bottom w:val="single" w:sz="4" w:space="0" w:color="auto"/>
              <w:right w:val="single" w:sz="4" w:space="0" w:color="auto"/>
            </w:tcBorders>
            <w:noWrap/>
            <w:vAlign w:val="center"/>
            <w:hideMark/>
          </w:tcPr>
          <w:p w14:paraId="0A155E2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-0.2%</w:t>
            </w:r>
          </w:p>
        </w:tc>
        <w:tc>
          <w:tcPr>
            <w:tcW w:w="625" w:type="pct"/>
            <w:tcBorders>
              <w:top w:val="nil"/>
              <w:left w:val="nil"/>
              <w:bottom w:val="single" w:sz="4" w:space="0" w:color="auto"/>
              <w:right w:val="single" w:sz="4" w:space="0" w:color="auto"/>
            </w:tcBorders>
            <w:noWrap/>
            <w:vAlign w:val="center"/>
            <w:hideMark/>
          </w:tcPr>
          <w:p w14:paraId="70CA792D"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6.2%</w:t>
            </w:r>
          </w:p>
        </w:tc>
        <w:tc>
          <w:tcPr>
            <w:tcW w:w="625" w:type="pct"/>
            <w:tcBorders>
              <w:top w:val="nil"/>
              <w:left w:val="nil"/>
              <w:bottom w:val="single" w:sz="4" w:space="0" w:color="auto"/>
              <w:right w:val="single" w:sz="4" w:space="0" w:color="auto"/>
            </w:tcBorders>
            <w:noWrap/>
            <w:vAlign w:val="center"/>
            <w:hideMark/>
          </w:tcPr>
          <w:p w14:paraId="2297A03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0.4%</w:t>
            </w:r>
          </w:p>
        </w:tc>
      </w:tr>
      <w:tr w:rsidR="002733B7" w:rsidRPr="00E65A4C" w14:paraId="151EDFA3" w14:textId="77777777" w:rsidTr="0070230D">
        <w:trPr>
          <w:trHeight w:val="354"/>
        </w:trPr>
        <w:tc>
          <w:tcPr>
            <w:tcW w:w="748" w:type="pct"/>
            <w:vMerge w:val="restart"/>
            <w:tcBorders>
              <w:top w:val="nil"/>
              <w:left w:val="single" w:sz="4" w:space="0" w:color="auto"/>
              <w:bottom w:val="single" w:sz="4" w:space="0" w:color="auto"/>
              <w:right w:val="single" w:sz="4" w:space="0" w:color="auto"/>
            </w:tcBorders>
            <w:noWrap/>
            <w:vAlign w:val="center"/>
            <w:hideMark/>
          </w:tcPr>
          <w:p w14:paraId="11A464CA" w14:textId="5152BC47" w:rsidR="002733B7"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Change rate on virgin material input</w:t>
            </w:r>
          </w:p>
          <w:p w14:paraId="12BEC7AA" w14:textId="026C5924"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 2050)</w:t>
            </w:r>
          </w:p>
        </w:tc>
        <w:tc>
          <w:tcPr>
            <w:tcW w:w="501" w:type="pct"/>
            <w:tcBorders>
              <w:top w:val="nil"/>
              <w:left w:val="nil"/>
              <w:bottom w:val="single" w:sz="4" w:space="0" w:color="auto"/>
              <w:right w:val="single" w:sz="4" w:space="0" w:color="auto"/>
            </w:tcBorders>
            <w:noWrap/>
            <w:vAlign w:val="center"/>
            <w:hideMark/>
          </w:tcPr>
          <w:p w14:paraId="3BFE7AE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2CBEE2D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3210240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11.5%</w:t>
            </w:r>
          </w:p>
        </w:tc>
        <w:tc>
          <w:tcPr>
            <w:tcW w:w="625" w:type="pct"/>
            <w:tcBorders>
              <w:top w:val="nil"/>
              <w:left w:val="nil"/>
              <w:bottom w:val="single" w:sz="4" w:space="0" w:color="auto"/>
              <w:right w:val="single" w:sz="4" w:space="0" w:color="auto"/>
            </w:tcBorders>
            <w:noWrap/>
            <w:vAlign w:val="center"/>
            <w:hideMark/>
          </w:tcPr>
          <w:p w14:paraId="3043BC13"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7.0%</w:t>
            </w:r>
          </w:p>
        </w:tc>
        <w:tc>
          <w:tcPr>
            <w:tcW w:w="625" w:type="pct"/>
            <w:tcBorders>
              <w:top w:val="nil"/>
              <w:left w:val="nil"/>
              <w:bottom w:val="single" w:sz="4" w:space="0" w:color="auto"/>
              <w:right w:val="single" w:sz="4" w:space="0" w:color="auto"/>
            </w:tcBorders>
            <w:noWrap/>
            <w:vAlign w:val="center"/>
            <w:hideMark/>
          </w:tcPr>
          <w:p w14:paraId="3192E4F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w:t>
            </w:r>
          </w:p>
        </w:tc>
        <w:tc>
          <w:tcPr>
            <w:tcW w:w="625" w:type="pct"/>
            <w:tcBorders>
              <w:top w:val="nil"/>
              <w:left w:val="nil"/>
              <w:bottom w:val="single" w:sz="4" w:space="0" w:color="auto"/>
              <w:right w:val="single" w:sz="4" w:space="0" w:color="auto"/>
            </w:tcBorders>
            <w:noWrap/>
            <w:vAlign w:val="center"/>
            <w:hideMark/>
          </w:tcPr>
          <w:p w14:paraId="6B66BD2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-6.7%</w:t>
            </w:r>
          </w:p>
        </w:tc>
        <w:tc>
          <w:tcPr>
            <w:tcW w:w="625" w:type="pct"/>
            <w:tcBorders>
              <w:top w:val="nil"/>
              <w:left w:val="nil"/>
              <w:bottom w:val="single" w:sz="4" w:space="0" w:color="auto"/>
              <w:right w:val="single" w:sz="4" w:space="0" w:color="auto"/>
            </w:tcBorders>
            <w:noWrap/>
            <w:vAlign w:val="center"/>
            <w:hideMark/>
          </w:tcPr>
          <w:p w14:paraId="5F748BAA"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w:t>
            </w:r>
          </w:p>
        </w:tc>
      </w:tr>
      <w:tr w:rsidR="002733B7" w:rsidRPr="00E65A4C" w14:paraId="3AEDFC1B"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5C7632C0"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3D85D4F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w:t>
            </w:r>
          </w:p>
        </w:tc>
        <w:tc>
          <w:tcPr>
            <w:tcW w:w="625" w:type="pct"/>
            <w:tcBorders>
              <w:top w:val="nil"/>
              <w:left w:val="nil"/>
              <w:bottom w:val="single" w:sz="4" w:space="0" w:color="auto"/>
              <w:right w:val="single" w:sz="4" w:space="0" w:color="auto"/>
            </w:tcBorders>
            <w:noWrap/>
            <w:vAlign w:val="center"/>
            <w:hideMark/>
          </w:tcPr>
          <w:p w14:paraId="524863D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3E2C2ED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400CC25F"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4489841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6A9C3393"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05737F79"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r>
      <w:tr w:rsidR="002733B7" w:rsidRPr="00E65A4C" w14:paraId="01C236CC"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56ED65A8"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6C61D3A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000227B5"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6DBA0379"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-10.7%</w:t>
            </w:r>
          </w:p>
        </w:tc>
        <w:tc>
          <w:tcPr>
            <w:tcW w:w="625" w:type="pct"/>
            <w:tcBorders>
              <w:top w:val="nil"/>
              <w:left w:val="nil"/>
              <w:bottom w:val="single" w:sz="4" w:space="0" w:color="auto"/>
              <w:right w:val="single" w:sz="4" w:space="0" w:color="auto"/>
            </w:tcBorders>
            <w:noWrap/>
            <w:vAlign w:val="center"/>
            <w:hideMark/>
          </w:tcPr>
          <w:p w14:paraId="1424260F"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-7.0%</w:t>
            </w:r>
          </w:p>
        </w:tc>
        <w:tc>
          <w:tcPr>
            <w:tcW w:w="625" w:type="pct"/>
            <w:tcBorders>
              <w:top w:val="nil"/>
              <w:left w:val="nil"/>
              <w:bottom w:val="single" w:sz="4" w:space="0" w:color="auto"/>
              <w:right w:val="single" w:sz="4" w:space="0" w:color="auto"/>
            </w:tcBorders>
            <w:noWrap/>
            <w:vAlign w:val="center"/>
            <w:hideMark/>
          </w:tcPr>
          <w:p w14:paraId="49D4BA7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-0.1%</w:t>
            </w:r>
          </w:p>
        </w:tc>
        <w:tc>
          <w:tcPr>
            <w:tcW w:w="625" w:type="pct"/>
            <w:tcBorders>
              <w:top w:val="nil"/>
              <w:left w:val="nil"/>
              <w:bottom w:val="single" w:sz="4" w:space="0" w:color="auto"/>
              <w:right w:val="single" w:sz="4" w:space="0" w:color="auto"/>
            </w:tcBorders>
            <w:noWrap/>
            <w:vAlign w:val="center"/>
            <w:hideMark/>
          </w:tcPr>
          <w:p w14:paraId="0102E0E5"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6.7%</w:t>
            </w:r>
          </w:p>
        </w:tc>
        <w:tc>
          <w:tcPr>
            <w:tcW w:w="625" w:type="pct"/>
            <w:tcBorders>
              <w:top w:val="nil"/>
              <w:left w:val="nil"/>
              <w:bottom w:val="single" w:sz="4" w:space="0" w:color="auto"/>
              <w:right w:val="single" w:sz="4" w:space="0" w:color="auto"/>
            </w:tcBorders>
            <w:noWrap/>
            <w:vAlign w:val="center"/>
            <w:hideMark/>
          </w:tcPr>
          <w:p w14:paraId="667A6D5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1.2%</w:t>
            </w:r>
          </w:p>
        </w:tc>
      </w:tr>
      <w:tr w:rsidR="002733B7" w:rsidRPr="00E65A4C" w14:paraId="49FF4414" w14:textId="77777777" w:rsidTr="0070230D">
        <w:trPr>
          <w:trHeight w:val="354"/>
        </w:trPr>
        <w:tc>
          <w:tcPr>
            <w:tcW w:w="748" w:type="pct"/>
            <w:vMerge w:val="restart"/>
            <w:tcBorders>
              <w:top w:val="nil"/>
              <w:left w:val="single" w:sz="4" w:space="0" w:color="auto"/>
              <w:bottom w:val="single" w:sz="4" w:space="0" w:color="auto"/>
              <w:right w:val="single" w:sz="4" w:space="0" w:color="auto"/>
            </w:tcBorders>
            <w:noWrap/>
            <w:vAlign w:val="center"/>
            <w:hideMark/>
          </w:tcPr>
          <w:p w14:paraId="13B43055" w14:textId="6E0DCD87" w:rsidR="002733B7"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Change rate on circulation rate</w:t>
            </w:r>
          </w:p>
          <w:p w14:paraId="12BCDCEB" w14:textId="43118F53"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 2035)</w:t>
            </w:r>
          </w:p>
        </w:tc>
        <w:tc>
          <w:tcPr>
            <w:tcW w:w="501" w:type="pct"/>
            <w:tcBorders>
              <w:top w:val="nil"/>
              <w:left w:val="nil"/>
              <w:bottom w:val="single" w:sz="4" w:space="0" w:color="auto"/>
              <w:right w:val="single" w:sz="4" w:space="0" w:color="auto"/>
            </w:tcBorders>
            <w:noWrap/>
            <w:vAlign w:val="center"/>
            <w:hideMark/>
          </w:tcPr>
          <w:p w14:paraId="7273EEA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6498426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403773D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0.2%</w:t>
            </w:r>
          </w:p>
        </w:tc>
        <w:tc>
          <w:tcPr>
            <w:tcW w:w="625" w:type="pct"/>
            <w:tcBorders>
              <w:top w:val="nil"/>
              <w:left w:val="nil"/>
              <w:bottom w:val="single" w:sz="4" w:space="0" w:color="auto"/>
              <w:right w:val="single" w:sz="4" w:space="0" w:color="auto"/>
            </w:tcBorders>
            <w:noWrap/>
            <w:vAlign w:val="center"/>
            <w:hideMark/>
          </w:tcPr>
          <w:p w14:paraId="2A6472A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-10.0%</w:t>
            </w:r>
          </w:p>
        </w:tc>
        <w:tc>
          <w:tcPr>
            <w:tcW w:w="625" w:type="pct"/>
            <w:tcBorders>
              <w:top w:val="nil"/>
              <w:left w:val="nil"/>
              <w:bottom w:val="single" w:sz="4" w:space="0" w:color="auto"/>
              <w:right w:val="single" w:sz="4" w:space="0" w:color="auto"/>
            </w:tcBorders>
            <w:noWrap/>
            <w:vAlign w:val="center"/>
            <w:hideMark/>
          </w:tcPr>
          <w:p w14:paraId="6A8E2456"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-0.2%</w:t>
            </w:r>
          </w:p>
        </w:tc>
        <w:tc>
          <w:tcPr>
            <w:tcW w:w="625" w:type="pct"/>
            <w:tcBorders>
              <w:top w:val="nil"/>
              <w:left w:val="nil"/>
              <w:bottom w:val="single" w:sz="4" w:space="0" w:color="auto"/>
              <w:right w:val="single" w:sz="4" w:space="0" w:color="auto"/>
            </w:tcBorders>
            <w:noWrap/>
            <w:vAlign w:val="center"/>
            <w:hideMark/>
          </w:tcPr>
          <w:p w14:paraId="6A14EAA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1.1%</w:t>
            </w:r>
          </w:p>
        </w:tc>
        <w:tc>
          <w:tcPr>
            <w:tcW w:w="625" w:type="pct"/>
            <w:tcBorders>
              <w:top w:val="nil"/>
              <w:left w:val="nil"/>
              <w:bottom w:val="single" w:sz="4" w:space="0" w:color="auto"/>
              <w:right w:val="single" w:sz="4" w:space="0" w:color="auto"/>
            </w:tcBorders>
            <w:noWrap/>
            <w:vAlign w:val="center"/>
            <w:hideMark/>
          </w:tcPr>
          <w:p w14:paraId="3F7A1833"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1.9%</w:t>
            </w:r>
          </w:p>
        </w:tc>
      </w:tr>
      <w:tr w:rsidR="002733B7" w:rsidRPr="00E65A4C" w14:paraId="04ACDB94"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60E38E27"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14D154A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w:t>
            </w:r>
          </w:p>
        </w:tc>
        <w:tc>
          <w:tcPr>
            <w:tcW w:w="625" w:type="pct"/>
            <w:tcBorders>
              <w:top w:val="nil"/>
              <w:left w:val="nil"/>
              <w:bottom w:val="single" w:sz="4" w:space="0" w:color="auto"/>
              <w:right w:val="single" w:sz="4" w:space="0" w:color="auto"/>
            </w:tcBorders>
            <w:noWrap/>
            <w:vAlign w:val="center"/>
            <w:hideMark/>
          </w:tcPr>
          <w:p w14:paraId="3DAA108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404977F7"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5D8C25E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649713B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12DB420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00818A8C"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r>
      <w:tr w:rsidR="002733B7" w:rsidRPr="00E65A4C" w14:paraId="35EF5F12"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76707183" w14:textId="77777777" w:rsidR="008603F8" w:rsidRPr="00E65A4C" w:rsidRDefault="008603F8" w:rsidP="00794F66">
            <w:pPr>
              <w:spacing w:line="300" w:lineRule="exact"/>
              <w:jc w:val="center"/>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52BFB57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1FA289F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39930DB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-0.2%</w:t>
            </w:r>
          </w:p>
        </w:tc>
        <w:tc>
          <w:tcPr>
            <w:tcW w:w="625" w:type="pct"/>
            <w:tcBorders>
              <w:top w:val="nil"/>
              <w:left w:val="nil"/>
              <w:bottom w:val="single" w:sz="4" w:space="0" w:color="auto"/>
              <w:right w:val="single" w:sz="4" w:space="0" w:color="auto"/>
            </w:tcBorders>
            <w:noWrap/>
            <w:vAlign w:val="center"/>
            <w:hideMark/>
          </w:tcPr>
          <w:p w14:paraId="5980EDAE"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10.0%</w:t>
            </w:r>
          </w:p>
        </w:tc>
        <w:tc>
          <w:tcPr>
            <w:tcW w:w="625" w:type="pct"/>
            <w:tcBorders>
              <w:top w:val="nil"/>
              <w:left w:val="nil"/>
              <w:bottom w:val="single" w:sz="4" w:space="0" w:color="auto"/>
              <w:right w:val="single" w:sz="4" w:space="0" w:color="auto"/>
            </w:tcBorders>
            <w:noWrap/>
            <w:vAlign w:val="center"/>
            <w:hideMark/>
          </w:tcPr>
          <w:p w14:paraId="422B16C2"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0.2%</w:t>
            </w:r>
          </w:p>
        </w:tc>
        <w:tc>
          <w:tcPr>
            <w:tcW w:w="625" w:type="pct"/>
            <w:tcBorders>
              <w:top w:val="nil"/>
              <w:left w:val="nil"/>
              <w:bottom w:val="single" w:sz="4" w:space="0" w:color="auto"/>
              <w:right w:val="single" w:sz="4" w:space="0" w:color="auto"/>
            </w:tcBorders>
            <w:noWrap/>
            <w:vAlign w:val="center"/>
            <w:hideMark/>
          </w:tcPr>
          <w:p w14:paraId="0A14F58F"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611D23B2"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-1.8%</w:t>
            </w:r>
          </w:p>
        </w:tc>
      </w:tr>
      <w:tr w:rsidR="002733B7" w:rsidRPr="00E65A4C" w14:paraId="4F64C9A6" w14:textId="77777777" w:rsidTr="0070230D">
        <w:trPr>
          <w:trHeight w:val="354"/>
        </w:trPr>
        <w:tc>
          <w:tcPr>
            <w:tcW w:w="748" w:type="pct"/>
            <w:vMerge w:val="restart"/>
            <w:tcBorders>
              <w:top w:val="nil"/>
              <w:left w:val="single" w:sz="4" w:space="0" w:color="auto"/>
              <w:bottom w:val="single" w:sz="4" w:space="0" w:color="auto"/>
              <w:right w:val="single" w:sz="4" w:space="0" w:color="auto"/>
            </w:tcBorders>
            <w:noWrap/>
            <w:vAlign w:val="center"/>
            <w:hideMark/>
          </w:tcPr>
          <w:p w14:paraId="0A660EC9" w14:textId="229296CD" w:rsidR="002733B7"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Change rate on circulation rate</w:t>
            </w:r>
          </w:p>
          <w:p w14:paraId="3B1F1599" w14:textId="02AEE3CE" w:rsidR="008603F8" w:rsidRPr="00E65A4C" w:rsidRDefault="008603F8" w:rsidP="00794F66">
            <w:pPr>
              <w:spacing w:line="300" w:lineRule="exact"/>
              <w:jc w:val="center"/>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 2050)</w:t>
            </w:r>
          </w:p>
        </w:tc>
        <w:tc>
          <w:tcPr>
            <w:tcW w:w="501" w:type="pct"/>
            <w:tcBorders>
              <w:top w:val="nil"/>
              <w:left w:val="nil"/>
              <w:bottom w:val="single" w:sz="4" w:space="0" w:color="auto"/>
              <w:right w:val="single" w:sz="4" w:space="0" w:color="auto"/>
            </w:tcBorders>
            <w:noWrap/>
            <w:vAlign w:val="center"/>
            <w:hideMark/>
          </w:tcPr>
          <w:p w14:paraId="328C632D"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4EC591F5"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0C7D515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-7.0%</w:t>
            </w:r>
          </w:p>
        </w:tc>
        <w:tc>
          <w:tcPr>
            <w:tcW w:w="625" w:type="pct"/>
            <w:tcBorders>
              <w:top w:val="nil"/>
              <w:left w:val="nil"/>
              <w:bottom w:val="single" w:sz="4" w:space="0" w:color="auto"/>
              <w:right w:val="single" w:sz="4" w:space="0" w:color="auto"/>
            </w:tcBorders>
            <w:noWrap/>
            <w:vAlign w:val="center"/>
            <w:hideMark/>
          </w:tcPr>
          <w:p w14:paraId="3EA5B78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-10.0%</w:t>
            </w:r>
          </w:p>
        </w:tc>
        <w:tc>
          <w:tcPr>
            <w:tcW w:w="625" w:type="pct"/>
            <w:tcBorders>
              <w:top w:val="nil"/>
              <w:left w:val="nil"/>
              <w:bottom w:val="single" w:sz="4" w:space="0" w:color="auto"/>
              <w:right w:val="single" w:sz="4" w:space="0" w:color="auto"/>
            </w:tcBorders>
            <w:noWrap/>
            <w:vAlign w:val="center"/>
            <w:hideMark/>
          </w:tcPr>
          <w:p w14:paraId="767E1F09"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0.3%</w:t>
            </w:r>
          </w:p>
        </w:tc>
        <w:tc>
          <w:tcPr>
            <w:tcW w:w="625" w:type="pct"/>
            <w:tcBorders>
              <w:top w:val="nil"/>
              <w:left w:val="nil"/>
              <w:bottom w:val="single" w:sz="4" w:space="0" w:color="auto"/>
              <w:right w:val="single" w:sz="4" w:space="0" w:color="auto"/>
            </w:tcBorders>
            <w:noWrap/>
            <w:vAlign w:val="center"/>
            <w:hideMark/>
          </w:tcPr>
          <w:p w14:paraId="5F79A589"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0.7%</w:t>
            </w:r>
          </w:p>
        </w:tc>
        <w:tc>
          <w:tcPr>
            <w:tcW w:w="625" w:type="pct"/>
            <w:tcBorders>
              <w:top w:val="nil"/>
              <w:left w:val="nil"/>
              <w:bottom w:val="single" w:sz="4" w:space="0" w:color="auto"/>
              <w:right w:val="single" w:sz="4" w:space="0" w:color="auto"/>
            </w:tcBorders>
            <w:noWrap/>
            <w:vAlign w:val="center"/>
            <w:hideMark/>
          </w:tcPr>
          <w:p w14:paraId="58D06FF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1.7%</w:t>
            </w:r>
          </w:p>
        </w:tc>
      </w:tr>
      <w:tr w:rsidR="002733B7" w:rsidRPr="00E65A4C" w14:paraId="1FBF8B61"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6898BA7F" w14:textId="77777777" w:rsidR="008603F8" w:rsidRPr="00E65A4C" w:rsidRDefault="008603F8" w:rsidP="00794F66">
            <w:pPr>
              <w:spacing w:line="300" w:lineRule="exact"/>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46378822"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w:t>
            </w:r>
          </w:p>
        </w:tc>
        <w:tc>
          <w:tcPr>
            <w:tcW w:w="625" w:type="pct"/>
            <w:tcBorders>
              <w:top w:val="nil"/>
              <w:left w:val="nil"/>
              <w:bottom w:val="single" w:sz="4" w:space="0" w:color="auto"/>
              <w:right w:val="single" w:sz="4" w:space="0" w:color="auto"/>
            </w:tcBorders>
            <w:noWrap/>
            <w:vAlign w:val="center"/>
            <w:hideMark/>
          </w:tcPr>
          <w:p w14:paraId="5B6E4CB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318172C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4E1C1607"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2685E21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793E3948"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c>
          <w:tcPr>
            <w:tcW w:w="625" w:type="pct"/>
            <w:tcBorders>
              <w:top w:val="nil"/>
              <w:left w:val="nil"/>
              <w:bottom w:val="single" w:sz="4" w:space="0" w:color="auto"/>
              <w:right w:val="single" w:sz="4" w:space="0" w:color="auto"/>
            </w:tcBorders>
            <w:noWrap/>
            <w:vAlign w:val="center"/>
            <w:hideMark/>
          </w:tcPr>
          <w:p w14:paraId="63286535"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0.0%</w:t>
            </w:r>
          </w:p>
        </w:tc>
      </w:tr>
      <w:tr w:rsidR="002733B7" w:rsidRPr="00E65A4C" w14:paraId="35ED39AA" w14:textId="77777777" w:rsidTr="0070230D">
        <w:trPr>
          <w:trHeight w:val="354"/>
        </w:trPr>
        <w:tc>
          <w:tcPr>
            <w:tcW w:w="748" w:type="pct"/>
            <w:vMerge/>
            <w:tcBorders>
              <w:top w:val="nil"/>
              <w:left w:val="single" w:sz="4" w:space="0" w:color="auto"/>
              <w:bottom w:val="single" w:sz="4" w:space="0" w:color="auto"/>
              <w:right w:val="single" w:sz="4" w:space="0" w:color="auto"/>
            </w:tcBorders>
            <w:vAlign w:val="center"/>
            <w:hideMark/>
          </w:tcPr>
          <w:p w14:paraId="1252DC03" w14:textId="77777777" w:rsidR="008603F8" w:rsidRPr="00E65A4C" w:rsidRDefault="008603F8" w:rsidP="00794F66">
            <w:pPr>
              <w:spacing w:line="300" w:lineRule="exact"/>
              <w:rPr>
                <w:rFonts w:ascii="Times New Roman" w:eastAsia="游ゴシック" w:hAnsi="Times New Roman" w:cs="Times New Roman"/>
                <w:color w:val="000000"/>
                <w:sz w:val="18"/>
                <w:szCs w:val="18"/>
              </w:rPr>
            </w:pPr>
          </w:p>
        </w:tc>
        <w:tc>
          <w:tcPr>
            <w:tcW w:w="501" w:type="pct"/>
            <w:tcBorders>
              <w:top w:val="nil"/>
              <w:left w:val="nil"/>
              <w:bottom w:val="single" w:sz="4" w:space="0" w:color="auto"/>
              <w:right w:val="single" w:sz="4" w:space="0" w:color="auto"/>
            </w:tcBorders>
            <w:noWrap/>
            <w:vAlign w:val="center"/>
            <w:hideMark/>
          </w:tcPr>
          <w:p w14:paraId="0FCF156B"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w:t>
            </w:r>
          </w:p>
        </w:tc>
        <w:tc>
          <w:tcPr>
            <w:tcW w:w="625" w:type="pct"/>
            <w:tcBorders>
              <w:top w:val="nil"/>
              <w:left w:val="nil"/>
              <w:bottom w:val="single" w:sz="4" w:space="0" w:color="auto"/>
              <w:right w:val="single" w:sz="4" w:space="0" w:color="auto"/>
            </w:tcBorders>
            <w:noWrap/>
            <w:vAlign w:val="center"/>
            <w:hideMark/>
          </w:tcPr>
          <w:p w14:paraId="16755170"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w:t>
            </w:r>
          </w:p>
        </w:tc>
        <w:tc>
          <w:tcPr>
            <w:tcW w:w="625" w:type="pct"/>
            <w:tcBorders>
              <w:top w:val="nil"/>
              <w:left w:val="nil"/>
              <w:bottom w:val="single" w:sz="4" w:space="0" w:color="auto"/>
              <w:right w:val="single" w:sz="4" w:space="0" w:color="auto"/>
            </w:tcBorders>
            <w:noWrap/>
            <w:vAlign w:val="center"/>
            <w:hideMark/>
          </w:tcPr>
          <w:p w14:paraId="2DC1E59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7.4%</w:t>
            </w:r>
          </w:p>
        </w:tc>
        <w:tc>
          <w:tcPr>
            <w:tcW w:w="625" w:type="pct"/>
            <w:tcBorders>
              <w:top w:val="nil"/>
              <w:left w:val="nil"/>
              <w:bottom w:val="single" w:sz="4" w:space="0" w:color="auto"/>
              <w:right w:val="single" w:sz="4" w:space="0" w:color="auto"/>
            </w:tcBorders>
            <w:noWrap/>
            <w:vAlign w:val="center"/>
            <w:hideMark/>
          </w:tcPr>
          <w:p w14:paraId="0290C82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10.0%</w:t>
            </w:r>
          </w:p>
        </w:tc>
        <w:tc>
          <w:tcPr>
            <w:tcW w:w="625" w:type="pct"/>
            <w:tcBorders>
              <w:top w:val="nil"/>
              <w:left w:val="nil"/>
              <w:bottom w:val="single" w:sz="4" w:space="0" w:color="auto"/>
              <w:right w:val="single" w:sz="4" w:space="0" w:color="auto"/>
            </w:tcBorders>
            <w:noWrap/>
            <w:vAlign w:val="center"/>
            <w:hideMark/>
          </w:tcPr>
          <w:p w14:paraId="075AC61A"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-0.2%</w:t>
            </w:r>
          </w:p>
        </w:tc>
        <w:tc>
          <w:tcPr>
            <w:tcW w:w="625" w:type="pct"/>
            <w:tcBorders>
              <w:top w:val="nil"/>
              <w:left w:val="nil"/>
              <w:bottom w:val="single" w:sz="4" w:space="0" w:color="auto"/>
              <w:right w:val="single" w:sz="4" w:space="0" w:color="auto"/>
            </w:tcBorders>
            <w:noWrap/>
            <w:vAlign w:val="center"/>
            <w:hideMark/>
          </w:tcPr>
          <w:p w14:paraId="406E8FB1"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-0.6%</w:t>
            </w:r>
          </w:p>
        </w:tc>
        <w:tc>
          <w:tcPr>
            <w:tcW w:w="625" w:type="pct"/>
            <w:tcBorders>
              <w:top w:val="nil"/>
              <w:left w:val="nil"/>
              <w:bottom w:val="single" w:sz="4" w:space="0" w:color="auto"/>
              <w:right w:val="single" w:sz="4" w:space="0" w:color="auto"/>
            </w:tcBorders>
            <w:noWrap/>
            <w:vAlign w:val="center"/>
            <w:hideMark/>
          </w:tcPr>
          <w:p w14:paraId="6C8B4544" w14:textId="77777777" w:rsidR="008603F8" w:rsidRPr="00E65A4C" w:rsidRDefault="008603F8" w:rsidP="00794F66">
            <w:pPr>
              <w:spacing w:line="300" w:lineRule="exact"/>
              <w:jc w:val="right"/>
              <w:rPr>
                <w:rFonts w:ascii="Times New Roman" w:eastAsia="游ゴシック" w:hAnsi="Times New Roman" w:cs="Times New Roman"/>
                <w:color w:val="000000"/>
                <w:sz w:val="18"/>
                <w:szCs w:val="18"/>
              </w:rPr>
            </w:pPr>
            <w:r w:rsidRPr="00E65A4C">
              <w:rPr>
                <w:rFonts w:ascii="Times New Roman" w:eastAsia="游ゴシック" w:hAnsi="Times New Roman" w:cs="Times New Roman"/>
                <w:color w:val="000000"/>
                <w:sz w:val="18"/>
                <w:szCs w:val="18"/>
              </w:rPr>
              <w:t>-1.7%</w:t>
            </w:r>
          </w:p>
        </w:tc>
      </w:tr>
    </w:tbl>
    <w:p w14:paraId="57C455DC" w14:textId="77777777" w:rsidR="00981C9B" w:rsidRPr="00981C9B" w:rsidRDefault="00981C9B" w:rsidP="00121FD3">
      <w:pPr>
        <w:rPr>
          <w:rFonts w:ascii="Times New Roman" w:eastAsiaTheme="minorEastAsia" w:hAnsi="Times New Roman" w:cs="Times New Roman"/>
          <w:color w:val="000000"/>
          <w:sz w:val="21"/>
          <w:szCs w:val="18"/>
        </w:rPr>
      </w:pPr>
    </w:p>
    <w:p w14:paraId="11D05114" w14:textId="77777777" w:rsidR="00981C9B" w:rsidRPr="00B95756" w:rsidRDefault="00981C9B" w:rsidP="00121FD3">
      <w:pPr>
        <w:rPr>
          <w:rFonts w:ascii="Times New Roman" w:eastAsiaTheme="minorEastAsia" w:hAnsi="Times New Roman" w:cs="Times New Roman"/>
          <w:color w:val="000000"/>
          <w:sz w:val="21"/>
          <w:szCs w:val="18"/>
        </w:rPr>
      </w:pPr>
    </w:p>
    <w:p w14:paraId="275DF20E" w14:textId="528ECD49" w:rsidR="00B21629" w:rsidRPr="00B21629" w:rsidRDefault="00711DCB" w:rsidP="00121FD3">
      <w:pPr>
        <w:rPr>
          <w:rFonts w:ascii="Times New Roman" w:eastAsiaTheme="minorEastAsia" w:hAnsi="Times New Roman" w:cs="Times New Roman"/>
          <w:color w:val="000000"/>
          <w:szCs w:val="21"/>
        </w:rPr>
      </w:pPr>
      <w:r w:rsidRPr="00711DCB">
        <w:rPr>
          <w:rFonts w:ascii="Times New Roman" w:eastAsiaTheme="minorEastAsia" w:hAnsi="Times New Roman" w:cs="Times New Roman"/>
          <w:noProof/>
          <w:color w:val="000000"/>
          <w:szCs w:val="21"/>
        </w:rPr>
        <w:lastRenderedPageBreak/>
        <w:drawing>
          <wp:inline distT="0" distB="0" distL="0" distR="0" wp14:anchorId="4B66569E" wp14:editId="5765F719">
            <wp:extent cx="5400040" cy="3636645"/>
            <wp:effectExtent l="0" t="0" r="0" b="1905"/>
            <wp:docPr id="28" name="図 27" descr="グラフ, 折れ線グラフ&#10;&#10;自動的に生成された説明">
              <a:extLst xmlns:a="http://schemas.openxmlformats.org/drawingml/2006/main">
                <a:ext uri="{FF2B5EF4-FFF2-40B4-BE49-F238E27FC236}">
                  <a16:creationId xmlns:a16="http://schemas.microsoft.com/office/drawing/2014/main" id="{2DBAD71A-CF1F-A6CE-6E56-1EE7081E3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descr="グラフ, 折れ線グラフ&#10;&#10;自動的に生成された説明">
                      <a:extLst>
                        <a:ext uri="{FF2B5EF4-FFF2-40B4-BE49-F238E27FC236}">
                          <a16:creationId xmlns:a16="http://schemas.microsoft.com/office/drawing/2014/main" id="{2DBAD71A-CF1F-A6CE-6E56-1EE7081E3626}"/>
                        </a:ext>
                      </a:extLst>
                    </pic:cNvPr>
                    <pic:cNvPicPr>
                      <a:picLocks noChangeAspect="1"/>
                    </pic:cNvPicPr>
                  </pic:nvPicPr>
                  <pic:blipFill>
                    <a:blip r:embed="rId62"/>
                    <a:stretch>
                      <a:fillRect/>
                    </a:stretch>
                  </pic:blipFill>
                  <pic:spPr>
                    <a:xfrm>
                      <a:off x="0" y="0"/>
                      <a:ext cx="5400040" cy="3636645"/>
                    </a:xfrm>
                    <a:prstGeom prst="rect">
                      <a:avLst/>
                    </a:prstGeom>
                  </pic:spPr>
                </pic:pic>
              </a:graphicData>
            </a:graphic>
          </wp:inline>
        </w:drawing>
      </w:r>
    </w:p>
    <w:p w14:paraId="2780EAA2" w14:textId="0849377F" w:rsidR="00623CD6" w:rsidRPr="00D951CB" w:rsidRDefault="00623CD6" w:rsidP="00623CD6">
      <w:pPr>
        <w:pStyle w:val="af"/>
        <w:jc w:val="center"/>
        <w:rPr>
          <w:rFonts w:ascii="Times New Roman" w:eastAsia="DengXian" w:hAnsi="Times New Roman" w:cs="Times New Roman"/>
          <w:lang w:eastAsia="zh-CN"/>
        </w:rPr>
      </w:pPr>
      <w:bookmarkStart w:id="88" w:name="_Toc208439507"/>
      <w:bookmarkStart w:id="89" w:name="_Hlk199864483"/>
      <w:r w:rsidRPr="00D951CB">
        <w:rPr>
          <w:rFonts w:ascii="Times New Roman" w:eastAsia="Microsoft YaHei" w:hAnsi="Times New Roman" w:cs="Times New Roman"/>
          <w:lang w:eastAsia="zh-CN"/>
        </w:rPr>
        <w:t>Figure</w:t>
      </w:r>
      <w:r w:rsidRPr="00D951CB">
        <w:rPr>
          <w:rFonts w:ascii="Times New Roman" w:hAnsi="Times New Roman" w:cs="Times New Roman"/>
        </w:rPr>
        <w:t xml:space="preserve"> </w:t>
      </w:r>
      <w:r w:rsidRPr="00D951CB">
        <w:rPr>
          <w:rFonts w:ascii="Times New Roman" w:eastAsia="DengXian" w:hAnsi="Times New Roman" w:cs="Times New Roman"/>
          <w:lang w:eastAsia="zh-CN"/>
        </w:rPr>
        <w:t>S</w:t>
      </w:r>
      <w:r w:rsidRPr="00D951CB">
        <w:rPr>
          <w:rFonts w:ascii="Times New Roman" w:hAnsi="Times New Roman" w:cs="Times New Roman"/>
        </w:rPr>
        <w:fldChar w:fldCharType="begin"/>
      </w:r>
      <w:r w:rsidRPr="00D951CB">
        <w:rPr>
          <w:rFonts w:ascii="Times New Roman" w:hAnsi="Times New Roman" w:cs="Times New Roman"/>
        </w:rPr>
        <w:instrText xml:space="preserve"> SEQ </w:instrText>
      </w:r>
      <w:r w:rsidRPr="00D951CB">
        <w:rPr>
          <w:rFonts w:ascii="Times New Roman" w:eastAsia="Microsoft YaHei" w:hAnsi="Times New Roman" w:cs="Times New Roman"/>
        </w:rPr>
        <w:instrText>图</w:instrText>
      </w:r>
      <w:r w:rsidRPr="00D951CB">
        <w:rPr>
          <w:rFonts w:ascii="Times New Roman" w:hAnsi="Times New Roman" w:cs="Times New Roman"/>
        </w:rPr>
        <w:instrText>表</w:instrText>
      </w:r>
      <w:r w:rsidRPr="00D951CB">
        <w:rPr>
          <w:rFonts w:ascii="Times New Roman" w:hAnsi="Times New Roman" w:cs="Times New Roman"/>
        </w:rPr>
        <w:instrText xml:space="preserve"> \* ARABIC </w:instrText>
      </w:r>
      <w:r w:rsidRPr="00D951CB">
        <w:rPr>
          <w:rFonts w:ascii="Times New Roman" w:hAnsi="Times New Roman" w:cs="Times New Roman"/>
        </w:rPr>
        <w:fldChar w:fldCharType="separate"/>
      </w:r>
      <w:r w:rsidR="00571F91">
        <w:rPr>
          <w:rFonts w:ascii="Times New Roman" w:hAnsi="Times New Roman" w:cs="Times New Roman"/>
          <w:noProof/>
        </w:rPr>
        <w:t>41</w:t>
      </w:r>
      <w:r w:rsidRPr="00D951CB">
        <w:rPr>
          <w:rFonts w:ascii="Times New Roman" w:hAnsi="Times New Roman" w:cs="Times New Roman"/>
        </w:rPr>
        <w:fldChar w:fldCharType="end"/>
      </w:r>
      <w:r w:rsidRPr="00D951CB">
        <w:rPr>
          <w:rFonts w:ascii="Times New Roman" w:hAnsi="Times New Roman" w:cs="Times New Roman"/>
        </w:rPr>
        <w:t xml:space="preserve">. </w:t>
      </w:r>
      <w:r w:rsidR="00D951CB" w:rsidRPr="00D951CB">
        <w:rPr>
          <w:rFonts w:ascii="Times New Roman" w:eastAsiaTheme="minorEastAsia" w:hAnsi="Times New Roman" w:cs="Times New Roman" w:hint="eastAsia"/>
        </w:rPr>
        <w:t>Sensitivity analysis on virgin material input and inflow circulation rate</w:t>
      </w:r>
      <w:r w:rsidRPr="00D951CB">
        <w:rPr>
          <w:rFonts w:ascii="Times New Roman" w:hAnsi="Times New Roman" w:cs="Times New Roman"/>
        </w:rPr>
        <w:t>.</w:t>
      </w:r>
      <w:bookmarkEnd w:id="88"/>
    </w:p>
    <w:bookmarkEnd w:id="89"/>
    <w:p w14:paraId="69F160A4" w14:textId="77777777" w:rsidR="002D3A02" w:rsidRDefault="002D3A02">
      <w:pPr>
        <w:rPr>
          <w:rFonts w:ascii="Times New Roman" w:hAnsi="Times New Roman" w:cs="Times New Roman"/>
        </w:rPr>
      </w:pPr>
    </w:p>
    <w:p w14:paraId="58C77839" w14:textId="77777777" w:rsidR="002D3A02" w:rsidRPr="000F62FA" w:rsidRDefault="002D3A02">
      <w:pPr>
        <w:rPr>
          <w:rFonts w:ascii="Times New Roman" w:hAnsi="Times New Roman" w:cs="Times New Roman"/>
        </w:rPr>
      </w:pPr>
    </w:p>
    <w:p w14:paraId="45DE898F" w14:textId="7D3E8140" w:rsidR="003E6412" w:rsidRPr="000F62FA" w:rsidRDefault="007F485F" w:rsidP="00A637C6">
      <w:pPr>
        <w:pStyle w:val="1"/>
        <w:rPr>
          <w:rFonts w:cs="Times New Roman"/>
          <w:lang w:eastAsia="zh-CN"/>
        </w:rPr>
      </w:pPr>
      <w:bookmarkStart w:id="90" w:name="_Toc199865027"/>
      <w:r w:rsidRPr="000F62FA">
        <w:rPr>
          <w:rFonts w:cs="Times New Roman"/>
          <w:lang w:eastAsia="zh-CN"/>
        </w:rPr>
        <w:t>Reference</w:t>
      </w:r>
      <w:r w:rsidR="00EF68AA">
        <w:rPr>
          <w:rFonts w:eastAsia="DengXian" w:cs="Times New Roman" w:hint="eastAsia"/>
          <w:lang w:eastAsia="zh-CN"/>
        </w:rPr>
        <w:t>s</w:t>
      </w:r>
      <w:r w:rsidRPr="000F62FA">
        <w:rPr>
          <w:rFonts w:cs="Times New Roman"/>
          <w:lang w:eastAsia="zh-CN"/>
        </w:rPr>
        <w:t>:</w:t>
      </w:r>
      <w:bookmarkEnd w:id="90"/>
    </w:p>
    <w:p w14:paraId="69B44250" w14:textId="77777777" w:rsidR="003E6412" w:rsidRPr="000F62FA" w:rsidRDefault="003E6412">
      <w:pPr>
        <w:rPr>
          <w:rFonts w:ascii="Times New Roman" w:hAnsi="Times New Roman" w:cs="Times New Roman"/>
        </w:rPr>
      </w:pPr>
    </w:p>
    <w:p w14:paraId="3EAA2173" w14:textId="0A2CAC5D" w:rsidR="00450688" w:rsidRPr="00450688" w:rsidRDefault="003E6412" w:rsidP="00450688">
      <w:pPr>
        <w:pStyle w:val="EndNoteBibliography"/>
        <w:ind w:left="720" w:hanging="720"/>
      </w:pPr>
      <w:r w:rsidRPr="000F62FA">
        <w:rPr>
          <w:rFonts w:ascii="Times New Roman" w:hAnsi="Times New Roman" w:cs="Times New Roman"/>
        </w:rPr>
        <w:fldChar w:fldCharType="begin"/>
      </w:r>
      <w:r w:rsidRPr="000F62FA">
        <w:rPr>
          <w:rFonts w:ascii="Times New Roman" w:hAnsi="Times New Roman" w:cs="Times New Roman"/>
        </w:rPr>
        <w:instrText xml:space="preserve"> ADDIN EN.REFLIST </w:instrText>
      </w:r>
      <w:r w:rsidRPr="000F62FA">
        <w:rPr>
          <w:rFonts w:ascii="Times New Roman" w:hAnsi="Times New Roman" w:cs="Times New Roman"/>
        </w:rPr>
        <w:fldChar w:fldCharType="separate"/>
      </w:r>
      <w:r w:rsidR="00450688" w:rsidRPr="00450688">
        <w:t>1</w:t>
      </w:r>
      <w:r w:rsidR="00450688" w:rsidRPr="00450688">
        <w:tab/>
        <w:t>Xu, C. J.</w:t>
      </w:r>
      <w:r w:rsidR="00450688" w:rsidRPr="00450688">
        <w:rPr>
          <w:i/>
        </w:rPr>
        <w:t xml:space="preserve"> et al.</w:t>
      </w:r>
      <w:r w:rsidR="00450688" w:rsidRPr="00450688">
        <w:t xml:space="preserve"> Future material demand for automotive lithium-based batteries. </w:t>
      </w:r>
      <w:r w:rsidR="00450688" w:rsidRPr="00450688">
        <w:rPr>
          <w:i/>
        </w:rPr>
        <w:t>Commun Mater</w:t>
      </w:r>
      <w:r w:rsidR="00450688" w:rsidRPr="00450688">
        <w:t xml:space="preserve"> </w:t>
      </w:r>
      <w:r w:rsidR="00450688" w:rsidRPr="00450688">
        <w:rPr>
          <w:b/>
        </w:rPr>
        <w:t>1</w:t>
      </w:r>
      <w:r w:rsidR="00450688" w:rsidRPr="00450688">
        <w:t xml:space="preserve"> (2020). </w:t>
      </w:r>
      <w:hyperlink r:id="rId63" w:history="1">
        <w:r w:rsidR="00450688" w:rsidRPr="00450688">
          <w:rPr>
            <w:rStyle w:val="aa"/>
          </w:rPr>
          <w:t>https://doi.org/10.1038/s43246-020-00095-x</w:t>
        </w:r>
      </w:hyperlink>
    </w:p>
    <w:p w14:paraId="069AC2F0" w14:textId="77777777" w:rsidR="00450688" w:rsidRPr="00450688" w:rsidRDefault="00450688" w:rsidP="00450688">
      <w:pPr>
        <w:pStyle w:val="EndNoteBibliography"/>
        <w:ind w:left="720" w:hanging="720"/>
      </w:pPr>
      <w:r w:rsidRPr="00450688">
        <w:t>2</w:t>
      </w:r>
      <w:r w:rsidRPr="00450688">
        <w:tab/>
        <w:t>JAMA. Transitioning to Carbon Neutrality by 2050: A Scenario-Based Analysis. (Japan Automobile Manufacturers Association (JAMA), Tokyo, 2022).</w:t>
      </w:r>
    </w:p>
    <w:p w14:paraId="637EC2EB" w14:textId="77777777" w:rsidR="00450688" w:rsidRPr="00450688" w:rsidRDefault="00450688" w:rsidP="00450688">
      <w:pPr>
        <w:pStyle w:val="EndNoteBibliography"/>
        <w:ind w:left="720" w:hanging="720"/>
      </w:pPr>
      <w:r w:rsidRPr="00450688">
        <w:t>3</w:t>
      </w:r>
      <w:r w:rsidRPr="00450688">
        <w:tab/>
        <w:t>WBCSD. Circular Transition Indicators V4.0: Metrics for business, by business. (World Business Council for Sustainable Development (WBCSD), 2023).</w:t>
      </w:r>
    </w:p>
    <w:p w14:paraId="5D07566A" w14:textId="62F2F3F5" w:rsidR="00450688" w:rsidRPr="00450688" w:rsidRDefault="00450688" w:rsidP="00450688">
      <w:pPr>
        <w:pStyle w:val="EndNoteBibliography"/>
        <w:ind w:left="720" w:hanging="720"/>
      </w:pPr>
      <w:r w:rsidRPr="00450688">
        <w:t>4</w:t>
      </w:r>
      <w:r w:rsidRPr="00450688">
        <w:tab/>
        <w:t xml:space="preserve">Egbue, O. &amp; Long, S. Barriers to widespread adoption of electric vehicles: An analysis of consumer attitudes and perceptions. </w:t>
      </w:r>
      <w:r w:rsidRPr="00450688">
        <w:rPr>
          <w:i/>
        </w:rPr>
        <w:t>Energy Policy</w:t>
      </w:r>
      <w:r w:rsidRPr="00450688">
        <w:t xml:space="preserve"> </w:t>
      </w:r>
      <w:r w:rsidRPr="00450688">
        <w:rPr>
          <w:b/>
        </w:rPr>
        <w:t>48</w:t>
      </w:r>
      <w:r w:rsidRPr="00450688">
        <w:t xml:space="preserve">, 717-729 (2012). </w:t>
      </w:r>
      <w:hyperlink r:id="rId64" w:history="1">
        <w:r w:rsidRPr="00450688">
          <w:rPr>
            <w:rStyle w:val="aa"/>
          </w:rPr>
          <w:t>https://doi.org/https://doi.org/10.1016/j.enpol.2012.06.009</w:t>
        </w:r>
      </w:hyperlink>
    </w:p>
    <w:p w14:paraId="5890500B" w14:textId="77777777" w:rsidR="00450688" w:rsidRPr="00450688" w:rsidRDefault="00450688" w:rsidP="00450688">
      <w:pPr>
        <w:pStyle w:val="EndNoteBibliography"/>
        <w:ind w:left="720" w:hanging="720"/>
      </w:pPr>
      <w:r w:rsidRPr="00450688">
        <w:t>5</w:t>
      </w:r>
      <w:r w:rsidRPr="00450688">
        <w:tab/>
        <w:t xml:space="preserve">Investment, T. B. o. in </w:t>
      </w:r>
      <w:r w:rsidRPr="00450688">
        <w:rPr>
          <w:i/>
        </w:rPr>
        <w:t>BOI NEWS</w:t>
      </w:r>
      <w:r w:rsidRPr="00450688">
        <w:t xml:space="preserve">    (2023).</w:t>
      </w:r>
    </w:p>
    <w:p w14:paraId="45CBB1A9" w14:textId="57708695" w:rsidR="00450688" w:rsidRPr="00450688" w:rsidRDefault="00450688" w:rsidP="00450688">
      <w:pPr>
        <w:pStyle w:val="EndNoteBibliography"/>
        <w:ind w:left="720" w:hanging="720"/>
      </w:pPr>
      <w:r w:rsidRPr="00450688">
        <w:t>6</w:t>
      </w:r>
      <w:r w:rsidRPr="00450688">
        <w:tab/>
        <w:t>Cano, Z. P.</w:t>
      </w:r>
      <w:r w:rsidRPr="00450688">
        <w:rPr>
          <w:i/>
        </w:rPr>
        <w:t xml:space="preserve"> et al.</w:t>
      </w:r>
      <w:r w:rsidRPr="00450688">
        <w:t xml:space="preserve"> Batteries and fuel cells for emerging electric vehicle markets. </w:t>
      </w:r>
      <w:r w:rsidRPr="00450688">
        <w:rPr>
          <w:i/>
        </w:rPr>
        <w:t>Nature Energy</w:t>
      </w:r>
      <w:r w:rsidRPr="00450688">
        <w:t xml:space="preserve"> </w:t>
      </w:r>
      <w:r w:rsidRPr="00450688">
        <w:rPr>
          <w:b/>
        </w:rPr>
        <w:t>3</w:t>
      </w:r>
      <w:r w:rsidRPr="00450688">
        <w:t xml:space="preserve">, 279-289 (2018). </w:t>
      </w:r>
      <w:hyperlink r:id="rId65" w:history="1">
        <w:r w:rsidRPr="00450688">
          <w:rPr>
            <w:rStyle w:val="aa"/>
          </w:rPr>
          <w:t>https://doi.org/10.1038/s41560-018-0108-1</w:t>
        </w:r>
      </w:hyperlink>
    </w:p>
    <w:p w14:paraId="61E96E33" w14:textId="16B75A99" w:rsidR="00450688" w:rsidRPr="00450688" w:rsidRDefault="00450688" w:rsidP="00450688">
      <w:pPr>
        <w:pStyle w:val="EndNoteBibliography"/>
        <w:ind w:left="720" w:hanging="720"/>
      </w:pPr>
      <w:r w:rsidRPr="00450688">
        <w:t>7</w:t>
      </w:r>
      <w:r w:rsidRPr="00450688">
        <w:tab/>
        <w:t xml:space="preserve">IEA. Global EV Outlook 2024. (International Energy Agency (IEA), Paris, </w:t>
      </w:r>
      <w:hyperlink r:id="rId66" w:history="1">
        <w:r w:rsidRPr="00450688">
          <w:rPr>
            <w:rStyle w:val="aa"/>
          </w:rPr>
          <w:t>https://www.iea.org/reports/global-ev-outlook-2020</w:t>
        </w:r>
      </w:hyperlink>
      <w:r w:rsidRPr="00450688">
        <w:t>, 2024).</w:t>
      </w:r>
    </w:p>
    <w:p w14:paraId="695E97A9" w14:textId="77777777" w:rsidR="00450688" w:rsidRPr="00450688" w:rsidRDefault="00450688" w:rsidP="00450688">
      <w:pPr>
        <w:pStyle w:val="EndNoteBibliography"/>
        <w:ind w:left="720" w:hanging="720"/>
      </w:pPr>
      <w:r w:rsidRPr="00450688">
        <w:t>8</w:t>
      </w:r>
      <w:r w:rsidRPr="00450688">
        <w:tab/>
        <w:t>News, B.     (2023).</w:t>
      </w:r>
    </w:p>
    <w:p w14:paraId="5FE28F1E" w14:textId="21F40D86" w:rsidR="00450688" w:rsidRPr="00450688" w:rsidRDefault="00450688" w:rsidP="00450688">
      <w:pPr>
        <w:pStyle w:val="EndNoteBibliography"/>
        <w:ind w:left="720" w:hanging="720"/>
      </w:pPr>
      <w:r w:rsidRPr="00450688">
        <w:lastRenderedPageBreak/>
        <w:t>9</w:t>
      </w:r>
      <w:r w:rsidRPr="00450688">
        <w:tab/>
        <w:t xml:space="preserve">Nguyen-Tien, V., Zhang, C., Strobl, E. &amp; Elliott, R. J. R. The closing longevity gap between battery electric vehicles and internal combustion vehicles in Great Britain. </w:t>
      </w:r>
      <w:r w:rsidRPr="00450688">
        <w:rPr>
          <w:i/>
        </w:rPr>
        <w:t>Nature Energy</w:t>
      </w:r>
      <w:r w:rsidRPr="00450688">
        <w:t xml:space="preserve"> </w:t>
      </w:r>
      <w:r w:rsidRPr="00450688">
        <w:rPr>
          <w:b/>
        </w:rPr>
        <w:t>10</w:t>
      </w:r>
      <w:r w:rsidRPr="00450688">
        <w:t xml:space="preserve">, 354-364 (2025). </w:t>
      </w:r>
      <w:hyperlink r:id="rId67" w:history="1">
        <w:r w:rsidRPr="00450688">
          <w:rPr>
            <w:rStyle w:val="aa"/>
          </w:rPr>
          <w:t>https://doi.org/10.1038/s41560-024-01698-1</w:t>
        </w:r>
      </w:hyperlink>
    </w:p>
    <w:p w14:paraId="43B8C3C7" w14:textId="1BFAC215" w:rsidR="00450688" w:rsidRPr="00450688" w:rsidRDefault="00450688" w:rsidP="00450688">
      <w:pPr>
        <w:pStyle w:val="EndNoteBibliography"/>
        <w:ind w:left="720" w:hanging="720"/>
      </w:pPr>
      <w:r w:rsidRPr="00450688">
        <w:t>10</w:t>
      </w:r>
      <w:r w:rsidRPr="00450688">
        <w:tab/>
        <w:t xml:space="preserve">Janek, J. &amp; Zeier, W. G. A solid future for battery development. </w:t>
      </w:r>
      <w:r w:rsidRPr="00450688">
        <w:rPr>
          <w:i/>
        </w:rPr>
        <w:t>Nature Energy</w:t>
      </w:r>
      <w:r w:rsidRPr="00450688">
        <w:t xml:space="preserve"> </w:t>
      </w:r>
      <w:r w:rsidRPr="00450688">
        <w:rPr>
          <w:b/>
        </w:rPr>
        <w:t>1</w:t>
      </w:r>
      <w:r w:rsidRPr="00450688">
        <w:t xml:space="preserve">, 16141 (2016). </w:t>
      </w:r>
      <w:hyperlink r:id="rId68" w:history="1">
        <w:r w:rsidRPr="00450688">
          <w:rPr>
            <w:rStyle w:val="aa"/>
          </w:rPr>
          <w:t>https://doi.org/10.1038/nenergy.2016.141</w:t>
        </w:r>
      </w:hyperlink>
    </w:p>
    <w:p w14:paraId="0B617509" w14:textId="5325CC87" w:rsidR="00450688" w:rsidRPr="00450688" w:rsidRDefault="00450688" w:rsidP="00450688">
      <w:pPr>
        <w:pStyle w:val="EndNoteBibliography"/>
        <w:ind w:left="720" w:hanging="720"/>
      </w:pPr>
      <w:r w:rsidRPr="00450688">
        <w:t>11</w:t>
      </w:r>
      <w:r w:rsidRPr="00450688">
        <w:tab/>
        <w:t>Zeng, A.</w:t>
      </w:r>
      <w:r w:rsidRPr="00450688">
        <w:rPr>
          <w:i/>
        </w:rPr>
        <w:t xml:space="preserve"> et al.</w:t>
      </w:r>
      <w:r w:rsidRPr="00450688">
        <w:t xml:space="preserve"> Battery technology and recycling alone will not save the electric mobility transition from future cobalt shortages. </w:t>
      </w:r>
      <w:r w:rsidRPr="00450688">
        <w:rPr>
          <w:i/>
        </w:rPr>
        <w:t>Nature Communications</w:t>
      </w:r>
      <w:r w:rsidRPr="00450688">
        <w:t xml:space="preserve"> </w:t>
      </w:r>
      <w:r w:rsidRPr="00450688">
        <w:rPr>
          <w:b/>
        </w:rPr>
        <w:t>13</w:t>
      </w:r>
      <w:r w:rsidRPr="00450688">
        <w:t xml:space="preserve">, 1341 (2022). </w:t>
      </w:r>
      <w:hyperlink r:id="rId69" w:history="1">
        <w:r w:rsidRPr="00450688">
          <w:rPr>
            <w:rStyle w:val="aa"/>
          </w:rPr>
          <w:t>https://doi.org/10.1038/s41467-022-29022-z</w:t>
        </w:r>
      </w:hyperlink>
    </w:p>
    <w:p w14:paraId="48538826" w14:textId="1E427D4F" w:rsidR="00450688" w:rsidRPr="00450688" w:rsidRDefault="00450688" w:rsidP="00450688">
      <w:pPr>
        <w:pStyle w:val="EndNoteBibliography"/>
        <w:ind w:left="720" w:hanging="720"/>
      </w:pPr>
      <w:r w:rsidRPr="00450688">
        <w:t>12</w:t>
      </w:r>
      <w:r w:rsidRPr="00450688">
        <w:tab/>
        <w:t>Yu, Z.</w:t>
      </w:r>
      <w:r w:rsidRPr="00450688">
        <w:rPr>
          <w:i/>
        </w:rPr>
        <w:t xml:space="preserve"> et al.</w:t>
      </w:r>
      <w:r w:rsidRPr="00450688">
        <w:t xml:space="preserve"> Molecular design for electrolyte solvents enabling energy-dense and long-cycling lithium metal batteries. </w:t>
      </w:r>
      <w:r w:rsidRPr="00450688">
        <w:rPr>
          <w:i/>
        </w:rPr>
        <w:t>Nature Energy</w:t>
      </w:r>
      <w:r w:rsidRPr="00450688">
        <w:t xml:space="preserve"> </w:t>
      </w:r>
      <w:r w:rsidRPr="00450688">
        <w:rPr>
          <w:b/>
        </w:rPr>
        <w:t>5</w:t>
      </w:r>
      <w:r w:rsidRPr="00450688">
        <w:t xml:space="preserve">, 526-533 (2020). </w:t>
      </w:r>
      <w:hyperlink r:id="rId70" w:history="1">
        <w:r w:rsidRPr="00450688">
          <w:rPr>
            <w:rStyle w:val="aa"/>
          </w:rPr>
          <w:t>https://doi.org/10.1038/s41560-020-0634-5</w:t>
        </w:r>
      </w:hyperlink>
    </w:p>
    <w:p w14:paraId="1C4E6BF7" w14:textId="77777777" w:rsidR="00450688" w:rsidRPr="00450688" w:rsidRDefault="00450688" w:rsidP="00450688">
      <w:pPr>
        <w:pStyle w:val="EndNoteBibliography"/>
        <w:ind w:left="720" w:hanging="720"/>
      </w:pPr>
      <w:r w:rsidRPr="00450688">
        <w:t>13</w:t>
      </w:r>
      <w:r w:rsidRPr="00450688">
        <w:tab/>
        <w:t>METI. Presentation by the Study Group on the Sustainability of Batteries: Interim Summary. (Ministry of Economy, Trade and Industry of Japan (METI), Tokyo, 2022).</w:t>
      </w:r>
    </w:p>
    <w:p w14:paraId="19D7B716" w14:textId="77777777" w:rsidR="00450688" w:rsidRPr="00450688" w:rsidRDefault="00450688" w:rsidP="00450688">
      <w:pPr>
        <w:pStyle w:val="EndNoteBibliography"/>
        <w:ind w:left="720" w:hanging="720"/>
      </w:pPr>
      <w:r w:rsidRPr="00450688">
        <w:t>14</w:t>
      </w:r>
      <w:r w:rsidRPr="00450688">
        <w:tab/>
        <w:t>Dai, Q.</w:t>
      </w:r>
      <w:r w:rsidRPr="00450688">
        <w:rPr>
          <w:i/>
        </w:rPr>
        <w:t xml:space="preserve"> et al.</w:t>
      </w:r>
      <w:r w:rsidRPr="00450688">
        <w:t xml:space="preserve"> EverBatt: A Closed-loop Battery Recycling Cost and Environmental Impacts Model (Argonne National Laboratory).  (2019). </w:t>
      </w:r>
    </w:p>
    <w:p w14:paraId="64C0C515" w14:textId="77777777" w:rsidR="00450688" w:rsidRPr="00450688" w:rsidRDefault="00450688" w:rsidP="00450688">
      <w:pPr>
        <w:pStyle w:val="EndNoteBibliography"/>
        <w:ind w:left="720" w:hanging="720"/>
      </w:pPr>
      <w:r w:rsidRPr="00450688">
        <w:t>15</w:t>
      </w:r>
      <w:r w:rsidRPr="00450688">
        <w:tab/>
        <w:t>IRENA. Global Renewables Outlook: Energy Transformation 2050. (The International Renewable Energy Agency (IRENA), 2020).</w:t>
      </w:r>
    </w:p>
    <w:p w14:paraId="21FFB710" w14:textId="77777777" w:rsidR="00450688" w:rsidRPr="00450688" w:rsidRDefault="00450688" w:rsidP="00450688">
      <w:pPr>
        <w:pStyle w:val="EndNoteBibliography"/>
        <w:ind w:left="720" w:hanging="720"/>
      </w:pPr>
      <w:r w:rsidRPr="00450688">
        <w:t>16</w:t>
      </w:r>
      <w:r w:rsidRPr="00450688">
        <w:tab/>
        <w:t>AIRIA. The ownership of automobiles in Japan (1966-2024). (Automobile Inspection &amp; Registration Information Association (AIRIA), Tokyo, 2024).</w:t>
      </w:r>
    </w:p>
    <w:p w14:paraId="36D1B704" w14:textId="77777777" w:rsidR="00450688" w:rsidRPr="00450688" w:rsidRDefault="00450688" w:rsidP="00450688">
      <w:pPr>
        <w:pStyle w:val="EndNoteBibliography"/>
        <w:ind w:left="720" w:hanging="720"/>
      </w:pPr>
      <w:r w:rsidRPr="00450688">
        <w:t>17</w:t>
      </w:r>
      <w:r w:rsidRPr="00450688">
        <w:tab/>
        <w:t>SBJ. 2020 Population Census. (Statistics Bureau of Japan (SBJ), Tokyo, 2021).</w:t>
      </w:r>
    </w:p>
    <w:p w14:paraId="67516FE0" w14:textId="77777777" w:rsidR="00450688" w:rsidRPr="00450688" w:rsidRDefault="00450688" w:rsidP="00450688">
      <w:pPr>
        <w:pStyle w:val="EndNoteBibliography"/>
        <w:ind w:left="720" w:hanging="720"/>
      </w:pPr>
      <w:r w:rsidRPr="00450688">
        <w:t>18</w:t>
      </w:r>
      <w:r w:rsidRPr="00450688">
        <w:tab/>
        <w:t>MHLWJ. Comprehensive Survey of Living Conditions (2005-2018). (Ministry of Health, Labour and Welfare of Japan (MHLWJ), Tokyo, 2019).</w:t>
      </w:r>
    </w:p>
    <w:p w14:paraId="6F4C636A" w14:textId="77777777" w:rsidR="00450688" w:rsidRPr="00450688" w:rsidRDefault="00450688" w:rsidP="00450688">
      <w:pPr>
        <w:pStyle w:val="EndNoteBibliography"/>
        <w:ind w:left="720" w:hanging="720"/>
      </w:pPr>
      <w:r w:rsidRPr="00450688">
        <w:t>19</w:t>
      </w:r>
      <w:r w:rsidRPr="00450688">
        <w:tab/>
        <w:t>METI. Current Survey of Production 2005-2019. (Ministry of Economy, Trade and Industry of Japan (METI), Tokyo, 2020).</w:t>
      </w:r>
    </w:p>
    <w:p w14:paraId="3541195F" w14:textId="77777777" w:rsidR="00450688" w:rsidRPr="00450688" w:rsidRDefault="00450688" w:rsidP="00450688">
      <w:pPr>
        <w:pStyle w:val="EndNoteBibliography"/>
        <w:ind w:left="720" w:hanging="720"/>
      </w:pPr>
      <w:r w:rsidRPr="00450688">
        <w:t>20</w:t>
      </w:r>
      <w:r w:rsidRPr="00450688">
        <w:tab/>
        <w:t>ECOMO. Number of car-sharing members in Japan (2002-2020). (Foundation for Promoting Personal Mobility and Ecological Transportation (ECOMO), Tokyo, 2021).</w:t>
      </w:r>
    </w:p>
    <w:p w14:paraId="7E00C1CC" w14:textId="77777777" w:rsidR="00450688" w:rsidRPr="00450688" w:rsidRDefault="00450688" w:rsidP="00450688">
      <w:pPr>
        <w:pStyle w:val="EndNoteBibliography"/>
        <w:ind w:left="720" w:hanging="720"/>
      </w:pPr>
      <w:r w:rsidRPr="00450688">
        <w:t>21</w:t>
      </w:r>
      <w:r w:rsidRPr="00450688">
        <w:tab/>
        <w:t>AIRIA. Fleet composition of the passenger vehicles in Japan. (Automobile Inspection &amp; Registration Information Association, Tokyo, 2024).</w:t>
      </w:r>
    </w:p>
    <w:p w14:paraId="120DDCD2" w14:textId="77777777" w:rsidR="00450688" w:rsidRPr="00450688" w:rsidRDefault="00450688" w:rsidP="00450688">
      <w:pPr>
        <w:pStyle w:val="EndNoteBibliography"/>
        <w:ind w:left="720" w:hanging="720"/>
      </w:pPr>
      <w:r w:rsidRPr="00450688">
        <w:t>22</w:t>
      </w:r>
      <w:r w:rsidRPr="00450688">
        <w:tab/>
        <w:t>IPSS. Household Projection for Japan : 2015-2050. (National Institute of Population and Social Security Research, Tokyo, 2018).</w:t>
      </w:r>
    </w:p>
    <w:p w14:paraId="18386599" w14:textId="77777777" w:rsidR="00450688" w:rsidRPr="00450688" w:rsidRDefault="00450688" w:rsidP="00450688">
      <w:pPr>
        <w:pStyle w:val="EndNoteBibliography"/>
        <w:ind w:left="720" w:hanging="720"/>
      </w:pPr>
      <w:r w:rsidRPr="00450688">
        <w:t>23</w:t>
      </w:r>
      <w:r w:rsidRPr="00450688">
        <w:tab/>
        <w:t>IPSS. Population Projections for Japan (2021-2070). (National Institute of Population and Social Security Research (IPSS), Tokyo, 2023).</w:t>
      </w:r>
    </w:p>
    <w:p w14:paraId="65DD96EF" w14:textId="77777777" w:rsidR="00450688" w:rsidRPr="00450688" w:rsidRDefault="00450688" w:rsidP="00450688">
      <w:pPr>
        <w:pStyle w:val="EndNoteBibliography"/>
        <w:ind w:left="720" w:hanging="720"/>
      </w:pPr>
      <w:r w:rsidRPr="00450688">
        <w:t>24</w:t>
      </w:r>
      <w:r w:rsidRPr="00450688">
        <w:tab/>
        <w:t>MOF. Trade Statistics of Japan. (Ministry of Finance of Japan (MOF), Tokyo, 2024).</w:t>
      </w:r>
    </w:p>
    <w:p w14:paraId="358BC81B" w14:textId="77777777" w:rsidR="00450688" w:rsidRPr="00450688" w:rsidRDefault="00450688" w:rsidP="00450688">
      <w:pPr>
        <w:pStyle w:val="EndNoteBibliography"/>
        <w:ind w:left="720" w:hanging="720"/>
      </w:pPr>
      <w:r w:rsidRPr="00450688">
        <w:t>25</w:t>
      </w:r>
      <w:r w:rsidRPr="00450688">
        <w:tab/>
        <w:t>MRI. Social and Economic Impacts of Carbon Neutrality in 2050. (Mitsubishi Research Institute (MRI), Tokyo, 2022).</w:t>
      </w:r>
    </w:p>
    <w:p w14:paraId="2C778851" w14:textId="77777777" w:rsidR="00450688" w:rsidRPr="00450688" w:rsidRDefault="00450688" w:rsidP="00450688">
      <w:pPr>
        <w:pStyle w:val="EndNoteBibliography"/>
        <w:ind w:left="720" w:hanging="720"/>
      </w:pPr>
      <w:r w:rsidRPr="00450688">
        <w:t>26</w:t>
      </w:r>
      <w:r w:rsidRPr="00450688">
        <w:tab/>
        <w:t xml:space="preserve">METI. Green Growth Strategy Through Achieving Carbon Neutrality in 2050. (The </w:t>
      </w:r>
      <w:r w:rsidRPr="00450688">
        <w:lastRenderedPageBreak/>
        <w:t>Ministry of Economy, Trade and Industry (METI), Tokyo, 2021).</w:t>
      </w:r>
    </w:p>
    <w:p w14:paraId="45CA839D" w14:textId="77777777" w:rsidR="00450688" w:rsidRPr="00450688" w:rsidRDefault="00450688" w:rsidP="00450688">
      <w:pPr>
        <w:pStyle w:val="EndNoteBibliography"/>
        <w:ind w:left="720" w:hanging="720"/>
      </w:pPr>
      <w:r w:rsidRPr="00450688">
        <w:t>27</w:t>
      </w:r>
      <w:r w:rsidRPr="00450688">
        <w:tab/>
        <w:t>METIJ. Japan’s Roadmap to “Beyond-Zero” Carbon. (Ministry of Economy, Trade and Industry (METI) of Japan, Tokyo, 2020).</w:t>
      </w:r>
    </w:p>
    <w:p w14:paraId="3EF67221" w14:textId="72D3F32C" w:rsidR="00450688" w:rsidRPr="00450688" w:rsidRDefault="00450688" w:rsidP="00450688">
      <w:pPr>
        <w:pStyle w:val="EndNoteBibliography"/>
        <w:ind w:left="720" w:hanging="720"/>
      </w:pPr>
      <w:r w:rsidRPr="00450688">
        <w:t>28</w:t>
      </w:r>
      <w:r w:rsidRPr="00450688">
        <w:tab/>
        <w:t xml:space="preserve">Nakamura, K., Kato, H. &amp; Hayashi, Y. Forecast of Motorization Progress Considering Railway Improvement Timing In Asian Developing Mega-Cities. </w:t>
      </w:r>
      <w:r w:rsidRPr="00450688">
        <w:rPr>
          <w:i/>
        </w:rPr>
        <w:t>Journal of Japan Society of Civil Engineers, Ser. D3 (Infrastructure Planning and Management)</w:t>
      </w:r>
      <w:r w:rsidRPr="00450688">
        <w:t xml:space="preserve"> </w:t>
      </w:r>
      <w:r w:rsidRPr="00450688">
        <w:rPr>
          <w:b/>
        </w:rPr>
        <w:t>68</w:t>
      </w:r>
      <w:r w:rsidRPr="00450688">
        <w:t xml:space="preserve">, I_823-I_830 (2012). </w:t>
      </w:r>
      <w:hyperlink r:id="rId71" w:history="1">
        <w:r w:rsidRPr="00450688">
          <w:rPr>
            <w:rStyle w:val="aa"/>
          </w:rPr>
          <w:t>https://doi.org/10.2208/jscejipm.68.I_823</w:t>
        </w:r>
      </w:hyperlink>
    </w:p>
    <w:p w14:paraId="015B3B20" w14:textId="77777777" w:rsidR="00450688" w:rsidRPr="00450688" w:rsidRDefault="00450688" w:rsidP="00450688">
      <w:pPr>
        <w:pStyle w:val="EndNoteBibliography"/>
        <w:ind w:left="720" w:hanging="720"/>
      </w:pPr>
      <w:r w:rsidRPr="00450688">
        <w:t>29</w:t>
      </w:r>
      <w:r w:rsidRPr="00450688">
        <w:tab/>
        <w:t>ECOMO. Verification of the eco effects brought about from car-sharing. (Foundation for Promoting Personal Mobility and Ecological Transportation (ECOMO), Tokyo, 2013).</w:t>
      </w:r>
    </w:p>
    <w:p w14:paraId="64176977" w14:textId="0F85214D" w:rsidR="00E633E7" w:rsidRPr="000F62FA" w:rsidRDefault="003E6412" w:rsidP="00B569CC">
      <w:pPr>
        <w:ind w:left="240" w:hangingChars="100" w:hanging="240"/>
        <w:rPr>
          <w:rFonts w:ascii="Times New Roman" w:hAnsi="Times New Roman" w:cs="Times New Roman"/>
        </w:rPr>
      </w:pPr>
      <w:r w:rsidRPr="000F62FA">
        <w:rPr>
          <w:rFonts w:ascii="Times New Roman" w:hAnsi="Times New Roman" w:cs="Times New Roman"/>
        </w:rPr>
        <w:fldChar w:fldCharType="end"/>
      </w:r>
    </w:p>
    <w:sectPr w:rsidR="00E633E7" w:rsidRPr="000F62F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AA043" w14:textId="77777777" w:rsidR="00544432" w:rsidRDefault="00544432" w:rsidP="00C16495">
      <w:r>
        <w:separator/>
      </w:r>
    </w:p>
  </w:endnote>
  <w:endnote w:type="continuationSeparator" w:id="0">
    <w:p w14:paraId="3C317C2C" w14:textId="77777777" w:rsidR="00544432" w:rsidRDefault="00544432" w:rsidP="00C16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29F13" w14:textId="77777777" w:rsidR="00544432" w:rsidRDefault="00544432" w:rsidP="00C16495">
      <w:r>
        <w:separator/>
      </w:r>
    </w:p>
  </w:footnote>
  <w:footnote w:type="continuationSeparator" w:id="0">
    <w:p w14:paraId="798773B2" w14:textId="77777777" w:rsidR="00544432" w:rsidRDefault="00544432" w:rsidP="00C16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035857"/>
    <w:multiLevelType w:val="hybridMultilevel"/>
    <w:tmpl w:val="7834CD9E"/>
    <w:lvl w:ilvl="0" w:tplc="C92C5878">
      <w:start w:val="1"/>
      <w:numFmt w:val="bullet"/>
      <w:lvlText w:val=""/>
      <w:lvlJc w:val="left"/>
      <w:pPr>
        <w:tabs>
          <w:tab w:val="num" w:pos="720"/>
        </w:tabs>
        <w:ind w:left="720" w:hanging="360"/>
      </w:pPr>
      <w:rPr>
        <w:rFonts w:ascii="Wingdings" w:hAnsi="Wingdings" w:hint="default"/>
      </w:rPr>
    </w:lvl>
    <w:lvl w:ilvl="1" w:tplc="77C0621C" w:tentative="1">
      <w:start w:val="1"/>
      <w:numFmt w:val="bullet"/>
      <w:lvlText w:val=""/>
      <w:lvlJc w:val="left"/>
      <w:pPr>
        <w:tabs>
          <w:tab w:val="num" w:pos="1440"/>
        </w:tabs>
        <w:ind w:left="1440" w:hanging="360"/>
      </w:pPr>
      <w:rPr>
        <w:rFonts w:ascii="Wingdings" w:hAnsi="Wingdings" w:hint="default"/>
      </w:rPr>
    </w:lvl>
    <w:lvl w:ilvl="2" w:tplc="4CBAD640" w:tentative="1">
      <w:start w:val="1"/>
      <w:numFmt w:val="bullet"/>
      <w:lvlText w:val=""/>
      <w:lvlJc w:val="left"/>
      <w:pPr>
        <w:tabs>
          <w:tab w:val="num" w:pos="2160"/>
        </w:tabs>
        <w:ind w:left="2160" w:hanging="360"/>
      </w:pPr>
      <w:rPr>
        <w:rFonts w:ascii="Wingdings" w:hAnsi="Wingdings" w:hint="default"/>
      </w:rPr>
    </w:lvl>
    <w:lvl w:ilvl="3" w:tplc="029C9944" w:tentative="1">
      <w:start w:val="1"/>
      <w:numFmt w:val="bullet"/>
      <w:lvlText w:val=""/>
      <w:lvlJc w:val="left"/>
      <w:pPr>
        <w:tabs>
          <w:tab w:val="num" w:pos="2880"/>
        </w:tabs>
        <w:ind w:left="2880" w:hanging="360"/>
      </w:pPr>
      <w:rPr>
        <w:rFonts w:ascii="Wingdings" w:hAnsi="Wingdings" w:hint="default"/>
      </w:rPr>
    </w:lvl>
    <w:lvl w:ilvl="4" w:tplc="41EAF936" w:tentative="1">
      <w:start w:val="1"/>
      <w:numFmt w:val="bullet"/>
      <w:lvlText w:val=""/>
      <w:lvlJc w:val="left"/>
      <w:pPr>
        <w:tabs>
          <w:tab w:val="num" w:pos="3600"/>
        </w:tabs>
        <w:ind w:left="3600" w:hanging="360"/>
      </w:pPr>
      <w:rPr>
        <w:rFonts w:ascii="Wingdings" w:hAnsi="Wingdings" w:hint="default"/>
      </w:rPr>
    </w:lvl>
    <w:lvl w:ilvl="5" w:tplc="33F2297A" w:tentative="1">
      <w:start w:val="1"/>
      <w:numFmt w:val="bullet"/>
      <w:lvlText w:val=""/>
      <w:lvlJc w:val="left"/>
      <w:pPr>
        <w:tabs>
          <w:tab w:val="num" w:pos="4320"/>
        </w:tabs>
        <w:ind w:left="4320" w:hanging="360"/>
      </w:pPr>
      <w:rPr>
        <w:rFonts w:ascii="Wingdings" w:hAnsi="Wingdings" w:hint="default"/>
      </w:rPr>
    </w:lvl>
    <w:lvl w:ilvl="6" w:tplc="7E7CE38E" w:tentative="1">
      <w:start w:val="1"/>
      <w:numFmt w:val="bullet"/>
      <w:lvlText w:val=""/>
      <w:lvlJc w:val="left"/>
      <w:pPr>
        <w:tabs>
          <w:tab w:val="num" w:pos="5040"/>
        </w:tabs>
        <w:ind w:left="5040" w:hanging="360"/>
      </w:pPr>
      <w:rPr>
        <w:rFonts w:ascii="Wingdings" w:hAnsi="Wingdings" w:hint="default"/>
      </w:rPr>
    </w:lvl>
    <w:lvl w:ilvl="7" w:tplc="6A8AAC48" w:tentative="1">
      <w:start w:val="1"/>
      <w:numFmt w:val="bullet"/>
      <w:lvlText w:val=""/>
      <w:lvlJc w:val="left"/>
      <w:pPr>
        <w:tabs>
          <w:tab w:val="num" w:pos="5760"/>
        </w:tabs>
        <w:ind w:left="5760" w:hanging="360"/>
      </w:pPr>
      <w:rPr>
        <w:rFonts w:ascii="Wingdings" w:hAnsi="Wingdings" w:hint="default"/>
      </w:rPr>
    </w:lvl>
    <w:lvl w:ilvl="8" w:tplc="B78885F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E07B1B"/>
    <w:multiLevelType w:val="hybridMultilevel"/>
    <w:tmpl w:val="0A8025A8"/>
    <w:lvl w:ilvl="0" w:tplc="2B8A9B6A">
      <w:start w:val="1"/>
      <w:numFmt w:val="bullet"/>
      <w:lvlText w:val=""/>
      <w:lvlJc w:val="left"/>
      <w:pPr>
        <w:tabs>
          <w:tab w:val="num" w:pos="720"/>
        </w:tabs>
        <w:ind w:left="720" w:hanging="360"/>
      </w:pPr>
      <w:rPr>
        <w:rFonts w:ascii="Wingdings" w:hAnsi="Wingdings" w:hint="default"/>
      </w:rPr>
    </w:lvl>
    <w:lvl w:ilvl="1" w:tplc="A1C6D9AE" w:tentative="1">
      <w:start w:val="1"/>
      <w:numFmt w:val="bullet"/>
      <w:lvlText w:val=""/>
      <w:lvlJc w:val="left"/>
      <w:pPr>
        <w:tabs>
          <w:tab w:val="num" w:pos="1440"/>
        </w:tabs>
        <w:ind w:left="1440" w:hanging="360"/>
      </w:pPr>
      <w:rPr>
        <w:rFonts w:ascii="Wingdings" w:hAnsi="Wingdings" w:hint="default"/>
      </w:rPr>
    </w:lvl>
    <w:lvl w:ilvl="2" w:tplc="A03CB6D4" w:tentative="1">
      <w:start w:val="1"/>
      <w:numFmt w:val="bullet"/>
      <w:lvlText w:val=""/>
      <w:lvlJc w:val="left"/>
      <w:pPr>
        <w:tabs>
          <w:tab w:val="num" w:pos="2160"/>
        </w:tabs>
        <w:ind w:left="2160" w:hanging="360"/>
      </w:pPr>
      <w:rPr>
        <w:rFonts w:ascii="Wingdings" w:hAnsi="Wingdings" w:hint="default"/>
      </w:rPr>
    </w:lvl>
    <w:lvl w:ilvl="3" w:tplc="9C5CEF2A" w:tentative="1">
      <w:start w:val="1"/>
      <w:numFmt w:val="bullet"/>
      <w:lvlText w:val=""/>
      <w:lvlJc w:val="left"/>
      <w:pPr>
        <w:tabs>
          <w:tab w:val="num" w:pos="2880"/>
        </w:tabs>
        <w:ind w:left="2880" w:hanging="360"/>
      </w:pPr>
      <w:rPr>
        <w:rFonts w:ascii="Wingdings" w:hAnsi="Wingdings" w:hint="default"/>
      </w:rPr>
    </w:lvl>
    <w:lvl w:ilvl="4" w:tplc="B204CD0E" w:tentative="1">
      <w:start w:val="1"/>
      <w:numFmt w:val="bullet"/>
      <w:lvlText w:val=""/>
      <w:lvlJc w:val="left"/>
      <w:pPr>
        <w:tabs>
          <w:tab w:val="num" w:pos="3600"/>
        </w:tabs>
        <w:ind w:left="3600" w:hanging="360"/>
      </w:pPr>
      <w:rPr>
        <w:rFonts w:ascii="Wingdings" w:hAnsi="Wingdings" w:hint="default"/>
      </w:rPr>
    </w:lvl>
    <w:lvl w:ilvl="5" w:tplc="31DE84EE" w:tentative="1">
      <w:start w:val="1"/>
      <w:numFmt w:val="bullet"/>
      <w:lvlText w:val=""/>
      <w:lvlJc w:val="left"/>
      <w:pPr>
        <w:tabs>
          <w:tab w:val="num" w:pos="4320"/>
        </w:tabs>
        <w:ind w:left="4320" w:hanging="360"/>
      </w:pPr>
      <w:rPr>
        <w:rFonts w:ascii="Wingdings" w:hAnsi="Wingdings" w:hint="default"/>
      </w:rPr>
    </w:lvl>
    <w:lvl w:ilvl="6" w:tplc="3A0C52A4" w:tentative="1">
      <w:start w:val="1"/>
      <w:numFmt w:val="bullet"/>
      <w:lvlText w:val=""/>
      <w:lvlJc w:val="left"/>
      <w:pPr>
        <w:tabs>
          <w:tab w:val="num" w:pos="5040"/>
        </w:tabs>
        <w:ind w:left="5040" w:hanging="360"/>
      </w:pPr>
      <w:rPr>
        <w:rFonts w:ascii="Wingdings" w:hAnsi="Wingdings" w:hint="default"/>
      </w:rPr>
    </w:lvl>
    <w:lvl w:ilvl="7" w:tplc="D97ABAAC" w:tentative="1">
      <w:start w:val="1"/>
      <w:numFmt w:val="bullet"/>
      <w:lvlText w:val=""/>
      <w:lvlJc w:val="left"/>
      <w:pPr>
        <w:tabs>
          <w:tab w:val="num" w:pos="5760"/>
        </w:tabs>
        <w:ind w:left="5760" w:hanging="360"/>
      </w:pPr>
      <w:rPr>
        <w:rFonts w:ascii="Wingdings" w:hAnsi="Wingdings" w:hint="default"/>
      </w:rPr>
    </w:lvl>
    <w:lvl w:ilvl="8" w:tplc="F7E83AD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FE83B8D"/>
    <w:multiLevelType w:val="hybridMultilevel"/>
    <w:tmpl w:val="C5E68DB2"/>
    <w:lvl w:ilvl="0" w:tplc="6674C5EE">
      <w:start w:val="1"/>
      <w:numFmt w:val="bullet"/>
      <w:lvlText w:val=""/>
      <w:lvlJc w:val="left"/>
      <w:pPr>
        <w:tabs>
          <w:tab w:val="num" w:pos="720"/>
        </w:tabs>
        <w:ind w:left="720" w:hanging="360"/>
      </w:pPr>
      <w:rPr>
        <w:rFonts w:ascii="Wingdings" w:hAnsi="Wingdings" w:hint="default"/>
      </w:rPr>
    </w:lvl>
    <w:lvl w:ilvl="1" w:tplc="B56EEBD0" w:tentative="1">
      <w:start w:val="1"/>
      <w:numFmt w:val="bullet"/>
      <w:lvlText w:val=""/>
      <w:lvlJc w:val="left"/>
      <w:pPr>
        <w:tabs>
          <w:tab w:val="num" w:pos="1440"/>
        </w:tabs>
        <w:ind w:left="1440" w:hanging="360"/>
      </w:pPr>
      <w:rPr>
        <w:rFonts w:ascii="Wingdings" w:hAnsi="Wingdings" w:hint="default"/>
      </w:rPr>
    </w:lvl>
    <w:lvl w:ilvl="2" w:tplc="2DFEEF86" w:tentative="1">
      <w:start w:val="1"/>
      <w:numFmt w:val="bullet"/>
      <w:lvlText w:val=""/>
      <w:lvlJc w:val="left"/>
      <w:pPr>
        <w:tabs>
          <w:tab w:val="num" w:pos="2160"/>
        </w:tabs>
        <w:ind w:left="2160" w:hanging="360"/>
      </w:pPr>
      <w:rPr>
        <w:rFonts w:ascii="Wingdings" w:hAnsi="Wingdings" w:hint="default"/>
      </w:rPr>
    </w:lvl>
    <w:lvl w:ilvl="3" w:tplc="7C44BFA0" w:tentative="1">
      <w:start w:val="1"/>
      <w:numFmt w:val="bullet"/>
      <w:lvlText w:val=""/>
      <w:lvlJc w:val="left"/>
      <w:pPr>
        <w:tabs>
          <w:tab w:val="num" w:pos="2880"/>
        </w:tabs>
        <w:ind w:left="2880" w:hanging="360"/>
      </w:pPr>
      <w:rPr>
        <w:rFonts w:ascii="Wingdings" w:hAnsi="Wingdings" w:hint="default"/>
      </w:rPr>
    </w:lvl>
    <w:lvl w:ilvl="4" w:tplc="D25A6E66" w:tentative="1">
      <w:start w:val="1"/>
      <w:numFmt w:val="bullet"/>
      <w:lvlText w:val=""/>
      <w:lvlJc w:val="left"/>
      <w:pPr>
        <w:tabs>
          <w:tab w:val="num" w:pos="3600"/>
        </w:tabs>
        <w:ind w:left="3600" w:hanging="360"/>
      </w:pPr>
      <w:rPr>
        <w:rFonts w:ascii="Wingdings" w:hAnsi="Wingdings" w:hint="default"/>
      </w:rPr>
    </w:lvl>
    <w:lvl w:ilvl="5" w:tplc="A642DFC6" w:tentative="1">
      <w:start w:val="1"/>
      <w:numFmt w:val="bullet"/>
      <w:lvlText w:val=""/>
      <w:lvlJc w:val="left"/>
      <w:pPr>
        <w:tabs>
          <w:tab w:val="num" w:pos="4320"/>
        </w:tabs>
        <w:ind w:left="4320" w:hanging="360"/>
      </w:pPr>
      <w:rPr>
        <w:rFonts w:ascii="Wingdings" w:hAnsi="Wingdings" w:hint="default"/>
      </w:rPr>
    </w:lvl>
    <w:lvl w:ilvl="6" w:tplc="518E202E" w:tentative="1">
      <w:start w:val="1"/>
      <w:numFmt w:val="bullet"/>
      <w:lvlText w:val=""/>
      <w:lvlJc w:val="left"/>
      <w:pPr>
        <w:tabs>
          <w:tab w:val="num" w:pos="5040"/>
        </w:tabs>
        <w:ind w:left="5040" w:hanging="360"/>
      </w:pPr>
      <w:rPr>
        <w:rFonts w:ascii="Wingdings" w:hAnsi="Wingdings" w:hint="default"/>
      </w:rPr>
    </w:lvl>
    <w:lvl w:ilvl="7" w:tplc="F320B86E" w:tentative="1">
      <w:start w:val="1"/>
      <w:numFmt w:val="bullet"/>
      <w:lvlText w:val=""/>
      <w:lvlJc w:val="left"/>
      <w:pPr>
        <w:tabs>
          <w:tab w:val="num" w:pos="5760"/>
        </w:tabs>
        <w:ind w:left="5760" w:hanging="360"/>
      </w:pPr>
      <w:rPr>
        <w:rFonts w:ascii="Wingdings" w:hAnsi="Wingdings" w:hint="default"/>
      </w:rPr>
    </w:lvl>
    <w:lvl w:ilvl="8" w:tplc="C3A8767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C47618C"/>
    <w:multiLevelType w:val="hybridMultilevel"/>
    <w:tmpl w:val="B860DF32"/>
    <w:lvl w:ilvl="0" w:tplc="A9EEB9C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7100F17"/>
    <w:multiLevelType w:val="hybridMultilevel"/>
    <w:tmpl w:val="AE3830D2"/>
    <w:lvl w:ilvl="0" w:tplc="4DC4E214">
      <w:start w:val="1"/>
      <w:numFmt w:val="lowerLetter"/>
      <w:lvlText w:val="%1."/>
      <w:lvlJc w:val="left"/>
      <w:pPr>
        <w:ind w:left="360" w:hanging="360"/>
      </w:pPr>
      <w:rPr>
        <w:rFonts w:eastAsia="DengXian"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71D5E1D"/>
    <w:multiLevelType w:val="hybridMultilevel"/>
    <w:tmpl w:val="AB682260"/>
    <w:lvl w:ilvl="0" w:tplc="30162188">
      <w:start w:val="1"/>
      <w:numFmt w:val="bullet"/>
      <w:lvlText w:val=""/>
      <w:lvlJc w:val="left"/>
      <w:pPr>
        <w:tabs>
          <w:tab w:val="num" w:pos="720"/>
        </w:tabs>
        <w:ind w:left="720" w:hanging="360"/>
      </w:pPr>
      <w:rPr>
        <w:rFonts w:ascii="Wingdings" w:hAnsi="Wingdings" w:hint="default"/>
      </w:rPr>
    </w:lvl>
    <w:lvl w:ilvl="1" w:tplc="E5D83216" w:tentative="1">
      <w:start w:val="1"/>
      <w:numFmt w:val="bullet"/>
      <w:lvlText w:val=""/>
      <w:lvlJc w:val="left"/>
      <w:pPr>
        <w:tabs>
          <w:tab w:val="num" w:pos="1440"/>
        </w:tabs>
        <w:ind w:left="1440" w:hanging="360"/>
      </w:pPr>
      <w:rPr>
        <w:rFonts w:ascii="Wingdings" w:hAnsi="Wingdings" w:hint="default"/>
      </w:rPr>
    </w:lvl>
    <w:lvl w:ilvl="2" w:tplc="EC1A5BC4" w:tentative="1">
      <w:start w:val="1"/>
      <w:numFmt w:val="bullet"/>
      <w:lvlText w:val=""/>
      <w:lvlJc w:val="left"/>
      <w:pPr>
        <w:tabs>
          <w:tab w:val="num" w:pos="2160"/>
        </w:tabs>
        <w:ind w:left="2160" w:hanging="360"/>
      </w:pPr>
      <w:rPr>
        <w:rFonts w:ascii="Wingdings" w:hAnsi="Wingdings" w:hint="default"/>
      </w:rPr>
    </w:lvl>
    <w:lvl w:ilvl="3" w:tplc="F588F1FC" w:tentative="1">
      <w:start w:val="1"/>
      <w:numFmt w:val="bullet"/>
      <w:lvlText w:val=""/>
      <w:lvlJc w:val="left"/>
      <w:pPr>
        <w:tabs>
          <w:tab w:val="num" w:pos="2880"/>
        </w:tabs>
        <w:ind w:left="2880" w:hanging="360"/>
      </w:pPr>
      <w:rPr>
        <w:rFonts w:ascii="Wingdings" w:hAnsi="Wingdings" w:hint="default"/>
      </w:rPr>
    </w:lvl>
    <w:lvl w:ilvl="4" w:tplc="F416BBDA" w:tentative="1">
      <w:start w:val="1"/>
      <w:numFmt w:val="bullet"/>
      <w:lvlText w:val=""/>
      <w:lvlJc w:val="left"/>
      <w:pPr>
        <w:tabs>
          <w:tab w:val="num" w:pos="3600"/>
        </w:tabs>
        <w:ind w:left="3600" w:hanging="360"/>
      </w:pPr>
      <w:rPr>
        <w:rFonts w:ascii="Wingdings" w:hAnsi="Wingdings" w:hint="default"/>
      </w:rPr>
    </w:lvl>
    <w:lvl w:ilvl="5" w:tplc="1D28D31A" w:tentative="1">
      <w:start w:val="1"/>
      <w:numFmt w:val="bullet"/>
      <w:lvlText w:val=""/>
      <w:lvlJc w:val="left"/>
      <w:pPr>
        <w:tabs>
          <w:tab w:val="num" w:pos="4320"/>
        </w:tabs>
        <w:ind w:left="4320" w:hanging="360"/>
      </w:pPr>
      <w:rPr>
        <w:rFonts w:ascii="Wingdings" w:hAnsi="Wingdings" w:hint="default"/>
      </w:rPr>
    </w:lvl>
    <w:lvl w:ilvl="6" w:tplc="255A48A0" w:tentative="1">
      <w:start w:val="1"/>
      <w:numFmt w:val="bullet"/>
      <w:lvlText w:val=""/>
      <w:lvlJc w:val="left"/>
      <w:pPr>
        <w:tabs>
          <w:tab w:val="num" w:pos="5040"/>
        </w:tabs>
        <w:ind w:left="5040" w:hanging="360"/>
      </w:pPr>
      <w:rPr>
        <w:rFonts w:ascii="Wingdings" w:hAnsi="Wingdings" w:hint="default"/>
      </w:rPr>
    </w:lvl>
    <w:lvl w:ilvl="7" w:tplc="74BCAD1A" w:tentative="1">
      <w:start w:val="1"/>
      <w:numFmt w:val="bullet"/>
      <w:lvlText w:val=""/>
      <w:lvlJc w:val="left"/>
      <w:pPr>
        <w:tabs>
          <w:tab w:val="num" w:pos="5760"/>
        </w:tabs>
        <w:ind w:left="5760" w:hanging="360"/>
      </w:pPr>
      <w:rPr>
        <w:rFonts w:ascii="Wingdings" w:hAnsi="Wingdings" w:hint="default"/>
      </w:rPr>
    </w:lvl>
    <w:lvl w:ilvl="8" w:tplc="6E287150" w:tentative="1">
      <w:start w:val="1"/>
      <w:numFmt w:val="bullet"/>
      <w:lvlText w:val=""/>
      <w:lvlJc w:val="left"/>
      <w:pPr>
        <w:tabs>
          <w:tab w:val="num" w:pos="6480"/>
        </w:tabs>
        <w:ind w:left="6480" w:hanging="360"/>
      </w:pPr>
      <w:rPr>
        <w:rFonts w:ascii="Wingdings" w:hAnsi="Wingdings" w:hint="default"/>
      </w:rPr>
    </w:lvl>
  </w:abstractNum>
  <w:num w:numId="1" w16cid:durableId="1236742359">
    <w:abstractNumId w:val="2"/>
  </w:num>
  <w:num w:numId="2" w16cid:durableId="1564681601">
    <w:abstractNumId w:val="5"/>
  </w:num>
  <w:num w:numId="3" w16cid:durableId="1984042244">
    <w:abstractNumId w:val="0"/>
  </w:num>
  <w:num w:numId="4" w16cid:durableId="1598902905">
    <w:abstractNumId w:val="1"/>
  </w:num>
  <w:num w:numId="5" w16cid:durableId="1281573640">
    <w:abstractNumId w:val="3"/>
  </w:num>
  <w:num w:numId="6" w16cid:durableId="18251223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D3925"/>
    <w:rsid w:val="0000086F"/>
    <w:rsid w:val="0000102F"/>
    <w:rsid w:val="0000146C"/>
    <w:rsid w:val="0000250C"/>
    <w:rsid w:val="00002F8B"/>
    <w:rsid w:val="00003C8C"/>
    <w:rsid w:val="0000482B"/>
    <w:rsid w:val="00004D96"/>
    <w:rsid w:val="00005F13"/>
    <w:rsid w:val="000071ED"/>
    <w:rsid w:val="000104F7"/>
    <w:rsid w:val="000141D2"/>
    <w:rsid w:val="000147DD"/>
    <w:rsid w:val="000155D5"/>
    <w:rsid w:val="00017D5E"/>
    <w:rsid w:val="000203E3"/>
    <w:rsid w:val="0002058E"/>
    <w:rsid w:val="000205A0"/>
    <w:rsid w:val="0002078A"/>
    <w:rsid w:val="00020F1B"/>
    <w:rsid w:val="00022320"/>
    <w:rsid w:val="00022DB5"/>
    <w:rsid w:val="00022F7B"/>
    <w:rsid w:val="00023166"/>
    <w:rsid w:val="00023A56"/>
    <w:rsid w:val="00023C4B"/>
    <w:rsid w:val="00024CB2"/>
    <w:rsid w:val="00026757"/>
    <w:rsid w:val="00026AEC"/>
    <w:rsid w:val="00027274"/>
    <w:rsid w:val="000315F9"/>
    <w:rsid w:val="000319BD"/>
    <w:rsid w:val="000319F1"/>
    <w:rsid w:val="00031BE4"/>
    <w:rsid w:val="00032720"/>
    <w:rsid w:val="000341FB"/>
    <w:rsid w:val="00034A59"/>
    <w:rsid w:val="000354D7"/>
    <w:rsid w:val="000362D2"/>
    <w:rsid w:val="00036DF0"/>
    <w:rsid w:val="00036EE4"/>
    <w:rsid w:val="000401BA"/>
    <w:rsid w:val="000423C3"/>
    <w:rsid w:val="000431E4"/>
    <w:rsid w:val="00043D5A"/>
    <w:rsid w:val="0004404F"/>
    <w:rsid w:val="000446BE"/>
    <w:rsid w:val="0004628D"/>
    <w:rsid w:val="000463CB"/>
    <w:rsid w:val="000471D5"/>
    <w:rsid w:val="00050357"/>
    <w:rsid w:val="00050D0B"/>
    <w:rsid w:val="00050EB4"/>
    <w:rsid w:val="000514A1"/>
    <w:rsid w:val="0005158D"/>
    <w:rsid w:val="00052B7B"/>
    <w:rsid w:val="00053B63"/>
    <w:rsid w:val="00053E9A"/>
    <w:rsid w:val="00056028"/>
    <w:rsid w:val="0005790D"/>
    <w:rsid w:val="0006050A"/>
    <w:rsid w:val="00060591"/>
    <w:rsid w:val="00061773"/>
    <w:rsid w:val="000617D1"/>
    <w:rsid w:val="000625FF"/>
    <w:rsid w:val="00063754"/>
    <w:rsid w:val="00065534"/>
    <w:rsid w:val="00065B3B"/>
    <w:rsid w:val="00065CD4"/>
    <w:rsid w:val="00070E8C"/>
    <w:rsid w:val="00071F1D"/>
    <w:rsid w:val="00072B89"/>
    <w:rsid w:val="00073189"/>
    <w:rsid w:val="00073AB6"/>
    <w:rsid w:val="000743B7"/>
    <w:rsid w:val="000744CD"/>
    <w:rsid w:val="000748C2"/>
    <w:rsid w:val="00075231"/>
    <w:rsid w:val="00075350"/>
    <w:rsid w:val="00075D8F"/>
    <w:rsid w:val="00075FE3"/>
    <w:rsid w:val="0007644F"/>
    <w:rsid w:val="000773B9"/>
    <w:rsid w:val="00080B4A"/>
    <w:rsid w:val="00081363"/>
    <w:rsid w:val="00081461"/>
    <w:rsid w:val="00082757"/>
    <w:rsid w:val="00083D10"/>
    <w:rsid w:val="000840C4"/>
    <w:rsid w:val="000844AE"/>
    <w:rsid w:val="0008507C"/>
    <w:rsid w:val="000854A9"/>
    <w:rsid w:val="00086BAE"/>
    <w:rsid w:val="00087FF8"/>
    <w:rsid w:val="00090036"/>
    <w:rsid w:val="00090A90"/>
    <w:rsid w:val="00091334"/>
    <w:rsid w:val="00091701"/>
    <w:rsid w:val="00092D48"/>
    <w:rsid w:val="00092F85"/>
    <w:rsid w:val="0009692D"/>
    <w:rsid w:val="000A22DF"/>
    <w:rsid w:val="000A2C74"/>
    <w:rsid w:val="000A376B"/>
    <w:rsid w:val="000A532B"/>
    <w:rsid w:val="000A6DCC"/>
    <w:rsid w:val="000A6ED9"/>
    <w:rsid w:val="000B0FC0"/>
    <w:rsid w:val="000B0FDC"/>
    <w:rsid w:val="000B172E"/>
    <w:rsid w:val="000B1795"/>
    <w:rsid w:val="000B274B"/>
    <w:rsid w:val="000B27D2"/>
    <w:rsid w:val="000B2E9C"/>
    <w:rsid w:val="000B330D"/>
    <w:rsid w:val="000B3635"/>
    <w:rsid w:val="000B3D27"/>
    <w:rsid w:val="000B405F"/>
    <w:rsid w:val="000B4399"/>
    <w:rsid w:val="000B4CD2"/>
    <w:rsid w:val="000B6D12"/>
    <w:rsid w:val="000B74B1"/>
    <w:rsid w:val="000C0E14"/>
    <w:rsid w:val="000C1325"/>
    <w:rsid w:val="000C1831"/>
    <w:rsid w:val="000C1AEC"/>
    <w:rsid w:val="000C20F8"/>
    <w:rsid w:val="000C2524"/>
    <w:rsid w:val="000C39A3"/>
    <w:rsid w:val="000C4324"/>
    <w:rsid w:val="000C5F43"/>
    <w:rsid w:val="000C6665"/>
    <w:rsid w:val="000D04D0"/>
    <w:rsid w:val="000D08AD"/>
    <w:rsid w:val="000D12F7"/>
    <w:rsid w:val="000D14A9"/>
    <w:rsid w:val="000D2985"/>
    <w:rsid w:val="000D2F32"/>
    <w:rsid w:val="000D37E1"/>
    <w:rsid w:val="000D3B10"/>
    <w:rsid w:val="000D4A5E"/>
    <w:rsid w:val="000D509C"/>
    <w:rsid w:val="000D609B"/>
    <w:rsid w:val="000D6BB1"/>
    <w:rsid w:val="000D6C5E"/>
    <w:rsid w:val="000D7413"/>
    <w:rsid w:val="000E2274"/>
    <w:rsid w:val="000E2E90"/>
    <w:rsid w:val="000E3E69"/>
    <w:rsid w:val="000E43A1"/>
    <w:rsid w:val="000E4C3F"/>
    <w:rsid w:val="000E578B"/>
    <w:rsid w:val="000E5D86"/>
    <w:rsid w:val="000E6698"/>
    <w:rsid w:val="000E784A"/>
    <w:rsid w:val="000F0F01"/>
    <w:rsid w:val="000F1027"/>
    <w:rsid w:val="000F2AE2"/>
    <w:rsid w:val="000F2F2B"/>
    <w:rsid w:val="000F42B4"/>
    <w:rsid w:val="000F4787"/>
    <w:rsid w:val="000F486A"/>
    <w:rsid w:val="000F4C80"/>
    <w:rsid w:val="000F4DED"/>
    <w:rsid w:val="000F5854"/>
    <w:rsid w:val="000F612E"/>
    <w:rsid w:val="000F62FA"/>
    <w:rsid w:val="000F772A"/>
    <w:rsid w:val="00100056"/>
    <w:rsid w:val="00100173"/>
    <w:rsid w:val="00100855"/>
    <w:rsid w:val="00102408"/>
    <w:rsid w:val="001029BE"/>
    <w:rsid w:val="00104266"/>
    <w:rsid w:val="00104413"/>
    <w:rsid w:val="001047A5"/>
    <w:rsid w:val="001047E1"/>
    <w:rsid w:val="00105D7E"/>
    <w:rsid w:val="0011045E"/>
    <w:rsid w:val="00110AD0"/>
    <w:rsid w:val="00112318"/>
    <w:rsid w:val="00113F19"/>
    <w:rsid w:val="001149FE"/>
    <w:rsid w:val="00114F5E"/>
    <w:rsid w:val="00115A56"/>
    <w:rsid w:val="00115CE1"/>
    <w:rsid w:val="00116D63"/>
    <w:rsid w:val="001200BC"/>
    <w:rsid w:val="0012073C"/>
    <w:rsid w:val="00120A87"/>
    <w:rsid w:val="00120D16"/>
    <w:rsid w:val="001219C5"/>
    <w:rsid w:val="00121CB7"/>
    <w:rsid w:val="00121FD3"/>
    <w:rsid w:val="001243C9"/>
    <w:rsid w:val="001249EE"/>
    <w:rsid w:val="00125009"/>
    <w:rsid w:val="001260F4"/>
    <w:rsid w:val="00126114"/>
    <w:rsid w:val="001265BE"/>
    <w:rsid w:val="00126A21"/>
    <w:rsid w:val="00130A10"/>
    <w:rsid w:val="00130AD0"/>
    <w:rsid w:val="00130B53"/>
    <w:rsid w:val="0013189C"/>
    <w:rsid w:val="00132676"/>
    <w:rsid w:val="00132D0B"/>
    <w:rsid w:val="001334F4"/>
    <w:rsid w:val="00133B37"/>
    <w:rsid w:val="00134593"/>
    <w:rsid w:val="00135980"/>
    <w:rsid w:val="00137EAB"/>
    <w:rsid w:val="001400C1"/>
    <w:rsid w:val="00141875"/>
    <w:rsid w:val="00141EF7"/>
    <w:rsid w:val="001428C7"/>
    <w:rsid w:val="00143A7C"/>
    <w:rsid w:val="0014504E"/>
    <w:rsid w:val="001452C3"/>
    <w:rsid w:val="001452CC"/>
    <w:rsid w:val="001478C2"/>
    <w:rsid w:val="00150879"/>
    <w:rsid w:val="0015088C"/>
    <w:rsid w:val="001518F3"/>
    <w:rsid w:val="00152521"/>
    <w:rsid w:val="00152604"/>
    <w:rsid w:val="00153310"/>
    <w:rsid w:val="001534C7"/>
    <w:rsid w:val="00153A83"/>
    <w:rsid w:val="00154334"/>
    <w:rsid w:val="00154D27"/>
    <w:rsid w:val="0015542A"/>
    <w:rsid w:val="0015741D"/>
    <w:rsid w:val="00157C37"/>
    <w:rsid w:val="0016005B"/>
    <w:rsid w:val="001606C2"/>
    <w:rsid w:val="00160A73"/>
    <w:rsid w:val="00161E10"/>
    <w:rsid w:val="001623A1"/>
    <w:rsid w:val="00162566"/>
    <w:rsid w:val="00163035"/>
    <w:rsid w:val="00164021"/>
    <w:rsid w:val="00164335"/>
    <w:rsid w:val="001653C5"/>
    <w:rsid w:val="001654A0"/>
    <w:rsid w:val="0016551C"/>
    <w:rsid w:val="00166204"/>
    <w:rsid w:val="00166A74"/>
    <w:rsid w:val="00170744"/>
    <w:rsid w:val="00171B3C"/>
    <w:rsid w:val="00173A6A"/>
    <w:rsid w:val="00174E30"/>
    <w:rsid w:val="00175071"/>
    <w:rsid w:val="0017546A"/>
    <w:rsid w:val="001765CC"/>
    <w:rsid w:val="001766A2"/>
    <w:rsid w:val="00176CF2"/>
    <w:rsid w:val="00177F26"/>
    <w:rsid w:val="001819A2"/>
    <w:rsid w:val="00181C61"/>
    <w:rsid w:val="00183555"/>
    <w:rsid w:val="0018400A"/>
    <w:rsid w:val="00184B0C"/>
    <w:rsid w:val="00185AAC"/>
    <w:rsid w:val="00185D08"/>
    <w:rsid w:val="00187479"/>
    <w:rsid w:val="00192109"/>
    <w:rsid w:val="001922FA"/>
    <w:rsid w:val="00192C46"/>
    <w:rsid w:val="00192FFE"/>
    <w:rsid w:val="001936E0"/>
    <w:rsid w:val="001944E1"/>
    <w:rsid w:val="001947ED"/>
    <w:rsid w:val="00194BBD"/>
    <w:rsid w:val="00194D12"/>
    <w:rsid w:val="0019558E"/>
    <w:rsid w:val="001960CF"/>
    <w:rsid w:val="00196BAF"/>
    <w:rsid w:val="00197442"/>
    <w:rsid w:val="0019748E"/>
    <w:rsid w:val="00197EDB"/>
    <w:rsid w:val="001A0FCC"/>
    <w:rsid w:val="001A11DF"/>
    <w:rsid w:val="001A1265"/>
    <w:rsid w:val="001A138D"/>
    <w:rsid w:val="001A1900"/>
    <w:rsid w:val="001A3561"/>
    <w:rsid w:val="001A39CD"/>
    <w:rsid w:val="001A40E6"/>
    <w:rsid w:val="001A4C66"/>
    <w:rsid w:val="001A518B"/>
    <w:rsid w:val="001A5605"/>
    <w:rsid w:val="001A727D"/>
    <w:rsid w:val="001B1557"/>
    <w:rsid w:val="001B2277"/>
    <w:rsid w:val="001B2403"/>
    <w:rsid w:val="001B31BC"/>
    <w:rsid w:val="001B31D0"/>
    <w:rsid w:val="001B36BC"/>
    <w:rsid w:val="001B3B44"/>
    <w:rsid w:val="001B418D"/>
    <w:rsid w:val="001B4D45"/>
    <w:rsid w:val="001B5C3D"/>
    <w:rsid w:val="001B6798"/>
    <w:rsid w:val="001C0373"/>
    <w:rsid w:val="001C084A"/>
    <w:rsid w:val="001C08A7"/>
    <w:rsid w:val="001C1709"/>
    <w:rsid w:val="001C1AC4"/>
    <w:rsid w:val="001C1C7A"/>
    <w:rsid w:val="001C2268"/>
    <w:rsid w:val="001C3741"/>
    <w:rsid w:val="001C396A"/>
    <w:rsid w:val="001C3B5E"/>
    <w:rsid w:val="001C503C"/>
    <w:rsid w:val="001C606E"/>
    <w:rsid w:val="001C6B93"/>
    <w:rsid w:val="001C6F3E"/>
    <w:rsid w:val="001C72C8"/>
    <w:rsid w:val="001C7428"/>
    <w:rsid w:val="001C74FA"/>
    <w:rsid w:val="001C7E1A"/>
    <w:rsid w:val="001D0584"/>
    <w:rsid w:val="001D0590"/>
    <w:rsid w:val="001D065B"/>
    <w:rsid w:val="001D20C9"/>
    <w:rsid w:val="001D3BF9"/>
    <w:rsid w:val="001D4F06"/>
    <w:rsid w:val="001D58D7"/>
    <w:rsid w:val="001D71B0"/>
    <w:rsid w:val="001D7243"/>
    <w:rsid w:val="001E06B6"/>
    <w:rsid w:val="001E09BB"/>
    <w:rsid w:val="001E0BCC"/>
    <w:rsid w:val="001E3946"/>
    <w:rsid w:val="001E3B3B"/>
    <w:rsid w:val="001E4FB8"/>
    <w:rsid w:val="001E6943"/>
    <w:rsid w:val="001E6B8A"/>
    <w:rsid w:val="001E6C65"/>
    <w:rsid w:val="001E6FB1"/>
    <w:rsid w:val="001F00D6"/>
    <w:rsid w:val="001F0CE3"/>
    <w:rsid w:val="001F1CB0"/>
    <w:rsid w:val="001F1CBC"/>
    <w:rsid w:val="001F313C"/>
    <w:rsid w:val="001F3D85"/>
    <w:rsid w:val="001F3F11"/>
    <w:rsid w:val="001F412F"/>
    <w:rsid w:val="001F5664"/>
    <w:rsid w:val="001F60F5"/>
    <w:rsid w:val="001F6AAF"/>
    <w:rsid w:val="00200658"/>
    <w:rsid w:val="00201209"/>
    <w:rsid w:val="002019B8"/>
    <w:rsid w:val="00202763"/>
    <w:rsid w:val="00202E98"/>
    <w:rsid w:val="00203606"/>
    <w:rsid w:val="00204EB7"/>
    <w:rsid w:val="00206647"/>
    <w:rsid w:val="00206AF1"/>
    <w:rsid w:val="00211579"/>
    <w:rsid w:val="002121EE"/>
    <w:rsid w:val="00212327"/>
    <w:rsid w:val="00212B6A"/>
    <w:rsid w:val="00213B45"/>
    <w:rsid w:val="00214502"/>
    <w:rsid w:val="002148F6"/>
    <w:rsid w:val="00214F70"/>
    <w:rsid w:val="002150F4"/>
    <w:rsid w:val="00215D07"/>
    <w:rsid w:val="0021629F"/>
    <w:rsid w:val="00216371"/>
    <w:rsid w:val="00217C7D"/>
    <w:rsid w:val="00217D6D"/>
    <w:rsid w:val="00221FA1"/>
    <w:rsid w:val="00225094"/>
    <w:rsid w:val="002250C7"/>
    <w:rsid w:val="00225A33"/>
    <w:rsid w:val="00225B1A"/>
    <w:rsid w:val="00226600"/>
    <w:rsid w:val="00226D95"/>
    <w:rsid w:val="00230F2E"/>
    <w:rsid w:val="00231323"/>
    <w:rsid w:val="0023151B"/>
    <w:rsid w:val="00232029"/>
    <w:rsid w:val="002320BC"/>
    <w:rsid w:val="0023297C"/>
    <w:rsid w:val="002332A5"/>
    <w:rsid w:val="002344EE"/>
    <w:rsid w:val="00235003"/>
    <w:rsid w:val="00235036"/>
    <w:rsid w:val="00235B0D"/>
    <w:rsid w:val="00236298"/>
    <w:rsid w:val="002371B5"/>
    <w:rsid w:val="002410B4"/>
    <w:rsid w:val="002429FC"/>
    <w:rsid w:val="002437A2"/>
    <w:rsid w:val="00243D23"/>
    <w:rsid w:val="002443AB"/>
    <w:rsid w:val="00244557"/>
    <w:rsid w:val="00245E09"/>
    <w:rsid w:val="002466D2"/>
    <w:rsid w:val="002468AF"/>
    <w:rsid w:val="00246AEB"/>
    <w:rsid w:val="00247E20"/>
    <w:rsid w:val="00250BC0"/>
    <w:rsid w:val="002517F6"/>
    <w:rsid w:val="00251EE5"/>
    <w:rsid w:val="00251FA5"/>
    <w:rsid w:val="002536F2"/>
    <w:rsid w:val="00254C12"/>
    <w:rsid w:val="00255B48"/>
    <w:rsid w:val="00255B79"/>
    <w:rsid w:val="00255D76"/>
    <w:rsid w:val="002628AD"/>
    <w:rsid w:val="002634A9"/>
    <w:rsid w:val="00265EB5"/>
    <w:rsid w:val="00265F22"/>
    <w:rsid w:val="002662F0"/>
    <w:rsid w:val="002663D7"/>
    <w:rsid w:val="00267761"/>
    <w:rsid w:val="00271439"/>
    <w:rsid w:val="00271546"/>
    <w:rsid w:val="002733B7"/>
    <w:rsid w:val="00273837"/>
    <w:rsid w:val="00275881"/>
    <w:rsid w:val="00275F90"/>
    <w:rsid w:val="00276076"/>
    <w:rsid w:val="002766F9"/>
    <w:rsid w:val="00276A53"/>
    <w:rsid w:val="00280153"/>
    <w:rsid w:val="002802F5"/>
    <w:rsid w:val="00280393"/>
    <w:rsid w:val="00280922"/>
    <w:rsid w:val="002832EC"/>
    <w:rsid w:val="00284B03"/>
    <w:rsid w:val="00285449"/>
    <w:rsid w:val="00285FC4"/>
    <w:rsid w:val="002869E9"/>
    <w:rsid w:val="00286AF7"/>
    <w:rsid w:val="00287B0F"/>
    <w:rsid w:val="00287F94"/>
    <w:rsid w:val="00290221"/>
    <w:rsid w:val="00290C62"/>
    <w:rsid w:val="00291BE7"/>
    <w:rsid w:val="00291FB7"/>
    <w:rsid w:val="002921AC"/>
    <w:rsid w:val="00292DB8"/>
    <w:rsid w:val="00293430"/>
    <w:rsid w:val="00295199"/>
    <w:rsid w:val="00295B4E"/>
    <w:rsid w:val="002968DB"/>
    <w:rsid w:val="002969A7"/>
    <w:rsid w:val="00296C92"/>
    <w:rsid w:val="00297855"/>
    <w:rsid w:val="00297CDC"/>
    <w:rsid w:val="002A1907"/>
    <w:rsid w:val="002A2107"/>
    <w:rsid w:val="002A3743"/>
    <w:rsid w:val="002A3D1C"/>
    <w:rsid w:val="002A5D79"/>
    <w:rsid w:val="002A67E0"/>
    <w:rsid w:val="002A67F3"/>
    <w:rsid w:val="002B23E3"/>
    <w:rsid w:val="002B2560"/>
    <w:rsid w:val="002B4660"/>
    <w:rsid w:val="002B4668"/>
    <w:rsid w:val="002B4A80"/>
    <w:rsid w:val="002B4CE5"/>
    <w:rsid w:val="002B5807"/>
    <w:rsid w:val="002B5FC2"/>
    <w:rsid w:val="002B7051"/>
    <w:rsid w:val="002B7D8C"/>
    <w:rsid w:val="002C06BD"/>
    <w:rsid w:val="002C1201"/>
    <w:rsid w:val="002C221D"/>
    <w:rsid w:val="002C2913"/>
    <w:rsid w:val="002C4E90"/>
    <w:rsid w:val="002C556D"/>
    <w:rsid w:val="002C5699"/>
    <w:rsid w:val="002C5DA7"/>
    <w:rsid w:val="002C5F71"/>
    <w:rsid w:val="002C6A06"/>
    <w:rsid w:val="002C7C83"/>
    <w:rsid w:val="002C7F12"/>
    <w:rsid w:val="002D0771"/>
    <w:rsid w:val="002D0BB1"/>
    <w:rsid w:val="002D0C21"/>
    <w:rsid w:val="002D0F33"/>
    <w:rsid w:val="002D1C01"/>
    <w:rsid w:val="002D22AF"/>
    <w:rsid w:val="002D2C00"/>
    <w:rsid w:val="002D3925"/>
    <w:rsid w:val="002D3A02"/>
    <w:rsid w:val="002D40FB"/>
    <w:rsid w:val="002D4252"/>
    <w:rsid w:val="002D61AD"/>
    <w:rsid w:val="002D673D"/>
    <w:rsid w:val="002D6FD9"/>
    <w:rsid w:val="002D7374"/>
    <w:rsid w:val="002D737A"/>
    <w:rsid w:val="002D790A"/>
    <w:rsid w:val="002D7AB1"/>
    <w:rsid w:val="002D7E60"/>
    <w:rsid w:val="002E05CE"/>
    <w:rsid w:val="002E1BB7"/>
    <w:rsid w:val="002E42A1"/>
    <w:rsid w:val="002E452D"/>
    <w:rsid w:val="002E5AC1"/>
    <w:rsid w:val="002E5E8F"/>
    <w:rsid w:val="002E67CC"/>
    <w:rsid w:val="002F0469"/>
    <w:rsid w:val="002F1824"/>
    <w:rsid w:val="002F1F71"/>
    <w:rsid w:val="002F367B"/>
    <w:rsid w:val="002F37A6"/>
    <w:rsid w:val="002F53FF"/>
    <w:rsid w:val="002F61B3"/>
    <w:rsid w:val="002F6C56"/>
    <w:rsid w:val="002F751D"/>
    <w:rsid w:val="00300423"/>
    <w:rsid w:val="0030082D"/>
    <w:rsid w:val="00300B4C"/>
    <w:rsid w:val="00301076"/>
    <w:rsid w:val="003018AB"/>
    <w:rsid w:val="00302090"/>
    <w:rsid w:val="003021B5"/>
    <w:rsid w:val="00302DA0"/>
    <w:rsid w:val="00302E30"/>
    <w:rsid w:val="00303039"/>
    <w:rsid w:val="003030B5"/>
    <w:rsid w:val="00304887"/>
    <w:rsid w:val="003059E6"/>
    <w:rsid w:val="00305B7D"/>
    <w:rsid w:val="00306888"/>
    <w:rsid w:val="0030753B"/>
    <w:rsid w:val="00307E01"/>
    <w:rsid w:val="00310811"/>
    <w:rsid w:val="00310D65"/>
    <w:rsid w:val="00311AF0"/>
    <w:rsid w:val="003124B7"/>
    <w:rsid w:val="00312AE3"/>
    <w:rsid w:val="00313A03"/>
    <w:rsid w:val="00313E72"/>
    <w:rsid w:val="003140D8"/>
    <w:rsid w:val="00314A44"/>
    <w:rsid w:val="00314CF5"/>
    <w:rsid w:val="00315332"/>
    <w:rsid w:val="00315810"/>
    <w:rsid w:val="00315AA2"/>
    <w:rsid w:val="00316CA1"/>
    <w:rsid w:val="00320AC4"/>
    <w:rsid w:val="00320C43"/>
    <w:rsid w:val="003212A1"/>
    <w:rsid w:val="00321B3F"/>
    <w:rsid w:val="003236BE"/>
    <w:rsid w:val="003246A9"/>
    <w:rsid w:val="00324854"/>
    <w:rsid w:val="00325A89"/>
    <w:rsid w:val="00326045"/>
    <w:rsid w:val="003270A3"/>
    <w:rsid w:val="003276A9"/>
    <w:rsid w:val="003301C9"/>
    <w:rsid w:val="003307C1"/>
    <w:rsid w:val="00331CB8"/>
    <w:rsid w:val="00332209"/>
    <w:rsid w:val="003322AB"/>
    <w:rsid w:val="003326E4"/>
    <w:rsid w:val="00332DA7"/>
    <w:rsid w:val="00333CFA"/>
    <w:rsid w:val="0033476E"/>
    <w:rsid w:val="00335597"/>
    <w:rsid w:val="003366DF"/>
    <w:rsid w:val="00337333"/>
    <w:rsid w:val="003379B4"/>
    <w:rsid w:val="00337A3C"/>
    <w:rsid w:val="00341353"/>
    <w:rsid w:val="00341B9F"/>
    <w:rsid w:val="00341D45"/>
    <w:rsid w:val="00341FD1"/>
    <w:rsid w:val="00342EDA"/>
    <w:rsid w:val="003432C7"/>
    <w:rsid w:val="003440F9"/>
    <w:rsid w:val="0034414B"/>
    <w:rsid w:val="00345D7E"/>
    <w:rsid w:val="00346651"/>
    <w:rsid w:val="00346CB4"/>
    <w:rsid w:val="00352E1B"/>
    <w:rsid w:val="0035407B"/>
    <w:rsid w:val="003542DF"/>
    <w:rsid w:val="003543F1"/>
    <w:rsid w:val="003550C4"/>
    <w:rsid w:val="00355AC6"/>
    <w:rsid w:val="00355BC0"/>
    <w:rsid w:val="0035605F"/>
    <w:rsid w:val="00356335"/>
    <w:rsid w:val="00357084"/>
    <w:rsid w:val="00357322"/>
    <w:rsid w:val="003573A7"/>
    <w:rsid w:val="00357B64"/>
    <w:rsid w:val="0036175D"/>
    <w:rsid w:val="00361FA6"/>
    <w:rsid w:val="003636B5"/>
    <w:rsid w:val="003637BC"/>
    <w:rsid w:val="00363A22"/>
    <w:rsid w:val="00363F37"/>
    <w:rsid w:val="00364921"/>
    <w:rsid w:val="00364E76"/>
    <w:rsid w:val="0036566A"/>
    <w:rsid w:val="00366475"/>
    <w:rsid w:val="003667EF"/>
    <w:rsid w:val="00366A61"/>
    <w:rsid w:val="003670B0"/>
    <w:rsid w:val="003677D0"/>
    <w:rsid w:val="003702B6"/>
    <w:rsid w:val="00370A4E"/>
    <w:rsid w:val="00370B9A"/>
    <w:rsid w:val="00371E44"/>
    <w:rsid w:val="00371FE3"/>
    <w:rsid w:val="00372787"/>
    <w:rsid w:val="003727CD"/>
    <w:rsid w:val="00372BEF"/>
    <w:rsid w:val="00372EE5"/>
    <w:rsid w:val="00374378"/>
    <w:rsid w:val="00374DA0"/>
    <w:rsid w:val="0037642D"/>
    <w:rsid w:val="00376B17"/>
    <w:rsid w:val="00377800"/>
    <w:rsid w:val="00377A51"/>
    <w:rsid w:val="0038114A"/>
    <w:rsid w:val="0038127D"/>
    <w:rsid w:val="00381584"/>
    <w:rsid w:val="00381C9C"/>
    <w:rsid w:val="0038356C"/>
    <w:rsid w:val="0038361B"/>
    <w:rsid w:val="00383663"/>
    <w:rsid w:val="003854B8"/>
    <w:rsid w:val="0039079D"/>
    <w:rsid w:val="00391047"/>
    <w:rsid w:val="00391903"/>
    <w:rsid w:val="003927DF"/>
    <w:rsid w:val="00392A8E"/>
    <w:rsid w:val="0039375C"/>
    <w:rsid w:val="00393C26"/>
    <w:rsid w:val="00394054"/>
    <w:rsid w:val="00394560"/>
    <w:rsid w:val="00394CB5"/>
    <w:rsid w:val="00395857"/>
    <w:rsid w:val="0039755D"/>
    <w:rsid w:val="003978C0"/>
    <w:rsid w:val="00397E28"/>
    <w:rsid w:val="003A04A9"/>
    <w:rsid w:val="003A1BD6"/>
    <w:rsid w:val="003A2684"/>
    <w:rsid w:val="003A2932"/>
    <w:rsid w:val="003A3080"/>
    <w:rsid w:val="003A327E"/>
    <w:rsid w:val="003A4231"/>
    <w:rsid w:val="003A44F0"/>
    <w:rsid w:val="003A4BD7"/>
    <w:rsid w:val="003A57F5"/>
    <w:rsid w:val="003A5EC8"/>
    <w:rsid w:val="003A73EF"/>
    <w:rsid w:val="003A7B9E"/>
    <w:rsid w:val="003A7FE5"/>
    <w:rsid w:val="003B0776"/>
    <w:rsid w:val="003B0CAE"/>
    <w:rsid w:val="003B18B3"/>
    <w:rsid w:val="003B1F10"/>
    <w:rsid w:val="003B54B6"/>
    <w:rsid w:val="003B600D"/>
    <w:rsid w:val="003C06E4"/>
    <w:rsid w:val="003C3A98"/>
    <w:rsid w:val="003C3C4F"/>
    <w:rsid w:val="003C5E27"/>
    <w:rsid w:val="003C742F"/>
    <w:rsid w:val="003C7790"/>
    <w:rsid w:val="003D01A2"/>
    <w:rsid w:val="003D0668"/>
    <w:rsid w:val="003D0BA3"/>
    <w:rsid w:val="003D184A"/>
    <w:rsid w:val="003D2A24"/>
    <w:rsid w:val="003D2BB4"/>
    <w:rsid w:val="003D2D92"/>
    <w:rsid w:val="003D4106"/>
    <w:rsid w:val="003D78C1"/>
    <w:rsid w:val="003D78E4"/>
    <w:rsid w:val="003E0A1E"/>
    <w:rsid w:val="003E6412"/>
    <w:rsid w:val="003F027A"/>
    <w:rsid w:val="003F1A83"/>
    <w:rsid w:val="003F259C"/>
    <w:rsid w:val="003F2874"/>
    <w:rsid w:val="003F3830"/>
    <w:rsid w:val="003F390E"/>
    <w:rsid w:val="003F4AAC"/>
    <w:rsid w:val="003F4C67"/>
    <w:rsid w:val="003F4D14"/>
    <w:rsid w:val="003F4F49"/>
    <w:rsid w:val="003F5E34"/>
    <w:rsid w:val="003F7546"/>
    <w:rsid w:val="004007C0"/>
    <w:rsid w:val="004008FD"/>
    <w:rsid w:val="004031BC"/>
    <w:rsid w:val="004031BF"/>
    <w:rsid w:val="00403350"/>
    <w:rsid w:val="004070B0"/>
    <w:rsid w:val="004070D8"/>
    <w:rsid w:val="004104B0"/>
    <w:rsid w:val="0041198F"/>
    <w:rsid w:val="00411BD7"/>
    <w:rsid w:val="00414E1E"/>
    <w:rsid w:val="00416043"/>
    <w:rsid w:val="00416D89"/>
    <w:rsid w:val="004179B9"/>
    <w:rsid w:val="004202D0"/>
    <w:rsid w:val="004214BE"/>
    <w:rsid w:val="00421D87"/>
    <w:rsid w:val="00422384"/>
    <w:rsid w:val="00422A97"/>
    <w:rsid w:val="004232CB"/>
    <w:rsid w:val="00423C09"/>
    <w:rsid w:val="0042461B"/>
    <w:rsid w:val="004303D5"/>
    <w:rsid w:val="0043074F"/>
    <w:rsid w:val="00430FB2"/>
    <w:rsid w:val="004311C6"/>
    <w:rsid w:val="004314FC"/>
    <w:rsid w:val="004317D1"/>
    <w:rsid w:val="00432424"/>
    <w:rsid w:val="00432476"/>
    <w:rsid w:val="0043272B"/>
    <w:rsid w:val="0043375C"/>
    <w:rsid w:val="00433823"/>
    <w:rsid w:val="00434E94"/>
    <w:rsid w:val="00435345"/>
    <w:rsid w:val="0043639D"/>
    <w:rsid w:val="004368F8"/>
    <w:rsid w:val="00436B17"/>
    <w:rsid w:val="00440B87"/>
    <w:rsid w:val="00443595"/>
    <w:rsid w:val="004435AA"/>
    <w:rsid w:val="004444E0"/>
    <w:rsid w:val="0044601C"/>
    <w:rsid w:val="004466FB"/>
    <w:rsid w:val="004503E5"/>
    <w:rsid w:val="00450688"/>
    <w:rsid w:val="004507E6"/>
    <w:rsid w:val="00450E54"/>
    <w:rsid w:val="00451D30"/>
    <w:rsid w:val="004534AB"/>
    <w:rsid w:val="00453A17"/>
    <w:rsid w:val="0045410A"/>
    <w:rsid w:val="0045468C"/>
    <w:rsid w:val="00454A77"/>
    <w:rsid w:val="00455095"/>
    <w:rsid w:val="0045531B"/>
    <w:rsid w:val="0045628E"/>
    <w:rsid w:val="00456A15"/>
    <w:rsid w:val="00460565"/>
    <w:rsid w:val="004606EB"/>
    <w:rsid w:val="00460A4F"/>
    <w:rsid w:val="00460E4E"/>
    <w:rsid w:val="00461166"/>
    <w:rsid w:val="004612A3"/>
    <w:rsid w:val="00461DAD"/>
    <w:rsid w:val="00462342"/>
    <w:rsid w:val="0046245C"/>
    <w:rsid w:val="0046248B"/>
    <w:rsid w:val="00462E40"/>
    <w:rsid w:val="0046411D"/>
    <w:rsid w:val="0046496E"/>
    <w:rsid w:val="00465C74"/>
    <w:rsid w:val="00465EAD"/>
    <w:rsid w:val="004666F2"/>
    <w:rsid w:val="00466917"/>
    <w:rsid w:val="00466B12"/>
    <w:rsid w:val="00466ED5"/>
    <w:rsid w:val="004673C3"/>
    <w:rsid w:val="00467873"/>
    <w:rsid w:val="00472A16"/>
    <w:rsid w:val="0047350D"/>
    <w:rsid w:val="0047468C"/>
    <w:rsid w:val="00475C71"/>
    <w:rsid w:val="00475C7C"/>
    <w:rsid w:val="004769E4"/>
    <w:rsid w:val="00476B81"/>
    <w:rsid w:val="00477EDF"/>
    <w:rsid w:val="004803D4"/>
    <w:rsid w:val="00480454"/>
    <w:rsid w:val="00480DFD"/>
    <w:rsid w:val="00481857"/>
    <w:rsid w:val="004819C1"/>
    <w:rsid w:val="00481C55"/>
    <w:rsid w:val="00482058"/>
    <w:rsid w:val="00482525"/>
    <w:rsid w:val="004828E7"/>
    <w:rsid w:val="00483898"/>
    <w:rsid w:val="004843CD"/>
    <w:rsid w:val="004843F2"/>
    <w:rsid w:val="00484C21"/>
    <w:rsid w:val="00485DE1"/>
    <w:rsid w:val="004870D1"/>
    <w:rsid w:val="0048752C"/>
    <w:rsid w:val="0049010D"/>
    <w:rsid w:val="00491C09"/>
    <w:rsid w:val="004924A8"/>
    <w:rsid w:val="004925C3"/>
    <w:rsid w:val="00492958"/>
    <w:rsid w:val="00492BB0"/>
    <w:rsid w:val="00493F6B"/>
    <w:rsid w:val="00494A86"/>
    <w:rsid w:val="0049547A"/>
    <w:rsid w:val="00497110"/>
    <w:rsid w:val="00497398"/>
    <w:rsid w:val="00497909"/>
    <w:rsid w:val="004A0E06"/>
    <w:rsid w:val="004A0F9F"/>
    <w:rsid w:val="004A34DA"/>
    <w:rsid w:val="004A3F7A"/>
    <w:rsid w:val="004A54CD"/>
    <w:rsid w:val="004A565C"/>
    <w:rsid w:val="004A5838"/>
    <w:rsid w:val="004A5AAE"/>
    <w:rsid w:val="004A6160"/>
    <w:rsid w:val="004A7136"/>
    <w:rsid w:val="004B0665"/>
    <w:rsid w:val="004B0838"/>
    <w:rsid w:val="004B09B2"/>
    <w:rsid w:val="004B104C"/>
    <w:rsid w:val="004B120C"/>
    <w:rsid w:val="004B2962"/>
    <w:rsid w:val="004B2DBB"/>
    <w:rsid w:val="004B3FF8"/>
    <w:rsid w:val="004B47A1"/>
    <w:rsid w:val="004B5237"/>
    <w:rsid w:val="004B63E0"/>
    <w:rsid w:val="004B7293"/>
    <w:rsid w:val="004C23CE"/>
    <w:rsid w:val="004C3457"/>
    <w:rsid w:val="004C46FC"/>
    <w:rsid w:val="004C55DD"/>
    <w:rsid w:val="004C6A9D"/>
    <w:rsid w:val="004C6BAB"/>
    <w:rsid w:val="004C7113"/>
    <w:rsid w:val="004C725B"/>
    <w:rsid w:val="004D0BEC"/>
    <w:rsid w:val="004D0FDF"/>
    <w:rsid w:val="004D1530"/>
    <w:rsid w:val="004D15DC"/>
    <w:rsid w:val="004D18BE"/>
    <w:rsid w:val="004D3821"/>
    <w:rsid w:val="004D3F02"/>
    <w:rsid w:val="004D5BFD"/>
    <w:rsid w:val="004D6E6E"/>
    <w:rsid w:val="004D7D39"/>
    <w:rsid w:val="004D7E35"/>
    <w:rsid w:val="004E0A7E"/>
    <w:rsid w:val="004E0AFF"/>
    <w:rsid w:val="004E12F6"/>
    <w:rsid w:val="004E152C"/>
    <w:rsid w:val="004E1832"/>
    <w:rsid w:val="004E1CEB"/>
    <w:rsid w:val="004E4AC7"/>
    <w:rsid w:val="004E4DF4"/>
    <w:rsid w:val="004E556C"/>
    <w:rsid w:val="004E5E24"/>
    <w:rsid w:val="004E6D9A"/>
    <w:rsid w:val="004E7D73"/>
    <w:rsid w:val="004F0651"/>
    <w:rsid w:val="004F08C6"/>
    <w:rsid w:val="004F0B8B"/>
    <w:rsid w:val="004F22E6"/>
    <w:rsid w:val="004F2A27"/>
    <w:rsid w:val="004F3BE6"/>
    <w:rsid w:val="004F3CC8"/>
    <w:rsid w:val="004F3CEA"/>
    <w:rsid w:val="004F4A85"/>
    <w:rsid w:val="004F4B46"/>
    <w:rsid w:val="004F4C39"/>
    <w:rsid w:val="004F517B"/>
    <w:rsid w:val="004F7C0F"/>
    <w:rsid w:val="00500A0F"/>
    <w:rsid w:val="005021FF"/>
    <w:rsid w:val="00503C2A"/>
    <w:rsid w:val="005042AD"/>
    <w:rsid w:val="00504937"/>
    <w:rsid w:val="005049FE"/>
    <w:rsid w:val="00505D13"/>
    <w:rsid w:val="00507515"/>
    <w:rsid w:val="00507C3B"/>
    <w:rsid w:val="005109B0"/>
    <w:rsid w:val="00511F4C"/>
    <w:rsid w:val="00511F9F"/>
    <w:rsid w:val="00512951"/>
    <w:rsid w:val="0051301C"/>
    <w:rsid w:val="005151A7"/>
    <w:rsid w:val="00515289"/>
    <w:rsid w:val="005173A7"/>
    <w:rsid w:val="00520F5D"/>
    <w:rsid w:val="00521919"/>
    <w:rsid w:val="00521A18"/>
    <w:rsid w:val="0052229A"/>
    <w:rsid w:val="00524F22"/>
    <w:rsid w:val="005259BE"/>
    <w:rsid w:val="00525C30"/>
    <w:rsid w:val="00527869"/>
    <w:rsid w:val="005279AC"/>
    <w:rsid w:val="00527C8C"/>
    <w:rsid w:val="00530757"/>
    <w:rsid w:val="005307E5"/>
    <w:rsid w:val="005314C7"/>
    <w:rsid w:val="00533761"/>
    <w:rsid w:val="00534AC8"/>
    <w:rsid w:val="005350C2"/>
    <w:rsid w:val="0053620E"/>
    <w:rsid w:val="005369CE"/>
    <w:rsid w:val="0053758E"/>
    <w:rsid w:val="005403BD"/>
    <w:rsid w:val="005409B3"/>
    <w:rsid w:val="00540F83"/>
    <w:rsid w:val="00541667"/>
    <w:rsid w:val="0054256F"/>
    <w:rsid w:val="00543744"/>
    <w:rsid w:val="00544432"/>
    <w:rsid w:val="00545B7A"/>
    <w:rsid w:val="00545DD0"/>
    <w:rsid w:val="00545E0E"/>
    <w:rsid w:val="005465FF"/>
    <w:rsid w:val="005477A9"/>
    <w:rsid w:val="0055027A"/>
    <w:rsid w:val="00550620"/>
    <w:rsid w:val="0055145E"/>
    <w:rsid w:val="0055222F"/>
    <w:rsid w:val="00553F3D"/>
    <w:rsid w:val="0055454A"/>
    <w:rsid w:val="0055714F"/>
    <w:rsid w:val="00557B16"/>
    <w:rsid w:val="00557B8A"/>
    <w:rsid w:val="00557EE2"/>
    <w:rsid w:val="005603F2"/>
    <w:rsid w:val="00560E7A"/>
    <w:rsid w:val="00561B27"/>
    <w:rsid w:val="00561E24"/>
    <w:rsid w:val="00562C91"/>
    <w:rsid w:val="00562C95"/>
    <w:rsid w:val="0056389C"/>
    <w:rsid w:val="00564198"/>
    <w:rsid w:val="00564B1D"/>
    <w:rsid w:val="00564D48"/>
    <w:rsid w:val="00570FCF"/>
    <w:rsid w:val="0057104A"/>
    <w:rsid w:val="005715EC"/>
    <w:rsid w:val="00571A4D"/>
    <w:rsid w:val="00571F91"/>
    <w:rsid w:val="00572202"/>
    <w:rsid w:val="005723CF"/>
    <w:rsid w:val="0057247E"/>
    <w:rsid w:val="00572616"/>
    <w:rsid w:val="00576EA4"/>
    <w:rsid w:val="0057769F"/>
    <w:rsid w:val="00580FD1"/>
    <w:rsid w:val="00583372"/>
    <w:rsid w:val="00585929"/>
    <w:rsid w:val="00590688"/>
    <w:rsid w:val="00590A01"/>
    <w:rsid w:val="00592A44"/>
    <w:rsid w:val="005937F5"/>
    <w:rsid w:val="00593D38"/>
    <w:rsid w:val="00593F95"/>
    <w:rsid w:val="0059445D"/>
    <w:rsid w:val="00594CDE"/>
    <w:rsid w:val="00594D42"/>
    <w:rsid w:val="005951A3"/>
    <w:rsid w:val="00595C13"/>
    <w:rsid w:val="00596142"/>
    <w:rsid w:val="005963E4"/>
    <w:rsid w:val="00596C66"/>
    <w:rsid w:val="005A0156"/>
    <w:rsid w:val="005A1912"/>
    <w:rsid w:val="005A201A"/>
    <w:rsid w:val="005A4B47"/>
    <w:rsid w:val="005A64D8"/>
    <w:rsid w:val="005A665E"/>
    <w:rsid w:val="005A68F1"/>
    <w:rsid w:val="005A6AC3"/>
    <w:rsid w:val="005A7DD3"/>
    <w:rsid w:val="005B1A72"/>
    <w:rsid w:val="005B384C"/>
    <w:rsid w:val="005B3D2F"/>
    <w:rsid w:val="005B3DA9"/>
    <w:rsid w:val="005B3FEA"/>
    <w:rsid w:val="005B4CDF"/>
    <w:rsid w:val="005B5C0E"/>
    <w:rsid w:val="005B60F6"/>
    <w:rsid w:val="005B6B2A"/>
    <w:rsid w:val="005B7B83"/>
    <w:rsid w:val="005C0338"/>
    <w:rsid w:val="005C0919"/>
    <w:rsid w:val="005C0CDA"/>
    <w:rsid w:val="005C171C"/>
    <w:rsid w:val="005C1E01"/>
    <w:rsid w:val="005C4CC3"/>
    <w:rsid w:val="005C60DB"/>
    <w:rsid w:val="005C71B7"/>
    <w:rsid w:val="005C7CA7"/>
    <w:rsid w:val="005D00B8"/>
    <w:rsid w:val="005D306C"/>
    <w:rsid w:val="005D3E7A"/>
    <w:rsid w:val="005D4A20"/>
    <w:rsid w:val="005D6FD9"/>
    <w:rsid w:val="005D7CA0"/>
    <w:rsid w:val="005D7CC4"/>
    <w:rsid w:val="005E06A3"/>
    <w:rsid w:val="005E07D8"/>
    <w:rsid w:val="005E0DFA"/>
    <w:rsid w:val="005E0FF5"/>
    <w:rsid w:val="005E1069"/>
    <w:rsid w:val="005E1A07"/>
    <w:rsid w:val="005E3146"/>
    <w:rsid w:val="005E3FA4"/>
    <w:rsid w:val="005E4F6E"/>
    <w:rsid w:val="005E5AC8"/>
    <w:rsid w:val="005E62CD"/>
    <w:rsid w:val="005E775C"/>
    <w:rsid w:val="005F049D"/>
    <w:rsid w:val="005F0F22"/>
    <w:rsid w:val="005F120D"/>
    <w:rsid w:val="005F1497"/>
    <w:rsid w:val="005F170E"/>
    <w:rsid w:val="005F2778"/>
    <w:rsid w:val="005F5B57"/>
    <w:rsid w:val="005F6D0D"/>
    <w:rsid w:val="005F6F98"/>
    <w:rsid w:val="00600489"/>
    <w:rsid w:val="006005D7"/>
    <w:rsid w:val="006008B2"/>
    <w:rsid w:val="006013CC"/>
    <w:rsid w:val="0060210C"/>
    <w:rsid w:val="006032DC"/>
    <w:rsid w:val="00605382"/>
    <w:rsid w:val="006057FF"/>
    <w:rsid w:val="00606729"/>
    <w:rsid w:val="0060704E"/>
    <w:rsid w:val="006078C4"/>
    <w:rsid w:val="006102F5"/>
    <w:rsid w:val="006108E0"/>
    <w:rsid w:val="00610A82"/>
    <w:rsid w:val="00610B39"/>
    <w:rsid w:val="0061334C"/>
    <w:rsid w:val="00613714"/>
    <w:rsid w:val="00614543"/>
    <w:rsid w:val="00614CE2"/>
    <w:rsid w:val="00615CAA"/>
    <w:rsid w:val="006163EA"/>
    <w:rsid w:val="006164C0"/>
    <w:rsid w:val="006169ED"/>
    <w:rsid w:val="00617A47"/>
    <w:rsid w:val="00620974"/>
    <w:rsid w:val="00620AE7"/>
    <w:rsid w:val="00620D37"/>
    <w:rsid w:val="0062158E"/>
    <w:rsid w:val="00621EAB"/>
    <w:rsid w:val="0062234F"/>
    <w:rsid w:val="00623CD6"/>
    <w:rsid w:val="00624A12"/>
    <w:rsid w:val="00624C1F"/>
    <w:rsid w:val="0062533E"/>
    <w:rsid w:val="00625A25"/>
    <w:rsid w:val="00626169"/>
    <w:rsid w:val="006278E8"/>
    <w:rsid w:val="006304CA"/>
    <w:rsid w:val="00630EFB"/>
    <w:rsid w:val="006313C1"/>
    <w:rsid w:val="00632297"/>
    <w:rsid w:val="00632C76"/>
    <w:rsid w:val="006337B6"/>
    <w:rsid w:val="00633A22"/>
    <w:rsid w:val="00633FBC"/>
    <w:rsid w:val="00634552"/>
    <w:rsid w:val="00634AD3"/>
    <w:rsid w:val="00635ECE"/>
    <w:rsid w:val="00636156"/>
    <w:rsid w:val="0063675F"/>
    <w:rsid w:val="00637437"/>
    <w:rsid w:val="00637AE9"/>
    <w:rsid w:val="00637FB2"/>
    <w:rsid w:val="006408D2"/>
    <w:rsid w:val="00640E06"/>
    <w:rsid w:val="00641227"/>
    <w:rsid w:val="00641BDA"/>
    <w:rsid w:val="006428F3"/>
    <w:rsid w:val="006445A9"/>
    <w:rsid w:val="006448F8"/>
    <w:rsid w:val="00644ACA"/>
    <w:rsid w:val="00645360"/>
    <w:rsid w:val="00645D2F"/>
    <w:rsid w:val="00645F3B"/>
    <w:rsid w:val="006466D4"/>
    <w:rsid w:val="00646FFF"/>
    <w:rsid w:val="006477F3"/>
    <w:rsid w:val="00651C65"/>
    <w:rsid w:val="006522C7"/>
    <w:rsid w:val="00652638"/>
    <w:rsid w:val="006536E5"/>
    <w:rsid w:val="00655676"/>
    <w:rsid w:val="00656B25"/>
    <w:rsid w:val="00656F01"/>
    <w:rsid w:val="00661413"/>
    <w:rsid w:val="006614A7"/>
    <w:rsid w:val="00661AE6"/>
    <w:rsid w:val="00661C6C"/>
    <w:rsid w:val="00662485"/>
    <w:rsid w:val="00662646"/>
    <w:rsid w:val="006628FB"/>
    <w:rsid w:val="00662928"/>
    <w:rsid w:val="00665DD2"/>
    <w:rsid w:val="006665EA"/>
    <w:rsid w:val="00670109"/>
    <w:rsid w:val="00672637"/>
    <w:rsid w:val="00673333"/>
    <w:rsid w:val="0067350A"/>
    <w:rsid w:val="00673A2C"/>
    <w:rsid w:val="00674FC3"/>
    <w:rsid w:val="006755F6"/>
    <w:rsid w:val="006765C6"/>
    <w:rsid w:val="006808ED"/>
    <w:rsid w:val="0068176F"/>
    <w:rsid w:val="006819D9"/>
    <w:rsid w:val="00681A04"/>
    <w:rsid w:val="00681F17"/>
    <w:rsid w:val="00682276"/>
    <w:rsid w:val="00683196"/>
    <w:rsid w:val="00683BC9"/>
    <w:rsid w:val="00684362"/>
    <w:rsid w:val="00684AC6"/>
    <w:rsid w:val="0068574E"/>
    <w:rsid w:val="006867CD"/>
    <w:rsid w:val="0068752F"/>
    <w:rsid w:val="006879A7"/>
    <w:rsid w:val="0069030B"/>
    <w:rsid w:val="00690650"/>
    <w:rsid w:val="00690C7D"/>
    <w:rsid w:val="00691053"/>
    <w:rsid w:val="006933FB"/>
    <w:rsid w:val="00693795"/>
    <w:rsid w:val="0069392F"/>
    <w:rsid w:val="00693A59"/>
    <w:rsid w:val="00694353"/>
    <w:rsid w:val="0069651D"/>
    <w:rsid w:val="006967E2"/>
    <w:rsid w:val="006970AA"/>
    <w:rsid w:val="0069753C"/>
    <w:rsid w:val="0069795D"/>
    <w:rsid w:val="00697E7C"/>
    <w:rsid w:val="006A0B91"/>
    <w:rsid w:val="006A266D"/>
    <w:rsid w:val="006A2A96"/>
    <w:rsid w:val="006A3C1E"/>
    <w:rsid w:val="006A500B"/>
    <w:rsid w:val="006A5030"/>
    <w:rsid w:val="006A5D80"/>
    <w:rsid w:val="006A7748"/>
    <w:rsid w:val="006B051E"/>
    <w:rsid w:val="006B0BA5"/>
    <w:rsid w:val="006B182B"/>
    <w:rsid w:val="006B1EB2"/>
    <w:rsid w:val="006B2813"/>
    <w:rsid w:val="006B3119"/>
    <w:rsid w:val="006B34B7"/>
    <w:rsid w:val="006B41E5"/>
    <w:rsid w:val="006B4B14"/>
    <w:rsid w:val="006B5E7B"/>
    <w:rsid w:val="006B5F67"/>
    <w:rsid w:val="006B6101"/>
    <w:rsid w:val="006B63BF"/>
    <w:rsid w:val="006B7009"/>
    <w:rsid w:val="006B73F0"/>
    <w:rsid w:val="006B7C8F"/>
    <w:rsid w:val="006C158E"/>
    <w:rsid w:val="006C1A91"/>
    <w:rsid w:val="006C5250"/>
    <w:rsid w:val="006C744A"/>
    <w:rsid w:val="006D01C6"/>
    <w:rsid w:val="006D0373"/>
    <w:rsid w:val="006D06A1"/>
    <w:rsid w:val="006D21C0"/>
    <w:rsid w:val="006D23CE"/>
    <w:rsid w:val="006D2F2D"/>
    <w:rsid w:val="006D30C3"/>
    <w:rsid w:val="006D3887"/>
    <w:rsid w:val="006D3F64"/>
    <w:rsid w:val="006D53DB"/>
    <w:rsid w:val="006D619F"/>
    <w:rsid w:val="006D6292"/>
    <w:rsid w:val="006E1810"/>
    <w:rsid w:val="006E276C"/>
    <w:rsid w:val="006E2CF7"/>
    <w:rsid w:val="006E2FAB"/>
    <w:rsid w:val="006E3D6C"/>
    <w:rsid w:val="006E4933"/>
    <w:rsid w:val="006E4B82"/>
    <w:rsid w:val="006E66A9"/>
    <w:rsid w:val="006E73B1"/>
    <w:rsid w:val="006E742A"/>
    <w:rsid w:val="006E7432"/>
    <w:rsid w:val="006E7A41"/>
    <w:rsid w:val="006F003D"/>
    <w:rsid w:val="006F121B"/>
    <w:rsid w:val="006F2B8E"/>
    <w:rsid w:val="006F31AE"/>
    <w:rsid w:val="006F3F63"/>
    <w:rsid w:val="006F620C"/>
    <w:rsid w:val="006F6E23"/>
    <w:rsid w:val="006F783C"/>
    <w:rsid w:val="00700694"/>
    <w:rsid w:val="007009CB"/>
    <w:rsid w:val="00701421"/>
    <w:rsid w:val="0070230D"/>
    <w:rsid w:val="007043EB"/>
    <w:rsid w:val="007054DC"/>
    <w:rsid w:val="00707176"/>
    <w:rsid w:val="00707EBD"/>
    <w:rsid w:val="00710971"/>
    <w:rsid w:val="007109D2"/>
    <w:rsid w:val="00711DCB"/>
    <w:rsid w:val="00713190"/>
    <w:rsid w:val="00713DA8"/>
    <w:rsid w:val="00715BBF"/>
    <w:rsid w:val="0071664F"/>
    <w:rsid w:val="00716A15"/>
    <w:rsid w:val="007177FB"/>
    <w:rsid w:val="00717F73"/>
    <w:rsid w:val="00720CC1"/>
    <w:rsid w:val="00722C37"/>
    <w:rsid w:val="00724319"/>
    <w:rsid w:val="0072450D"/>
    <w:rsid w:val="007259C1"/>
    <w:rsid w:val="00725ABB"/>
    <w:rsid w:val="00732390"/>
    <w:rsid w:val="00732D8B"/>
    <w:rsid w:val="00732FEB"/>
    <w:rsid w:val="0073386D"/>
    <w:rsid w:val="00733B9B"/>
    <w:rsid w:val="00736894"/>
    <w:rsid w:val="00736DE0"/>
    <w:rsid w:val="00737ABB"/>
    <w:rsid w:val="00737CA3"/>
    <w:rsid w:val="00740DD6"/>
    <w:rsid w:val="00741071"/>
    <w:rsid w:val="0074109C"/>
    <w:rsid w:val="007412B0"/>
    <w:rsid w:val="00742F27"/>
    <w:rsid w:val="00743E0F"/>
    <w:rsid w:val="0074623E"/>
    <w:rsid w:val="007469FA"/>
    <w:rsid w:val="00747BD4"/>
    <w:rsid w:val="007500EE"/>
    <w:rsid w:val="00751063"/>
    <w:rsid w:val="00752DB7"/>
    <w:rsid w:val="0075349D"/>
    <w:rsid w:val="0075350E"/>
    <w:rsid w:val="0075405E"/>
    <w:rsid w:val="00755644"/>
    <w:rsid w:val="00755677"/>
    <w:rsid w:val="00757485"/>
    <w:rsid w:val="00757BE1"/>
    <w:rsid w:val="00757F9A"/>
    <w:rsid w:val="007608A7"/>
    <w:rsid w:val="00760DF2"/>
    <w:rsid w:val="007620D8"/>
    <w:rsid w:val="00763D38"/>
    <w:rsid w:val="007647B0"/>
    <w:rsid w:val="00766592"/>
    <w:rsid w:val="007675A2"/>
    <w:rsid w:val="00770783"/>
    <w:rsid w:val="0077079B"/>
    <w:rsid w:val="007707F9"/>
    <w:rsid w:val="00771F6B"/>
    <w:rsid w:val="00772FFB"/>
    <w:rsid w:val="00773A73"/>
    <w:rsid w:val="00774288"/>
    <w:rsid w:val="0077521E"/>
    <w:rsid w:val="007756BF"/>
    <w:rsid w:val="00776736"/>
    <w:rsid w:val="0077677D"/>
    <w:rsid w:val="007805B4"/>
    <w:rsid w:val="00780839"/>
    <w:rsid w:val="00781159"/>
    <w:rsid w:val="007813D8"/>
    <w:rsid w:val="00781C2E"/>
    <w:rsid w:val="0078313A"/>
    <w:rsid w:val="00783C89"/>
    <w:rsid w:val="007851CC"/>
    <w:rsid w:val="00786D6A"/>
    <w:rsid w:val="0079336D"/>
    <w:rsid w:val="00793759"/>
    <w:rsid w:val="00794F66"/>
    <w:rsid w:val="007955A3"/>
    <w:rsid w:val="00796679"/>
    <w:rsid w:val="007A075E"/>
    <w:rsid w:val="007A08DE"/>
    <w:rsid w:val="007A0B81"/>
    <w:rsid w:val="007A27A0"/>
    <w:rsid w:val="007A2D70"/>
    <w:rsid w:val="007A3F43"/>
    <w:rsid w:val="007A4660"/>
    <w:rsid w:val="007A5FDE"/>
    <w:rsid w:val="007A6367"/>
    <w:rsid w:val="007A6746"/>
    <w:rsid w:val="007A7237"/>
    <w:rsid w:val="007A7CAB"/>
    <w:rsid w:val="007B04C4"/>
    <w:rsid w:val="007B1D0B"/>
    <w:rsid w:val="007B26C5"/>
    <w:rsid w:val="007B43AA"/>
    <w:rsid w:val="007B4934"/>
    <w:rsid w:val="007B5713"/>
    <w:rsid w:val="007B775F"/>
    <w:rsid w:val="007B7793"/>
    <w:rsid w:val="007B7C78"/>
    <w:rsid w:val="007C1480"/>
    <w:rsid w:val="007C1A9C"/>
    <w:rsid w:val="007C1C9A"/>
    <w:rsid w:val="007C3238"/>
    <w:rsid w:val="007C33E2"/>
    <w:rsid w:val="007C408E"/>
    <w:rsid w:val="007C5D97"/>
    <w:rsid w:val="007C695D"/>
    <w:rsid w:val="007C6981"/>
    <w:rsid w:val="007C6A9F"/>
    <w:rsid w:val="007C6F23"/>
    <w:rsid w:val="007C7454"/>
    <w:rsid w:val="007C77A4"/>
    <w:rsid w:val="007C7942"/>
    <w:rsid w:val="007C7A32"/>
    <w:rsid w:val="007C7C66"/>
    <w:rsid w:val="007D0E0D"/>
    <w:rsid w:val="007D2C4F"/>
    <w:rsid w:val="007D36C2"/>
    <w:rsid w:val="007D39C0"/>
    <w:rsid w:val="007D3A7C"/>
    <w:rsid w:val="007D3F62"/>
    <w:rsid w:val="007D50CF"/>
    <w:rsid w:val="007D59B4"/>
    <w:rsid w:val="007D6238"/>
    <w:rsid w:val="007E0C3A"/>
    <w:rsid w:val="007E12BA"/>
    <w:rsid w:val="007E1E5D"/>
    <w:rsid w:val="007E2628"/>
    <w:rsid w:val="007E262C"/>
    <w:rsid w:val="007E2AEA"/>
    <w:rsid w:val="007E5041"/>
    <w:rsid w:val="007E5283"/>
    <w:rsid w:val="007E68FD"/>
    <w:rsid w:val="007E6CA8"/>
    <w:rsid w:val="007E720D"/>
    <w:rsid w:val="007E76FC"/>
    <w:rsid w:val="007E7712"/>
    <w:rsid w:val="007E77BF"/>
    <w:rsid w:val="007E7E8C"/>
    <w:rsid w:val="007F1E5B"/>
    <w:rsid w:val="007F269C"/>
    <w:rsid w:val="007F2784"/>
    <w:rsid w:val="007F30BA"/>
    <w:rsid w:val="007F37F1"/>
    <w:rsid w:val="007F3962"/>
    <w:rsid w:val="007F3BC6"/>
    <w:rsid w:val="007F3BDE"/>
    <w:rsid w:val="007F485F"/>
    <w:rsid w:val="007F50B0"/>
    <w:rsid w:val="007F5CA8"/>
    <w:rsid w:val="007F716A"/>
    <w:rsid w:val="007F72D1"/>
    <w:rsid w:val="007F7E6B"/>
    <w:rsid w:val="00800DA0"/>
    <w:rsid w:val="00800E0F"/>
    <w:rsid w:val="00800FC7"/>
    <w:rsid w:val="00802533"/>
    <w:rsid w:val="00804B81"/>
    <w:rsid w:val="00804CC1"/>
    <w:rsid w:val="00804E48"/>
    <w:rsid w:val="00804EFA"/>
    <w:rsid w:val="008070A7"/>
    <w:rsid w:val="008102BD"/>
    <w:rsid w:val="00810E8C"/>
    <w:rsid w:val="008113E4"/>
    <w:rsid w:val="00811716"/>
    <w:rsid w:val="00812A44"/>
    <w:rsid w:val="008148B4"/>
    <w:rsid w:val="00814EB2"/>
    <w:rsid w:val="00815C6B"/>
    <w:rsid w:val="008209B4"/>
    <w:rsid w:val="008210A0"/>
    <w:rsid w:val="00821C88"/>
    <w:rsid w:val="0082276A"/>
    <w:rsid w:val="00822961"/>
    <w:rsid w:val="0082344A"/>
    <w:rsid w:val="00823E30"/>
    <w:rsid w:val="00824BFB"/>
    <w:rsid w:val="00824C73"/>
    <w:rsid w:val="008271CC"/>
    <w:rsid w:val="008304DE"/>
    <w:rsid w:val="00830638"/>
    <w:rsid w:val="00830958"/>
    <w:rsid w:val="008312B4"/>
    <w:rsid w:val="00831631"/>
    <w:rsid w:val="00833BC9"/>
    <w:rsid w:val="00833CEE"/>
    <w:rsid w:val="00835A4A"/>
    <w:rsid w:val="00835B54"/>
    <w:rsid w:val="00836C55"/>
    <w:rsid w:val="00837B03"/>
    <w:rsid w:val="0084060A"/>
    <w:rsid w:val="00840827"/>
    <w:rsid w:val="0084260E"/>
    <w:rsid w:val="00843645"/>
    <w:rsid w:val="00843D3C"/>
    <w:rsid w:val="00844861"/>
    <w:rsid w:val="00845973"/>
    <w:rsid w:val="00845A24"/>
    <w:rsid w:val="00847590"/>
    <w:rsid w:val="00847F5C"/>
    <w:rsid w:val="00850131"/>
    <w:rsid w:val="00851FAE"/>
    <w:rsid w:val="008525A9"/>
    <w:rsid w:val="00852D25"/>
    <w:rsid w:val="00852E99"/>
    <w:rsid w:val="008531F6"/>
    <w:rsid w:val="008538BD"/>
    <w:rsid w:val="00853993"/>
    <w:rsid w:val="00854080"/>
    <w:rsid w:val="008553B7"/>
    <w:rsid w:val="0085558F"/>
    <w:rsid w:val="00856B48"/>
    <w:rsid w:val="00857059"/>
    <w:rsid w:val="00857CC3"/>
    <w:rsid w:val="00857D8D"/>
    <w:rsid w:val="008603F8"/>
    <w:rsid w:val="0086173B"/>
    <w:rsid w:val="00861FF4"/>
    <w:rsid w:val="00863DD5"/>
    <w:rsid w:val="00863E18"/>
    <w:rsid w:val="00864052"/>
    <w:rsid w:val="00864644"/>
    <w:rsid w:val="00864735"/>
    <w:rsid w:val="00864CE0"/>
    <w:rsid w:val="00865C8D"/>
    <w:rsid w:val="00865E5B"/>
    <w:rsid w:val="0087107C"/>
    <w:rsid w:val="00871375"/>
    <w:rsid w:val="00872CDF"/>
    <w:rsid w:val="00873ACC"/>
    <w:rsid w:val="00874315"/>
    <w:rsid w:val="008761C8"/>
    <w:rsid w:val="0087725E"/>
    <w:rsid w:val="00877263"/>
    <w:rsid w:val="0087752C"/>
    <w:rsid w:val="00877969"/>
    <w:rsid w:val="00880CA7"/>
    <w:rsid w:val="00881F39"/>
    <w:rsid w:val="00882026"/>
    <w:rsid w:val="0088303E"/>
    <w:rsid w:val="00883150"/>
    <w:rsid w:val="0088329A"/>
    <w:rsid w:val="008838E0"/>
    <w:rsid w:val="00883E55"/>
    <w:rsid w:val="00884000"/>
    <w:rsid w:val="00886EA8"/>
    <w:rsid w:val="00886F07"/>
    <w:rsid w:val="008908FD"/>
    <w:rsid w:val="00891881"/>
    <w:rsid w:val="008919EF"/>
    <w:rsid w:val="00892304"/>
    <w:rsid w:val="00892B3A"/>
    <w:rsid w:val="00892E32"/>
    <w:rsid w:val="00893347"/>
    <w:rsid w:val="00893B17"/>
    <w:rsid w:val="0089501D"/>
    <w:rsid w:val="008950F5"/>
    <w:rsid w:val="008955BD"/>
    <w:rsid w:val="00895996"/>
    <w:rsid w:val="00896119"/>
    <w:rsid w:val="008961DD"/>
    <w:rsid w:val="00896D16"/>
    <w:rsid w:val="008978B1"/>
    <w:rsid w:val="0089795F"/>
    <w:rsid w:val="008A04FA"/>
    <w:rsid w:val="008A053E"/>
    <w:rsid w:val="008A0643"/>
    <w:rsid w:val="008A064A"/>
    <w:rsid w:val="008A06CB"/>
    <w:rsid w:val="008A0D65"/>
    <w:rsid w:val="008A11F2"/>
    <w:rsid w:val="008A2715"/>
    <w:rsid w:val="008A2FE5"/>
    <w:rsid w:val="008A3878"/>
    <w:rsid w:val="008A459D"/>
    <w:rsid w:val="008A6C4F"/>
    <w:rsid w:val="008A78CC"/>
    <w:rsid w:val="008A7A7F"/>
    <w:rsid w:val="008B0BF5"/>
    <w:rsid w:val="008B0F62"/>
    <w:rsid w:val="008B1855"/>
    <w:rsid w:val="008B3718"/>
    <w:rsid w:val="008B3C50"/>
    <w:rsid w:val="008B51C8"/>
    <w:rsid w:val="008B5B21"/>
    <w:rsid w:val="008B5CDB"/>
    <w:rsid w:val="008B613B"/>
    <w:rsid w:val="008B6A22"/>
    <w:rsid w:val="008B6B09"/>
    <w:rsid w:val="008B6B13"/>
    <w:rsid w:val="008B7097"/>
    <w:rsid w:val="008B757A"/>
    <w:rsid w:val="008C0F6B"/>
    <w:rsid w:val="008C1D15"/>
    <w:rsid w:val="008C272C"/>
    <w:rsid w:val="008C2C40"/>
    <w:rsid w:val="008C2CB3"/>
    <w:rsid w:val="008C45AB"/>
    <w:rsid w:val="008C5113"/>
    <w:rsid w:val="008C6882"/>
    <w:rsid w:val="008C7DA8"/>
    <w:rsid w:val="008D005C"/>
    <w:rsid w:val="008D08CE"/>
    <w:rsid w:val="008D0CB4"/>
    <w:rsid w:val="008D2C57"/>
    <w:rsid w:val="008D3C3B"/>
    <w:rsid w:val="008D4266"/>
    <w:rsid w:val="008D4719"/>
    <w:rsid w:val="008D5373"/>
    <w:rsid w:val="008D58ED"/>
    <w:rsid w:val="008D6C83"/>
    <w:rsid w:val="008D6F3A"/>
    <w:rsid w:val="008D784E"/>
    <w:rsid w:val="008D7F05"/>
    <w:rsid w:val="008E0694"/>
    <w:rsid w:val="008E0C31"/>
    <w:rsid w:val="008E22CA"/>
    <w:rsid w:val="008E2759"/>
    <w:rsid w:val="008E3CB0"/>
    <w:rsid w:val="008E569E"/>
    <w:rsid w:val="008E59B5"/>
    <w:rsid w:val="008E6697"/>
    <w:rsid w:val="008E6E87"/>
    <w:rsid w:val="008E71E8"/>
    <w:rsid w:val="008E7C21"/>
    <w:rsid w:val="008F0B65"/>
    <w:rsid w:val="008F1423"/>
    <w:rsid w:val="008F2223"/>
    <w:rsid w:val="008F4539"/>
    <w:rsid w:val="008F4691"/>
    <w:rsid w:val="008F497B"/>
    <w:rsid w:val="008F4AE1"/>
    <w:rsid w:val="008F5078"/>
    <w:rsid w:val="008F5867"/>
    <w:rsid w:val="008F6BE4"/>
    <w:rsid w:val="008F6CA3"/>
    <w:rsid w:val="008F79A3"/>
    <w:rsid w:val="008F7CFC"/>
    <w:rsid w:val="008F7DF8"/>
    <w:rsid w:val="008F7F43"/>
    <w:rsid w:val="00900B9E"/>
    <w:rsid w:val="0090112E"/>
    <w:rsid w:val="00902AF3"/>
    <w:rsid w:val="00903D54"/>
    <w:rsid w:val="0090573E"/>
    <w:rsid w:val="00905CE3"/>
    <w:rsid w:val="0090711D"/>
    <w:rsid w:val="00907529"/>
    <w:rsid w:val="00907FA7"/>
    <w:rsid w:val="00910372"/>
    <w:rsid w:val="00911524"/>
    <w:rsid w:val="00912D0A"/>
    <w:rsid w:val="00913436"/>
    <w:rsid w:val="009136D9"/>
    <w:rsid w:val="0091444B"/>
    <w:rsid w:val="00915244"/>
    <w:rsid w:val="00916B41"/>
    <w:rsid w:val="00917138"/>
    <w:rsid w:val="009203A1"/>
    <w:rsid w:val="009218AD"/>
    <w:rsid w:val="00921A4B"/>
    <w:rsid w:val="00922508"/>
    <w:rsid w:val="009226FD"/>
    <w:rsid w:val="00922EA4"/>
    <w:rsid w:val="00923F04"/>
    <w:rsid w:val="00925054"/>
    <w:rsid w:val="0092564D"/>
    <w:rsid w:val="00926018"/>
    <w:rsid w:val="009267F4"/>
    <w:rsid w:val="00927C65"/>
    <w:rsid w:val="00927D74"/>
    <w:rsid w:val="009306D7"/>
    <w:rsid w:val="0093294A"/>
    <w:rsid w:val="00933203"/>
    <w:rsid w:val="00934614"/>
    <w:rsid w:val="00935BF5"/>
    <w:rsid w:val="009407A2"/>
    <w:rsid w:val="00941B9B"/>
    <w:rsid w:val="009445FD"/>
    <w:rsid w:val="00944BD0"/>
    <w:rsid w:val="00944D4C"/>
    <w:rsid w:val="00944E2C"/>
    <w:rsid w:val="0094584B"/>
    <w:rsid w:val="00945A8A"/>
    <w:rsid w:val="009460E0"/>
    <w:rsid w:val="00950058"/>
    <w:rsid w:val="00950225"/>
    <w:rsid w:val="00952D81"/>
    <w:rsid w:val="00954517"/>
    <w:rsid w:val="00956BA4"/>
    <w:rsid w:val="00961584"/>
    <w:rsid w:val="0096216F"/>
    <w:rsid w:val="009626D7"/>
    <w:rsid w:val="009633A4"/>
    <w:rsid w:val="0096518E"/>
    <w:rsid w:val="00965323"/>
    <w:rsid w:val="009661E3"/>
    <w:rsid w:val="009662C2"/>
    <w:rsid w:val="009665C0"/>
    <w:rsid w:val="00966807"/>
    <w:rsid w:val="009669F9"/>
    <w:rsid w:val="00966C32"/>
    <w:rsid w:val="00967AAC"/>
    <w:rsid w:val="00970160"/>
    <w:rsid w:val="0097016A"/>
    <w:rsid w:val="00970906"/>
    <w:rsid w:val="00970DF7"/>
    <w:rsid w:val="00971E6F"/>
    <w:rsid w:val="0097224E"/>
    <w:rsid w:val="009741E6"/>
    <w:rsid w:val="0097513B"/>
    <w:rsid w:val="00975C36"/>
    <w:rsid w:val="00975D44"/>
    <w:rsid w:val="00975F0C"/>
    <w:rsid w:val="00977047"/>
    <w:rsid w:val="00980A53"/>
    <w:rsid w:val="00980D80"/>
    <w:rsid w:val="00981C9B"/>
    <w:rsid w:val="00982220"/>
    <w:rsid w:val="0098371F"/>
    <w:rsid w:val="009843F9"/>
    <w:rsid w:val="00984402"/>
    <w:rsid w:val="00984D1E"/>
    <w:rsid w:val="009851C1"/>
    <w:rsid w:val="009861BC"/>
    <w:rsid w:val="009864BC"/>
    <w:rsid w:val="0098749F"/>
    <w:rsid w:val="00990923"/>
    <w:rsid w:val="00990F70"/>
    <w:rsid w:val="00991297"/>
    <w:rsid w:val="0099153B"/>
    <w:rsid w:val="009933A4"/>
    <w:rsid w:val="0099406A"/>
    <w:rsid w:val="00994361"/>
    <w:rsid w:val="00995771"/>
    <w:rsid w:val="009A2900"/>
    <w:rsid w:val="009A2AF4"/>
    <w:rsid w:val="009A598F"/>
    <w:rsid w:val="009A59BC"/>
    <w:rsid w:val="009A79FF"/>
    <w:rsid w:val="009B06A6"/>
    <w:rsid w:val="009B07E0"/>
    <w:rsid w:val="009B10BD"/>
    <w:rsid w:val="009B2EDB"/>
    <w:rsid w:val="009B3482"/>
    <w:rsid w:val="009B3C97"/>
    <w:rsid w:val="009B5183"/>
    <w:rsid w:val="009B6055"/>
    <w:rsid w:val="009B6D49"/>
    <w:rsid w:val="009B6D8E"/>
    <w:rsid w:val="009B728D"/>
    <w:rsid w:val="009C006A"/>
    <w:rsid w:val="009C0235"/>
    <w:rsid w:val="009C1471"/>
    <w:rsid w:val="009C2231"/>
    <w:rsid w:val="009C3081"/>
    <w:rsid w:val="009C4792"/>
    <w:rsid w:val="009C5B92"/>
    <w:rsid w:val="009C5C16"/>
    <w:rsid w:val="009C67DA"/>
    <w:rsid w:val="009C7E8C"/>
    <w:rsid w:val="009D0550"/>
    <w:rsid w:val="009D14B9"/>
    <w:rsid w:val="009D2321"/>
    <w:rsid w:val="009D279B"/>
    <w:rsid w:val="009D34A9"/>
    <w:rsid w:val="009D3EF7"/>
    <w:rsid w:val="009D525C"/>
    <w:rsid w:val="009D565C"/>
    <w:rsid w:val="009D5759"/>
    <w:rsid w:val="009D58E4"/>
    <w:rsid w:val="009D5904"/>
    <w:rsid w:val="009D6C41"/>
    <w:rsid w:val="009E0E13"/>
    <w:rsid w:val="009E1347"/>
    <w:rsid w:val="009E2012"/>
    <w:rsid w:val="009E35ED"/>
    <w:rsid w:val="009E4513"/>
    <w:rsid w:val="009E4843"/>
    <w:rsid w:val="009E5217"/>
    <w:rsid w:val="009E6DA7"/>
    <w:rsid w:val="009E6E20"/>
    <w:rsid w:val="009E6EA5"/>
    <w:rsid w:val="009E702A"/>
    <w:rsid w:val="009E7518"/>
    <w:rsid w:val="009E7607"/>
    <w:rsid w:val="009F09ED"/>
    <w:rsid w:val="009F0D76"/>
    <w:rsid w:val="009F13C2"/>
    <w:rsid w:val="009F14CD"/>
    <w:rsid w:val="009F1AE8"/>
    <w:rsid w:val="009F2A92"/>
    <w:rsid w:val="009F3F7E"/>
    <w:rsid w:val="009F437F"/>
    <w:rsid w:val="009F4922"/>
    <w:rsid w:val="009F623D"/>
    <w:rsid w:val="009F68FD"/>
    <w:rsid w:val="009F71B4"/>
    <w:rsid w:val="009F7AB6"/>
    <w:rsid w:val="00A00481"/>
    <w:rsid w:val="00A00D37"/>
    <w:rsid w:val="00A011F8"/>
    <w:rsid w:val="00A01E3A"/>
    <w:rsid w:val="00A01F75"/>
    <w:rsid w:val="00A02757"/>
    <w:rsid w:val="00A03863"/>
    <w:rsid w:val="00A04180"/>
    <w:rsid w:val="00A059C4"/>
    <w:rsid w:val="00A061CA"/>
    <w:rsid w:val="00A107F4"/>
    <w:rsid w:val="00A1193A"/>
    <w:rsid w:val="00A11D2A"/>
    <w:rsid w:val="00A13207"/>
    <w:rsid w:val="00A1375F"/>
    <w:rsid w:val="00A148DD"/>
    <w:rsid w:val="00A16940"/>
    <w:rsid w:val="00A16F55"/>
    <w:rsid w:val="00A1726B"/>
    <w:rsid w:val="00A1744D"/>
    <w:rsid w:val="00A176C0"/>
    <w:rsid w:val="00A17A0F"/>
    <w:rsid w:val="00A20C83"/>
    <w:rsid w:val="00A21071"/>
    <w:rsid w:val="00A21117"/>
    <w:rsid w:val="00A21A23"/>
    <w:rsid w:val="00A21E53"/>
    <w:rsid w:val="00A22DB9"/>
    <w:rsid w:val="00A237E9"/>
    <w:rsid w:val="00A23AA6"/>
    <w:rsid w:val="00A23CE2"/>
    <w:rsid w:val="00A24387"/>
    <w:rsid w:val="00A3008A"/>
    <w:rsid w:val="00A302F8"/>
    <w:rsid w:val="00A309DE"/>
    <w:rsid w:val="00A313CA"/>
    <w:rsid w:val="00A31D61"/>
    <w:rsid w:val="00A32376"/>
    <w:rsid w:val="00A324A3"/>
    <w:rsid w:val="00A33D21"/>
    <w:rsid w:val="00A34007"/>
    <w:rsid w:val="00A34050"/>
    <w:rsid w:val="00A34938"/>
    <w:rsid w:val="00A34CB3"/>
    <w:rsid w:val="00A3509A"/>
    <w:rsid w:val="00A361F8"/>
    <w:rsid w:val="00A3668C"/>
    <w:rsid w:val="00A400A9"/>
    <w:rsid w:val="00A42003"/>
    <w:rsid w:val="00A42771"/>
    <w:rsid w:val="00A4300A"/>
    <w:rsid w:val="00A430B5"/>
    <w:rsid w:val="00A44453"/>
    <w:rsid w:val="00A4446D"/>
    <w:rsid w:val="00A45091"/>
    <w:rsid w:val="00A45287"/>
    <w:rsid w:val="00A468A7"/>
    <w:rsid w:val="00A4749D"/>
    <w:rsid w:val="00A506AF"/>
    <w:rsid w:val="00A5123B"/>
    <w:rsid w:val="00A514B8"/>
    <w:rsid w:val="00A5310B"/>
    <w:rsid w:val="00A53573"/>
    <w:rsid w:val="00A53753"/>
    <w:rsid w:val="00A551B2"/>
    <w:rsid w:val="00A552E7"/>
    <w:rsid w:val="00A564E1"/>
    <w:rsid w:val="00A576A5"/>
    <w:rsid w:val="00A577AD"/>
    <w:rsid w:val="00A60FD6"/>
    <w:rsid w:val="00A629A1"/>
    <w:rsid w:val="00A62FA8"/>
    <w:rsid w:val="00A637C6"/>
    <w:rsid w:val="00A63D45"/>
    <w:rsid w:val="00A644AA"/>
    <w:rsid w:val="00A6500B"/>
    <w:rsid w:val="00A665F9"/>
    <w:rsid w:val="00A6674B"/>
    <w:rsid w:val="00A66C10"/>
    <w:rsid w:val="00A70145"/>
    <w:rsid w:val="00A70AE1"/>
    <w:rsid w:val="00A70BB9"/>
    <w:rsid w:val="00A7101A"/>
    <w:rsid w:val="00A71A38"/>
    <w:rsid w:val="00A736A7"/>
    <w:rsid w:val="00A73FD6"/>
    <w:rsid w:val="00A756DE"/>
    <w:rsid w:val="00A804B4"/>
    <w:rsid w:val="00A80A23"/>
    <w:rsid w:val="00A815F5"/>
    <w:rsid w:val="00A81817"/>
    <w:rsid w:val="00A84076"/>
    <w:rsid w:val="00A84E9D"/>
    <w:rsid w:val="00A858C3"/>
    <w:rsid w:val="00A85D43"/>
    <w:rsid w:val="00A9082A"/>
    <w:rsid w:val="00A90F96"/>
    <w:rsid w:val="00A9112E"/>
    <w:rsid w:val="00A9221A"/>
    <w:rsid w:val="00A9244C"/>
    <w:rsid w:val="00A93C73"/>
    <w:rsid w:val="00A941F3"/>
    <w:rsid w:val="00A96021"/>
    <w:rsid w:val="00A962C0"/>
    <w:rsid w:val="00A963F7"/>
    <w:rsid w:val="00AA1543"/>
    <w:rsid w:val="00AA330E"/>
    <w:rsid w:val="00AA34EA"/>
    <w:rsid w:val="00AA3507"/>
    <w:rsid w:val="00AA4A5B"/>
    <w:rsid w:val="00AA4AC5"/>
    <w:rsid w:val="00AA6A7A"/>
    <w:rsid w:val="00AA7012"/>
    <w:rsid w:val="00AA72DA"/>
    <w:rsid w:val="00AB09A4"/>
    <w:rsid w:val="00AB1CAF"/>
    <w:rsid w:val="00AB28E2"/>
    <w:rsid w:val="00AB30F9"/>
    <w:rsid w:val="00AB34B1"/>
    <w:rsid w:val="00AB3DA3"/>
    <w:rsid w:val="00AB596F"/>
    <w:rsid w:val="00AB6897"/>
    <w:rsid w:val="00AB6B9C"/>
    <w:rsid w:val="00AB75A8"/>
    <w:rsid w:val="00AB797E"/>
    <w:rsid w:val="00AC2112"/>
    <w:rsid w:val="00AC28FA"/>
    <w:rsid w:val="00AC2F37"/>
    <w:rsid w:val="00AC388D"/>
    <w:rsid w:val="00AC4262"/>
    <w:rsid w:val="00AC434B"/>
    <w:rsid w:val="00AC5995"/>
    <w:rsid w:val="00AC6160"/>
    <w:rsid w:val="00AC74FE"/>
    <w:rsid w:val="00AC778F"/>
    <w:rsid w:val="00AD098A"/>
    <w:rsid w:val="00AD1413"/>
    <w:rsid w:val="00AD1D87"/>
    <w:rsid w:val="00AD2063"/>
    <w:rsid w:val="00AD2456"/>
    <w:rsid w:val="00AD2694"/>
    <w:rsid w:val="00AD2973"/>
    <w:rsid w:val="00AD2B12"/>
    <w:rsid w:val="00AD2EA8"/>
    <w:rsid w:val="00AD3FC0"/>
    <w:rsid w:val="00AD53A9"/>
    <w:rsid w:val="00AD5DFB"/>
    <w:rsid w:val="00AD711F"/>
    <w:rsid w:val="00AD7354"/>
    <w:rsid w:val="00AE0914"/>
    <w:rsid w:val="00AE0B3E"/>
    <w:rsid w:val="00AE0C67"/>
    <w:rsid w:val="00AE0C86"/>
    <w:rsid w:val="00AE23DD"/>
    <w:rsid w:val="00AE2474"/>
    <w:rsid w:val="00AE29CF"/>
    <w:rsid w:val="00AE2DF9"/>
    <w:rsid w:val="00AE3E65"/>
    <w:rsid w:val="00AE530A"/>
    <w:rsid w:val="00AE6751"/>
    <w:rsid w:val="00AE7453"/>
    <w:rsid w:val="00AE7B6E"/>
    <w:rsid w:val="00AF04D5"/>
    <w:rsid w:val="00AF0683"/>
    <w:rsid w:val="00AF1D6B"/>
    <w:rsid w:val="00AF2388"/>
    <w:rsid w:val="00AF2783"/>
    <w:rsid w:val="00AF47D8"/>
    <w:rsid w:val="00AF48E0"/>
    <w:rsid w:val="00AF5158"/>
    <w:rsid w:val="00AF5C38"/>
    <w:rsid w:val="00AF5E4C"/>
    <w:rsid w:val="00B02534"/>
    <w:rsid w:val="00B02BC9"/>
    <w:rsid w:val="00B030DD"/>
    <w:rsid w:val="00B03DD8"/>
    <w:rsid w:val="00B044B6"/>
    <w:rsid w:val="00B045FA"/>
    <w:rsid w:val="00B056B1"/>
    <w:rsid w:val="00B065C0"/>
    <w:rsid w:val="00B06A32"/>
    <w:rsid w:val="00B07A82"/>
    <w:rsid w:val="00B1223F"/>
    <w:rsid w:val="00B122AB"/>
    <w:rsid w:val="00B1232F"/>
    <w:rsid w:val="00B12527"/>
    <w:rsid w:val="00B1257A"/>
    <w:rsid w:val="00B12826"/>
    <w:rsid w:val="00B133DC"/>
    <w:rsid w:val="00B14182"/>
    <w:rsid w:val="00B1568A"/>
    <w:rsid w:val="00B160CA"/>
    <w:rsid w:val="00B2043D"/>
    <w:rsid w:val="00B20EF3"/>
    <w:rsid w:val="00B21360"/>
    <w:rsid w:val="00B21446"/>
    <w:rsid w:val="00B21629"/>
    <w:rsid w:val="00B228C9"/>
    <w:rsid w:val="00B231F9"/>
    <w:rsid w:val="00B236EA"/>
    <w:rsid w:val="00B23926"/>
    <w:rsid w:val="00B24810"/>
    <w:rsid w:val="00B24953"/>
    <w:rsid w:val="00B24CA2"/>
    <w:rsid w:val="00B2580A"/>
    <w:rsid w:val="00B25B14"/>
    <w:rsid w:val="00B26172"/>
    <w:rsid w:val="00B26744"/>
    <w:rsid w:val="00B26972"/>
    <w:rsid w:val="00B26B11"/>
    <w:rsid w:val="00B27D01"/>
    <w:rsid w:val="00B304E3"/>
    <w:rsid w:val="00B31399"/>
    <w:rsid w:val="00B31ED1"/>
    <w:rsid w:val="00B326AA"/>
    <w:rsid w:val="00B34C0C"/>
    <w:rsid w:val="00B34D92"/>
    <w:rsid w:val="00B3558A"/>
    <w:rsid w:val="00B3562B"/>
    <w:rsid w:val="00B35649"/>
    <w:rsid w:val="00B35A8A"/>
    <w:rsid w:val="00B366B6"/>
    <w:rsid w:val="00B36A8F"/>
    <w:rsid w:val="00B37AE5"/>
    <w:rsid w:val="00B42EC1"/>
    <w:rsid w:val="00B42EEC"/>
    <w:rsid w:val="00B433BC"/>
    <w:rsid w:val="00B43498"/>
    <w:rsid w:val="00B45237"/>
    <w:rsid w:val="00B459BF"/>
    <w:rsid w:val="00B46263"/>
    <w:rsid w:val="00B46510"/>
    <w:rsid w:val="00B50143"/>
    <w:rsid w:val="00B50A09"/>
    <w:rsid w:val="00B51600"/>
    <w:rsid w:val="00B53079"/>
    <w:rsid w:val="00B5392A"/>
    <w:rsid w:val="00B541AE"/>
    <w:rsid w:val="00B542F4"/>
    <w:rsid w:val="00B54A92"/>
    <w:rsid w:val="00B55D43"/>
    <w:rsid w:val="00B561B4"/>
    <w:rsid w:val="00B569CC"/>
    <w:rsid w:val="00B5758E"/>
    <w:rsid w:val="00B57CAA"/>
    <w:rsid w:val="00B60CCD"/>
    <w:rsid w:val="00B6154F"/>
    <w:rsid w:val="00B63265"/>
    <w:rsid w:val="00B63885"/>
    <w:rsid w:val="00B6464B"/>
    <w:rsid w:val="00B6541E"/>
    <w:rsid w:val="00B65848"/>
    <w:rsid w:val="00B65C67"/>
    <w:rsid w:val="00B65CE8"/>
    <w:rsid w:val="00B65EC1"/>
    <w:rsid w:val="00B65F10"/>
    <w:rsid w:val="00B66399"/>
    <w:rsid w:val="00B67665"/>
    <w:rsid w:val="00B71E54"/>
    <w:rsid w:val="00B72AF0"/>
    <w:rsid w:val="00B7711C"/>
    <w:rsid w:val="00B80175"/>
    <w:rsid w:val="00B8041C"/>
    <w:rsid w:val="00B80A12"/>
    <w:rsid w:val="00B8188C"/>
    <w:rsid w:val="00B81991"/>
    <w:rsid w:val="00B81DB1"/>
    <w:rsid w:val="00B82642"/>
    <w:rsid w:val="00B84472"/>
    <w:rsid w:val="00B8526A"/>
    <w:rsid w:val="00B8542F"/>
    <w:rsid w:val="00B879D7"/>
    <w:rsid w:val="00B904A7"/>
    <w:rsid w:val="00B90EBD"/>
    <w:rsid w:val="00B93793"/>
    <w:rsid w:val="00B944D9"/>
    <w:rsid w:val="00B946B8"/>
    <w:rsid w:val="00B95756"/>
    <w:rsid w:val="00B95DF2"/>
    <w:rsid w:val="00B97D89"/>
    <w:rsid w:val="00BA1B18"/>
    <w:rsid w:val="00BA1FB4"/>
    <w:rsid w:val="00BA2244"/>
    <w:rsid w:val="00BA28BF"/>
    <w:rsid w:val="00BA3916"/>
    <w:rsid w:val="00BA4028"/>
    <w:rsid w:val="00BA4A4D"/>
    <w:rsid w:val="00BA5541"/>
    <w:rsid w:val="00BA61A2"/>
    <w:rsid w:val="00BA6A26"/>
    <w:rsid w:val="00BB1612"/>
    <w:rsid w:val="00BB217C"/>
    <w:rsid w:val="00BB3293"/>
    <w:rsid w:val="00BB3EDB"/>
    <w:rsid w:val="00BB4629"/>
    <w:rsid w:val="00BB4DCF"/>
    <w:rsid w:val="00BB6107"/>
    <w:rsid w:val="00BB6774"/>
    <w:rsid w:val="00BB73C1"/>
    <w:rsid w:val="00BC06FE"/>
    <w:rsid w:val="00BC09F0"/>
    <w:rsid w:val="00BC0BD0"/>
    <w:rsid w:val="00BC194E"/>
    <w:rsid w:val="00BC1BE9"/>
    <w:rsid w:val="00BC236F"/>
    <w:rsid w:val="00BC3523"/>
    <w:rsid w:val="00BC6427"/>
    <w:rsid w:val="00BC6615"/>
    <w:rsid w:val="00BC6D2F"/>
    <w:rsid w:val="00BC790B"/>
    <w:rsid w:val="00BD02AC"/>
    <w:rsid w:val="00BD0E0B"/>
    <w:rsid w:val="00BD1E2D"/>
    <w:rsid w:val="00BD2355"/>
    <w:rsid w:val="00BD2AD4"/>
    <w:rsid w:val="00BD2F03"/>
    <w:rsid w:val="00BD3726"/>
    <w:rsid w:val="00BD3996"/>
    <w:rsid w:val="00BD3E0B"/>
    <w:rsid w:val="00BD5489"/>
    <w:rsid w:val="00BD5E72"/>
    <w:rsid w:val="00BD6146"/>
    <w:rsid w:val="00BD668A"/>
    <w:rsid w:val="00BD711D"/>
    <w:rsid w:val="00BD774D"/>
    <w:rsid w:val="00BE093E"/>
    <w:rsid w:val="00BE0EB3"/>
    <w:rsid w:val="00BE1E52"/>
    <w:rsid w:val="00BE3B4A"/>
    <w:rsid w:val="00BE3F26"/>
    <w:rsid w:val="00BE40FC"/>
    <w:rsid w:val="00BE491E"/>
    <w:rsid w:val="00BE4EBE"/>
    <w:rsid w:val="00BE5386"/>
    <w:rsid w:val="00BE5786"/>
    <w:rsid w:val="00BE58E3"/>
    <w:rsid w:val="00BE6269"/>
    <w:rsid w:val="00BE6545"/>
    <w:rsid w:val="00BE7DC4"/>
    <w:rsid w:val="00BE7F1B"/>
    <w:rsid w:val="00BF00D2"/>
    <w:rsid w:val="00BF0C38"/>
    <w:rsid w:val="00BF105C"/>
    <w:rsid w:val="00BF137D"/>
    <w:rsid w:val="00BF2E07"/>
    <w:rsid w:val="00BF45E0"/>
    <w:rsid w:val="00BF54D4"/>
    <w:rsid w:val="00BF58B5"/>
    <w:rsid w:val="00BF64D8"/>
    <w:rsid w:val="00BF6DC4"/>
    <w:rsid w:val="00BF76BF"/>
    <w:rsid w:val="00C004DA"/>
    <w:rsid w:val="00C01F6B"/>
    <w:rsid w:val="00C034DC"/>
    <w:rsid w:val="00C065FE"/>
    <w:rsid w:val="00C07BDF"/>
    <w:rsid w:val="00C10C75"/>
    <w:rsid w:val="00C10F47"/>
    <w:rsid w:val="00C12F02"/>
    <w:rsid w:val="00C13923"/>
    <w:rsid w:val="00C15672"/>
    <w:rsid w:val="00C15A2A"/>
    <w:rsid w:val="00C16495"/>
    <w:rsid w:val="00C17EAB"/>
    <w:rsid w:val="00C205F5"/>
    <w:rsid w:val="00C233EE"/>
    <w:rsid w:val="00C244C9"/>
    <w:rsid w:val="00C2539B"/>
    <w:rsid w:val="00C30697"/>
    <w:rsid w:val="00C31B9F"/>
    <w:rsid w:val="00C320B1"/>
    <w:rsid w:val="00C33190"/>
    <w:rsid w:val="00C335DA"/>
    <w:rsid w:val="00C34D33"/>
    <w:rsid w:val="00C36892"/>
    <w:rsid w:val="00C36A51"/>
    <w:rsid w:val="00C405A2"/>
    <w:rsid w:val="00C41875"/>
    <w:rsid w:val="00C43916"/>
    <w:rsid w:val="00C43F3D"/>
    <w:rsid w:val="00C45669"/>
    <w:rsid w:val="00C45F8E"/>
    <w:rsid w:val="00C46F0A"/>
    <w:rsid w:val="00C47560"/>
    <w:rsid w:val="00C50886"/>
    <w:rsid w:val="00C52EE6"/>
    <w:rsid w:val="00C533E9"/>
    <w:rsid w:val="00C54006"/>
    <w:rsid w:val="00C54FB8"/>
    <w:rsid w:val="00C56257"/>
    <w:rsid w:val="00C56D02"/>
    <w:rsid w:val="00C617A2"/>
    <w:rsid w:val="00C61AE8"/>
    <w:rsid w:val="00C622F2"/>
    <w:rsid w:val="00C62AA5"/>
    <w:rsid w:val="00C62E1C"/>
    <w:rsid w:val="00C63035"/>
    <w:rsid w:val="00C637EB"/>
    <w:rsid w:val="00C64179"/>
    <w:rsid w:val="00C64A66"/>
    <w:rsid w:val="00C66101"/>
    <w:rsid w:val="00C6625A"/>
    <w:rsid w:val="00C66271"/>
    <w:rsid w:val="00C6691A"/>
    <w:rsid w:val="00C67E16"/>
    <w:rsid w:val="00C70ED8"/>
    <w:rsid w:val="00C72C27"/>
    <w:rsid w:val="00C73DEF"/>
    <w:rsid w:val="00C75045"/>
    <w:rsid w:val="00C76458"/>
    <w:rsid w:val="00C7656B"/>
    <w:rsid w:val="00C774E1"/>
    <w:rsid w:val="00C80ABA"/>
    <w:rsid w:val="00C80C22"/>
    <w:rsid w:val="00C80EE2"/>
    <w:rsid w:val="00C81A54"/>
    <w:rsid w:val="00C821D1"/>
    <w:rsid w:val="00C82AFD"/>
    <w:rsid w:val="00C8336C"/>
    <w:rsid w:val="00C84745"/>
    <w:rsid w:val="00C84CDB"/>
    <w:rsid w:val="00C85017"/>
    <w:rsid w:val="00C86365"/>
    <w:rsid w:val="00C869A3"/>
    <w:rsid w:val="00C8777E"/>
    <w:rsid w:val="00C90537"/>
    <w:rsid w:val="00C910FC"/>
    <w:rsid w:val="00C91D8A"/>
    <w:rsid w:val="00C9247E"/>
    <w:rsid w:val="00C92D04"/>
    <w:rsid w:val="00C9328E"/>
    <w:rsid w:val="00C9365B"/>
    <w:rsid w:val="00C93917"/>
    <w:rsid w:val="00C94B13"/>
    <w:rsid w:val="00CA20B5"/>
    <w:rsid w:val="00CA2D8F"/>
    <w:rsid w:val="00CA6190"/>
    <w:rsid w:val="00CA6F42"/>
    <w:rsid w:val="00CA7590"/>
    <w:rsid w:val="00CB1280"/>
    <w:rsid w:val="00CB18C7"/>
    <w:rsid w:val="00CB2010"/>
    <w:rsid w:val="00CB3326"/>
    <w:rsid w:val="00CB39E0"/>
    <w:rsid w:val="00CB3B47"/>
    <w:rsid w:val="00CB4C17"/>
    <w:rsid w:val="00CB52E7"/>
    <w:rsid w:val="00CB622C"/>
    <w:rsid w:val="00CB65E9"/>
    <w:rsid w:val="00CB67B7"/>
    <w:rsid w:val="00CB75C7"/>
    <w:rsid w:val="00CB7980"/>
    <w:rsid w:val="00CC0EA0"/>
    <w:rsid w:val="00CC218F"/>
    <w:rsid w:val="00CC2895"/>
    <w:rsid w:val="00CC2FA7"/>
    <w:rsid w:val="00CC378E"/>
    <w:rsid w:val="00CC43FF"/>
    <w:rsid w:val="00CC5A24"/>
    <w:rsid w:val="00CC5DD7"/>
    <w:rsid w:val="00CC61B3"/>
    <w:rsid w:val="00CC652E"/>
    <w:rsid w:val="00CC782D"/>
    <w:rsid w:val="00CD0384"/>
    <w:rsid w:val="00CD04EE"/>
    <w:rsid w:val="00CD0FAC"/>
    <w:rsid w:val="00CD16F9"/>
    <w:rsid w:val="00CD2261"/>
    <w:rsid w:val="00CD2440"/>
    <w:rsid w:val="00CD4141"/>
    <w:rsid w:val="00CD4F4D"/>
    <w:rsid w:val="00CD59FB"/>
    <w:rsid w:val="00CE010C"/>
    <w:rsid w:val="00CE0154"/>
    <w:rsid w:val="00CE0689"/>
    <w:rsid w:val="00CE1EF8"/>
    <w:rsid w:val="00CE2507"/>
    <w:rsid w:val="00CE3934"/>
    <w:rsid w:val="00CE3E1E"/>
    <w:rsid w:val="00CE4518"/>
    <w:rsid w:val="00CE6C5C"/>
    <w:rsid w:val="00CF050E"/>
    <w:rsid w:val="00CF0E5B"/>
    <w:rsid w:val="00CF1013"/>
    <w:rsid w:val="00CF1644"/>
    <w:rsid w:val="00CF18A3"/>
    <w:rsid w:val="00CF2112"/>
    <w:rsid w:val="00CF3665"/>
    <w:rsid w:val="00CF4878"/>
    <w:rsid w:val="00CF71B6"/>
    <w:rsid w:val="00CF75BE"/>
    <w:rsid w:val="00CF7901"/>
    <w:rsid w:val="00D00CB9"/>
    <w:rsid w:val="00D026BD"/>
    <w:rsid w:val="00D026F1"/>
    <w:rsid w:val="00D026F9"/>
    <w:rsid w:val="00D029F6"/>
    <w:rsid w:val="00D02E9C"/>
    <w:rsid w:val="00D02FC5"/>
    <w:rsid w:val="00D03D77"/>
    <w:rsid w:val="00D0407C"/>
    <w:rsid w:val="00D064F1"/>
    <w:rsid w:val="00D075CF"/>
    <w:rsid w:val="00D07A47"/>
    <w:rsid w:val="00D07BF8"/>
    <w:rsid w:val="00D10215"/>
    <w:rsid w:val="00D1081B"/>
    <w:rsid w:val="00D12B35"/>
    <w:rsid w:val="00D13462"/>
    <w:rsid w:val="00D135BF"/>
    <w:rsid w:val="00D13C7D"/>
    <w:rsid w:val="00D15DCE"/>
    <w:rsid w:val="00D15E2D"/>
    <w:rsid w:val="00D16FEC"/>
    <w:rsid w:val="00D2044C"/>
    <w:rsid w:val="00D20AE9"/>
    <w:rsid w:val="00D215AA"/>
    <w:rsid w:val="00D227E2"/>
    <w:rsid w:val="00D22D15"/>
    <w:rsid w:val="00D22F42"/>
    <w:rsid w:val="00D2385B"/>
    <w:rsid w:val="00D23E89"/>
    <w:rsid w:val="00D242F0"/>
    <w:rsid w:val="00D24576"/>
    <w:rsid w:val="00D25922"/>
    <w:rsid w:val="00D25A60"/>
    <w:rsid w:val="00D25A90"/>
    <w:rsid w:val="00D266F5"/>
    <w:rsid w:val="00D2791B"/>
    <w:rsid w:val="00D300F8"/>
    <w:rsid w:val="00D30E08"/>
    <w:rsid w:val="00D3162D"/>
    <w:rsid w:val="00D31A82"/>
    <w:rsid w:val="00D31B04"/>
    <w:rsid w:val="00D31CD0"/>
    <w:rsid w:val="00D329DF"/>
    <w:rsid w:val="00D32D04"/>
    <w:rsid w:val="00D32DC5"/>
    <w:rsid w:val="00D339AC"/>
    <w:rsid w:val="00D3436A"/>
    <w:rsid w:val="00D3474F"/>
    <w:rsid w:val="00D35F6B"/>
    <w:rsid w:val="00D4036C"/>
    <w:rsid w:val="00D4042F"/>
    <w:rsid w:val="00D426FD"/>
    <w:rsid w:val="00D43167"/>
    <w:rsid w:val="00D44EFF"/>
    <w:rsid w:val="00D4522A"/>
    <w:rsid w:val="00D45C93"/>
    <w:rsid w:val="00D46CE0"/>
    <w:rsid w:val="00D46F31"/>
    <w:rsid w:val="00D47260"/>
    <w:rsid w:val="00D50570"/>
    <w:rsid w:val="00D50713"/>
    <w:rsid w:val="00D50904"/>
    <w:rsid w:val="00D51476"/>
    <w:rsid w:val="00D514E5"/>
    <w:rsid w:val="00D5151C"/>
    <w:rsid w:val="00D51A7F"/>
    <w:rsid w:val="00D53921"/>
    <w:rsid w:val="00D53AA9"/>
    <w:rsid w:val="00D53CCF"/>
    <w:rsid w:val="00D5486D"/>
    <w:rsid w:val="00D54E37"/>
    <w:rsid w:val="00D54F87"/>
    <w:rsid w:val="00D55A77"/>
    <w:rsid w:val="00D56FEC"/>
    <w:rsid w:val="00D571F7"/>
    <w:rsid w:val="00D578B3"/>
    <w:rsid w:val="00D57BC2"/>
    <w:rsid w:val="00D57C08"/>
    <w:rsid w:val="00D61032"/>
    <w:rsid w:val="00D62E6B"/>
    <w:rsid w:val="00D630B1"/>
    <w:rsid w:val="00D63638"/>
    <w:rsid w:val="00D64779"/>
    <w:rsid w:val="00D64CFC"/>
    <w:rsid w:val="00D64E90"/>
    <w:rsid w:val="00D664A3"/>
    <w:rsid w:val="00D70444"/>
    <w:rsid w:val="00D7099A"/>
    <w:rsid w:val="00D70A79"/>
    <w:rsid w:val="00D70CA0"/>
    <w:rsid w:val="00D71946"/>
    <w:rsid w:val="00D74810"/>
    <w:rsid w:val="00D75265"/>
    <w:rsid w:val="00D75D3D"/>
    <w:rsid w:val="00D75E77"/>
    <w:rsid w:val="00D7795F"/>
    <w:rsid w:val="00D77D48"/>
    <w:rsid w:val="00D81605"/>
    <w:rsid w:val="00D819CA"/>
    <w:rsid w:val="00D81AA8"/>
    <w:rsid w:val="00D820B8"/>
    <w:rsid w:val="00D824D6"/>
    <w:rsid w:val="00D83152"/>
    <w:rsid w:val="00D841C6"/>
    <w:rsid w:val="00D8503F"/>
    <w:rsid w:val="00D8590B"/>
    <w:rsid w:val="00D85AD7"/>
    <w:rsid w:val="00D85ECD"/>
    <w:rsid w:val="00D877BD"/>
    <w:rsid w:val="00D87F72"/>
    <w:rsid w:val="00D904B8"/>
    <w:rsid w:val="00D911EC"/>
    <w:rsid w:val="00D91B71"/>
    <w:rsid w:val="00D92424"/>
    <w:rsid w:val="00D925DA"/>
    <w:rsid w:val="00D927C9"/>
    <w:rsid w:val="00D92923"/>
    <w:rsid w:val="00D942DF"/>
    <w:rsid w:val="00D946B5"/>
    <w:rsid w:val="00D950BE"/>
    <w:rsid w:val="00D951CB"/>
    <w:rsid w:val="00D95253"/>
    <w:rsid w:val="00D9566D"/>
    <w:rsid w:val="00D95E07"/>
    <w:rsid w:val="00D961CD"/>
    <w:rsid w:val="00DA0C77"/>
    <w:rsid w:val="00DA1A9A"/>
    <w:rsid w:val="00DA20D7"/>
    <w:rsid w:val="00DA225F"/>
    <w:rsid w:val="00DA4099"/>
    <w:rsid w:val="00DA4DFD"/>
    <w:rsid w:val="00DA5653"/>
    <w:rsid w:val="00DA5A24"/>
    <w:rsid w:val="00DA6D75"/>
    <w:rsid w:val="00DA7048"/>
    <w:rsid w:val="00DB179A"/>
    <w:rsid w:val="00DB18A2"/>
    <w:rsid w:val="00DB1E51"/>
    <w:rsid w:val="00DB2919"/>
    <w:rsid w:val="00DB2A33"/>
    <w:rsid w:val="00DB2E52"/>
    <w:rsid w:val="00DB3B89"/>
    <w:rsid w:val="00DB56EB"/>
    <w:rsid w:val="00DB7162"/>
    <w:rsid w:val="00DB72E2"/>
    <w:rsid w:val="00DC0719"/>
    <w:rsid w:val="00DC125B"/>
    <w:rsid w:val="00DC16B2"/>
    <w:rsid w:val="00DC1B82"/>
    <w:rsid w:val="00DC22AB"/>
    <w:rsid w:val="00DC4446"/>
    <w:rsid w:val="00DC48F4"/>
    <w:rsid w:val="00DC4ED4"/>
    <w:rsid w:val="00DC5008"/>
    <w:rsid w:val="00DC56EC"/>
    <w:rsid w:val="00DC56FA"/>
    <w:rsid w:val="00DC7A2B"/>
    <w:rsid w:val="00DC7F30"/>
    <w:rsid w:val="00DD0361"/>
    <w:rsid w:val="00DD12D3"/>
    <w:rsid w:val="00DD1720"/>
    <w:rsid w:val="00DD1784"/>
    <w:rsid w:val="00DD315F"/>
    <w:rsid w:val="00DD50DA"/>
    <w:rsid w:val="00DD52B6"/>
    <w:rsid w:val="00DD6D9E"/>
    <w:rsid w:val="00DE0B67"/>
    <w:rsid w:val="00DE0B93"/>
    <w:rsid w:val="00DE1AA7"/>
    <w:rsid w:val="00DE28D0"/>
    <w:rsid w:val="00DE60E8"/>
    <w:rsid w:val="00DE612C"/>
    <w:rsid w:val="00DE69DB"/>
    <w:rsid w:val="00DE71FC"/>
    <w:rsid w:val="00DE79FD"/>
    <w:rsid w:val="00DF0B91"/>
    <w:rsid w:val="00DF377B"/>
    <w:rsid w:val="00DF5D35"/>
    <w:rsid w:val="00E01BE8"/>
    <w:rsid w:val="00E024C5"/>
    <w:rsid w:val="00E0350B"/>
    <w:rsid w:val="00E04616"/>
    <w:rsid w:val="00E0479B"/>
    <w:rsid w:val="00E05439"/>
    <w:rsid w:val="00E068A3"/>
    <w:rsid w:val="00E076AA"/>
    <w:rsid w:val="00E07E14"/>
    <w:rsid w:val="00E10056"/>
    <w:rsid w:val="00E105A4"/>
    <w:rsid w:val="00E10EA7"/>
    <w:rsid w:val="00E122D8"/>
    <w:rsid w:val="00E1459C"/>
    <w:rsid w:val="00E15216"/>
    <w:rsid w:val="00E15BB1"/>
    <w:rsid w:val="00E15F47"/>
    <w:rsid w:val="00E177E1"/>
    <w:rsid w:val="00E17ACA"/>
    <w:rsid w:val="00E206A7"/>
    <w:rsid w:val="00E209F9"/>
    <w:rsid w:val="00E21067"/>
    <w:rsid w:val="00E210FA"/>
    <w:rsid w:val="00E21304"/>
    <w:rsid w:val="00E23B54"/>
    <w:rsid w:val="00E242C7"/>
    <w:rsid w:val="00E2475A"/>
    <w:rsid w:val="00E247E5"/>
    <w:rsid w:val="00E24CAF"/>
    <w:rsid w:val="00E24E2B"/>
    <w:rsid w:val="00E2530F"/>
    <w:rsid w:val="00E2585A"/>
    <w:rsid w:val="00E259DC"/>
    <w:rsid w:val="00E25D1F"/>
    <w:rsid w:val="00E26008"/>
    <w:rsid w:val="00E301BA"/>
    <w:rsid w:val="00E30794"/>
    <w:rsid w:val="00E30E43"/>
    <w:rsid w:val="00E3215E"/>
    <w:rsid w:val="00E323B4"/>
    <w:rsid w:val="00E3240E"/>
    <w:rsid w:val="00E3250B"/>
    <w:rsid w:val="00E32714"/>
    <w:rsid w:val="00E34BCE"/>
    <w:rsid w:val="00E34C9D"/>
    <w:rsid w:val="00E3725A"/>
    <w:rsid w:val="00E40AE1"/>
    <w:rsid w:val="00E419D6"/>
    <w:rsid w:val="00E42057"/>
    <w:rsid w:val="00E438B5"/>
    <w:rsid w:val="00E43908"/>
    <w:rsid w:val="00E448F6"/>
    <w:rsid w:val="00E4523B"/>
    <w:rsid w:val="00E4652F"/>
    <w:rsid w:val="00E47AE2"/>
    <w:rsid w:val="00E50AF5"/>
    <w:rsid w:val="00E51845"/>
    <w:rsid w:val="00E52985"/>
    <w:rsid w:val="00E535D4"/>
    <w:rsid w:val="00E53A42"/>
    <w:rsid w:val="00E541B6"/>
    <w:rsid w:val="00E54DA4"/>
    <w:rsid w:val="00E55476"/>
    <w:rsid w:val="00E55818"/>
    <w:rsid w:val="00E562BD"/>
    <w:rsid w:val="00E5706E"/>
    <w:rsid w:val="00E570F4"/>
    <w:rsid w:val="00E575A7"/>
    <w:rsid w:val="00E57845"/>
    <w:rsid w:val="00E602B3"/>
    <w:rsid w:val="00E60342"/>
    <w:rsid w:val="00E60736"/>
    <w:rsid w:val="00E609E0"/>
    <w:rsid w:val="00E61113"/>
    <w:rsid w:val="00E61FC9"/>
    <w:rsid w:val="00E62D78"/>
    <w:rsid w:val="00E63287"/>
    <w:rsid w:val="00E633E7"/>
    <w:rsid w:val="00E63CBD"/>
    <w:rsid w:val="00E64BCC"/>
    <w:rsid w:val="00E64EAF"/>
    <w:rsid w:val="00E65154"/>
    <w:rsid w:val="00E65A4C"/>
    <w:rsid w:val="00E670F1"/>
    <w:rsid w:val="00E70C1A"/>
    <w:rsid w:val="00E70D94"/>
    <w:rsid w:val="00E71641"/>
    <w:rsid w:val="00E721D1"/>
    <w:rsid w:val="00E728C8"/>
    <w:rsid w:val="00E72A55"/>
    <w:rsid w:val="00E72B72"/>
    <w:rsid w:val="00E72ECD"/>
    <w:rsid w:val="00E7324D"/>
    <w:rsid w:val="00E733AF"/>
    <w:rsid w:val="00E76624"/>
    <w:rsid w:val="00E77DAA"/>
    <w:rsid w:val="00E80804"/>
    <w:rsid w:val="00E82720"/>
    <w:rsid w:val="00E82A0E"/>
    <w:rsid w:val="00E859BA"/>
    <w:rsid w:val="00E85BC5"/>
    <w:rsid w:val="00E85E1B"/>
    <w:rsid w:val="00E906C3"/>
    <w:rsid w:val="00E90DFA"/>
    <w:rsid w:val="00E91078"/>
    <w:rsid w:val="00E918F8"/>
    <w:rsid w:val="00E91F52"/>
    <w:rsid w:val="00E9264D"/>
    <w:rsid w:val="00E927BD"/>
    <w:rsid w:val="00E93A6F"/>
    <w:rsid w:val="00E943D1"/>
    <w:rsid w:val="00E9497A"/>
    <w:rsid w:val="00E962D8"/>
    <w:rsid w:val="00E96475"/>
    <w:rsid w:val="00E9656F"/>
    <w:rsid w:val="00E974B3"/>
    <w:rsid w:val="00E9778A"/>
    <w:rsid w:val="00E978F0"/>
    <w:rsid w:val="00E97FC8"/>
    <w:rsid w:val="00EA12B6"/>
    <w:rsid w:val="00EA1EE0"/>
    <w:rsid w:val="00EA3A87"/>
    <w:rsid w:val="00EA42D3"/>
    <w:rsid w:val="00EA5822"/>
    <w:rsid w:val="00EA6449"/>
    <w:rsid w:val="00EA6761"/>
    <w:rsid w:val="00EA698C"/>
    <w:rsid w:val="00EA74B1"/>
    <w:rsid w:val="00EA7BC7"/>
    <w:rsid w:val="00EB1CFD"/>
    <w:rsid w:val="00EB258F"/>
    <w:rsid w:val="00EB2BCC"/>
    <w:rsid w:val="00EB46A7"/>
    <w:rsid w:val="00EB4DC9"/>
    <w:rsid w:val="00EB55F8"/>
    <w:rsid w:val="00EB56C6"/>
    <w:rsid w:val="00EB59C8"/>
    <w:rsid w:val="00EB6CDC"/>
    <w:rsid w:val="00EC0304"/>
    <w:rsid w:val="00EC15ED"/>
    <w:rsid w:val="00EC224F"/>
    <w:rsid w:val="00EC25F4"/>
    <w:rsid w:val="00EC3BAF"/>
    <w:rsid w:val="00EC41E9"/>
    <w:rsid w:val="00EC4B3C"/>
    <w:rsid w:val="00EC4E8C"/>
    <w:rsid w:val="00EC6D82"/>
    <w:rsid w:val="00EC717C"/>
    <w:rsid w:val="00EC75F1"/>
    <w:rsid w:val="00EC7672"/>
    <w:rsid w:val="00ED0CEA"/>
    <w:rsid w:val="00ED19B6"/>
    <w:rsid w:val="00ED1A43"/>
    <w:rsid w:val="00ED1DE9"/>
    <w:rsid w:val="00ED1E4E"/>
    <w:rsid w:val="00ED6DF0"/>
    <w:rsid w:val="00EE15C8"/>
    <w:rsid w:val="00EE1C18"/>
    <w:rsid w:val="00EE1F1D"/>
    <w:rsid w:val="00EE2279"/>
    <w:rsid w:val="00EE2A86"/>
    <w:rsid w:val="00EE34BF"/>
    <w:rsid w:val="00EE3BC5"/>
    <w:rsid w:val="00EE3E6D"/>
    <w:rsid w:val="00EE47B3"/>
    <w:rsid w:val="00EE53BC"/>
    <w:rsid w:val="00EE5F74"/>
    <w:rsid w:val="00EE6349"/>
    <w:rsid w:val="00EE6CB9"/>
    <w:rsid w:val="00EE775F"/>
    <w:rsid w:val="00EF06E8"/>
    <w:rsid w:val="00EF22DA"/>
    <w:rsid w:val="00EF2D0E"/>
    <w:rsid w:val="00EF3251"/>
    <w:rsid w:val="00EF4ABA"/>
    <w:rsid w:val="00EF4C8F"/>
    <w:rsid w:val="00EF5972"/>
    <w:rsid w:val="00EF68AA"/>
    <w:rsid w:val="00EF72B5"/>
    <w:rsid w:val="00EF7E91"/>
    <w:rsid w:val="00F00255"/>
    <w:rsid w:val="00F00A0F"/>
    <w:rsid w:val="00F01D45"/>
    <w:rsid w:val="00F0265C"/>
    <w:rsid w:val="00F028C0"/>
    <w:rsid w:val="00F02A18"/>
    <w:rsid w:val="00F04D91"/>
    <w:rsid w:val="00F050E3"/>
    <w:rsid w:val="00F06C8E"/>
    <w:rsid w:val="00F073B1"/>
    <w:rsid w:val="00F0769E"/>
    <w:rsid w:val="00F07DBF"/>
    <w:rsid w:val="00F101C9"/>
    <w:rsid w:val="00F1110A"/>
    <w:rsid w:val="00F11685"/>
    <w:rsid w:val="00F11F38"/>
    <w:rsid w:val="00F1279B"/>
    <w:rsid w:val="00F13092"/>
    <w:rsid w:val="00F147A4"/>
    <w:rsid w:val="00F16F0F"/>
    <w:rsid w:val="00F1741B"/>
    <w:rsid w:val="00F17891"/>
    <w:rsid w:val="00F17E61"/>
    <w:rsid w:val="00F17F49"/>
    <w:rsid w:val="00F205A4"/>
    <w:rsid w:val="00F21C38"/>
    <w:rsid w:val="00F23004"/>
    <w:rsid w:val="00F23465"/>
    <w:rsid w:val="00F239D1"/>
    <w:rsid w:val="00F23A56"/>
    <w:rsid w:val="00F2407B"/>
    <w:rsid w:val="00F251DD"/>
    <w:rsid w:val="00F3066D"/>
    <w:rsid w:val="00F30ADE"/>
    <w:rsid w:val="00F30F98"/>
    <w:rsid w:val="00F31F26"/>
    <w:rsid w:val="00F35042"/>
    <w:rsid w:val="00F35132"/>
    <w:rsid w:val="00F36044"/>
    <w:rsid w:val="00F36621"/>
    <w:rsid w:val="00F436A0"/>
    <w:rsid w:val="00F44557"/>
    <w:rsid w:val="00F44EB3"/>
    <w:rsid w:val="00F4506A"/>
    <w:rsid w:val="00F45071"/>
    <w:rsid w:val="00F45E1E"/>
    <w:rsid w:val="00F470D0"/>
    <w:rsid w:val="00F50315"/>
    <w:rsid w:val="00F506AB"/>
    <w:rsid w:val="00F53480"/>
    <w:rsid w:val="00F54805"/>
    <w:rsid w:val="00F54D18"/>
    <w:rsid w:val="00F55F65"/>
    <w:rsid w:val="00F56A65"/>
    <w:rsid w:val="00F56B00"/>
    <w:rsid w:val="00F6231D"/>
    <w:rsid w:val="00F637EF"/>
    <w:rsid w:val="00F63A31"/>
    <w:rsid w:val="00F63F37"/>
    <w:rsid w:val="00F649C1"/>
    <w:rsid w:val="00F65C2B"/>
    <w:rsid w:val="00F65DAE"/>
    <w:rsid w:val="00F66932"/>
    <w:rsid w:val="00F67A07"/>
    <w:rsid w:val="00F707FA"/>
    <w:rsid w:val="00F71C98"/>
    <w:rsid w:val="00F71CCD"/>
    <w:rsid w:val="00F72059"/>
    <w:rsid w:val="00F72354"/>
    <w:rsid w:val="00F72C1F"/>
    <w:rsid w:val="00F73055"/>
    <w:rsid w:val="00F74E9B"/>
    <w:rsid w:val="00F7596E"/>
    <w:rsid w:val="00F75B57"/>
    <w:rsid w:val="00F768DD"/>
    <w:rsid w:val="00F77A0F"/>
    <w:rsid w:val="00F804B1"/>
    <w:rsid w:val="00F80788"/>
    <w:rsid w:val="00F823A6"/>
    <w:rsid w:val="00F82620"/>
    <w:rsid w:val="00F83750"/>
    <w:rsid w:val="00F83F93"/>
    <w:rsid w:val="00F85849"/>
    <w:rsid w:val="00F86204"/>
    <w:rsid w:val="00F8743D"/>
    <w:rsid w:val="00F87C8B"/>
    <w:rsid w:val="00F90313"/>
    <w:rsid w:val="00F90F73"/>
    <w:rsid w:val="00F925A7"/>
    <w:rsid w:val="00F92603"/>
    <w:rsid w:val="00F927EF"/>
    <w:rsid w:val="00F938AE"/>
    <w:rsid w:val="00F93CBE"/>
    <w:rsid w:val="00F94650"/>
    <w:rsid w:val="00F94A6C"/>
    <w:rsid w:val="00FA1824"/>
    <w:rsid w:val="00FA2704"/>
    <w:rsid w:val="00FA2776"/>
    <w:rsid w:val="00FA281A"/>
    <w:rsid w:val="00FA31BD"/>
    <w:rsid w:val="00FA39C5"/>
    <w:rsid w:val="00FA3CD2"/>
    <w:rsid w:val="00FA4781"/>
    <w:rsid w:val="00FA5432"/>
    <w:rsid w:val="00FB02D1"/>
    <w:rsid w:val="00FB052E"/>
    <w:rsid w:val="00FB13DB"/>
    <w:rsid w:val="00FB2073"/>
    <w:rsid w:val="00FB3A3A"/>
    <w:rsid w:val="00FB3A60"/>
    <w:rsid w:val="00FB4278"/>
    <w:rsid w:val="00FB589D"/>
    <w:rsid w:val="00FB5910"/>
    <w:rsid w:val="00FB642C"/>
    <w:rsid w:val="00FB73E8"/>
    <w:rsid w:val="00FB747A"/>
    <w:rsid w:val="00FC0A8E"/>
    <w:rsid w:val="00FC172B"/>
    <w:rsid w:val="00FC20E8"/>
    <w:rsid w:val="00FC26ED"/>
    <w:rsid w:val="00FC2F37"/>
    <w:rsid w:val="00FC4144"/>
    <w:rsid w:val="00FC44A6"/>
    <w:rsid w:val="00FC50F7"/>
    <w:rsid w:val="00FC5AD7"/>
    <w:rsid w:val="00FC674D"/>
    <w:rsid w:val="00FC69E4"/>
    <w:rsid w:val="00FC777B"/>
    <w:rsid w:val="00FC797D"/>
    <w:rsid w:val="00FC7CD7"/>
    <w:rsid w:val="00FD0AB5"/>
    <w:rsid w:val="00FD1108"/>
    <w:rsid w:val="00FD23AA"/>
    <w:rsid w:val="00FD2B1C"/>
    <w:rsid w:val="00FD3CC1"/>
    <w:rsid w:val="00FD40A0"/>
    <w:rsid w:val="00FD459A"/>
    <w:rsid w:val="00FD4778"/>
    <w:rsid w:val="00FD5797"/>
    <w:rsid w:val="00FD5B84"/>
    <w:rsid w:val="00FD6581"/>
    <w:rsid w:val="00FD6E24"/>
    <w:rsid w:val="00FD7CF3"/>
    <w:rsid w:val="00FD7F1A"/>
    <w:rsid w:val="00FE02CC"/>
    <w:rsid w:val="00FE3200"/>
    <w:rsid w:val="00FE3405"/>
    <w:rsid w:val="00FE3D3E"/>
    <w:rsid w:val="00FE4815"/>
    <w:rsid w:val="00FE4B71"/>
    <w:rsid w:val="00FE5D5A"/>
    <w:rsid w:val="00FE6915"/>
    <w:rsid w:val="00FE69AA"/>
    <w:rsid w:val="00FE6D8A"/>
    <w:rsid w:val="00FE7350"/>
    <w:rsid w:val="00FE7C32"/>
    <w:rsid w:val="00FE7E4B"/>
    <w:rsid w:val="00FF1231"/>
    <w:rsid w:val="00FF4246"/>
    <w:rsid w:val="00FF476C"/>
    <w:rsid w:val="00FF7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4B1BFD"/>
  <w15:chartTrackingRefBased/>
  <w15:docId w15:val="{92D3B3F7-CE4C-4A4E-BF93-6F92FFD5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4D45"/>
    <w:rPr>
      <w:rFonts w:ascii="ＭＳ Ｐゴシック" w:eastAsia="ＭＳ Ｐゴシック" w:hAnsi="ＭＳ Ｐゴシック" w:cs="ＭＳ Ｐゴシック"/>
      <w:kern w:val="0"/>
      <w:sz w:val="24"/>
      <w:szCs w:val="24"/>
    </w:rPr>
  </w:style>
  <w:style w:type="paragraph" w:styleId="1">
    <w:name w:val="heading 1"/>
    <w:basedOn w:val="a"/>
    <w:next w:val="a"/>
    <w:link w:val="10"/>
    <w:autoRedefine/>
    <w:uiPriority w:val="9"/>
    <w:qFormat/>
    <w:rsid w:val="003A327E"/>
    <w:pPr>
      <w:keepNext/>
      <w:outlineLvl w:val="0"/>
    </w:pPr>
    <w:rPr>
      <w:rFonts w:ascii="Times New Roman" w:eastAsiaTheme="majorEastAsia" w:hAnsi="Times New Roman" w:cstheme="majorBidi"/>
      <w:b/>
    </w:rPr>
  </w:style>
  <w:style w:type="paragraph" w:styleId="2">
    <w:name w:val="heading 2"/>
    <w:basedOn w:val="a"/>
    <w:next w:val="a"/>
    <w:link w:val="20"/>
    <w:autoRedefine/>
    <w:uiPriority w:val="9"/>
    <w:unhideWhenUsed/>
    <w:qFormat/>
    <w:rsid w:val="00E30794"/>
    <w:pPr>
      <w:keepNext/>
      <w:outlineLvl w:val="1"/>
    </w:pPr>
    <w:rPr>
      <w:rFonts w:ascii="Times New Roman" w:eastAsiaTheme="majorEastAsia" w:hAnsi="Times New Roman" w:cs="Times New Roman"/>
      <w:b/>
      <w:sz w:val="21"/>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6495"/>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4">
    <w:name w:val="ヘッダー (文字)"/>
    <w:basedOn w:val="a0"/>
    <w:link w:val="a3"/>
    <w:uiPriority w:val="99"/>
    <w:rsid w:val="00C16495"/>
  </w:style>
  <w:style w:type="paragraph" w:styleId="a5">
    <w:name w:val="footer"/>
    <w:basedOn w:val="a"/>
    <w:link w:val="a6"/>
    <w:uiPriority w:val="99"/>
    <w:unhideWhenUsed/>
    <w:rsid w:val="00C16495"/>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6">
    <w:name w:val="フッター (文字)"/>
    <w:basedOn w:val="a0"/>
    <w:link w:val="a5"/>
    <w:uiPriority w:val="99"/>
    <w:rsid w:val="00C16495"/>
  </w:style>
  <w:style w:type="table" w:styleId="a7">
    <w:name w:val="Table Grid"/>
    <w:basedOn w:val="a1"/>
    <w:uiPriority w:val="39"/>
    <w:rsid w:val="00431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List Table 2"/>
    <w:basedOn w:val="a1"/>
    <w:uiPriority w:val="47"/>
    <w:rsid w:val="00493F6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a"/>
    <w:link w:val="EndNoteBibliographyTitle0"/>
    <w:rsid w:val="003E6412"/>
    <w:pPr>
      <w:widowControl w:val="0"/>
      <w:jc w:val="center"/>
    </w:pPr>
    <w:rPr>
      <w:rFonts w:ascii="游明朝" w:eastAsia="游明朝" w:hAnsi="游明朝" w:cstheme="minorBidi"/>
      <w:noProof/>
      <w:kern w:val="2"/>
      <w:sz w:val="20"/>
      <w:szCs w:val="22"/>
    </w:rPr>
  </w:style>
  <w:style w:type="character" w:customStyle="1" w:styleId="EndNoteBibliographyTitle0">
    <w:name w:val="EndNote Bibliography Title (文字)"/>
    <w:basedOn w:val="a0"/>
    <w:link w:val="EndNoteBibliographyTitle"/>
    <w:rsid w:val="003E6412"/>
    <w:rPr>
      <w:rFonts w:ascii="游明朝" w:eastAsia="游明朝" w:hAnsi="游明朝"/>
      <w:noProof/>
      <w:sz w:val="20"/>
    </w:rPr>
  </w:style>
  <w:style w:type="paragraph" w:customStyle="1" w:styleId="EndNoteBibliography">
    <w:name w:val="EndNote Bibliography"/>
    <w:basedOn w:val="a"/>
    <w:link w:val="EndNoteBibliography0"/>
    <w:rsid w:val="003E6412"/>
    <w:pPr>
      <w:widowControl w:val="0"/>
      <w:jc w:val="both"/>
    </w:pPr>
    <w:rPr>
      <w:rFonts w:ascii="游明朝" w:eastAsia="游明朝" w:hAnsi="游明朝" w:cstheme="minorBidi"/>
      <w:noProof/>
      <w:kern w:val="2"/>
      <w:sz w:val="20"/>
      <w:szCs w:val="22"/>
    </w:rPr>
  </w:style>
  <w:style w:type="character" w:customStyle="1" w:styleId="EndNoteBibliography0">
    <w:name w:val="EndNote Bibliography (文字)"/>
    <w:basedOn w:val="a0"/>
    <w:link w:val="EndNoteBibliography"/>
    <w:rsid w:val="003E6412"/>
    <w:rPr>
      <w:rFonts w:ascii="游明朝" w:eastAsia="游明朝" w:hAnsi="游明朝"/>
      <w:noProof/>
      <w:sz w:val="20"/>
    </w:rPr>
  </w:style>
  <w:style w:type="paragraph" w:styleId="a8">
    <w:name w:val="List Paragraph"/>
    <w:basedOn w:val="a"/>
    <w:uiPriority w:val="34"/>
    <w:qFormat/>
    <w:rsid w:val="00197EDB"/>
    <w:pPr>
      <w:ind w:leftChars="400" w:left="840"/>
    </w:pPr>
  </w:style>
  <w:style w:type="paragraph" w:customStyle="1" w:styleId="Default">
    <w:name w:val="Default"/>
    <w:rsid w:val="0043375C"/>
    <w:pPr>
      <w:widowControl w:val="0"/>
      <w:autoSpaceDE w:val="0"/>
      <w:autoSpaceDN w:val="0"/>
      <w:adjustRightInd w:val="0"/>
    </w:pPr>
    <w:rPr>
      <w:rFonts w:ascii="Times New Roman" w:hAnsi="Times New Roman" w:cs="Times New Roman"/>
      <w:color w:val="000000"/>
      <w:kern w:val="0"/>
      <w:sz w:val="24"/>
      <w:szCs w:val="24"/>
    </w:rPr>
  </w:style>
  <w:style w:type="character" w:customStyle="1" w:styleId="10">
    <w:name w:val="見出し 1 (文字)"/>
    <w:basedOn w:val="a0"/>
    <w:link w:val="1"/>
    <w:uiPriority w:val="9"/>
    <w:rsid w:val="003A327E"/>
    <w:rPr>
      <w:rFonts w:ascii="Times New Roman" w:eastAsiaTheme="majorEastAsia" w:hAnsi="Times New Roman" w:cstheme="majorBidi"/>
      <w:b/>
      <w:kern w:val="0"/>
      <w:sz w:val="24"/>
      <w:szCs w:val="24"/>
    </w:rPr>
  </w:style>
  <w:style w:type="paragraph" w:styleId="a9">
    <w:name w:val="TOC Heading"/>
    <w:basedOn w:val="1"/>
    <w:next w:val="a"/>
    <w:uiPriority w:val="39"/>
    <w:unhideWhenUsed/>
    <w:qFormat/>
    <w:rsid w:val="005E3FA4"/>
    <w:pPr>
      <w:keepLines/>
      <w:spacing w:before="240" w:line="259" w:lineRule="auto"/>
      <w:outlineLvl w:val="9"/>
    </w:pPr>
    <w:rPr>
      <w:rFonts w:asciiTheme="majorHAnsi" w:hAnsiTheme="majorHAnsi"/>
      <w:b w:val="0"/>
      <w:color w:val="2F5496" w:themeColor="accent1" w:themeShade="BF"/>
      <w:sz w:val="32"/>
      <w:szCs w:val="32"/>
    </w:rPr>
  </w:style>
  <w:style w:type="paragraph" w:styleId="11">
    <w:name w:val="toc 1"/>
    <w:basedOn w:val="a"/>
    <w:next w:val="a"/>
    <w:autoRedefine/>
    <w:uiPriority w:val="39"/>
    <w:unhideWhenUsed/>
    <w:rsid w:val="0078313A"/>
    <w:rPr>
      <w:rFonts w:ascii="Times New Roman" w:hAnsi="Times New Roman"/>
      <w:sz w:val="21"/>
    </w:rPr>
  </w:style>
  <w:style w:type="character" w:styleId="aa">
    <w:name w:val="Hyperlink"/>
    <w:basedOn w:val="a0"/>
    <w:uiPriority w:val="99"/>
    <w:unhideWhenUsed/>
    <w:rsid w:val="005E3FA4"/>
    <w:rPr>
      <w:color w:val="0563C1" w:themeColor="hyperlink"/>
      <w:u w:val="single"/>
    </w:rPr>
  </w:style>
  <w:style w:type="character" w:styleId="ab">
    <w:name w:val="annotation reference"/>
    <w:basedOn w:val="a0"/>
    <w:uiPriority w:val="99"/>
    <w:semiHidden/>
    <w:unhideWhenUsed/>
    <w:rsid w:val="00737ABB"/>
    <w:rPr>
      <w:sz w:val="18"/>
      <w:szCs w:val="18"/>
    </w:rPr>
  </w:style>
  <w:style w:type="paragraph" w:styleId="ac">
    <w:name w:val="annotation text"/>
    <w:basedOn w:val="a"/>
    <w:link w:val="ad"/>
    <w:uiPriority w:val="99"/>
    <w:unhideWhenUsed/>
    <w:rsid w:val="00737ABB"/>
    <w:pPr>
      <w:widowControl w:val="0"/>
    </w:pPr>
    <w:rPr>
      <w:rFonts w:ascii="Calibri" w:eastAsia="SimSun" w:hAnsi="Calibri" w:cs="Times New Roman"/>
      <w:kern w:val="2"/>
      <w:sz w:val="22"/>
      <w:szCs w:val="22"/>
      <w:lang w:eastAsia="zh-CN"/>
    </w:rPr>
  </w:style>
  <w:style w:type="character" w:customStyle="1" w:styleId="ad">
    <w:name w:val="コメント文字列 (文字)"/>
    <w:basedOn w:val="a0"/>
    <w:link w:val="ac"/>
    <w:uiPriority w:val="99"/>
    <w:rsid w:val="00737ABB"/>
    <w:rPr>
      <w:rFonts w:ascii="Calibri" w:eastAsia="SimSun" w:hAnsi="Calibri" w:cs="Times New Roman"/>
      <w:sz w:val="22"/>
      <w:lang w:eastAsia="zh-CN"/>
    </w:rPr>
  </w:style>
  <w:style w:type="character" w:styleId="ae">
    <w:name w:val="Unresolved Mention"/>
    <w:basedOn w:val="a0"/>
    <w:uiPriority w:val="99"/>
    <w:semiHidden/>
    <w:unhideWhenUsed/>
    <w:rsid w:val="00A44453"/>
    <w:rPr>
      <w:color w:val="605E5C"/>
      <w:shd w:val="clear" w:color="auto" w:fill="E1DFDD"/>
    </w:rPr>
  </w:style>
  <w:style w:type="paragraph" w:styleId="Web">
    <w:name w:val="Normal (Web)"/>
    <w:basedOn w:val="a"/>
    <w:uiPriority w:val="99"/>
    <w:semiHidden/>
    <w:unhideWhenUsed/>
    <w:rsid w:val="0035407B"/>
    <w:pPr>
      <w:spacing w:before="100" w:beforeAutospacing="1" w:after="100" w:afterAutospacing="1"/>
    </w:pPr>
  </w:style>
  <w:style w:type="paragraph" w:customStyle="1" w:styleId="Paragraph">
    <w:name w:val="Paragraph"/>
    <w:basedOn w:val="a"/>
    <w:link w:val="ParagraphChar"/>
    <w:qFormat/>
    <w:rsid w:val="003270A3"/>
    <w:pPr>
      <w:kinsoku w:val="0"/>
      <w:overflowPunct w:val="0"/>
      <w:autoSpaceDE w:val="0"/>
      <w:autoSpaceDN w:val="0"/>
      <w:adjustRightInd w:val="0"/>
      <w:snapToGrid w:val="0"/>
      <w:spacing w:line="480" w:lineRule="auto"/>
      <w:ind w:firstLine="426"/>
    </w:pPr>
    <w:rPr>
      <w:rFonts w:ascii="Times New Roman" w:eastAsiaTheme="minorEastAsia" w:hAnsi="Times New Roman" w:cs="Times New Roman"/>
      <w:snapToGrid w:val="0"/>
      <w:color w:val="000000"/>
      <w:sz w:val="21"/>
      <w:szCs w:val="21"/>
      <w:lang w:val="en-GB"/>
    </w:rPr>
  </w:style>
  <w:style w:type="character" w:customStyle="1" w:styleId="ParagraphChar">
    <w:name w:val="Paragraph Char"/>
    <w:basedOn w:val="a0"/>
    <w:link w:val="Paragraph"/>
    <w:rsid w:val="003270A3"/>
    <w:rPr>
      <w:rFonts w:ascii="Times New Roman" w:hAnsi="Times New Roman" w:cs="Times New Roman"/>
      <w:snapToGrid w:val="0"/>
      <w:color w:val="000000"/>
      <w:kern w:val="0"/>
      <w:szCs w:val="21"/>
      <w:lang w:val="en-GB"/>
    </w:rPr>
  </w:style>
  <w:style w:type="character" w:customStyle="1" w:styleId="20">
    <w:name w:val="見出し 2 (文字)"/>
    <w:basedOn w:val="a0"/>
    <w:link w:val="2"/>
    <w:uiPriority w:val="9"/>
    <w:rsid w:val="00E30794"/>
    <w:rPr>
      <w:rFonts w:ascii="Times New Roman" w:eastAsiaTheme="majorEastAsia" w:hAnsi="Times New Roman" w:cs="Times New Roman"/>
      <w:b/>
      <w:kern w:val="0"/>
      <w:szCs w:val="24"/>
      <w:lang w:eastAsia="zh-CN"/>
    </w:rPr>
  </w:style>
  <w:style w:type="paragraph" w:styleId="22">
    <w:name w:val="toc 2"/>
    <w:basedOn w:val="a"/>
    <w:next w:val="a"/>
    <w:autoRedefine/>
    <w:uiPriority w:val="39"/>
    <w:unhideWhenUsed/>
    <w:rsid w:val="00626169"/>
    <w:pPr>
      <w:ind w:leftChars="100" w:left="240"/>
    </w:pPr>
  </w:style>
  <w:style w:type="paragraph" w:styleId="af">
    <w:name w:val="caption"/>
    <w:basedOn w:val="a"/>
    <w:next w:val="a"/>
    <w:uiPriority w:val="35"/>
    <w:unhideWhenUsed/>
    <w:qFormat/>
    <w:rsid w:val="001653C5"/>
    <w:rPr>
      <w:b/>
      <w:bCs/>
      <w:sz w:val="21"/>
      <w:szCs w:val="21"/>
    </w:rPr>
  </w:style>
  <w:style w:type="paragraph" w:styleId="af0">
    <w:name w:val="table of figures"/>
    <w:aliases w:val="TABLES"/>
    <w:basedOn w:val="a"/>
    <w:next w:val="a"/>
    <w:autoRedefine/>
    <w:uiPriority w:val="99"/>
    <w:unhideWhenUsed/>
    <w:rsid w:val="000F62FA"/>
    <w:rPr>
      <w:rFonts w:ascii="Times New Roman" w:hAnsi="Times New Roman"/>
      <w:sz w:val="21"/>
    </w:rPr>
  </w:style>
  <w:style w:type="character" w:styleId="af1">
    <w:name w:val="Strong"/>
    <w:basedOn w:val="a0"/>
    <w:uiPriority w:val="22"/>
    <w:qFormat/>
    <w:rsid w:val="0077521E"/>
    <w:rPr>
      <w:b/>
      <w:bCs/>
    </w:rPr>
  </w:style>
  <w:style w:type="table" w:styleId="6-2">
    <w:name w:val="List Table 6 Colorful Accent 2"/>
    <w:basedOn w:val="a1"/>
    <w:uiPriority w:val="51"/>
    <w:rsid w:val="004E7D73"/>
    <w:rPr>
      <w:color w:val="C45911" w:themeColor="accent2" w:themeShade="BF"/>
      <w:kern w:val="0"/>
      <w:sz w:val="22"/>
      <w:lang w:eastAsia="en-US"/>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Equation">
    <w:name w:val="Equation"/>
    <w:basedOn w:val="a"/>
    <w:link w:val="EquationChar"/>
    <w:qFormat/>
    <w:rsid w:val="00966C32"/>
    <w:pPr>
      <w:tabs>
        <w:tab w:val="center" w:pos="4536"/>
        <w:tab w:val="left" w:pos="8505"/>
      </w:tabs>
      <w:kinsoku w:val="0"/>
      <w:overflowPunct w:val="0"/>
      <w:autoSpaceDE w:val="0"/>
      <w:autoSpaceDN w:val="0"/>
      <w:adjustRightInd w:val="0"/>
      <w:snapToGrid w:val="0"/>
      <w:spacing w:line="480" w:lineRule="auto"/>
    </w:pPr>
    <w:rPr>
      <w:rFonts w:ascii="Times New Roman" w:eastAsia="DengXian" w:hAnsi="Times New Roman" w:cs="Times New Roman"/>
      <w:iCs/>
      <w:snapToGrid w:val="0"/>
      <w:color w:val="000000"/>
      <w:sz w:val="21"/>
      <w:szCs w:val="21"/>
      <w:lang w:val="en-GB" w:eastAsia="zh-CN"/>
    </w:rPr>
  </w:style>
  <w:style w:type="character" w:customStyle="1" w:styleId="EquationChar">
    <w:name w:val="Equation Char"/>
    <w:basedOn w:val="a0"/>
    <w:link w:val="Equation"/>
    <w:rsid w:val="00966C32"/>
    <w:rPr>
      <w:rFonts w:ascii="Times New Roman" w:eastAsia="DengXian" w:hAnsi="Times New Roman" w:cs="Times New Roman"/>
      <w:iCs/>
      <w:snapToGrid w:val="0"/>
      <w:color w:val="000000"/>
      <w:kern w:val="0"/>
      <w:szCs w:val="21"/>
      <w:lang w:val="en-GB" w:eastAsia="zh-CN"/>
    </w:rPr>
  </w:style>
  <w:style w:type="character" w:styleId="af2">
    <w:name w:val="Placeholder Text"/>
    <w:basedOn w:val="a0"/>
    <w:uiPriority w:val="99"/>
    <w:semiHidden/>
    <w:rsid w:val="001B36B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29198">
      <w:bodyDiv w:val="1"/>
      <w:marLeft w:val="0"/>
      <w:marRight w:val="0"/>
      <w:marTop w:val="0"/>
      <w:marBottom w:val="0"/>
      <w:divBdr>
        <w:top w:val="none" w:sz="0" w:space="0" w:color="auto"/>
        <w:left w:val="none" w:sz="0" w:space="0" w:color="auto"/>
        <w:bottom w:val="none" w:sz="0" w:space="0" w:color="auto"/>
        <w:right w:val="none" w:sz="0" w:space="0" w:color="auto"/>
      </w:divBdr>
    </w:div>
    <w:div w:id="181551129">
      <w:bodyDiv w:val="1"/>
      <w:marLeft w:val="0"/>
      <w:marRight w:val="0"/>
      <w:marTop w:val="0"/>
      <w:marBottom w:val="0"/>
      <w:divBdr>
        <w:top w:val="none" w:sz="0" w:space="0" w:color="auto"/>
        <w:left w:val="none" w:sz="0" w:space="0" w:color="auto"/>
        <w:bottom w:val="none" w:sz="0" w:space="0" w:color="auto"/>
        <w:right w:val="none" w:sz="0" w:space="0" w:color="auto"/>
      </w:divBdr>
    </w:div>
    <w:div w:id="197133909">
      <w:bodyDiv w:val="1"/>
      <w:marLeft w:val="0"/>
      <w:marRight w:val="0"/>
      <w:marTop w:val="0"/>
      <w:marBottom w:val="0"/>
      <w:divBdr>
        <w:top w:val="none" w:sz="0" w:space="0" w:color="auto"/>
        <w:left w:val="none" w:sz="0" w:space="0" w:color="auto"/>
        <w:bottom w:val="none" w:sz="0" w:space="0" w:color="auto"/>
        <w:right w:val="none" w:sz="0" w:space="0" w:color="auto"/>
      </w:divBdr>
    </w:div>
    <w:div w:id="209535823">
      <w:bodyDiv w:val="1"/>
      <w:marLeft w:val="0"/>
      <w:marRight w:val="0"/>
      <w:marTop w:val="0"/>
      <w:marBottom w:val="0"/>
      <w:divBdr>
        <w:top w:val="none" w:sz="0" w:space="0" w:color="auto"/>
        <w:left w:val="none" w:sz="0" w:space="0" w:color="auto"/>
        <w:bottom w:val="none" w:sz="0" w:space="0" w:color="auto"/>
        <w:right w:val="none" w:sz="0" w:space="0" w:color="auto"/>
      </w:divBdr>
    </w:div>
    <w:div w:id="216548884">
      <w:bodyDiv w:val="1"/>
      <w:marLeft w:val="0"/>
      <w:marRight w:val="0"/>
      <w:marTop w:val="0"/>
      <w:marBottom w:val="0"/>
      <w:divBdr>
        <w:top w:val="none" w:sz="0" w:space="0" w:color="auto"/>
        <w:left w:val="none" w:sz="0" w:space="0" w:color="auto"/>
        <w:bottom w:val="none" w:sz="0" w:space="0" w:color="auto"/>
        <w:right w:val="none" w:sz="0" w:space="0" w:color="auto"/>
      </w:divBdr>
    </w:div>
    <w:div w:id="325062438">
      <w:bodyDiv w:val="1"/>
      <w:marLeft w:val="0"/>
      <w:marRight w:val="0"/>
      <w:marTop w:val="0"/>
      <w:marBottom w:val="0"/>
      <w:divBdr>
        <w:top w:val="none" w:sz="0" w:space="0" w:color="auto"/>
        <w:left w:val="none" w:sz="0" w:space="0" w:color="auto"/>
        <w:bottom w:val="none" w:sz="0" w:space="0" w:color="auto"/>
        <w:right w:val="none" w:sz="0" w:space="0" w:color="auto"/>
      </w:divBdr>
    </w:div>
    <w:div w:id="378750621">
      <w:bodyDiv w:val="1"/>
      <w:marLeft w:val="0"/>
      <w:marRight w:val="0"/>
      <w:marTop w:val="0"/>
      <w:marBottom w:val="0"/>
      <w:divBdr>
        <w:top w:val="none" w:sz="0" w:space="0" w:color="auto"/>
        <w:left w:val="none" w:sz="0" w:space="0" w:color="auto"/>
        <w:bottom w:val="none" w:sz="0" w:space="0" w:color="auto"/>
        <w:right w:val="none" w:sz="0" w:space="0" w:color="auto"/>
      </w:divBdr>
    </w:div>
    <w:div w:id="379401446">
      <w:bodyDiv w:val="1"/>
      <w:marLeft w:val="0"/>
      <w:marRight w:val="0"/>
      <w:marTop w:val="0"/>
      <w:marBottom w:val="0"/>
      <w:divBdr>
        <w:top w:val="none" w:sz="0" w:space="0" w:color="auto"/>
        <w:left w:val="none" w:sz="0" w:space="0" w:color="auto"/>
        <w:bottom w:val="none" w:sz="0" w:space="0" w:color="auto"/>
        <w:right w:val="none" w:sz="0" w:space="0" w:color="auto"/>
      </w:divBdr>
    </w:div>
    <w:div w:id="594092781">
      <w:bodyDiv w:val="1"/>
      <w:marLeft w:val="0"/>
      <w:marRight w:val="0"/>
      <w:marTop w:val="0"/>
      <w:marBottom w:val="0"/>
      <w:divBdr>
        <w:top w:val="none" w:sz="0" w:space="0" w:color="auto"/>
        <w:left w:val="none" w:sz="0" w:space="0" w:color="auto"/>
        <w:bottom w:val="none" w:sz="0" w:space="0" w:color="auto"/>
        <w:right w:val="none" w:sz="0" w:space="0" w:color="auto"/>
      </w:divBdr>
    </w:div>
    <w:div w:id="615870286">
      <w:bodyDiv w:val="1"/>
      <w:marLeft w:val="0"/>
      <w:marRight w:val="0"/>
      <w:marTop w:val="0"/>
      <w:marBottom w:val="0"/>
      <w:divBdr>
        <w:top w:val="none" w:sz="0" w:space="0" w:color="auto"/>
        <w:left w:val="none" w:sz="0" w:space="0" w:color="auto"/>
        <w:bottom w:val="none" w:sz="0" w:space="0" w:color="auto"/>
        <w:right w:val="none" w:sz="0" w:space="0" w:color="auto"/>
      </w:divBdr>
    </w:div>
    <w:div w:id="655107496">
      <w:bodyDiv w:val="1"/>
      <w:marLeft w:val="0"/>
      <w:marRight w:val="0"/>
      <w:marTop w:val="0"/>
      <w:marBottom w:val="0"/>
      <w:divBdr>
        <w:top w:val="none" w:sz="0" w:space="0" w:color="auto"/>
        <w:left w:val="none" w:sz="0" w:space="0" w:color="auto"/>
        <w:bottom w:val="none" w:sz="0" w:space="0" w:color="auto"/>
        <w:right w:val="none" w:sz="0" w:space="0" w:color="auto"/>
      </w:divBdr>
    </w:div>
    <w:div w:id="661156745">
      <w:bodyDiv w:val="1"/>
      <w:marLeft w:val="0"/>
      <w:marRight w:val="0"/>
      <w:marTop w:val="0"/>
      <w:marBottom w:val="0"/>
      <w:divBdr>
        <w:top w:val="none" w:sz="0" w:space="0" w:color="auto"/>
        <w:left w:val="none" w:sz="0" w:space="0" w:color="auto"/>
        <w:bottom w:val="none" w:sz="0" w:space="0" w:color="auto"/>
        <w:right w:val="none" w:sz="0" w:space="0" w:color="auto"/>
      </w:divBdr>
    </w:div>
    <w:div w:id="691300036">
      <w:bodyDiv w:val="1"/>
      <w:marLeft w:val="0"/>
      <w:marRight w:val="0"/>
      <w:marTop w:val="0"/>
      <w:marBottom w:val="0"/>
      <w:divBdr>
        <w:top w:val="none" w:sz="0" w:space="0" w:color="auto"/>
        <w:left w:val="none" w:sz="0" w:space="0" w:color="auto"/>
        <w:bottom w:val="none" w:sz="0" w:space="0" w:color="auto"/>
        <w:right w:val="none" w:sz="0" w:space="0" w:color="auto"/>
      </w:divBdr>
    </w:div>
    <w:div w:id="705981994">
      <w:bodyDiv w:val="1"/>
      <w:marLeft w:val="0"/>
      <w:marRight w:val="0"/>
      <w:marTop w:val="0"/>
      <w:marBottom w:val="0"/>
      <w:divBdr>
        <w:top w:val="none" w:sz="0" w:space="0" w:color="auto"/>
        <w:left w:val="none" w:sz="0" w:space="0" w:color="auto"/>
        <w:bottom w:val="none" w:sz="0" w:space="0" w:color="auto"/>
        <w:right w:val="none" w:sz="0" w:space="0" w:color="auto"/>
      </w:divBdr>
    </w:div>
    <w:div w:id="762185083">
      <w:bodyDiv w:val="1"/>
      <w:marLeft w:val="0"/>
      <w:marRight w:val="0"/>
      <w:marTop w:val="0"/>
      <w:marBottom w:val="0"/>
      <w:divBdr>
        <w:top w:val="none" w:sz="0" w:space="0" w:color="auto"/>
        <w:left w:val="none" w:sz="0" w:space="0" w:color="auto"/>
        <w:bottom w:val="none" w:sz="0" w:space="0" w:color="auto"/>
        <w:right w:val="none" w:sz="0" w:space="0" w:color="auto"/>
      </w:divBdr>
    </w:div>
    <w:div w:id="809595787">
      <w:bodyDiv w:val="1"/>
      <w:marLeft w:val="0"/>
      <w:marRight w:val="0"/>
      <w:marTop w:val="0"/>
      <w:marBottom w:val="0"/>
      <w:divBdr>
        <w:top w:val="none" w:sz="0" w:space="0" w:color="auto"/>
        <w:left w:val="none" w:sz="0" w:space="0" w:color="auto"/>
        <w:bottom w:val="none" w:sz="0" w:space="0" w:color="auto"/>
        <w:right w:val="none" w:sz="0" w:space="0" w:color="auto"/>
      </w:divBdr>
    </w:div>
    <w:div w:id="881749585">
      <w:bodyDiv w:val="1"/>
      <w:marLeft w:val="0"/>
      <w:marRight w:val="0"/>
      <w:marTop w:val="0"/>
      <w:marBottom w:val="0"/>
      <w:divBdr>
        <w:top w:val="none" w:sz="0" w:space="0" w:color="auto"/>
        <w:left w:val="none" w:sz="0" w:space="0" w:color="auto"/>
        <w:bottom w:val="none" w:sz="0" w:space="0" w:color="auto"/>
        <w:right w:val="none" w:sz="0" w:space="0" w:color="auto"/>
      </w:divBdr>
    </w:div>
    <w:div w:id="932661311">
      <w:bodyDiv w:val="1"/>
      <w:marLeft w:val="0"/>
      <w:marRight w:val="0"/>
      <w:marTop w:val="0"/>
      <w:marBottom w:val="0"/>
      <w:divBdr>
        <w:top w:val="none" w:sz="0" w:space="0" w:color="auto"/>
        <w:left w:val="none" w:sz="0" w:space="0" w:color="auto"/>
        <w:bottom w:val="none" w:sz="0" w:space="0" w:color="auto"/>
        <w:right w:val="none" w:sz="0" w:space="0" w:color="auto"/>
      </w:divBdr>
    </w:div>
    <w:div w:id="956984279">
      <w:bodyDiv w:val="1"/>
      <w:marLeft w:val="0"/>
      <w:marRight w:val="0"/>
      <w:marTop w:val="0"/>
      <w:marBottom w:val="0"/>
      <w:divBdr>
        <w:top w:val="none" w:sz="0" w:space="0" w:color="auto"/>
        <w:left w:val="none" w:sz="0" w:space="0" w:color="auto"/>
        <w:bottom w:val="none" w:sz="0" w:space="0" w:color="auto"/>
        <w:right w:val="none" w:sz="0" w:space="0" w:color="auto"/>
      </w:divBdr>
    </w:div>
    <w:div w:id="1001010391">
      <w:bodyDiv w:val="1"/>
      <w:marLeft w:val="0"/>
      <w:marRight w:val="0"/>
      <w:marTop w:val="0"/>
      <w:marBottom w:val="0"/>
      <w:divBdr>
        <w:top w:val="none" w:sz="0" w:space="0" w:color="auto"/>
        <w:left w:val="none" w:sz="0" w:space="0" w:color="auto"/>
        <w:bottom w:val="none" w:sz="0" w:space="0" w:color="auto"/>
        <w:right w:val="none" w:sz="0" w:space="0" w:color="auto"/>
      </w:divBdr>
    </w:div>
    <w:div w:id="1013654141">
      <w:bodyDiv w:val="1"/>
      <w:marLeft w:val="0"/>
      <w:marRight w:val="0"/>
      <w:marTop w:val="0"/>
      <w:marBottom w:val="0"/>
      <w:divBdr>
        <w:top w:val="none" w:sz="0" w:space="0" w:color="auto"/>
        <w:left w:val="none" w:sz="0" w:space="0" w:color="auto"/>
        <w:bottom w:val="none" w:sz="0" w:space="0" w:color="auto"/>
        <w:right w:val="none" w:sz="0" w:space="0" w:color="auto"/>
      </w:divBdr>
    </w:div>
    <w:div w:id="1073167004">
      <w:bodyDiv w:val="1"/>
      <w:marLeft w:val="0"/>
      <w:marRight w:val="0"/>
      <w:marTop w:val="0"/>
      <w:marBottom w:val="0"/>
      <w:divBdr>
        <w:top w:val="none" w:sz="0" w:space="0" w:color="auto"/>
        <w:left w:val="none" w:sz="0" w:space="0" w:color="auto"/>
        <w:bottom w:val="none" w:sz="0" w:space="0" w:color="auto"/>
        <w:right w:val="none" w:sz="0" w:space="0" w:color="auto"/>
      </w:divBdr>
    </w:div>
    <w:div w:id="1094129813">
      <w:bodyDiv w:val="1"/>
      <w:marLeft w:val="0"/>
      <w:marRight w:val="0"/>
      <w:marTop w:val="0"/>
      <w:marBottom w:val="0"/>
      <w:divBdr>
        <w:top w:val="none" w:sz="0" w:space="0" w:color="auto"/>
        <w:left w:val="none" w:sz="0" w:space="0" w:color="auto"/>
        <w:bottom w:val="none" w:sz="0" w:space="0" w:color="auto"/>
        <w:right w:val="none" w:sz="0" w:space="0" w:color="auto"/>
      </w:divBdr>
    </w:div>
    <w:div w:id="1153643316">
      <w:bodyDiv w:val="1"/>
      <w:marLeft w:val="0"/>
      <w:marRight w:val="0"/>
      <w:marTop w:val="0"/>
      <w:marBottom w:val="0"/>
      <w:divBdr>
        <w:top w:val="none" w:sz="0" w:space="0" w:color="auto"/>
        <w:left w:val="none" w:sz="0" w:space="0" w:color="auto"/>
        <w:bottom w:val="none" w:sz="0" w:space="0" w:color="auto"/>
        <w:right w:val="none" w:sz="0" w:space="0" w:color="auto"/>
      </w:divBdr>
    </w:div>
    <w:div w:id="1163937176">
      <w:bodyDiv w:val="1"/>
      <w:marLeft w:val="0"/>
      <w:marRight w:val="0"/>
      <w:marTop w:val="0"/>
      <w:marBottom w:val="0"/>
      <w:divBdr>
        <w:top w:val="none" w:sz="0" w:space="0" w:color="auto"/>
        <w:left w:val="none" w:sz="0" w:space="0" w:color="auto"/>
        <w:bottom w:val="none" w:sz="0" w:space="0" w:color="auto"/>
        <w:right w:val="none" w:sz="0" w:space="0" w:color="auto"/>
      </w:divBdr>
    </w:div>
    <w:div w:id="1351492776">
      <w:bodyDiv w:val="1"/>
      <w:marLeft w:val="0"/>
      <w:marRight w:val="0"/>
      <w:marTop w:val="0"/>
      <w:marBottom w:val="0"/>
      <w:divBdr>
        <w:top w:val="none" w:sz="0" w:space="0" w:color="auto"/>
        <w:left w:val="none" w:sz="0" w:space="0" w:color="auto"/>
        <w:bottom w:val="none" w:sz="0" w:space="0" w:color="auto"/>
        <w:right w:val="none" w:sz="0" w:space="0" w:color="auto"/>
      </w:divBdr>
    </w:div>
    <w:div w:id="1366559366">
      <w:bodyDiv w:val="1"/>
      <w:marLeft w:val="0"/>
      <w:marRight w:val="0"/>
      <w:marTop w:val="0"/>
      <w:marBottom w:val="0"/>
      <w:divBdr>
        <w:top w:val="none" w:sz="0" w:space="0" w:color="auto"/>
        <w:left w:val="none" w:sz="0" w:space="0" w:color="auto"/>
        <w:bottom w:val="none" w:sz="0" w:space="0" w:color="auto"/>
        <w:right w:val="none" w:sz="0" w:space="0" w:color="auto"/>
      </w:divBdr>
    </w:div>
    <w:div w:id="1435443397">
      <w:bodyDiv w:val="1"/>
      <w:marLeft w:val="0"/>
      <w:marRight w:val="0"/>
      <w:marTop w:val="0"/>
      <w:marBottom w:val="0"/>
      <w:divBdr>
        <w:top w:val="none" w:sz="0" w:space="0" w:color="auto"/>
        <w:left w:val="none" w:sz="0" w:space="0" w:color="auto"/>
        <w:bottom w:val="none" w:sz="0" w:space="0" w:color="auto"/>
        <w:right w:val="none" w:sz="0" w:space="0" w:color="auto"/>
      </w:divBdr>
    </w:div>
    <w:div w:id="1467502278">
      <w:bodyDiv w:val="1"/>
      <w:marLeft w:val="0"/>
      <w:marRight w:val="0"/>
      <w:marTop w:val="0"/>
      <w:marBottom w:val="0"/>
      <w:divBdr>
        <w:top w:val="none" w:sz="0" w:space="0" w:color="auto"/>
        <w:left w:val="none" w:sz="0" w:space="0" w:color="auto"/>
        <w:bottom w:val="none" w:sz="0" w:space="0" w:color="auto"/>
        <w:right w:val="none" w:sz="0" w:space="0" w:color="auto"/>
      </w:divBdr>
    </w:div>
    <w:div w:id="1539395593">
      <w:bodyDiv w:val="1"/>
      <w:marLeft w:val="0"/>
      <w:marRight w:val="0"/>
      <w:marTop w:val="0"/>
      <w:marBottom w:val="0"/>
      <w:divBdr>
        <w:top w:val="none" w:sz="0" w:space="0" w:color="auto"/>
        <w:left w:val="none" w:sz="0" w:space="0" w:color="auto"/>
        <w:bottom w:val="none" w:sz="0" w:space="0" w:color="auto"/>
        <w:right w:val="none" w:sz="0" w:space="0" w:color="auto"/>
      </w:divBdr>
    </w:div>
    <w:div w:id="1607077552">
      <w:bodyDiv w:val="1"/>
      <w:marLeft w:val="0"/>
      <w:marRight w:val="0"/>
      <w:marTop w:val="0"/>
      <w:marBottom w:val="0"/>
      <w:divBdr>
        <w:top w:val="none" w:sz="0" w:space="0" w:color="auto"/>
        <w:left w:val="none" w:sz="0" w:space="0" w:color="auto"/>
        <w:bottom w:val="none" w:sz="0" w:space="0" w:color="auto"/>
        <w:right w:val="none" w:sz="0" w:space="0" w:color="auto"/>
      </w:divBdr>
    </w:div>
    <w:div w:id="1719936961">
      <w:bodyDiv w:val="1"/>
      <w:marLeft w:val="0"/>
      <w:marRight w:val="0"/>
      <w:marTop w:val="0"/>
      <w:marBottom w:val="0"/>
      <w:divBdr>
        <w:top w:val="none" w:sz="0" w:space="0" w:color="auto"/>
        <w:left w:val="none" w:sz="0" w:space="0" w:color="auto"/>
        <w:bottom w:val="none" w:sz="0" w:space="0" w:color="auto"/>
        <w:right w:val="none" w:sz="0" w:space="0" w:color="auto"/>
      </w:divBdr>
    </w:div>
    <w:div w:id="1740518816">
      <w:bodyDiv w:val="1"/>
      <w:marLeft w:val="0"/>
      <w:marRight w:val="0"/>
      <w:marTop w:val="0"/>
      <w:marBottom w:val="0"/>
      <w:divBdr>
        <w:top w:val="none" w:sz="0" w:space="0" w:color="auto"/>
        <w:left w:val="none" w:sz="0" w:space="0" w:color="auto"/>
        <w:bottom w:val="none" w:sz="0" w:space="0" w:color="auto"/>
        <w:right w:val="none" w:sz="0" w:space="0" w:color="auto"/>
      </w:divBdr>
    </w:div>
    <w:div w:id="1798142913">
      <w:bodyDiv w:val="1"/>
      <w:marLeft w:val="0"/>
      <w:marRight w:val="0"/>
      <w:marTop w:val="0"/>
      <w:marBottom w:val="0"/>
      <w:divBdr>
        <w:top w:val="none" w:sz="0" w:space="0" w:color="auto"/>
        <w:left w:val="none" w:sz="0" w:space="0" w:color="auto"/>
        <w:bottom w:val="none" w:sz="0" w:space="0" w:color="auto"/>
        <w:right w:val="none" w:sz="0" w:space="0" w:color="auto"/>
      </w:divBdr>
    </w:div>
    <w:div w:id="1801721835">
      <w:bodyDiv w:val="1"/>
      <w:marLeft w:val="0"/>
      <w:marRight w:val="0"/>
      <w:marTop w:val="0"/>
      <w:marBottom w:val="0"/>
      <w:divBdr>
        <w:top w:val="none" w:sz="0" w:space="0" w:color="auto"/>
        <w:left w:val="none" w:sz="0" w:space="0" w:color="auto"/>
        <w:bottom w:val="none" w:sz="0" w:space="0" w:color="auto"/>
        <w:right w:val="none" w:sz="0" w:space="0" w:color="auto"/>
      </w:divBdr>
    </w:div>
    <w:div w:id="1851866656">
      <w:bodyDiv w:val="1"/>
      <w:marLeft w:val="0"/>
      <w:marRight w:val="0"/>
      <w:marTop w:val="0"/>
      <w:marBottom w:val="0"/>
      <w:divBdr>
        <w:top w:val="none" w:sz="0" w:space="0" w:color="auto"/>
        <w:left w:val="none" w:sz="0" w:space="0" w:color="auto"/>
        <w:bottom w:val="none" w:sz="0" w:space="0" w:color="auto"/>
        <w:right w:val="none" w:sz="0" w:space="0" w:color="auto"/>
      </w:divBdr>
    </w:div>
    <w:div w:id="1888950611">
      <w:bodyDiv w:val="1"/>
      <w:marLeft w:val="0"/>
      <w:marRight w:val="0"/>
      <w:marTop w:val="0"/>
      <w:marBottom w:val="0"/>
      <w:divBdr>
        <w:top w:val="none" w:sz="0" w:space="0" w:color="auto"/>
        <w:left w:val="none" w:sz="0" w:space="0" w:color="auto"/>
        <w:bottom w:val="none" w:sz="0" w:space="0" w:color="auto"/>
        <w:right w:val="none" w:sz="0" w:space="0" w:color="auto"/>
      </w:divBdr>
    </w:div>
    <w:div w:id="2015716315">
      <w:bodyDiv w:val="1"/>
      <w:marLeft w:val="0"/>
      <w:marRight w:val="0"/>
      <w:marTop w:val="0"/>
      <w:marBottom w:val="0"/>
      <w:divBdr>
        <w:top w:val="none" w:sz="0" w:space="0" w:color="auto"/>
        <w:left w:val="none" w:sz="0" w:space="0" w:color="auto"/>
        <w:bottom w:val="none" w:sz="0" w:space="0" w:color="auto"/>
        <w:right w:val="none" w:sz="0" w:space="0" w:color="auto"/>
      </w:divBdr>
    </w:div>
    <w:div w:id="206386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28.xml"/><Relationship Id="rId47" Type="http://schemas.openxmlformats.org/officeDocument/2006/relationships/image" Target="media/image12.png"/><Relationship Id="rId63" Type="http://schemas.openxmlformats.org/officeDocument/2006/relationships/hyperlink" Target="https://doi.org/10.1038/s43246-020-00095-x" TargetMode="External"/><Relationship Id="rId68" Type="http://schemas.openxmlformats.org/officeDocument/2006/relationships/hyperlink" Target="https://doi.org/10.1038/nenergy.2016.141"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7.xml"/><Relationship Id="rId11" Type="http://schemas.openxmlformats.org/officeDocument/2006/relationships/image" Target="media/image4.png"/><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image" Target="media/image7.png"/><Relationship Id="rId45" Type="http://schemas.openxmlformats.org/officeDocument/2006/relationships/image" Target="media/image10.png"/><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hyperlink" Target="https://www.iea.org/reports/global-ev-outlook-2020" TargetMode="Externa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5.png"/><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emf"/><Relationship Id="rId64" Type="http://schemas.openxmlformats.org/officeDocument/2006/relationships/hyperlink" Target="https://doi.org/https://doi.org/10.1016/j.enpol.2012.06.009" TargetMode="External"/><Relationship Id="rId69" Type="http://schemas.openxmlformats.org/officeDocument/2006/relationships/hyperlink" Target="https://doi.org/10.1038/s41467-022-29022-z" TargetMode="External"/><Relationship Id="rId8" Type="http://schemas.openxmlformats.org/officeDocument/2006/relationships/image" Target="media/image1.png"/><Relationship Id="rId51" Type="http://schemas.openxmlformats.org/officeDocument/2006/relationships/image" Target="media/image16.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image" Target="media/image11.png"/><Relationship Id="rId59" Type="http://schemas.openxmlformats.org/officeDocument/2006/relationships/image" Target="media/image24.emf"/><Relationship Id="rId67" Type="http://schemas.openxmlformats.org/officeDocument/2006/relationships/hyperlink" Target="https://doi.org/10.1038/s41560-024-01698-1" TargetMode="External"/><Relationship Id="rId20" Type="http://schemas.openxmlformats.org/officeDocument/2006/relationships/chart" Target="charts/chart9.xml"/><Relationship Id="rId41" Type="http://schemas.openxmlformats.org/officeDocument/2006/relationships/chart" Target="charts/chart27.xml"/><Relationship Id="rId54" Type="http://schemas.openxmlformats.org/officeDocument/2006/relationships/image" Target="media/image19.emf"/><Relationship Id="rId62" Type="http://schemas.openxmlformats.org/officeDocument/2006/relationships/image" Target="media/image27.png"/><Relationship Id="rId70" Type="http://schemas.openxmlformats.org/officeDocument/2006/relationships/hyperlink" Target="https://doi.org/10.1038/s41560-020-0634-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image" Target="media/image14.png"/><Relationship Id="rId57" Type="http://schemas.openxmlformats.org/officeDocument/2006/relationships/image" Target="media/image22.emf"/><Relationship Id="rId10" Type="http://schemas.openxmlformats.org/officeDocument/2006/relationships/image" Target="media/image3.png"/><Relationship Id="rId31" Type="http://schemas.openxmlformats.org/officeDocument/2006/relationships/chart" Target="charts/chart19.xml"/><Relationship Id="rId44" Type="http://schemas.openxmlformats.org/officeDocument/2006/relationships/image" Target="media/image9.png"/><Relationship Id="rId52" Type="http://schemas.openxmlformats.org/officeDocument/2006/relationships/image" Target="media/image17.emf"/><Relationship Id="rId60" Type="http://schemas.openxmlformats.org/officeDocument/2006/relationships/image" Target="media/image25.png"/><Relationship Id="rId65" Type="http://schemas.openxmlformats.org/officeDocument/2006/relationships/hyperlink" Target="https://doi.org/10.1038/s41560-018-0108-1"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6.png"/><Relationship Id="rId34" Type="http://schemas.openxmlformats.org/officeDocument/2006/relationships/chart" Target="charts/chart22.xml"/><Relationship Id="rId50" Type="http://schemas.openxmlformats.org/officeDocument/2006/relationships/image" Target="media/image15.emf"/><Relationship Id="rId55" Type="http://schemas.openxmlformats.org/officeDocument/2006/relationships/image" Target="media/image20.emf"/><Relationship Id="rId7" Type="http://schemas.openxmlformats.org/officeDocument/2006/relationships/endnotes" Target="endnotes.xml"/><Relationship Id="rId71" Type="http://schemas.openxmlformats.org/officeDocument/2006/relationships/hyperlink" Target="https://doi.org/10.2208/jscejipm.68.I_8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3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1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2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522.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12510;&#12452;&#12489;&#12521;&#12452;&#12502;\Personal\D%20&#12487;&#12540;&#12479;&#38598;\&#24259;LiB&#38306;&#36899;\LIB&#23550;&#35937;MFA&#35430;&#31639;\MFA-ALL\&#12304;MFA-ALL&#12305;LIB-Critical%20Metals_2504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vtokyo-my.sharepoint.com/personal/6596472269_utac_u-tokyo_ac_jp/Documents/D%20&#12487;&#12540;&#12479;&#38598;/&#24259;LiB&#38306;&#36899;/&#32113;&#35336;&#34920;/&#12471;&#12490;&#12522;&#12458;&#35373;&#23450;/&#33258;&#21205;&#36554;&#20445;&#26377;&#21488;&#25968;&#25512;&#3122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ivtokyo-my.sharepoint.com/personal/6596472269_utac_u-tokyo_ac_jp/Documents/D%20&#12487;&#12540;&#12479;&#38598;/&#24259;LiB&#38306;&#36899;/&#20055;&#29992;&#36554;&#20351;&#29992;&#24180;&#25968;/&#20055;&#29992;&#36554;&#27531;&#23384;&#29575;&#26354;&#32218;&#65288;Weibull&#20418;&#25968;&#25512;&#23450;&#65289;Dou21012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ivtokyo-my.sharepoint.com/personal/6596472269_utac_u-tokyo_ac_jp/Documents/D%20&#12487;&#12540;&#12479;&#38598;/&#24259;LiB&#38306;&#36899;/LIB&#23550;&#35937;MFA&#35430;&#31639;/NUS/&#12304;MFA-LCA&#32113;&#21512;&#12305;LIB&#27491;&#26997;&#26448;&#65288;&#39640;&#24230;&#20998;&#35299;&#36984;&#21029;&#65289;&#20108;&#27425;&#21033;&#29992;&#12394;&#12375;_25%25_&#22238;&#21454;&#29575;100&#6528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Statistic data (National Census)</c:v>
          </c:tx>
          <c:spPr>
            <a:ln w="19050" cap="rnd">
              <a:solidFill>
                <a:schemeClr val="accent1"/>
              </a:solidFill>
              <a:round/>
            </a:ln>
            <a:effectLst/>
          </c:spPr>
          <c:marker>
            <c:symbol val="none"/>
          </c:marker>
          <c:xVal>
            <c:numRef>
              <c:f>Supplementary!$C$1:$BO$1</c:f>
              <c:numCache>
                <c:formatCode>General</c:formatCode>
                <c:ptCount val="6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pt idx="45">
                  <c:v>2051</c:v>
                </c:pt>
                <c:pt idx="46">
                  <c:v>2052</c:v>
                </c:pt>
                <c:pt idx="47">
                  <c:v>2053</c:v>
                </c:pt>
                <c:pt idx="48">
                  <c:v>2054</c:v>
                </c:pt>
                <c:pt idx="49">
                  <c:v>2055</c:v>
                </c:pt>
                <c:pt idx="50">
                  <c:v>2056</c:v>
                </c:pt>
                <c:pt idx="51">
                  <c:v>2057</c:v>
                </c:pt>
                <c:pt idx="52">
                  <c:v>2058</c:v>
                </c:pt>
                <c:pt idx="53">
                  <c:v>2059</c:v>
                </c:pt>
                <c:pt idx="54">
                  <c:v>2060</c:v>
                </c:pt>
                <c:pt idx="55">
                  <c:v>2061</c:v>
                </c:pt>
                <c:pt idx="56">
                  <c:v>2062</c:v>
                </c:pt>
                <c:pt idx="57">
                  <c:v>2063</c:v>
                </c:pt>
                <c:pt idx="58">
                  <c:v>2064</c:v>
                </c:pt>
                <c:pt idx="59">
                  <c:v>2065</c:v>
                </c:pt>
                <c:pt idx="60">
                  <c:v>2066</c:v>
                </c:pt>
                <c:pt idx="61">
                  <c:v>2067</c:v>
                </c:pt>
                <c:pt idx="62">
                  <c:v>2068</c:v>
                </c:pt>
                <c:pt idx="63">
                  <c:v>2069</c:v>
                </c:pt>
                <c:pt idx="64">
                  <c:v>2070</c:v>
                </c:pt>
              </c:numCache>
            </c:numRef>
          </c:xVal>
          <c:yVal>
            <c:numRef>
              <c:f>Supplementary!$C$2:$BO$2</c:f>
              <c:numCache>
                <c:formatCode>General</c:formatCode>
                <c:ptCount val="65"/>
                <c:pt idx="4">
                  <c:v>123.61</c:v>
                </c:pt>
                <c:pt idx="5">
                  <c:v>125.57</c:v>
                </c:pt>
                <c:pt idx="6">
                  <c:v>126.926</c:v>
                </c:pt>
                <c:pt idx="7">
                  <c:v>127.76799999999999</c:v>
                </c:pt>
                <c:pt idx="8">
                  <c:v>128.05700000000002</c:v>
                </c:pt>
                <c:pt idx="9">
                  <c:v>127.094745</c:v>
                </c:pt>
                <c:pt idx="10">
                  <c:v>127.042</c:v>
                </c:pt>
                <c:pt idx="11">
                  <c:v>126.919</c:v>
                </c:pt>
                <c:pt idx="12">
                  <c:v>126.749</c:v>
                </c:pt>
                <c:pt idx="13">
                  <c:v>126.55500000000001</c:v>
                </c:pt>
              </c:numCache>
            </c:numRef>
          </c:yVal>
          <c:smooth val="1"/>
          <c:extLst>
            <c:ext xmlns:c16="http://schemas.microsoft.com/office/drawing/2014/chart" uri="{C3380CC4-5D6E-409C-BE32-E72D297353CC}">
              <c16:uniqueId val="{00000000-28F4-4D53-84D1-B1E5B4BC450C}"/>
            </c:ext>
          </c:extLst>
        </c:ser>
        <c:ser>
          <c:idx val="1"/>
          <c:order val="1"/>
          <c:tx>
            <c:v>Estimation (high birth rate, low death rate)</c:v>
          </c:tx>
          <c:spPr>
            <a:ln w="19050" cap="rnd">
              <a:solidFill>
                <a:schemeClr val="accent2"/>
              </a:solidFill>
              <a:round/>
            </a:ln>
            <a:effectLst/>
          </c:spPr>
          <c:marker>
            <c:symbol val="none"/>
          </c:marker>
          <c:xVal>
            <c:numRef>
              <c:f>Supplementary!$C$1:$BO$1</c:f>
              <c:numCache>
                <c:formatCode>General</c:formatCode>
                <c:ptCount val="6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pt idx="45">
                  <c:v>2051</c:v>
                </c:pt>
                <c:pt idx="46">
                  <c:v>2052</c:v>
                </c:pt>
                <c:pt idx="47">
                  <c:v>2053</c:v>
                </c:pt>
                <c:pt idx="48">
                  <c:v>2054</c:v>
                </c:pt>
                <c:pt idx="49">
                  <c:v>2055</c:v>
                </c:pt>
                <c:pt idx="50">
                  <c:v>2056</c:v>
                </c:pt>
                <c:pt idx="51">
                  <c:v>2057</c:v>
                </c:pt>
                <c:pt idx="52">
                  <c:v>2058</c:v>
                </c:pt>
                <c:pt idx="53">
                  <c:v>2059</c:v>
                </c:pt>
                <c:pt idx="54">
                  <c:v>2060</c:v>
                </c:pt>
                <c:pt idx="55">
                  <c:v>2061</c:v>
                </c:pt>
                <c:pt idx="56">
                  <c:v>2062</c:v>
                </c:pt>
                <c:pt idx="57">
                  <c:v>2063</c:v>
                </c:pt>
                <c:pt idx="58">
                  <c:v>2064</c:v>
                </c:pt>
                <c:pt idx="59">
                  <c:v>2065</c:v>
                </c:pt>
                <c:pt idx="60">
                  <c:v>2066</c:v>
                </c:pt>
                <c:pt idx="61">
                  <c:v>2067</c:v>
                </c:pt>
                <c:pt idx="62">
                  <c:v>2068</c:v>
                </c:pt>
                <c:pt idx="63">
                  <c:v>2069</c:v>
                </c:pt>
                <c:pt idx="64">
                  <c:v>2070</c:v>
                </c:pt>
              </c:numCache>
            </c:numRef>
          </c:xVal>
          <c:yVal>
            <c:numRef>
              <c:f>Supplementary!$C$3:$BO$3</c:f>
              <c:numCache>
                <c:formatCode>General</c:formatCode>
                <c:ptCount val="65"/>
                <c:pt idx="14">
                  <c:v>126.146</c:v>
                </c:pt>
                <c:pt idx="15">
                  <c:v>125.69199999999999</c:v>
                </c:pt>
                <c:pt idx="16">
                  <c:v>125.361</c:v>
                </c:pt>
                <c:pt idx="17">
                  <c:v>124.997</c:v>
                </c:pt>
                <c:pt idx="18">
                  <c:v>124.636</c:v>
                </c:pt>
                <c:pt idx="19">
                  <c:v>124.255</c:v>
                </c:pt>
                <c:pt idx="20">
                  <c:v>123.85299999999999</c:v>
                </c:pt>
                <c:pt idx="21">
                  <c:v>123.43300000000001</c:v>
                </c:pt>
                <c:pt idx="22">
                  <c:v>123</c:v>
                </c:pt>
                <c:pt idx="23">
                  <c:v>122.554</c:v>
                </c:pt>
                <c:pt idx="24">
                  <c:v>122.095</c:v>
                </c:pt>
                <c:pt idx="25">
                  <c:v>121.623</c:v>
                </c:pt>
                <c:pt idx="26">
                  <c:v>121.137</c:v>
                </c:pt>
                <c:pt idx="27">
                  <c:v>120.63800000000001</c:v>
                </c:pt>
                <c:pt idx="28">
                  <c:v>120.124</c:v>
                </c:pt>
                <c:pt idx="29">
                  <c:v>119.59399999999999</c:v>
                </c:pt>
                <c:pt idx="30">
                  <c:v>119.05</c:v>
                </c:pt>
                <c:pt idx="31">
                  <c:v>118.491</c:v>
                </c:pt>
                <c:pt idx="32">
                  <c:v>117.91800000000001</c:v>
                </c:pt>
                <c:pt idx="33">
                  <c:v>117.331</c:v>
                </c:pt>
                <c:pt idx="34">
                  <c:v>116.732</c:v>
                </c:pt>
                <c:pt idx="35">
                  <c:v>116.121</c:v>
                </c:pt>
                <c:pt idx="36">
                  <c:v>115.499</c:v>
                </c:pt>
                <c:pt idx="37">
                  <c:v>114.869</c:v>
                </c:pt>
                <c:pt idx="38">
                  <c:v>114.232</c:v>
                </c:pt>
                <c:pt idx="39">
                  <c:v>113.59099999999999</c:v>
                </c:pt>
                <c:pt idx="40">
                  <c:v>112.94799999999999</c:v>
                </c:pt>
                <c:pt idx="41">
                  <c:v>112.303</c:v>
                </c:pt>
                <c:pt idx="42">
                  <c:v>111.66</c:v>
                </c:pt>
                <c:pt idx="43">
                  <c:v>111.018</c:v>
                </c:pt>
                <c:pt idx="44">
                  <c:v>110.379</c:v>
                </c:pt>
                <c:pt idx="45">
                  <c:v>109.74299999999999</c:v>
                </c:pt>
                <c:pt idx="46">
                  <c:v>109.11</c:v>
                </c:pt>
                <c:pt idx="47">
                  <c:v>108.479</c:v>
                </c:pt>
                <c:pt idx="48">
                  <c:v>107.85</c:v>
                </c:pt>
                <c:pt idx="49">
                  <c:v>107.22199999999999</c:v>
                </c:pt>
                <c:pt idx="50">
                  <c:v>106.593</c:v>
                </c:pt>
                <c:pt idx="51">
                  <c:v>105.962</c:v>
                </c:pt>
                <c:pt idx="52">
                  <c:v>105.328</c:v>
                </c:pt>
                <c:pt idx="53">
                  <c:v>104.69</c:v>
                </c:pt>
                <c:pt idx="54">
                  <c:v>104.047</c:v>
                </c:pt>
                <c:pt idx="55">
                  <c:v>103.4</c:v>
                </c:pt>
                <c:pt idx="56">
                  <c:v>102.747</c:v>
                </c:pt>
                <c:pt idx="57">
                  <c:v>102.089</c:v>
                </c:pt>
                <c:pt idx="58">
                  <c:v>101.42700000000001</c:v>
                </c:pt>
                <c:pt idx="59">
                  <c:v>100.762</c:v>
                </c:pt>
                <c:pt idx="60">
                  <c:v>100.09399999999999</c:v>
                </c:pt>
                <c:pt idx="61">
                  <c:v>99.426000000000002</c:v>
                </c:pt>
                <c:pt idx="62">
                  <c:v>98.757999999999996</c:v>
                </c:pt>
                <c:pt idx="63">
                  <c:v>98.093999999999994</c:v>
                </c:pt>
                <c:pt idx="64">
                  <c:v>97.435000000000002</c:v>
                </c:pt>
              </c:numCache>
            </c:numRef>
          </c:yVal>
          <c:smooth val="1"/>
          <c:extLst>
            <c:ext xmlns:c16="http://schemas.microsoft.com/office/drawing/2014/chart" uri="{C3380CC4-5D6E-409C-BE32-E72D297353CC}">
              <c16:uniqueId val="{00000001-28F4-4D53-84D1-B1E5B4BC450C}"/>
            </c:ext>
          </c:extLst>
        </c:ser>
        <c:ser>
          <c:idx val="2"/>
          <c:order val="2"/>
          <c:tx>
            <c:v>Estimation (medium birth rate, medium death rate)</c:v>
          </c:tx>
          <c:spPr>
            <a:ln w="19050" cap="rnd">
              <a:solidFill>
                <a:schemeClr val="accent3"/>
              </a:solidFill>
              <a:round/>
            </a:ln>
            <a:effectLst/>
          </c:spPr>
          <c:marker>
            <c:symbol val="none"/>
          </c:marker>
          <c:xVal>
            <c:numRef>
              <c:f>Supplementary!$C$1:$BO$1</c:f>
              <c:numCache>
                <c:formatCode>General</c:formatCode>
                <c:ptCount val="6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pt idx="45">
                  <c:v>2051</c:v>
                </c:pt>
                <c:pt idx="46">
                  <c:v>2052</c:v>
                </c:pt>
                <c:pt idx="47">
                  <c:v>2053</c:v>
                </c:pt>
                <c:pt idx="48">
                  <c:v>2054</c:v>
                </c:pt>
                <c:pt idx="49">
                  <c:v>2055</c:v>
                </c:pt>
                <c:pt idx="50">
                  <c:v>2056</c:v>
                </c:pt>
                <c:pt idx="51">
                  <c:v>2057</c:v>
                </c:pt>
                <c:pt idx="52">
                  <c:v>2058</c:v>
                </c:pt>
                <c:pt idx="53">
                  <c:v>2059</c:v>
                </c:pt>
                <c:pt idx="54">
                  <c:v>2060</c:v>
                </c:pt>
                <c:pt idx="55">
                  <c:v>2061</c:v>
                </c:pt>
                <c:pt idx="56">
                  <c:v>2062</c:v>
                </c:pt>
                <c:pt idx="57">
                  <c:v>2063</c:v>
                </c:pt>
                <c:pt idx="58">
                  <c:v>2064</c:v>
                </c:pt>
                <c:pt idx="59">
                  <c:v>2065</c:v>
                </c:pt>
                <c:pt idx="60">
                  <c:v>2066</c:v>
                </c:pt>
                <c:pt idx="61">
                  <c:v>2067</c:v>
                </c:pt>
                <c:pt idx="62">
                  <c:v>2068</c:v>
                </c:pt>
                <c:pt idx="63">
                  <c:v>2069</c:v>
                </c:pt>
                <c:pt idx="64">
                  <c:v>2070</c:v>
                </c:pt>
              </c:numCache>
            </c:numRef>
          </c:xVal>
          <c:yVal>
            <c:numRef>
              <c:f>Supplementary!$C$4:$BO$4</c:f>
              <c:numCache>
                <c:formatCode>General</c:formatCode>
                <c:ptCount val="65"/>
                <c:pt idx="14">
                  <c:v>126.14609900000001</c:v>
                </c:pt>
                <c:pt idx="15">
                  <c:v>125.52663099999999</c:v>
                </c:pt>
                <c:pt idx="16">
                  <c:v>124.977644</c:v>
                </c:pt>
                <c:pt idx="17">
                  <c:v>124.40799800000001</c:v>
                </c:pt>
                <c:pt idx="18">
                  <c:v>123.84366899999999</c:v>
                </c:pt>
                <c:pt idx="19">
                  <c:v>123.26244800000001</c:v>
                </c:pt>
                <c:pt idx="20">
                  <c:v>122.661136</c:v>
                </c:pt>
                <c:pt idx="21">
                  <c:v>122.04401799999999</c:v>
                </c:pt>
                <c:pt idx="22">
                  <c:v>121.41383599999999</c:v>
                </c:pt>
                <c:pt idx="23">
                  <c:v>120.77109799999999</c:v>
                </c:pt>
                <c:pt idx="24">
                  <c:v>120.11578</c:v>
                </c:pt>
                <c:pt idx="25">
                  <c:v>119.44770200000001</c:v>
                </c:pt>
                <c:pt idx="26">
                  <c:v>118.76649099999999</c:v>
                </c:pt>
                <c:pt idx="27">
                  <c:v>118.07136199999999</c:v>
                </c:pt>
                <c:pt idx="28">
                  <c:v>117.36210799999999</c:v>
                </c:pt>
                <c:pt idx="29">
                  <c:v>116.638903</c:v>
                </c:pt>
                <c:pt idx="30">
                  <c:v>115.90213</c:v>
                </c:pt>
                <c:pt idx="31">
                  <c:v>115.152484</c:v>
                </c:pt>
                <c:pt idx="32">
                  <c:v>114.39095399999999</c:v>
                </c:pt>
                <c:pt idx="33">
                  <c:v>113.618771</c:v>
                </c:pt>
                <c:pt idx="34">
                  <c:v>112.837405</c:v>
                </c:pt>
                <c:pt idx="35">
                  <c:v>112.044872</c:v>
                </c:pt>
                <c:pt idx="36">
                  <c:v>111.243072</c:v>
                </c:pt>
                <c:pt idx="37">
                  <c:v>110.433978</c:v>
                </c:pt>
                <c:pt idx="38">
                  <c:v>109.619517</c:v>
                </c:pt>
                <c:pt idx="39">
                  <c:v>108.80133900000001</c:v>
                </c:pt>
                <c:pt idx="40">
                  <c:v>107.980738</c:v>
                </c:pt>
                <c:pt idx="41">
                  <c:v>107.158654</c:v>
                </c:pt>
                <c:pt idx="42">
                  <c:v>106.3356</c:v>
                </c:pt>
                <c:pt idx="43">
                  <c:v>105.51162600000001</c:v>
                </c:pt>
                <c:pt idx="44">
                  <c:v>104.68638300000001</c:v>
                </c:pt>
                <c:pt idx="45">
                  <c:v>103.859149</c:v>
                </c:pt>
                <c:pt idx="46">
                  <c:v>103.028924</c:v>
                </c:pt>
                <c:pt idx="47">
                  <c:v>102.194558</c:v>
                </c:pt>
                <c:pt idx="48">
                  <c:v>101.35479799999999</c:v>
                </c:pt>
                <c:pt idx="49">
                  <c:v>100.50840099999999</c:v>
                </c:pt>
                <c:pt idx="50">
                  <c:v>99.654278999999988</c:v>
                </c:pt>
                <c:pt idx="51">
                  <c:v>98.791554000000005</c:v>
                </c:pt>
                <c:pt idx="52">
                  <c:v>97.919646</c:v>
                </c:pt>
                <c:pt idx="53">
                  <c:v>97.038352000000003</c:v>
                </c:pt>
                <c:pt idx="54">
                  <c:v>96.147841</c:v>
                </c:pt>
                <c:pt idx="55">
                  <c:v>95.248623999999992</c:v>
                </c:pt>
                <c:pt idx="56">
                  <c:v>94.341551999999993</c:v>
                </c:pt>
                <c:pt idx="57">
                  <c:v>93.427807000000001</c:v>
                </c:pt>
                <c:pt idx="58">
                  <c:v>92.508880000000005</c:v>
                </c:pt>
                <c:pt idx="59">
                  <c:v>91.586513000000011</c:v>
                </c:pt>
                <c:pt idx="60">
                  <c:v>90.662657999999993</c:v>
                </c:pt>
                <c:pt idx="61">
                  <c:v>89.739444000000006</c:v>
                </c:pt>
                <c:pt idx="62">
                  <c:v>88.819102999999998</c:v>
                </c:pt>
                <c:pt idx="63">
                  <c:v>87.903892000000013</c:v>
                </c:pt>
                <c:pt idx="64">
                  <c:v>86.996009000000001</c:v>
                </c:pt>
              </c:numCache>
            </c:numRef>
          </c:yVal>
          <c:smooth val="1"/>
          <c:extLst>
            <c:ext xmlns:c16="http://schemas.microsoft.com/office/drawing/2014/chart" uri="{C3380CC4-5D6E-409C-BE32-E72D297353CC}">
              <c16:uniqueId val="{00000002-28F4-4D53-84D1-B1E5B4BC450C}"/>
            </c:ext>
          </c:extLst>
        </c:ser>
        <c:ser>
          <c:idx val="3"/>
          <c:order val="3"/>
          <c:tx>
            <c:v>Estimation (low birth rate, high death rate)</c:v>
          </c:tx>
          <c:spPr>
            <a:ln w="19050" cap="rnd">
              <a:solidFill>
                <a:schemeClr val="accent4"/>
              </a:solidFill>
              <a:round/>
            </a:ln>
            <a:effectLst/>
          </c:spPr>
          <c:marker>
            <c:symbol val="none"/>
          </c:marker>
          <c:xVal>
            <c:numRef>
              <c:f>Supplementary!$C$1:$BO$1</c:f>
              <c:numCache>
                <c:formatCode>General</c:formatCode>
                <c:ptCount val="6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pt idx="45">
                  <c:v>2051</c:v>
                </c:pt>
                <c:pt idx="46">
                  <c:v>2052</c:v>
                </c:pt>
                <c:pt idx="47">
                  <c:v>2053</c:v>
                </c:pt>
                <c:pt idx="48">
                  <c:v>2054</c:v>
                </c:pt>
                <c:pt idx="49">
                  <c:v>2055</c:v>
                </c:pt>
                <c:pt idx="50">
                  <c:v>2056</c:v>
                </c:pt>
                <c:pt idx="51">
                  <c:v>2057</c:v>
                </c:pt>
                <c:pt idx="52">
                  <c:v>2058</c:v>
                </c:pt>
                <c:pt idx="53">
                  <c:v>2059</c:v>
                </c:pt>
                <c:pt idx="54">
                  <c:v>2060</c:v>
                </c:pt>
                <c:pt idx="55">
                  <c:v>2061</c:v>
                </c:pt>
                <c:pt idx="56">
                  <c:v>2062</c:v>
                </c:pt>
                <c:pt idx="57">
                  <c:v>2063</c:v>
                </c:pt>
                <c:pt idx="58">
                  <c:v>2064</c:v>
                </c:pt>
                <c:pt idx="59">
                  <c:v>2065</c:v>
                </c:pt>
                <c:pt idx="60">
                  <c:v>2066</c:v>
                </c:pt>
                <c:pt idx="61">
                  <c:v>2067</c:v>
                </c:pt>
                <c:pt idx="62">
                  <c:v>2068</c:v>
                </c:pt>
                <c:pt idx="63">
                  <c:v>2069</c:v>
                </c:pt>
                <c:pt idx="64">
                  <c:v>2070</c:v>
                </c:pt>
              </c:numCache>
            </c:numRef>
          </c:xVal>
          <c:yVal>
            <c:numRef>
              <c:f>Supplementary!$C$5:$BO$5</c:f>
              <c:numCache>
                <c:formatCode>General</c:formatCode>
                <c:ptCount val="65"/>
                <c:pt idx="14">
                  <c:v>126.146</c:v>
                </c:pt>
                <c:pt idx="15">
                  <c:v>125.361</c:v>
                </c:pt>
                <c:pt idx="16">
                  <c:v>124.59399999999999</c:v>
                </c:pt>
                <c:pt idx="17">
                  <c:v>123.819</c:v>
                </c:pt>
                <c:pt idx="18">
                  <c:v>123.05500000000001</c:v>
                </c:pt>
                <c:pt idx="19">
                  <c:v>122.27800000000001</c:v>
                </c:pt>
                <c:pt idx="20">
                  <c:v>121.48399999999999</c:v>
                </c:pt>
                <c:pt idx="21">
                  <c:v>120.67700000000001</c:v>
                </c:pt>
                <c:pt idx="22">
                  <c:v>119.86</c:v>
                </c:pt>
                <c:pt idx="23">
                  <c:v>119.032</c:v>
                </c:pt>
                <c:pt idx="24">
                  <c:v>118.194</c:v>
                </c:pt>
                <c:pt idx="25">
                  <c:v>117.345</c:v>
                </c:pt>
                <c:pt idx="26">
                  <c:v>116.48399999999999</c:v>
                </c:pt>
                <c:pt idx="27">
                  <c:v>115.61199999999999</c:v>
                </c:pt>
                <c:pt idx="28">
                  <c:v>114.72799999999999</c:v>
                </c:pt>
                <c:pt idx="29">
                  <c:v>113.833</c:v>
                </c:pt>
                <c:pt idx="30">
                  <c:v>112.928</c:v>
                </c:pt>
                <c:pt idx="31">
                  <c:v>112.012</c:v>
                </c:pt>
                <c:pt idx="32">
                  <c:v>111.08799999999999</c:v>
                </c:pt>
                <c:pt idx="33">
                  <c:v>110.158</c:v>
                </c:pt>
                <c:pt idx="34">
                  <c:v>109.22199999999999</c:v>
                </c:pt>
                <c:pt idx="35">
                  <c:v>108.277</c:v>
                </c:pt>
                <c:pt idx="36">
                  <c:v>107.324</c:v>
                </c:pt>
                <c:pt idx="37">
                  <c:v>106.366</c:v>
                </c:pt>
                <c:pt idx="38">
                  <c:v>105.404</c:v>
                </c:pt>
                <c:pt idx="39">
                  <c:v>104.438</c:v>
                </c:pt>
                <c:pt idx="40">
                  <c:v>103.47199999999999</c:v>
                </c:pt>
                <c:pt idx="41">
                  <c:v>102.503</c:v>
                </c:pt>
                <c:pt idx="42">
                  <c:v>101.533</c:v>
                </c:pt>
                <c:pt idx="43">
                  <c:v>100.559</c:v>
                </c:pt>
                <c:pt idx="44">
                  <c:v>99.581999999999994</c:v>
                </c:pt>
                <c:pt idx="45">
                  <c:v>98.599000000000004</c:v>
                </c:pt>
                <c:pt idx="46">
                  <c:v>97.608999999999995</c:v>
                </c:pt>
                <c:pt idx="47">
                  <c:v>96.611000000000004</c:v>
                </c:pt>
                <c:pt idx="48">
                  <c:v>95.602000000000004</c:v>
                </c:pt>
                <c:pt idx="49">
                  <c:v>94.582999999999998</c:v>
                </c:pt>
                <c:pt idx="50">
                  <c:v>93.551000000000002</c:v>
                </c:pt>
                <c:pt idx="51">
                  <c:v>92.507999999999996</c:v>
                </c:pt>
                <c:pt idx="52">
                  <c:v>91.450999999999993</c:v>
                </c:pt>
                <c:pt idx="53">
                  <c:v>90.382999999999996</c:v>
                </c:pt>
                <c:pt idx="54">
                  <c:v>89.305000000000007</c:v>
                </c:pt>
                <c:pt idx="55">
                  <c:v>88.215999999999994</c:v>
                </c:pt>
                <c:pt idx="56">
                  <c:v>87.12</c:v>
                </c:pt>
                <c:pt idx="57">
                  <c:v>86.016999999999996</c:v>
                </c:pt>
                <c:pt idx="58">
                  <c:v>84.911000000000001</c:v>
                </c:pt>
                <c:pt idx="59">
                  <c:v>83.802999999999997</c:v>
                </c:pt>
                <c:pt idx="60">
                  <c:v>82.695999999999998</c:v>
                </c:pt>
                <c:pt idx="61">
                  <c:v>81.593000000000004</c:v>
                </c:pt>
                <c:pt idx="62">
                  <c:v>80.495000000000005</c:v>
                </c:pt>
                <c:pt idx="63">
                  <c:v>79.406000000000006</c:v>
                </c:pt>
                <c:pt idx="64">
                  <c:v>78.326999999999998</c:v>
                </c:pt>
              </c:numCache>
            </c:numRef>
          </c:yVal>
          <c:smooth val="1"/>
          <c:extLst>
            <c:ext xmlns:c16="http://schemas.microsoft.com/office/drawing/2014/chart" uri="{C3380CC4-5D6E-409C-BE32-E72D297353CC}">
              <c16:uniqueId val="{00000003-28F4-4D53-84D1-B1E5B4BC450C}"/>
            </c:ext>
          </c:extLst>
        </c:ser>
        <c:dLbls>
          <c:showLegendKey val="0"/>
          <c:showVal val="0"/>
          <c:showCatName val="0"/>
          <c:showSerName val="0"/>
          <c:showPercent val="0"/>
          <c:showBubbleSize val="0"/>
        </c:dLbls>
        <c:axId val="1652352031"/>
        <c:axId val="1652343871"/>
      </c:scatterChart>
      <c:valAx>
        <c:axId val="1652352031"/>
        <c:scaling>
          <c:orientation val="minMax"/>
          <c:min val="19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Year</a:t>
                </a:r>
                <a:endParaRPr lang="ja-JP" altLang="en-US"/>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43871"/>
        <c:crosses val="autoZero"/>
        <c:crossBetween val="midCat"/>
        <c:majorUnit val="10"/>
      </c:valAx>
      <c:valAx>
        <c:axId val="1652343871"/>
        <c:scaling>
          <c:orientation val="minMax"/>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Population (million)</a:t>
                </a:r>
                <a:endParaRPr lang="ja-JP" altLang="en-US"/>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520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'4全車種Weibull'!$H$117</c:f>
              <c:strCache>
                <c:ptCount val="1"/>
                <c:pt idx="0">
                  <c:v>1995</c:v>
                </c:pt>
              </c:strCache>
            </c:strRef>
          </c:tx>
          <c:spPr>
            <a:solidFill>
              <a:schemeClr val="accent1"/>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'4全車種Weibull'!$H$118:$H$158</c:f>
              <c:numCache>
                <c:formatCode>0</c:formatCode>
                <c:ptCount val="41"/>
                <c:pt idx="0">
                  <c:v>4493363</c:v>
                </c:pt>
                <c:pt idx="1">
                  <c:v>2694858.0643934077</c:v>
                </c:pt>
                <c:pt idx="2">
                  <c:v>2874787.8943415177</c:v>
                </c:pt>
                <c:pt idx="3">
                  <c:v>3099560.3174941428</c:v>
                </c:pt>
                <c:pt idx="4">
                  <c:v>3962987.1754640685</c:v>
                </c:pt>
                <c:pt idx="5">
                  <c:v>3916597.8825114295</c:v>
                </c:pt>
                <c:pt idx="6">
                  <c:v>3749311.2191814007</c:v>
                </c:pt>
                <c:pt idx="7">
                  <c:v>3562055.0124069965</c:v>
                </c:pt>
                <c:pt idx="8">
                  <c:v>3358895.6501903352</c:v>
                </c:pt>
                <c:pt idx="9">
                  <c:v>3143928.2654484068</c:v>
                </c:pt>
                <c:pt idx="10">
                  <c:v>2921175.4018247346</c:v>
                </c:pt>
                <c:pt idx="11">
                  <c:v>2694489.9692203519</c:v>
                </c:pt>
                <c:pt idx="12">
                  <c:v>2467468.6674428177</c:v>
                </c:pt>
                <c:pt idx="13">
                  <c:v>2243379.7846140107</c:v>
                </c:pt>
                <c:pt idx="14">
                  <c:v>2025107.6768227767</c:v>
                </c:pt>
                <c:pt idx="15">
                  <c:v>241736.01864359353</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extLst>
            <c:ext xmlns:c16="http://schemas.microsoft.com/office/drawing/2014/chart" uri="{C3380CC4-5D6E-409C-BE32-E72D297353CC}">
              <c16:uniqueId val="{00000000-1C9A-49E7-BA9D-52076C90E828}"/>
            </c:ext>
          </c:extLst>
        </c:ser>
        <c:ser>
          <c:idx val="1"/>
          <c:order val="1"/>
          <c:tx>
            <c:strRef>
              <c:f>'4全車種Weibull'!$M$117</c:f>
              <c:strCache>
                <c:ptCount val="1"/>
                <c:pt idx="0">
                  <c:v>2000</c:v>
                </c:pt>
              </c:strCache>
            </c:strRef>
          </c:tx>
          <c:spPr>
            <a:solidFill>
              <a:schemeClr val="accent2"/>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'4全車種Weibull'!$M$118:$M$158</c:f>
              <c:numCache>
                <c:formatCode>0</c:formatCode>
                <c:ptCount val="41"/>
                <c:pt idx="0">
                  <c:v>4260781</c:v>
                </c:pt>
                <c:pt idx="1">
                  <c:v>2865446.9188869377</c:v>
                </c:pt>
                <c:pt idx="2">
                  <c:v>2850390.6713493243</c:v>
                </c:pt>
                <c:pt idx="3">
                  <c:v>2879747.7643742948</c:v>
                </c:pt>
                <c:pt idx="4">
                  <c:v>3258755.5728124585</c:v>
                </c:pt>
                <c:pt idx="5">
                  <c:v>2905129.3199861436</c:v>
                </c:pt>
                <c:pt idx="6">
                  <c:v>2851705.7590378853</c:v>
                </c:pt>
                <c:pt idx="7">
                  <c:v>2923395.6181445364</c:v>
                </c:pt>
                <c:pt idx="8">
                  <c:v>3032084.3116479348</c:v>
                </c:pt>
                <c:pt idx="9">
                  <c:v>3731738.9590935279</c:v>
                </c:pt>
                <c:pt idx="10">
                  <c:v>3551930.628152757</c:v>
                </c:pt>
                <c:pt idx="11">
                  <c:v>3276063.2367309248</c:v>
                </c:pt>
                <c:pt idx="12">
                  <c:v>2999834.132658788</c:v>
                </c:pt>
                <c:pt idx="13">
                  <c:v>2727214.2071476164</c:v>
                </c:pt>
                <c:pt idx="14">
                  <c:v>2461706.802016099</c:v>
                </c:pt>
                <c:pt idx="15">
                  <c:v>2206301.9420486689</c:v>
                </c:pt>
                <c:pt idx="16">
                  <c:v>1963451.9997847674</c:v>
                </c:pt>
                <c:pt idx="17">
                  <c:v>1735067.613442895</c:v>
                </c:pt>
                <c:pt idx="18">
                  <c:v>1522531.8127321848</c:v>
                </c:pt>
                <c:pt idx="19">
                  <c:v>1326729.6737426352</c:v>
                </c:pt>
                <c:pt idx="20">
                  <c:v>152902.05620961168</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extLst>
            <c:ext xmlns:c16="http://schemas.microsoft.com/office/drawing/2014/chart" uri="{C3380CC4-5D6E-409C-BE32-E72D297353CC}">
              <c16:uniqueId val="{00000001-1C9A-49E7-BA9D-52076C90E828}"/>
            </c:ext>
          </c:extLst>
        </c:ser>
        <c:ser>
          <c:idx val="2"/>
          <c:order val="2"/>
          <c:tx>
            <c:strRef>
              <c:f>'4全車種Weibull'!$R$117</c:f>
              <c:strCache>
                <c:ptCount val="1"/>
                <c:pt idx="0">
                  <c:v>2005</c:v>
                </c:pt>
              </c:strCache>
            </c:strRef>
          </c:tx>
          <c:spPr>
            <a:solidFill>
              <a:schemeClr val="accent3"/>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'4全車種Weibull'!$R$118:$R$158</c:f>
              <c:numCache>
                <c:formatCode>0</c:formatCode>
                <c:ptCount val="41"/>
                <c:pt idx="0">
                  <c:v>4717120</c:v>
                </c:pt>
                <c:pt idx="1">
                  <c:v>5709894.6697943592</c:v>
                </c:pt>
                <c:pt idx="2">
                  <c:v>4762166.3126061941</c:v>
                </c:pt>
                <c:pt idx="3">
                  <c:v>4425636.245916348</c:v>
                </c:pt>
                <c:pt idx="4">
                  <c:v>3291627.4747436712</c:v>
                </c:pt>
                <c:pt idx="5">
                  <c:v>3204202.6752207833</c:v>
                </c:pt>
                <c:pt idx="6">
                  <c:v>2597894.31928048</c:v>
                </c:pt>
                <c:pt idx="7">
                  <c:v>2483398.8081404786</c:v>
                </c:pt>
                <c:pt idx="8">
                  <c:v>2413547.9259758852</c:v>
                </c:pt>
                <c:pt idx="9">
                  <c:v>2629061.0591201605</c:v>
                </c:pt>
                <c:pt idx="10">
                  <c:v>2257258.285831145</c:v>
                </c:pt>
                <c:pt idx="11">
                  <c:v>2134842.2713799239</c:v>
                </c:pt>
                <c:pt idx="12">
                  <c:v>2109329.8938517566</c:v>
                </c:pt>
                <c:pt idx="13">
                  <c:v>2109231.7888713363</c:v>
                </c:pt>
                <c:pt idx="14">
                  <c:v>2503428.8340818873</c:v>
                </c:pt>
                <c:pt idx="15">
                  <c:v>2298434.2438412081</c:v>
                </c:pt>
                <c:pt idx="16">
                  <c:v>2045296.5684060703</c:v>
                </c:pt>
                <c:pt idx="17">
                  <c:v>1807266.9023601739</c:v>
                </c:pt>
                <c:pt idx="18">
                  <c:v>1585780.6728409349</c:v>
                </c:pt>
                <c:pt idx="19">
                  <c:v>1381754.6807640584</c:v>
                </c:pt>
                <c:pt idx="20">
                  <c:v>1195631.1026382726</c:v>
                </c:pt>
                <c:pt idx="21">
                  <c:v>1027431.0290742296</c:v>
                </c:pt>
                <c:pt idx="22">
                  <c:v>876814.15955929225</c:v>
                </c:pt>
                <c:pt idx="23">
                  <c:v>743141.46732950408</c:v>
                </c:pt>
                <c:pt idx="24">
                  <c:v>625537.979862871</c:v>
                </c:pt>
                <c:pt idx="25">
                  <c:v>69646.62850897896</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extLst>
            <c:ext xmlns:c16="http://schemas.microsoft.com/office/drawing/2014/chart" uri="{C3380CC4-5D6E-409C-BE32-E72D297353CC}">
              <c16:uniqueId val="{00000002-1C9A-49E7-BA9D-52076C90E828}"/>
            </c:ext>
          </c:extLst>
        </c:ser>
        <c:ser>
          <c:idx val="3"/>
          <c:order val="3"/>
          <c:tx>
            <c:strRef>
              <c:f>'4全車種Weibull'!$W$117</c:f>
              <c:strCache>
                <c:ptCount val="1"/>
                <c:pt idx="0">
                  <c:v>2010</c:v>
                </c:pt>
              </c:strCache>
            </c:strRef>
          </c:tx>
          <c:spPr>
            <a:solidFill>
              <a:schemeClr val="accent4"/>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'4全車種Weibull'!$W$118:$W$158</c:f>
              <c:numCache>
                <c:formatCode>0</c:formatCode>
                <c:ptCount val="41"/>
                <c:pt idx="0">
                  <c:v>3635184</c:v>
                </c:pt>
                <c:pt idx="1">
                  <c:v>5186413.2546588387</c:v>
                </c:pt>
                <c:pt idx="2">
                  <c:v>4384685.9718368212</c:v>
                </c:pt>
                <c:pt idx="3">
                  <c:v>4861424.6319637857</c:v>
                </c:pt>
                <c:pt idx="4">
                  <c:v>4941794.1667509992</c:v>
                </c:pt>
                <c:pt idx="5">
                  <c:v>4802699.9775538025</c:v>
                </c:pt>
                <c:pt idx="6">
                  <c:v>4516011.0124546969</c:v>
                </c:pt>
                <c:pt idx="7">
                  <c:v>3619465.3363994248</c:v>
                </c:pt>
                <c:pt idx="8">
                  <c:v>3235750.1162750106</c:v>
                </c:pt>
                <c:pt idx="9">
                  <c:v>2316633.5801464627</c:v>
                </c:pt>
                <c:pt idx="10">
                  <c:v>2171868.6072126403</c:v>
                </c:pt>
                <c:pt idx="11">
                  <c:v>1696603.4430505808</c:v>
                </c:pt>
                <c:pt idx="12">
                  <c:v>1563151.8436422793</c:v>
                </c:pt>
                <c:pt idx="13">
                  <c:v>1464659.7423133818</c:v>
                </c:pt>
                <c:pt idx="14">
                  <c:v>1538588.3827990363</c:v>
                </c:pt>
                <c:pt idx="15">
                  <c:v>1274226.542027636</c:v>
                </c:pt>
                <c:pt idx="16">
                  <c:v>1162699.7790129627</c:v>
                </c:pt>
                <c:pt idx="17">
                  <c:v>1108580.7764121506</c:v>
                </c:pt>
                <c:pt idx="18">
                  <c:v>1069906.8320794797</c:v>
                </c:pt>
                <c:pt idx="19">
                  <c:v>1225822.6782384161</c:v>
                </c:pt>
                <c:pt idx="20">
                  <c:v>1086581.0412649275</c:v>
                </c:pt>
                <c:pt idx="21">
                  <c:v>933655.07352885394</c:v>
                </c:pt>
                <c:pt idx="22">
                  <c:v>796730.10798288579</c:v>
                </c:pt>
                <c:pt idx="23">
                  <c:v>675221.12805708556</c:v>
                </c:pt>
                <c:pt idx="24">
                  <c:v>568329.19708489382</c:v>
                </c:pt>
                <c:pt idx="25">
                  <c:v>475096.4210679747</c:v>
                </c:pt>
                <c:pt idx="26">
                  <c:v>394457.02989301336</c:v>
                </c:pt>
                <c:pt idx="27">
                  <c:v>325283.27815345448</c:v>
                </c:pt>
                <c:pt idx="28">
                  <c:v>266425.31534824352</c:v>
                </c:pt>
                <c:pt idx="29">
                  <c:v>216744.58904018972</c:v>
                </c:pt>
                <c:pt idx="30">
                  <c:v>23325.143750055784</c:v>
                </c:pt>
                <c:pt idx="31">
                  <c:v>0</c:v>
                </c:pt>
                <c:pt idx="32">
                  <c:v>0</c:v>
                </c:pt>
                <c:pt idx="33">
                  <c:v>0</c:v>
                </c:pt>
                <c:pt idx="34">
                  <c:v>0</c:v>
                </c:pt>
                <c:pt idx="35">
                  <c:v>0</c:v>
                </c:pt>
                <c:pt idx="36">
                  <c:v>0</c:v>
                </c:pt>
                <c:pt idx="37">
                  <c:v>0</c:v>
                </c:pt>
                <c:pt idx="38">
                  <c:v>0</c:v>
                </c:pt>
                <c:pt idx="39">
                  <c:v>0</c:v>
                </c:pt>
                <c:pt idx="40">
                  <c:v>0</c:v>
                </c:pt>
              </c:numCache>
            </c:numRef>
          </c:val>
          <c:extLst>
            <c:ext xmlns:c16="http://schemas.microsoft.com/office/drawing/2014/chart" uri="{C3380CC4-5D6E-409C-BE32-E72D297353CC}">
              <c16:uniqueId val="{00000003-1C9A-49E7-BA9D-52076C90E828}"/>
            </c:ext>
          </c:extLst>
        </c:ser>
        <c:ser>
          <c:idx val="4"/>
          <c:order val="4"/>
          <c:tx>
            <c:strRef>
              <c:f>'4全車種Weibull'!$AB$117</c:f>
              <c:strCache>
                <c:ptCount val="1"/>
                <c:pt idx="0">
                  <c:v>2015</c:v>
                </c:pt>
              </c:strCache>
            </c:strRef>
          </c:tx>
          <c:spPr>
            <a:solidFill>
              <a:schemeClr val="accent5"/>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'4全車種Weibull'!$AB$118:$AB$158</c:f>
              <c:numCache>
                <c:formatCode>0</c:formatCode>
                <c:ptCount val="41"/>
                <c:pt idx="0">
                  <c:v>4117398</c:v>
                </c:pt>
                <c:pt idx="1">
                  <c:v>4205420.3712741435</c:v>
                </c:pt>
                <c:pt idx="2">
                  <c:v>4732828.0884343255</c:v>
                </c:pt>
                <c:pt idx="3">
                  <c:v>4603103.8950729631</c:v>
                </c:pt>
                <c:pt idx="4">
                  <c:v>4280033.7278223848</c:v>
                </c:pt>
                <c:pt idx="5">
                  <c:v>4167234.847711911</c:v>
                </c:pt>
                <c:pt idx="6">
                  <c:v>4466696.9313118672</c:v>
                </c:pt>
                <c:pt idx="7">
                  <c:v>3628865.1550418376</c:v>
                </c:pt>
                <c:pt idx="8">
                  <c:v>3870394.9973036586</c:v>
                </c:pt>
                <c:pt idx="9">
                  <c:v>3787248.4226887748</c:v>
                </c:pt>
                <c:pt idx="10">
                  <c:v>3544798.0568418913</c:v>
                </c:pt>
                <c:pt idx="11">
                  <c:v>3211488.1837367276</c:v>
                </c:pt>
                <c:pt idx="12">
                  <c:v>2480799.0844440814</c:v>
                </c:pt>
                <c:pt idx="13">
                  <c:v>2138199.7058593524</c:v>
                </c:pt>
                <c:pt idx="14">
                  <c:v>1476289.7213814612</c:v>
                </c:pt>
                <c:pt idx="15">
                  <c:v>1335031.1883557846</c:v>
                </c:pt>
                <c:pt idx="16">
                  <c:v>1006177.5261692562</c:v>
                </c:pt>
                <c:pt idx="17">
                  <c:v>894574.41949222179</c:v>
                </c:pt>
                <c:pt idx="18">
                  <c:v>809004.3741374379</c:v>
                </c:pt>
                <c:pt idx="19">
                  <c:v>820365.37705971766</c:v>
                </c:pt>
                <c:pt idx="20">
                  <c:v>655947.6178542265</c:v>
                </c:pt>
                <c:pt idx="21">
                  <c:v>577949.95484138874</c:v>
                </c:pt>
                <c:pt idx="22">
                  <c:v>532167.99205735617</c:v>
                </c:pt>
                <c:pt idx="23">
                  <c:v>496068.14059181302</c:v>
                </c:pt>
                <c:pt idx="24">
                  <c:v>549021.24148674333</c:v>
                </c:pt>
                <c:pt idx="25">
                  <c:v>470152.93363626342</c:v>
                </c:pt>
                <c:pt idx="26">
                  <c:v>390324.62997996382</c:v>
                </c:pt>
                <c:pt idx="27">
                  <c:v>321853.23978013534</c:v>
                </c:pt>
                <c:pt idx="28">
                  <c:v>263598.22917678411</c:v>
                </c:pt>
                <c:pt idx="29">
                  <c:v>214430.72860381077</c:v>
                </c:pt>
                <c:pt idx="30">
                  <c:v>173260.06079901761</c:v>
                </c:pt>
                <c:pt idx="31">
                  <c:v>139054.01547799722</c:v>
                </c:pt>
                <c:pt idx="32">
                  <c:v>110853.32434665963</c:v>
                </c:pt>
                <c:pt idx="33">
                  <c:v>87780.951693665091</c:v>
                </c:pt>
                <c:pt idx="34">
                  <c:v>69046.91485286034</c:v>
                </c:pt>
                <c:pt idx="35">
                  <c:v>7184.9506815205123</c:v>
                </c:pt>
                <c:pt idx="36">
                  <c:v>0</c:v>
                </c:pt>
                <c:pt idx="37">
                  <c:v>0</c:v>
                </c:pt>
                <c:pt idx="38">
                  <c:v>0</c:v>
                </c:pt>
                <c:pt idx="39">
                  <c:v>0</c:v>
                </c:pt>
                <c:pt idx="40">
                  <c:v>0</c:v>
                </c:pt>
              </c:numCache>
            </c:numRef>
          </c:val>
          <c:extLst>
            <c:ext xmlns:c16="http://schemas.microsoft.com/office/drawing/2014/chart" uri="{C3380CC4-5D6E-409C-BE32-E72D297353CC}">
              <c16:uniqueId val="{00000004-1C9A-49E7-BA9D-52076C90E828}"/>
            </c:ext>
          </c:extLst>
        </c:ser>
        <c:dLbls>
          <c:showLegendKey val="0"/>
          <c:showVal val="0"/>
          <c:showCatName val="0"/>
          <c:showSerName val="0"/>
          <c:showPercent val="0"/>
          <c:showBubbleSize val="0"/>
        </c:dLbls>
        <c:gapWidth val="0"/>
        <c:axId val="1484627215"/>
        <c:axId val="1484625295"/>
      </c:barChart>
      <c:catAx>
        <c:axId val="14846272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vehicle age</a:t>
                </a:r>
                <a:endParaRPr lang="ja-JP" altLang="en-US"/>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484625295"/>
        <c:crosses val="autoZero"/>
        <c:auto val="1"/>
        <c:lblAlgn val="ctr"/>
        <c:lblOffset val="100"/>
        <c:noMultiLvlLbl val="0"/>
      </c:catAx>
      <c:valAx>
        <c:axId val="148462529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484627215"/>
        <c:crosses val="autoZero"/>
        <c:crossBetween val="between"/>
        <c:dispUnits>
          <c:builtInUnit val="millions"/>
          <c:dispUnitsLbl>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million vehicles</a:t>
                  </a:r>
                  <a:endParaRPr lang="ja-JP" altLang="en-US"/>
                </a:p>
              </c:rich>
            </c:tx>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'4全車種Weibull'!$AG$117</c:f>
              <c:strCache>
                <c:ptCount val="1"/>
                <c:pt idx="0">
                  <c:v>2020</c:v>
                </c:pt>
              </c:strCache>
            </c:strRef>
          </c:tx>
          <c:spPr>
            <a:solidFill>
              <a:schemeClr val="accent1"/>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'4全車種Weibull'!$AG$118:$AG$158</c:f>
              <c:numCache>
                <c:formatCode>0</c:formatCode>
                <c:ptCount val="41"/>
                <c:pt idx="0">
                  <c:v>5016765.8224964309</c:v>
                </c:pt>
                <c:pt idx="1">
                  <c:v>3906077.1651158095</c:v>
                </c:pt>
                <c:pt idx="2">
                  <c:v>4389041.7428845307</c:v>
                </c:pt>
                <c:pt idx="3">
                  <c:v>4353672.0664886748</c:v>
                </c:pt>
                <c:pt idx="4">
                  <c:v>4259562.1040560063</c:v>
                </c:pt>
                <c:pt idx="5">
                  <c:v>3762473.0857718601</c:v>
                </c:pt>
                <c:pt idx="6">
                  <c:v>3686726.1026901663</c:v>
                </c:pt>
                <c:pt idx="7">
                  <c:v>3987544.3327559726</c:v>
                </c:pt>
                <c:pt idx="8">
                  <c:v>3731029.2598931277</c:v>
                </c:pt>
                <c:pt idx="9">
                  <c:v>3339653.0025174161</c:v>
                </c:pt>
                <c:pt idx="10">
                  <c:v>3131801.7385345967</c:v>
                </c:pt>
                <c:pt idx="11">
                  <c:v>3234450.096756117</c:v>
                </c:pt>
                <c:pt idx="12">
                  <c:v>2532799.1081873602</c:v>
                </c:pt>
                <c:pt idx="13">
                  <c:v>2604531.2025800725</c:v>
                </c:pt>
                <c:pt idx="14">
                  <c:v>2457851.902143294</c:v>
                </c:pt>
                <c:pt idx="15">
                  <c:v>2219128.2180719166</c:v>
                </c:pt>
                <c:pt idx="16">
                  <c:v>1939759.3949423973</c:v>
                </c:pt>
                <c:pt idx="17">
                  <c:v>1445997.0984632785</c:v>
                </c:pt>
                <c:pt idx="18">
                  <c:v>1202916.0168377531</c:v>
                </c:pt>
                <c:pt idx="19">
                  <c:v>801753.8016519451</c:v>
                </c:pt>
                <c:pt idx="20">
                  <c:v>700018.39268026396</c:v>
                </c:pt>
                <c:pt idx="21">
                  <c:v>509451.86198369181</c:v>
                </c:pt>
                <c:pt idx="22">
                  <c:v>437435.08033530763</c:v>
                </c:pt>
                <c:pt idx="23">
                  <c:v>382094.96418297879</c:v>
                </c:pt>
                <c:pt idx="24">
                  <c:v>374285.31438521954</c:v>
                </c:pt>
                <c:pt idx="25">
                  <c:v>289127.00028068316</c:v>
                </c:pt>
                <c:pt idx="26">
                  <c:v>246138.93601537956</c:v>
                </c:pt>
                <c:pt idx="27">
                  <c:v>219004.87443628666</c:v>
                </c:pt>
                <c:pt idx="28">
                  <c:v>197289.3532011499</c:v>
                </c:pt>
                <c:pt idx="29">
                  <c:v>211032.44538995615</c:v>
                </c:pt>
                <c:pt idx="30">
                  <c:v>174677.02970579226</c:v>
                </c:pt>
                <c:pt idx="31">
                  <c:v>140183.338699771</c:v>
                </c:pt>
                <c:pt idx="32">
                  <c:v>111747.5236386326</c:v>
                </c:pt>
                <c:pt idx="33">
                  <c:v>88484.364735122086</c:v>
                </c:pt>
                <c:pt idx="34">
                  <c:v>69596.643794869684</c:v>
                </c:pt>
                <c:pt idx="35">
                  <c:v>54376.218807237063</c:v>
                </c:pt>
                <c:pt idx="36">
                  <c:v>42202.122940216104</c:v>
                </c:pt>
                <c:pt idx="37">
                  <c:v>32536.411115481227</c:v>
                </c:pt>
                <c:pt idx="38">
                  <c:v>24918.411843034857</c:v>
                </c:pt>
                <c:pt idx="39">
                  <c:v>18957.9596051562</c:v>
                </c:pt>
                <c:pt idx="40">
                  <c:v>1908.207490549875</c:v>
                </c:pt>
              </c:numCache>
            </c:numRef>
          </c:val>
          <c:extLst>
            <c:ext xmlns:c16="http://schemas.microsoft.com/office/drawing/2014/chart" uri="{C3380CC4-5D6E-409C-BE32-E72D297353CC}">
              <c16:uniqueId val="{00000000-1D6B-43C6-A223-29682DFEE9AA}"/>
            </c:ext>
          </c:extLst>
        </c:ser>
        <c:ser>
          <c:idx val="1"/>
          <c:order val="1"/>
          <c:tx>
            <c:strRef>
              <c:f>'4全車種Weibull'!$AL$117</c:f>
              <c:strCache>
                <c:ptCount val="1"/>
                <c:pt idx="0">
                  <c:v>2025</c:v>
                </c:pt>
              </c:strCache>
            </c:strRef>
          </c:tx>
          <c:spPr>
            <a:solidFill>
              <a:schemeClr val="accent2"/>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'4全車種Weibull'!$AL$118:$AL$158</c:f>
              <c:numCache>
                <c:formatCode>0</c:formatCode>
                <c:ptCount val="41"/>
                <c:pt idx="0">
                  <c:v>4351305.2867954457</c:v>
                </c:pt>
                <c:pt idx="1">
                  <c:v>4349808.5902110785</c:v>
                </c:pt>
                <c:pt idx="2">
                  <c:v>3367011.151538956</c:v>
                </c:pt>
                <c:pt idx="3">
                  <c:v>4371111.2012706632</c:v>
                </c:pt>
                <c:pt idx="4">
                  <c:v>4098072.1439108946</c:v>
                </c:pt>
                <c:pt idx="5">
                  <c:v>4515255.7760798614</c:v>
                </c:pt>
                <c:pt idx="6">
                  <c:v>3378409.691125568</c:v>
                </c:pt>
                <c:pt idx="7">
                  <c:v>3651746.349960106</c:v>
                </c:pt>
                <c:pt idx="8">
                  <c:v>3486856.0168500734</c:v>
                </c:pt>
                <c:pt idx="9">
                  <c:v>3285565.7019421086</c:v>
                </c:pt>
                <c:pt idx="10">
                  <c:v>2796172.1003914378</c:v>
                </c:pt>
                <c:pt idx="11">
                  <c:v>2640749.4928508634</c:v>
                </c:pt>
                <c:pt idx="12">
                  <c:v>2753708.5595423649</c:v>
                </c:pt>
                <c:pt idx="13">
                  <c:v>2484746.3636213061</c:v>
                </c:pt>
                <c:pt idx="14">
                  <c:v>2145351.0571457134</c:v>
                </c:pt>
                <c:pt idx="15">
                  <c:v>1941009.6279908887</c:v>
                </c:pt>
                <c:pt idx="16">
                  <c:v>1934438.482011389</c:v>
                </c:pt>
                <c:pt idx="17">
                  <c:v>1462022.4104051923</c:v>
                </c:pt>
                <c:pt idx="18">
                  <c:v>1451287.9814585457</c:v>
                </c:pt>
                <c:pt idx="19">
                  <c:v>1322261.5917621504</c:v>
                </c:pt>
                <c:pt idx="20">
                  <c:v>1152774.0727049212</c:v>
                </c:pt>
                <c:pt idx="21">
                  <c:v>973124.55306302116</c:v>
                </c:pt>
                <c:pt idx="22">
                  <c:v>700651.33945016272</c:v>
                </c:pt>
                <c:pt idx="23">
                  <c:v>563035.73972758383</c:v>
                </c:pt>
                <c:pt idx="24">
                  <c:v>362541.07241323497</c:v>
                </c:pt>
                <c:pt idx="25">
                  <c:v>305835.64879340417</c:v>
                </c:pt>
                <c:pt idx="26">
                  <c:v>215074.52368888067</c:v>
                </c:pt>
                <c:pt idx="27">
                  <c:v>178463.42922628392</c:v>
                </c:pt>
                <c:pt idx="28">
                  <c:v>150659.84883821997</c:v>
                </c:pt>
                <c:pt idx="29">
                  <c:v>142645.68894905868</c:v>
                </c:pt>
                <c:pt idx="30">
                  <c:v>106515.2140928002</c:v>
                </c:pt>
                <c:pt idx="31">
                  <c:v>87661.008450326859</c:v>
                </c:pt>
                <c:pt idx="32">
                  <c:v>75408.054739023617</c:v>
                </c:pt>
                <c:pt idx="33">
                  <c:v>65680.858847310941</c:v>
                </c:pt>
                <c:pt idx="34">
                  <c:v>67934.104346163411</c:v>
                </c:pt>
                <c:pt idx="35">
                  <c:v>54376.218807237063</c:v>
                </c:pt>
                <c:pt idx="36">
                  <c:v>42202.122940216104</c:v>
                </c:pt>
                <c:pt idx="37">
                  <c:v>32536.411115481227</c:v>
                </c:pt>
                <c:pt idx="38">
                  <c:v>24918.411843034857</c:v>
                </c:pt>
                <c:pt idx="39">
                  <c:v>18957.9596051562</c:v>
                </c:pt>
                <c:pt idx="40">
                  <c:v>14328.092098067664</c:v>
                </c:pt>
              </c:numCache>
            </c:numRef>
          </c:val>
          <c:extLst>
            <c:ext xmlns:c16="http://schemas.microsoft.com/office/drawing/2014/chart" uri="{C3380CC4-5D6E-409C-BE32-E72D297353CC}">
              <c16:uniqueId val="{00000001-1D6B-43C6-A223-29682DFEE9AA}"/>
            </c:ext>
          </c:extLst>
        </c:ser>
        <c:ser>
          <c:idx val="2"/>
          <c:order val="2"/>
          <c:tx>
            <c:strRef>
              <c:f>'4全車種Weibull'!$AQ$117</c:f>
              <c:strCache>
                <c:ptCount val="1"/>
                <c:pt idx="0">
                  <c:v>2030</c:v>
                </c:pt>
              </c:strCache>
            </c:strRef>
          </c:tx>
          <c:spPr>
            <a:solidFill>
              <a:schemeClr val="accent3"/>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'4全車種Weibull'!$AQ$118:$AQ$158</c:f>
              <c:numCache>
                <c:formatCode>0</c:formatCode>
                <c:ptCount val="41"/>
                <c:pt idx="0">
                  <c:v>4228624.2361997524</c:v>
                </c:pt>
                <c:pt idx="1">
                  <c:v>4236319.8832995221</c:v>
                </c:pt>
                <c:pt idx="2">
                  <c:v>4206511.7132285554</c:v>
                </c:pt>
                <c:pt idx="3">
                  <c:v>4141592.4307991103</c:v>
                </c:pt>
                <c:pt idx="4">
                  <c:v>4043889.4633830204</c:v>
                </c:pt>
                <c:pt idx="5">
                  <c:v>3916319.2034172239</c:v>
                </c:pt>
                <c:pt idx="6">
                  <c:v>3762197.9480977952</c:v>
                </c:pt>
                <c:pt idx="7">
                  <c:v>2801402.0834594816</c:v>
                </c:pt>
                <c:pt idx="8">
                  <c:v>3500823.0201324951</c:v>
                </c:pt>
                <c:pt idx="9">
                  <c:v>3161002.2230447014</c:v>
                </c:pt>
                <c:pt idx="10">
                  <c:v>3355620.6089420384</c:v>
                </c:pt>
                <c:pt idx="11">
                  <c:v>2419906.8306084177</c:v>
                </c:pt>
                <c:pt idx="12">
                  <c:v>2521814.0143441819</c:v>
                </c:pt>
                <c:pt idx="13">
                  <c:v>2322134.7796633099</c:v>
                </c:pt>
                <c:pt idx="14">
                  <c:v>2110606.055979447</c:v>
                </c:pt>
                <c:pt idx="15">
                  <c:v>1732995.0684933274</c:v>
                </c:pt>
                <c:pt idx="16">
                  <c:v>1579361.9587595542</c:v>
                </c:pt>
                <c:pt idx="17">
                  <c:v>1589539.2622183925</c:v>
                </c:pt>
                <c:pt idx="18">
                  <c:v>1384541.882594537</c:v>
                </c:pt>
                <c:pt idx="19">
                  <c:v>1154144.1130917748</c:v>
                </c:pt>
                <c:pt idx="20">
                  <c:v>1008299.3653979156</c:v>
                </c:pt>
                <c:pt idx="21">
                  <c:v>970455.19570283755</c:v>
                </c:pt>
                <c:pt idx="22">
                  <c:v>708416.33170992672</c:v>
                </c:pt>
                <c:pt idx="23">
                  <c:v>679288.4879414459</c:v>
                </c:pt>
                <c:pt idx="24">
                  <c:v>597906.90670948091</c:v>
                </c:pt>
                <c:pt idx="25">
                  <c:v>503643.0615601801</c:v>
                </c:pt>
                <c:pt idx="26">
                  <c:v>410822.52388879081</c:v>
                </c:pt>
                <c:pt idx="27">
                  <c:v>285849.59540606011</c:v>
                </c:pt>
                <c:pt idx="28">
                  <c:v>222004.70403805425</c:v>
                </c:pt>
                <c:pt idx="29">
                  <c:v>138169.78400998862</c:v>
                </c:pt>
                <c:pt idx="30">
                  <c:v>112670.72800815942</c:v>
                </c:pt>
                <c:pt idx="31">
                  <c:v>76597.591359389626</c:v>
                </c:pt>
                <c:pt idx="32">
                  <c:v>61448.769460720803</c:v>
                </c:pt>
                <c:pt idx="33">
                  <c:v>50157.132683238247</c:v>
                </c:pt>
                <c:pt idx="34">
                  <c:v>45919.512990948504</c:v>
                </c:pt>
                <c:pt idx="35">
                  <c:v>33157.734577723619</c:v>
                </c:pt>
                <c:pt idx="36">
                  <c:v>26390.302085807438</c:v>
                </c:pt>
                <c:pt idx="37">
                  <c:v>21955.810657081751</c:v>
                </c:pt>
                <c:pt idx="38">
                  <c:v>18496.631533275769</c:v>
                </c:pt>
                <c:pt idx="39">
                  <c:v>18505.087828703159</c:v>
                </c:pt>
                <c:pt idx="40">
                  <c:v>14328.092098067664</c:v>
                </c:pt>
              </c:numCache>
            </c:numRef>
          </c:val>
          <c:extLst>
            <c:ext xmlns:c16="http://schemas.microsoft.com/office/drawing/2014/chart" uri="{C3380CC4-5D6E-409C-BE32-E72D297353CC}">
              <c16:uniqueId val="{00000002-1D6B-43C6-A223-29682DFEE9AA}"/>
            </c:ext>
          </c:extLst>
        </c:ser>
        <c:ser>
          <c:idx val="3"/>
          <c:order val="3"/>
          <c:tx>
            <c:strRef>
              <c:f>'4全車種Weibull'!$AV$117</c:f>
              <c:strCache>
                <c:ptCount val="1"/>
                <c:pt idx="0">
                  <c:v>2035</c:v>
                </c:pt>
              </c:strCache>
            </c:strRef>
          </c:tx>
          <c:spPr>
            <a:solidFill>
              <a:schemeClr val="accent4"/>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'4全車種Weibull'!$AV$118:$AV$158</c:f>
              <c:numCache>
                <c:formatCode>0</c:formatCode>
                <c:ptCount val="41"/>
                <c:pt idx="0">
                  <c:v>4077697.414704816</c:v>
                </c:pt>
                <c:pt idx="1">
                  <c:v>4089808.877610147</c:v>
                </c:pt>
                <c:pt idx="2">
                  <c:v>4066416.7022377905</c:v>
                </c:pt>
                <c:pt idx="3">
                  <c:v>4009819.2312042229</c:v>
                </c:pt>
                <c:pt idx="4">
                  <c:v>3922154.781141059</c:v>
                </c:pt>
                <c:pt idx="5">
                  <c:v>3805902.1853786767</c:v>
                </c:pt>
                <c:pt idx="6">
                  <c:v>3664040.3001415641</c:v>
                </c:pt>
                <c:pt idx="7">
                  <c:v>3499878.719483607</c:v>
                </c:pt>
                <c:pt idx="8">
                  <c:v>3317001.4337620218</c:v>
                </c:pt>
                <c:pt idx="9">
                  <c:v>3119209.0169749605</c:v>
                </c:pt>
                <c:pt idx="10">
                  <c:v>2910506.5320556192</c:v>
                </c:pt>
                <c:pt idx="11">
                  <c:v>2694808.9027265483</c:v>
                </c:pt>
                <c:pt idx="12">
                  <c:v>1934585.3618661896</c:v>
                </c:pt>
                <c:pt idx="13">
                  <c:v>2331436.3579140469</c:v>
                </c:pt>
                <c:pt idx="14">
                  <c:v>2030588.0448468949</c:v>
                </c:pt>
                <c:pt idx="15">
                  <c:v>2079726.7686838901</c:v>
                </c:pt>
                <c:pt idx="16">
                  <c:v>1447281.8426557123</c:v>
                </c:pt>
                <c:pt idx="17">
                  <c:v>1455681.4205780819</c:v>
                </c:pt>
                <c:pt idx="18">
                  <c:v>1293932.0111480374</c:v>
                </c:pt>
                <c:pt idx="19">
                  <c:v>1135452.1892586816</c:v>
                </c:pt>
                <c:pt idx="20">
                  <c:v>900241.71060306625</c:v>
                </c:pt>
                <c:pt idx="21">
                  <c:v>792322.9572955718</c:v>
                </c:pt>
                <c:pt idx="22">
                  <c:v>770204.04423046857</c:v>
                </c:pt>
                <c:pt idx="23">
                  <c:v>648047.37166915648</c:v>
                </c:pt>
                <c:pt idx="24">
                  <c:v>521886.6984073986</c:v>
                </c:pt>
                <c:pt idx="25">
                  <c:v>440522.55457707692</c:v>
                </c:pt>
                <c:pt idx="26">
                  <c:v>409695.60532074113</c:v>
                </c:pt>
                <c:pt idx="27">
                  <c:v>289017.53325304494</c:v>
                </c:pt>
                <c:pt idx="28">
                  <c:v>267843.10316581832</c:v>
                </c:pt>
                <c:pt idx="29">
                  <c:v>227871.19707078335</c:v>
                </c:pt>
                <c:pt idx="30">
                  <c:v>185543.54479642847</c:v>
                </c:pt>
                <c:pt idx="31">
                  <c:v>146312.14923245498</c:v>
                </c:pt>
                <c:pt idx="32">
                  <c:v>98424.119522412104</c:v>
                </c:pt>
                <c:pt idx="33">
                  <c:v>73909.004174673799</c:v>
                </c:pt>
                <c:pt idx="34">
                  <c:v>44478.660648966565</c:v>
                </c:pt>
                <c:pt idx="35">
                  <c:v>35073.919963382636</c:v>
                </c:pt>
                <c:pt idx="36">
                  <c:v>23059.665987814544</c:v>
                </c:pt>
                <c:pt idx="37">
                  <c:v>17891.424889018723</c:v>
                </c:pt>
                <c:pt idx="38">
                  <c:v>14124.93713220475</c:v>
                </c:pt>
                <c:pt idx="39">
                  <c:v>12508.365704195334</c:v>
                </c:pt>
                <c:pt idx="40">
                  <c:v>8737.0377200570674</c:v>
                </c:pt>
              </c:numCache>
            </c:numRef>
          </c:val>
          <c:extLst>
            <c:ext xmlns:c16="http://schemas.microsoft.com/office/drawing/2014/chart" uri="{C3380CC4-5D6E-409C-BE32-E72D297353CC}">
              <c16:uniqueId val="{00000003-1D6B-43C6-A223-29682DFEE9AA}"/>
            </c:ext>
          </c:extLst>
        </c:ser>
        <c:ser>
          <c:idx val="4"/>
          <c:order val="4"/>
          <c:tx>
            <c:strRef>
              <c:f>'4全車種Weibull'!$BA$117</c:f>
              <c:strCache>
                <c:ptCount val="1"/>
                <c:pt idx="0">
                  <c:v>2040</c:v>
                </c:pt>
              </c:strCache>
            </c:strRef>
          </c:tx>
          <c:spPr>
            <a:solidFill>
              <a:schemeClr val="accent5"/>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'4全車種Weibull'!$BA$118:$BA$158</c:f>
              <c:numCache>
                <c:formatCode>0</c:formatCode>
                <c:ptCount val="41"/>
                <c:pt idx="0">
                  <c:v>3915551.1340538803</c:v>
                </c:pt>
                <c:pt idx="1">
                  <c:v>3930411.3846677691</c:v>
                </c:pt>
                <c:pt idx="2">
                  <c:v>3910839.0182593926</c:v>
                </c:pt>
                <c:pt idx="3">
                  <c:v>3859462.5528164767</c:v>
                </c:pt>
                <c:pt idx="4">
                  <c:v>3778386.3213883364</c:v>
                </c:pt>
                <c:pt idx="5">
                  <c:v>3670063.035888284</c:v>
                </c:pt>
                <c:pt idx="6">
                  <c:v>3537321.2977885059</c:v>
                </c:pt>
                <c:pt idx="7">
                  <c:v>3383317.639639121</c:v>
                </c:pt>
                <c:pt idx="8">
                  <c:v>3211464.2764267907</c:v>
                </c:pt>
                <c:pt idx="9">
                  <c:v>3025310.3281097002</c:v>
                </c:pt>
                <c:pt idx="10">
                  <c:v>2828447.4772240105</c:v>
                </c:pt>
                <c:pt idx="11">
                  <c:v>2624499.9750113306</c:v>
                </c:pt>
                <c:pt idx="12">
                  <c:v>2416937.6395474868</c:v>
                </c:pt>
                <c:pt idx="13">
                  <c:v>2209017.0504057971</c:v>
                </c:pt>
                <c:pt idx="14">
                  <c:v>2003740.6152619526</c:v>
                </c:pt>
                <c:pt idx="15">
                  <c:v>1803856.5888572838</c:v>
                </c:pt>
                <c:pt idx="16">
                  <c:v>1611693.452413833</c:v>
                </c:pt>
                <c:pt idx="17">
                  <c:v>1116711.9984949792</c:v>
                </c:pt>
                <c:pt idx="18">
                  <c:v>1299115.0048132769</c:v>
                </c:pt>
                <c:pt idx="19">
                  <c:v>1092404.5415637549</c:v>
                </c:pt>
                <c:pt idx="20">
                  <c:v>1080358.9795871263</c:v>
                </c:pt>
                <c:pt idx="21">
                  <c:v>726061.95384989434</c:v>
                </c:pt>
                <c:pt idx="22">
                  <c:v>705343.83383249247</c:v>
                </c:pt>
                <c:pt idx="23">
                  <c:v>605636.60044124117</c:v>
                </c:pt>
                <c:pt idx="24">
                  <c:v>513434.49013853411</c:v>
                </c:pt>
                <c:pt idx="25">
                  <c:v>393312.53365928197</c:v>
                </c:pt>
                <c:pt idx="26">
                  <c:v>334493.78707652155</c:v>
                </c:pt>
                <c:pt idx="27">
                  <c:v>314225.49565974373</c:v>
                </c:pt>
                <c:pt idx="28">
                  <c:v>255524.74700746185</c:v>
                </c:pt>
                <c:pt idx="29">
                  <c:v>198898.76729454924</c:v>
                </c:pt>
                <c:pt idx="30">
                  <c:v>162289.7694367271</c:v>
                </c:pt>
                <c:pt idx="31">
                  <c:v>145910.80347336523</c:v>
                </c:pt>
                <c:pt idx="32">
                  <c:v>99514.908168966911</c:v>
                </c:pt>
                <c:pt idx="33">
                  <c:v>89169.358441372387</c:v>
                </c:pt>
                <c:pt idx="34">
                  <c:v>73354.718752780609</c:v>
                </c:pt>
                <c:pt idx="35">
                  <c:v>57758.918886553685</c:v>
                </c:pt>
                <c:pt idx="36">
                  <c:v>44047.198239296871</c:v>
                </c:pt>
                <c:pt idx="37">
                  <c:v>28657.168518706756</c:v>
                </c:pt>
                <c:pt idx="38">
                  <c:v>20813.79021532468</c:v>
                </c:pt>
                <c:pt idx="39">
                  <c:v>12115.880966327819</c:v>
                </c:pt>
                <c:pt idx="40">
                  <c:v>9241.9511047118976</c:v>
                </c:pt>
              </c:numCache>
            </c:numRef>
          </c:val>
          <c:extLst>
            <c:ext xmlns:c16="http://schemas.microsoft.com/office/drawing/2014/chart" uri="{C3380CC4-5D6E-409C-BE32-E72D297353CC}">
              <c16:uniqueId val="{00000004-1D6B-43C6-A223-29682DFEE9AA}"/>
            </c:ext>
          </c:extLst>
        </c:ser>
        <c:ser>
          <c:idx val="5"/>
          <c:order val="5"/>
          <c:tx>
            <c:strRef>
              <c:f>'4全車種Weibull'!$BF$117</c:f>
              <c:strCache>
                <c:ptCount val="1"/>
                <c:pt idx="0">
                  <c:v>2045</c:v>
                </c:pt>
              </c:strCache>
            </c:strRef>
          </c:tx>
          <c:spPr>
            <a:solidFill>
              <a:schemeClr val="accent6"/>
            </a:solidFill>
            <a:ln>
              <a:noFill/>
            </a:ln>
            <a:effectLst/>
          </c:spPr>
          <c:invertIfNegative val="0"/>
          <c:val>
            <c:numRef>
              <c:f>'4全車種Weibull'!$BF$118:$BF$158</c:f>
              <c:numCache>
                <c:formatCode>0</c:formatCode>
                <c:ptCount val="41"/>
                <c:pt idx="0">
                  <c:v>3743383.3686547442</c:v>
                </c:pt>
                <c:pt idx="1">
                  <c:v>3761002.5252931118</c:v>
                </c:pt>
                <c:pt idx="2">
                  <c:v>3745778.9535849639</c:v>
                </c:pt>
                <c:pt idx="3">
                  <c:v>3699825.6965132346</c:v>
                </c:pt>
                <c:pt idx="4">
                  <c:v>3625157.9973661713</c:v>
                </c:pt>
                <c:pt idx="5">
                  <c:v>3524126.0007179482</c:v>
                </c:pt>
                <c:pt idx="6">
                  <c:v>3399456.628931744</c:v>
                </c:pt>
                <c:pt idx="7">
                  <c:v>3253874.7514450387</c:v>
                </c:pt>
                <c:pt idx="8">
                  <c:v>3091043.6106753759</c:v>
                </c:pt>
                <c:pt idx="9">
                  <c:v>2914416.1308083385</c:v>
                </c:pt>
                <c:pt idx="10">
                  <c:v>2727495.3557637143</c:v>
                </c:pt>
                <c:pt idx="11">
                  <c:v>2533732.9552009278</c:v>
                </c:pt>
                <c:pt idx="12">
                  <c:v>2336443.1756638912</c:v>
                </c:pt>
                <c:pt idx="13">
                  <c:v>2138732.6731872824</c:v>
                </c:pt>
                <c:pt idx="14">
                  <c:v>1943421.2793100337</c:v>
                </c:pt>
                <c:pt idx="15">
                  <c:v>1752998.511370389</c:v>
                </c:pt>
                <c:pt idx="16">
                  <c:v>1569643.5548013516</c:v>
                </c:pt>
                <c:pt idx="17">
                  <c:v>1395143.0187051608</c:v>
                </c:pt>
                <c:pt idx="18">
                  <c:v>1230900.9363816129</c:v>
                </c:pt>
                <c:pt idx="19">
                  <c:v>1077961.309672219</c:v>
                </c:pt>
                <c:pt idx="20">
                  <c:v>937052.25753892318</c:v>
                </c:pt>
                <c:pt idx="21">
                  <c:v>808542.78867992468</c:v>
                </c:pt>
                <c:pt idx="22">
                  <c:v>541097.73688833253</c:v>
                </c:pt>
                <c:pt idx="23">
                  <c:v>608062.54758257431</c:v>
                </c:pt>
                <c:pt idx="24">
                  <c:v>493968.98797561333</c:v>
                </c:pt>
                <c:pt idx="25">
                  <c:v>472005.15430274687</c:v>
                </c:pt>
                <c:pt idx="26">
                  <c:v>306520.47925557074</c:v>
                </c:pt>
                <c:pt idx="27">
                  <c:v>287764.02494484739</c:v>
                </c:pt>
                <c:pt idx="28">
                  <c:v>238802.20161623243</c:v>
                </c:pt>
                <c:pt idx="29">
                  <c:v>195677.50526444937</c:v>
                </c:pt>
                <c:pt idx="30">
                  <c:v>144897.4626632235</c:v>
                </c:pt>
                <c:pt idx="31">
                  <c:v>119128.09557958214</c:v>
                </c:pt>
                <c:pt idx="32">
                  <c:v>108194.54789806617</c:v>
                </c:pt>
                <c:pt idx="33">
                  <c:v>85068.3758037386</c:v>
                </c:pt>
                <c:pt idx="34">
                  <c:v>64028.11466617386</c:v>
                </c:pt>
                <c:pt idx="35">
                  <c:v>50520.117201047753</c:v>
                </c:pt>
                <c:pt idx="36">
                  <c:v>43926.373302298358</c:v>
                </c:pt>
                <c:pt idx="37">
                  <c:v>28974.762561856878</c:v>
                </c:pt>
                <c:pt idx="38">
                  <c:v>25111.31547446542</c:v>
                </c:pt>
                <c:pt idx="39">
                  <c:v>19981.650251147901</c:v>
                </c:pt>
                <c:pt idx="40">
                  <c:v>15219.430983700853</c:v>
                </c:pt>
              </c:numCache>
            </c:numRef>
          </c:val>
          <c:extLst>
            <c:ext xmlns:c16="http://schemas.microsoft.com/office/drawing/2014/chart" uri="{C3380CC4-5D6E-409C-BE32-E72D297353CC}">
              <c16:uniqueId val="{00000005-1D6B-43C6-A223-29682DFEE9AA}"/>
            </c:ext>
          </c:extLst>
        </c:ser>
        <c:ser>
          <c:idx val="6"/>
          <c:order val="6"/>
          <c:tx>
            <c:strRef>
              <c:f>'4全車種Weibull'!$BK$117</c:f>
              <c:strCache>
                <c:ptCount val="1"/>
                <c:pt idx="0">
                  <c:v>2050</c:v>
                </c:pt>
              </c:strCache>
            </c:strRef>
          </c:tx>
          <c:spPr>
            <a:solidFill>
              <a:schemeClr val="accent1">
                <a:lumMod val="60000"/>
              </a:schemeClr>
            </a:solidFill>
            <a:ln>
              <a:noFill/>
            </a:ln>
            <a:effectLst/>
          </c:spPr>
          <c:invertIfNegative val="0"/>
          <c:val>
            <c:numRef>
              <c:f>'4全車種Weibull'!$BK$118:$BK$158</c:f>
              <c:numCache>
                <c:formatCode>0</c:formatCode>
                <c:ptCount val="41"/>
                <c:pt idx="0">
                  <c:v>3557381.7877340456</c:v>
                </c:pt>
                <c:pt idx="1">
                  <c:v>3579172.3174895644</c:v>
                </c:pt>
                <c:pt idx="2">
                  <c:v>3569340.5639817053</c:v>
                </c:pt>
                <c:pt idx="3">
                  <c:v>3529777.1939027375</c:v>
                </c:pt>
                <c:pt idx="4">
                  <c:v>3462317.1126077054</c:v>
                </c:pt>
                <c:pt idx="5">
                  <c:v>3369169.2966024717</c:v>
                </c:pt>
                <c:pt idx="6">
                  <c:v>3252933.0176254376</c:v>
                </c:pt>
                <c:pt idx="7">
                  <c:v>3116542.3850631951</c:v>
                </c:pt>
                <c:pt idx="8">
                  <c:v>2963190.450306105</c:v>
                </c:pt>
                <c:pt idx="9">
                  <c:v>2796225.1727533042</c:v>
                </c:pt>
                <c:pt idx="10">
                  <c:v>2619038.7484061038</c:v>
                </c:pt>
                <c:pt idx="11">
                  <c:v>2434982.4529328342</c:v>
                </c:pt>
                <c:pt idx="12">
                  <c:v>2247052.8242478929</c:v>
                </c:pt>
                <c:pt idx="13">
                  <c:v>2058536.3545609161</c:v>
                </c:pt>
                <c:pt idx="14">
                  <c:v>1872184.2426381193</c:v>
                </c:pt>
                <c:pt idx="15">
                  <c:v>1690431.0003719993</c:v>
                </c:pt>
                <c:pt idx="16">
                  <c:v>1515358.2170263685</c:v>
                </c:pt>
                <c:pt idx="17">
                  <c:v>1348678.729559232</c:v>
                </c:pt>
                <c:pt idx="18">
                  <c:v>1191737.315749814</c:v>
                </c:pt>
                <c:pt idx="19">
                  <c:v>1045511.046456494</c:v>
                </c:pt>
                <c:pt idx="20">
                  <c:v>910632.93095965579</c:v>
                </c:pt>
                <c:pt idx="21">
                  <c:v>787447.49823968578</c:v>
                </c:pt>
                <c:pt idx="22">
                  <c:v>676010.22562158224</c:v>
                </c:pt>
                <c:pt idx="23">
                  <c:v>576134.33485479408</c:v>
                </c:pt>
                <c:pt idx="24">
                  <c:v>487437.97462926985</c:v>
                </c:pt>
                <c:pt idx="25">
                  <c:v>409394.93609654187</c:v>
                </c:pt>
                <c:pt idx="26">
                  <c:v>341341.28881244676</c:v>
                </c:pt>
                <c:pt idx="27">
                  <c:v>220755.40351645401</c:v>
                </c:pt>
                <c:pt idx="28">
                  <c:v>239758.75133256879</c:v>
                </c:pt>
                <c:pt idx="29">
                  <c:v>188258.91345747441</c:v>
                </c:pt>
                <c:pt idx="30">
                  <c:v>173888.04924706038</c:v>
                </c:pt>
                <c:pt idx="31">
                  <c:v>109165.55810797002</c:v>
                </c:pt>
                <c:pt idx="32">
                  <c:v>99083.298491950874</c:v>
                </c:pt>
                <c:pt idx="33">
                  <c:v>79501.166394879911</c:v>
                </c:pt>
                <c:pt idx="34">
                  <c:v>62991.148286550248</c:v>
                </c:pt>
                <c:pt idx="35">
                  <c:v>45105.965836832853</c:v>
                </c:pt>
                <c:pt idx="36">
                  <c:v>35863.452689271355</c:v>
                </c:pt>
                <c:pt idx="37">
                  <c:v>31501.926631044422</c:v>
                </c:pt>
                <c:pt idx="38">
                  <c:v>23956.422464478856</c:v>
                </c:pt>
                <c:pt idx="39">
                  <c:v>17441.10556556912</c:v>
                </c:pt>
                <c:pt idx="40">
                  <c:v>13312.012271905982</c:v>
                </c:pt>
              </c:numCache>
            </c:numRef>
          </c:val>
          <c:extLst>
            <c:ext xmlns:c16="http://schemas.microsoft.com/office/drawing/2014/chart" uri="{C3380CC4-5D6E-409C-BE32-E72D297353CC}">
              <c16:uniqueId val="{00000006-1D6B-43C6-A223-29682DFEE9AA}"/>
            </c:ext>
          </c:extLst>
        </c:ser>
        <c:dLbls>
          <c:showLegendKey val="0"/>
          <c:showVal val="0"/>
          <c:showCatName val="0"/>
          <c:showSerName val="0"/>
          <c:showPercent val="0"/>
          <c:showBubbleSize val="0"/>
        </c:dLbls>
        <c:gapWidth val="0"/>
        <c:axId val="1484627215"/>
        <c:axId val="1484625295"/>
      </c:barChart>
      <c:catAx>
        <c:axId val="14846272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vehicle age</a:t>
                </a:r>
                <a:endParaRPr lang="ja-JP" altLang="en-US"/>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484625295"/>
        <c:crosses val="autoZero"/>
        <c:auto val="1"/>
        <c:lblAlgn val="ctr"/>
        <c:lblOffset val="100"/>
        <c:noMultiLvlLbl val="0"/>
      </c:catAx>
      <c:valAx>
        <c:axId val="148462529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484627215"/>
        <c:crosses val="autoZero"/>
        <c:crossBetween val="between"/>
        <c:dispUnits>
          <c:builtInUnit val="millions"/>
          <c:dispUnitsLbl>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million vehicles</a:t>
                  </a:r>
                  <a:endParaRPr lang="ja-JP" altLang="en-US"/>
                </a:p>
              </c:rich>
            </c:tx>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'4全車種Weibull'!$AG$117</c:f>
              <c:strCache>
                <c:ptCount val="1"/>
                <c:pt idx="0">
                  <c:v>2020</c:v>
                </c:pt>
              </c:strCache>
            </c:strRef>
          </c:tx>
          <c:spPr>
            <a:solidFill>
              <a:schemeClr val="accent1"/>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'4全車種Weibull'!$AG$118:$AG$158</c:f>
              <c:numCache>
                <c:formatCode>0</c:formatCode>
                <c:ptCount val="41"/>
                <c:pt idx="0">
                  <c:v>5016765.8224964309</c:v>
                </c:pt>
                <c:pt idx="1">
                  <c:v>3906077.1651158095</c:v>
                </c:pt>
                <c:pt idx="2">
                  <c:v>4389041.7428845307</c:v>
                </c:pt>
                <c:pt idx="3">
                  <c:v>4353672.0664886748</c:v>
                </c:pt>
                <c:pt idx="4">
                  <c:v>4259562.1040560063</c:v>
                </c:pt>
                <c:pt idx="5">
                  <c:v>3762473.0857718601</c:v>
                </c:pt>
                <c:pt idx="6">
                  <c:v>3686726.1026901663</c:v>
                </c:pt>
                <c:pt idx="7">
                  <c:v>3987544.3327559726</c:v>
                </c:pt>
                <c:pt idx="8">
                  <c:v>3731029.2598931277</c:v>
                </c:pt>
                <c:pt idx="9">
                  <c:v>3339653.0025174161</c:v>
                </c:pt>
                <c:pt idx="10">
                  <c:v>3131801.7385345967</c:v>
                </c:pt>
                <c:pt idx="11">
                  <c:v>3234450.096756117</c:v>
                </c:pt>
                <c:pt idx="12">
                  <c:v>2532799.1081873602</c:v>
                </c:pt>
                <c:pt idx="13">
                  <c:v>2604531.2025800725</c:v>
                </c:pt>
                <c:pt idx="14">
                  <c:v>2457851.902143294</c:v>
                </c:pt>
                <c:pt idx="15">
                  <c:v>2219128.2180719166</c:v>
                </c:pt>
                <c:pt idx="16">
                  <c:v>1939759.3949423973</c:v>
                </c:pt>
                <c:pt idx="17">
                  <c:v>1445997.0984632785</c:v>
                </c:pt>
                <c:pt idx="18">
                  <c:v>1202916.0168377531</c:v>
                </c:pt>
                <c:pt idx="19">
                  <c:v>801753.8016519451</c:v>
                </c:pt>
                <c:pt idx="20">
                  <c:v>700018.39268026396</c:v>
                </c:pt>
                <c:pt idx="21">
                  <c:v>509451.86198369181</c:v>
                </c:pt>
                <c:pt idx="22">
                  <c:v>437435.08033530763</c:v>
                </c:pt>
                <c:pt idx="23">
                  <c:v>382094.96418297879</c:v>
                </c:pt>
                <c:pt idx="24">
                  <c:v>374285.31438521954</c:v>
                </c:pt>
                <c:pt idx="25">
                  <c:v>289127.00028068316</c:v>
                </c:pt>
                <c:pt idx="26">
                  <c:v>246138.93601537956</c:v>
                </c:pt>
                <c:pt idx="27">
                  <c:v>219004.87443628666</c:v>
                </c:pt>
                <c:pt idx="28">
                  <c:v>197289.3532011499</c:v>
                </c:pt>
                <c:pt idx="29">
                  <c:v>211032.44538995615</c:v>
                </c:pt>
                <c:pt idx="30">
                  <c:v>174677.02970579226</c:v>
                </c:pt>
                <c:pt idx="31">
                  <c:v>140183.338699771</c:v>
                </c:pt>
                <c:pt idx="32">
                  <c:v>111747.5236386326</c:v>
                </c:pt>
                <c:pt idx="33">
                  <c:v>88484.364735122086</c:v>
                </c:pt>
                <c:pt idx="34">
                  <c:v>69596.643794869684</c:v>
                </c:pt>
                <c:pt idx="35">
                  <c:v>54376.218807237063</c:v>
                </c:pt>
                <c:pt idx="36">
                  <c:v>42202.122940216104</c:v>
                </c:pt>
                <c:pt idx="37">
                  <c:v>32536.411115481227</c:v>
                </c:pt>
                <c:pt idx="38">
                  <c:v>24918.411843034857</c:v>
                </c:pt>
                <c:pt idx="39">
                  <c:v>18957.9596051562</c:v>
                </c:pt>
                <c:pt idx="40">
                  <c:v>1908.207490549875</c:v>
                </c:pt>
              </c:numCache>
            </c:numRef>
          </c:val>
          <c:extLst>
            <c:ext xmlns:c16="http://schemas.microsoft.com/office/drawing/2014/chart" uri="{C3380CC4-5D6E-409C-BE32-E72D297353CC}">
              <c16:uniqueId val="{00000000-A2C5-4E0B-8CE6-233CA7CB12E4}"/>
            </c:ext>
          </c:extLst>
        </c:ser>
        <c:ser>
          <c:idx val="1"/>
          <c:order val="1"/>
          <c:tx>
            <c:strRef>
              <c:f>'4全車種Weibull'!$AL$117</c:f>
              <c:strCache>
                <c:ptCount val="1"/>
                <c:pt idx="0">
                  <c:v>2025</c:v>
                </c:pt>
              </c:strCache>
            </c:strRef>
          </c:tx>
          <c:spPr>
            <a:solidFill>
              <a:schemeClr val="accent2"/>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'4全車種Weibull'!$AL$118:$AL$158</c:f>
              <c:numCache>
                <c:formatCode>0</c:formatCode>
                <c:ptCount val="41"/>
                <c:pt idx="0">
                  <c:v>4130723.4944486991</c:v>
                </c:pt>
                <c:pt idx="1">
                  <c:v>4140949.8948937356</c:v>
                </c:pt>
                <c:pt idx="2">
                  <c:v>3168915.3835658999</c:v>
                </c:pt>
                <c:pt idx="3">
                  <c:v>4371111.2012706632</c:v>
                </c:pt>
                <c:pt idx="4">
                  <c:v>4098072.1439108946</c:v>
                </c:pt>
                <c:pt idx="5">
                  <c:v>4515255.7760798614</c:v>
                </c:pt>
                <c:pt idx="6">
                  <c:v>3378409.691125568</c:v>
                </c:pt>
                <c:pt idx="7">
                  <c:v>3651746.349960106</c:v>
                </c:pt>
                <c:pt idx="8">
                  <c:v>3486856.0168500734</c:v>
                </c:pt>
                <c:pt idx="9">
                  <c:v>3285565.7019421086</c:v>
                </c:pt>
                <c:pt idx="10">
                  <c:v>2796172.1003914378</c:v>
                </c:pt>
                <c:pt idx="11">
                  <c:v>2640749.4928508634</c:v>
                </c:pt>
                <c:pt idx="12">
                  <c:v>2753708.5595423649</c:v>
                </c:pt>
                <c:pt idx="13">
                  <c:v>2484746.3636213061</c:v>
                </c:pt>
                <c:pt idx="14">
                  <c:v>2145351.0571457134</c:v>
                </c:pt>
                <c:pt idx="15">
                  <c:v>1941009.6279908887</c:v>
                </c:pt>
                <c:pt idx="16">
                  <c:v>1934438.482011389</c:v>
                </c:pt>
                <c:pt idx="17">
                  <c:v>1462022.4104051923</c:v>
                </c:pt>
                <c:pt idx="18">
                  <c:v>1451287.9814585457</c:v>
                </c:pt>
                <c:pt idx="19">
                  <c:v>1322261.5917621504</c:v>
                </c:pt>
                <c:pt idx="20">
                  <c:v>1152774.0727049212</c:v>
                </c:pt>
                <c:pt idx="21">
                  <c:v>973124.55306302116</c:v>
                </c:pt>
                <c:pt idx="22">
                  <c:v>700651.33945016272</c:v>
                </c:pt>
                <c:pt idx="23">
                  <c:v>563035.73972758383</c:v>
                </c:pt>
                <c:pt idx="24">
                  <c:v>362541.07241323497</c:v>
                </c:pt>
                <c:pt idx="25">
                  <c:v>305835.64879340417</c:v>
                </c:pt>
                <c:pt idx="26">
                  <c:v>215074.52368888067</c:v>
                </c:pt>
                <c:pt idx="27">
                  <c:v>178463.42922628392</c:v>
                </c:pt>
                <c:pt idx="28">
                  <c:v>150659.84883821997</c:v>
                </c:pt>
                <c:pt idx="29">
                  <c:v>142645.68894905868</c:v>
                </c:pt>
                <c:pt idx="30">
                  <c:v>106515.2140928002</c:v>
                </c:pt>
                <c:pt idx="31">
                  <c:v>87661.008450326859</c:v>
                </c:pt>
                <c:pt idx="32">
                  <c:v>75408.054739023617</c:v>
                </c:pt>
                <c:pt idx="33">
                  <c:v>65680.858847310941</c:v>
                </c:pt>
                <c:pt idx="34">
                  <c:v>67934.104346163411</c:v>
                </c:pt>
                <c:pt idx="35">
                  <c:v>54376.218807237063</c:v>
                </c:pt>
                <c:pt idx="36">
                  <c:v>42202.122940216104</c:v>
                </c:pt>
                <c:pt idx="37">
                  <c:v>32536.411115481227</c:v>
                </c:pt>
                <c:pt idx="38">
                  <c:v>24918.411843034857</c:v>
                </c:pt>
                <c:pt idx="39">
                  <c:v>18957.9596051562</c:v>
                </c:pt>
                <c:pt idx="40">
                  <c:v>14328.092098067664</c:v>
                </c:pt>
              </c:numCache>
            </c:numRef>
          </c:val>
          <c:extLst>
            <c:ext xmlns:c16="http://schemas.microsoft.com/office/drawing/2014/chart" uri="{C3380CC4-5D6E-409C-BE32-E72D297353CC}">
              <c16:uniqueId val="{00000001-A2C5-4E0B-8CE6-233CA7CB12E4}"/>
            </c:ext>
          </c:extLst>
        </c:ser>
        <c:ser>
          <c:idx val="2"/>
          <c:order val="2"/>
          <c:tx>
            <c:strRef>
              <c:f>'4全車種Weibull'!$AQ$117</c:f>
              <c:strCache>
                <c:ptCount val="1"/>
                <c:pt idx="0">
                  <c:v>2030</c:v>
                </c:pt>
              </c:strCache>
            </c:strRef>
          </c:tx>
          <c:spPr>
            <a:solidFill>
              <a:schemeClr val="accent3"/>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'4全車種Weibull'!$AQ$118:$AQ$158</c:f>
              <c:numCache>
                <c:formatCode>0</c:formatCode>
                <c:ptCount val="41"/>
                <c:pt idx="0">
                  <c:v>3947153.103216303</c:v>
                </c:pt>
                <c:pt idx="1">
                  <c:v>3970307.1978947148</c:v>
                </c:pt>
                <c:pt idx="2">
                  <c:v>3956891.7880585608</c:v>
                </c:pt>
                <c:pt idx="3">
                  <c:v>3908773.3544387529</c:v>
                </c:pt>
                <c:pt idx="4">
                  <c:v>3827992.5116724204</c:v>
                </c:pt>
                <c:pt idx="5">
                  <c:v>3717788.2679038569</c:v>
                </c:pt>
                <c:pt idx="6">
                  <c:v>3581553.7338365973</c:v>
                </c:pt>
                <c:pt idx="7">
                  <c:v>2636583.5330752404</c:v>
                </c:pt>
                <c:pt idx="8">
                  <c:v>3500823.0201324951</c:v>
                </c:pt>
                <c:pt idx="9">
                  <c:v>3161002.2230447014</c:v>
                </c:pt>
                <c:pt idx="10">
                  <c:v>3355620.6089420384</c:v>
                </c:pt>
                <c:pt idx="11">
                  <c:v>2419906.8306084177</c:v>
                </c:pt>
                <c:pt idx="12">
                  <c:v>2521814.0143441819</c:v>
                </c:pt>
                <c:pt idx="13">
                  <c:v>2322134.7796633099</c:v>
                </c:pt>
                <c:pt idx="14">
                  <c:v>2110606.055979447</c:v>
                </c:pt>
                <c:pt idx="15">
                  <c:v>1732995.0684933274</c:v>
                </c:pt>
                <c:pt idx="16">
                  <c:v>1579361.9587595542</c:v>
                </c:pt>
                <c:pt idx="17">
                  <c:v>1589539.2622183925</c:v>
                </c:pt>
                <c:pt idx="18">
                  <c:v>1384541.882594537</c:v>
                </c:pt>
                <c:pt idx="19">
                  <c:v>1154144.1130917748</c:v>
                </c:pt>
                <c:pt idx="20">
                  <c:v>1008299.3653979156</c:v>
                </c:pt>
                <c:pt idx="21">
                  <c:v>970455.19570283755</c:v>
                </c:pt>
                <c:pt idx="22">
                  <c:v>708416.33170992672</c:v>
                </c:pt>
                <c:pt idx="23">
                  <c:v>679288.4879414459</c:v>
                </c:pt>
                <c:pt idx="24">
                  <c:v>597906.90670948091</c:v>
                </c:pt>
                <c:pt idx="25">
                  <c:v>503643.0615601801</c:v>
                </c:pt>
                <c:pt idx="26">
                  <c:v>410822.52388879081</c:v>
                </c:pt>
                <c:pt idx="27">
                  <c:v>285849.59540606011</c:v>
                </c:pt>
                <c:pt idx="28">
                  <c:v>222004.70403805425</c:v>
                </c:pt>
                <c:pt idx="29">
                  <c:v>138169.78400998862</c:v>
                </c:pt>
                <c:pt idx="30">
                  <c:v>112670.72800815942</c:v>
                </c:pt>
                <c:pt idx="31">
                  <c:v>76597.591359389626</c:v>
                </c:pt>
                <c:pt idx="32">
                  <c:v>61448.769460720803</c:v>
                </c:pt>
                <c:pt idx="33">
                  <c:v>50157.132683238247</c:v>
                </c:pt>
                <c:pt idx="34">
                  <c:v>45919.512990948504</c:v>
                </c:pt>
                <c:pt idx="35">
                  <c:v>33157.734577723619</c:v>
                </c:pt>
                <c:pt idx="36">
                  <c:v>26390.302085807438</c:v>
                </c:pt>
                <c:pt idx="37">
                  <c:v>21955.810657081751</c:v>
                </c:pt>
                <c:pt idx="38">
                  <c:v>18496.631533275769</c:v>
                </c:pt>
                <c:pt idx="39">
                  <c:v>18505.087828703159</c:v>
                </c:pt>
                <c:pt idx="40">
                  <c:v>14328.092098067664</c:v>
                </c:pt>
              </c:numCache>
            </c:numRef>
          </c:val>
          <c:extLst>
            <c:ext xmlns:c16="http://schemas.microsoft.com/office/drawing/2014/chart" uri="{C3380CC4-5D6E-409C-BE32-E72D297353CC}">
              <c16:uniqueId val="{00000002-A2C5-4E0B-8CE6-233CA7CB12E4}"/>
            </c:ext>
          </c:extLst>
        </c:ser>
        <c:ser>
          <c:idx val="3"/>
          <c:order val="3"/>
          <c:tx>
            <c:strRef>
              <c:f>'4全車種Weibull'!$AV$117</c:f>
              <c:strCache>
                <c:ptCount val="1"/>
                <c:pt idx="0">
                  <c:v>2035</c:v>
                </c:pt>
              </c:strCache>
            </c:strRef>
          </c:tx>
          <c:spPr>
            <a:solidFill>
              <a:schemeClr val="accent4"/>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'4全車種Weibull'!$AV$118:$AV$158</c:f>
              <c:numCache>
                <c:formatCode>0</c:formatCode>
                <c:ptCount val="41"/>
                <c:pt idx="0">
                  <c:v>3712398.5863146507</c:v>
                </c:pt>
                <c:pt idx="1">
                  <c:v>3743938.4881463498</c:v>
                </c:pt>
                <c:pt idx="2">
                  <c:v>3742277.2610906642</c:v>
                </c:pt>
                <c:pt idx="3">
                  <c:v>3708874.9791622395</c:v>
                </c:pt>
                <c:pt idx="4">
                  <c:v>3645072.926853518</c:v>
                </c:pt>
                <c:pt idx="5">
                  <c:v>3552568.8220185288</c:v>
                </c:pt>
                <c:pt idx="6">
                  <c:v>3433962.9626122396</c:v>
                </c:pt>
                <c:pt idx="7">
                  <c:v>3292191.3234604015</c:v>
                </c:pt>
                <c:pt idx="8">
                  <c:v>3130536.6323606321</c:v>
                </c:pt>
                <c:pt idx="9">
                  <c:v>2952679.3121917499</c:v>
                </c:pt>
                <c:pt idx="10">
                  <c:v>2762963.5064200736</c:v>
                </c:pt>
                <c:pt idx="11">
                  <c:v>2565416.0202857801</c:v>
                </c:pt>
                <c:pt idx="12">
                  <c:v>1820765.37264722</c:v>
                </c:pt>
                <c:pt idx="13">
                  <c:v>2331436.3579140469</c:v>
                </c:pt>
                <c:pt idx="14">
                  <c:v>2030588.0448468949</c:v>
                </c:pt>
                <c:pt idx="15">
                  <c:v>2079726.7686838901</c:v>
                </c:pt>
                <c:pt idx="16">
                  <c:v>1447281.8426557123</c:v>
                </c:pt>
                <c:pt idx="17">
                  <c:v>1455681.4205780819</c:v>
                </c:pt>
                <c:pt idx="18">
                  <c:v>1293932.0111480374</c:v>
                </c:pt>
                <c:pt idx="19">
                  <c:v>1135452.1892586816</c:v>
                </c:pt>
                <c:pt idx="20">
                  <c:v>900241.71060306625</c:v>
                </c:pt>
                <c:pt idx="21">
                  <c:v>792322.9572955718</c:v>
                </c:pt>
                <c:pt idx="22">
                  <c:v>770204.04423046857</c:v>
                </c:pt>
                <c:pt idx="23">
                  <c:v>648047.37166915648</c:v>
                </c:pt>
                <c:pt idx="24">
                  <c:v>521886.6984073986</c:v>
                </c:pt>
                <c:pt idx="25">
                  <c:v>440522.55457707692</c:v>
                </c:pt>
                <c:pt idx="26">
                  <c:v>409695.60532074113</c:v>
                </c:pt>
                <c:pt idx="27">
                  <c:v>289017.53325304494</c:v>
                </c:pt>
                <c:pt idx="28">
                  <c:v>267843.10316581832</c:v>
                </c:pt>
                <c:pt idx="29">
                  <c:v>227871.19707078335</c:v>
                </c:pt>
                <c:pt idx="30">
                  <c:v>185543.54479642847</c:v>
                </c:pt>
                <c:pt idx="31">
                  <c:v>146312.14923245498</c:v>
                </c:pt>
                <c:pt idx="32">
                  <c:v>98424.119522412104</c:v>
                </c:pt>
                <c:pt idx="33">
                  <c:v>73909.004174673799</c:v>
                </c:pt>
                <c:pt idx="34">
                  <c:v>44478.660648966565</c:v>
                </c:pt>
                <c:pt idx="35">
                  <c:v>35073.919963382636</c:v>
                </c:pt>
                <c:pt idx="36">
                  <c:v>23059.665987814544</c:v>
                </c:pt>
                <c:pt idx="37">
                  <c:v>17891.424889018723</c:v>
                </c:pt>
                <c:pt idx="38">
                  <c:v>14124.93713220475</c:v>
                </c:pt>
                <c:pt idx="39">
                  <c:v>12508.365704195334</c:v>
                </c:pt>
                <c:pt idx="40">
                  <c:v>8737.0377200570674</c:v>
                </c:pt>
              </c:numCache>
            </c:numRef>
          </c:val>
          <c:extLst>
            <c:ext xmlns:c16="http://schemas.microsoft.com/office/drawing/2014/chart" uri="{C3380CC4-5D6E-409C-BE32-E72D297353CC}">
              <c16:uniqueId val="{00000003-A2C5-4E0B-8CE6-233CA7CB12E4}"/>
            </c:ext>
          </c:extLst>
        </c:ser>
        <c:ser>
          <c:idx val="4"/>
          <c:order val="4"/>
          <c:tx>
            <c:strRef>
              <c:f>'4全車種Weibull'!$BA$117</c:f>
              <c:strCache>
                <c:ptCount val="1"/>
                <c:pt idx="0">
                  <c:v>2040</c:v>
                </c:pt>
              </c:strCache>
            </c:strRef>
          </c:tx>
          <c:spPr>
            <a:solidFill>
              <a:schemeClr val="accent5"/>
            </a:solidFill>
            <a:ln>
              <a:noFill/>
            </a:ln>
            <a:effectLst/>
          </c:spPr>
          <c:invertIfNegative val="0"/>
          <c:cat>
            <c:numRef>
              <c:f>'4全車種Weibull'!$E$118:$E$158</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'4全車種Weibull'!$BA$118:$BA$158</c:f>
              <c:numCache>
                <c:formatCode>0</c:formatCode>
                <c:ptCount val="41"/>
                <c:pt idx="0">
                  <c:v>3462093.0310007264</c:v>
                </c:pt>
                <c:pt idx="1">
                  <c:v>3496785.2500768825</c:v>
                </c:pt>
                <c:pt idx="2">
                  <c:v>3499731.7244703546</c:v>
                </c:pt>
                <c:pt idx="3">
                  <c:v>3473893.0799460723</c:v>
                </c:pt>
                <c:pt idx="4">
                  <c:v>3420532.3250143216</c:v>
                </c:pt>
                <c:pt idx="5">
                  <c:v>3341281.9639300318</c:v>
                </c:pt>
                <c:pt idx="6">
                  <c:v>3238174.1416408052</c:v>
                </c:pt>
                <c:pt idx="7">
                  <c:v>3113628.9261503313</c:v>
                </c:pt>
                <c:pt idx="8">
                  <c:v>2970438.0209019096</c:v>
                </c:pt>
                <c:pt idx="9">
                  <c:v>2811586.3314080681</c:v>
                </c:pt>
                <c:pt idx="10">
                  <c:v>2640176.7131341058</c:v>
                </c:pt>
                <c:pt idx="11">
                  <c:v>2459698.8491686215</c:v>
                </c:pt>
                <c:pt idx="12">
                  <c:v>2273513.3883259608</c:v>
                </c:pt>
                <c:pt idx="13">
                  <c:v>2084837.4460789356</c:v>
                </c:pt>
                <c:pt idx="14">
                  <c:v>1896764.0287921841</c:v>
                </c:pt>
                <c:pt idx="15">
                  <c:v>1712413.2417967825</c:v>
                </c:pt>
                <c:pt idx="16">
                  <c:v>1534307.0146565053</c:v>
                </c:pt>
                <c:pt idx="17">
                  <c:v>1051011.0218749647</c:v>
                </c:pt>
                <c:pt idx="18">
                  <c:v>1299115.0048132769</c:v>
                </c:pt>
                <c:pt idx="19">
                  <c:v>1092404.5415637549</c:v>
                </c:pt>
                <c:pt idx="20">
                  <c:v>1080358.9795871263</c:v>
                </c:pt>
                <c:pt idx="21">
                  <c:v>726061.95384989434</c:v>
                </c:pt>
                <c:pt idx="22">
                  <c:v>705343.83383249247</c:v>
                </c:pt>
                <c:pt idx="23">
                  <c:v>605636.60044124117</c:v>
                </c:pt>
                <c:pt idx="24">
                  <c:v>513434.49013853411</c:v>
                </c:pt>
                <c:pt idx="25">
                  <c:v>393312.53365928197</c:v>
                </c:pt>
                <c:pt idx="26">
                  <c:v>334493.78707652155</c:v>
                </c:pt>
                <c:pt idx="27">
                  <c:v>314225.49565974373</c:v>
                </c:pt>
                <c:pt idx="28">
                  <c:v>255524.74700746185</c:v>
                </c:pt>
                <c:pt idx="29">
                  <c:v>198898.76729454924</c:v>
                </c:pt>
                <c:pt idx="30">
                  <c:v>162289.7694367271</c:v>
                </c:pt>
                <c:pt idx="31">
                  <c:v>145910.80347336523</c:v>
                </c:pt>
                <c:pt idx="32">
                  <c:v>99514.908168966911</c:v>
                </c:pt>
                <c:pt idx="33">
                  <c:v>89169.358441372387</c:v>
                </c:pt>
                <c:pt idx="34">
                  <c:v>73354.718752780609</c:v>
                </c:pt>
                <c:pt idx="35">
                  <c:v>57758.918886553685</c:v>
                </c:pt>
                <c:pt idx="36">
                  <c:v>44047.198239296871</c:v>
                </c:pt>
                <c:pt idx="37">
                  <c:v>28657.168518706756</c:v>
                </c:pt>
                <c:pt idx="38">
                  <c:v>20813.79021532468</c:v>
                </c:pt>
                <c:pt idx="39">
                  <c:v>12115.880966327819</c:v>
                </c:pt>
                <c:pt idx="40">
                  <c:v>9241.9511047118976</c:v>
                </c:pt>
              </c:numCache>
            </c:numRef>
          </c:val>
          <c:extLst>
            <c:ext xmlns:c16="http://schemas.microsoft.com/office/drawing/2014/chart" uri="{C3380CC4-5D6E-409C-BE32-E72D297353CC}">
              <c16:uniqueId val="{00000004-A2C5-4E0B-8CE6-233CA7CB12E4}"/>
            </c:ext>
          </c:extLst>
        </c:ser>
        <c:ser>
          <c:idx val="5"/>
          <c:order val="5"/>
          <c:tx>
            <c:strRef>
              <c:f>'4全車種Weibull'!$BF$117</c:f>
              <c:strCache>
                <c:ptCount val="1"/>
                <c:pt idx="0">
                  <c:v>2045</c:v>
                </c:pt>
              </c:strCache>
            </c:strRef>
          </c:tx>
          <c:spPr>
            <a:solidFill>
              <a:schemeClr val="accent6"/>
            </a:solidFill>
            <a:ln>
              <a:noFill/>
            </a:ln>
            <a:effectLst/>
          </c:spPr>
          <c:invertIfNegative val="0"/>
          <c:val>
            <c:numRef>
              <c:f>'4全車種Weibull'!$BF$118:$BF$158</c:f>
              <c:numCache>
                <c:formatCode>0</c:formatCode>
                <c:ptCount val="41"/>
                <c:pt idx="0">
                  <c:v>3211913.0599770569</c:v>
                </c:pt>
                <c:pt idx="1">
                  <c:v>3246138.3866047934</c:v>
                </c:pt>
                <c:pt idx="2">
                  <c:v>3252246.6845241883</c:v>
                </c:pt>
                <c:pt idx="3">
                  <c:v>3231662.3866193425</c:v>
                </c:pt>
                <c:pt idx="4">
                  <c:v>3185720.5434306348</c:v>
                </c:pt>
                <c:pt idx="5">
                  <c:v>3115998.6550404676</c:v>
                </c:pt>
                <c:pt idx="6">
                  <c:v>3024408.5503862356</c:v>
                </c:pt>
                <c:pt idx="7">
                  <c:v>2911827.5239448855</c:v>
                </c:pt>
                <c:pt idx="8">
                  <c:v>2782241.0146460915</c:v>
                </c:pt>
                <c:pt idx="9">
                  <c:v>2638389.4435416325</c:v>
                </c:pt>
                <c:pt idx="10">
                  <c:v>2483153.817741029</c:v>
                </c:pt>
                <c:pt idx="11">
                  <c:v>2319458.1002535038</c:v>
                </c:pt>
                <c:pt idx="12">
                  <c:v>2150202.2070944523</c:v>
                </c:pt>
                <c:pt idx="13">
                  <c:v>1978216.8824400767</c:v>
                </c:pt>
                <c:pt idx="14">
                  <c:v>1806127.6736822545</c:v>
                </c:pt>
                <c:pt idx="15">
                  <c:v>1636313.1665507334</c:v>
                </c:pt>
                <c:pt idx="16">
                  <c:v>1471080.3894494839</c:v>
                </c:pt>
                <c:pt idx="17">
                  <c:v>1312353.401161619</c:v>
                </c:pt>
                <c:pt idx="18">
                  <c:v>1161706.0013686155</c:v>
                </c:pt>
                <c:pt idx="19">
                  <c:v>1020410.6365077988</c:v>
                </c:pt>
                <c:pt idx="20">
                  <c:v>889550.03628183343</c:v>
                </c:pt>
                <c:pt idx="21">
                  <c:v>769720.11672788323</c:v>
                </c:pt>
                <c:pt idx="22">
                  <c:v>509262.62648533186</c:v>
                </c:pt>
                <c:pt idx="23">
                  <c:v>608062.54758257431</c:v>
                </c:pt>
                <c:pt idx="24">
                  <c:v>493968.98797561333</c:v>
                </c:pt>
                <c:pt idx="25">
                  <c:v>472005.15430274687</c:v>
                </c:pt>
                <c:pt idx="26">
                  <c:v>306520.47925557074</c:v>
                </c:pt>
                <c:pt idx="27">
                  <c:v>287764.02494484739</c:v>
                </c:pt>
                <c:pt idx="28">
                  <c:v>238802.20161623243</c:v>
                </c:pt>
                <c:pt idx="29">
                  <c:v>195677.50526444937</c:v>
                </c:pt>
                <c:pt idx="30">
                  <c:v>144897.4626632235</c:v>
                </c:pt>
                <c:pt idx="31">
                  <c:v>119128.09557958214</c:v>
                </c:pt>
                <c:pt idx="32">
                  <c:v>108194.54789806617</c:v>
                </c:pt>
                <c:pt idx="33">
                  <c:v>85068.3758037386</c:v>
                </c:pt>
                <c:pt idx="34">
                  <c:v>64028.11466617386</c:v>
                </c:pt>
                <c:pt idx="35">
                  <c:v>50520.117201047753</c:v>
                </c:pt>
                <c:pt idx="36">
                  <c:v>43926.373302298358</c:v>
                </c:pt>
                <c:pt idx="37">
                  <c:v>28974.762561856878</c:v>
                </c:pt>
                <c:pt idx="38">
                  <c:v>25111.31547446542</c:v>
                </c:pt>
                <c:pt idx="39">
                  <c:v>19981.650251147901</c:v>
                </c:pt>
                <c:pt idx="40">
                  <c:v>15219.430983700853</c:v>
                </c:pt>
              </c:numCache>
            </c:numRef>
          </c:val>
          <c:extLst>
            <c:ext xmlns:c16="http://schemas.microsoft.com/office/drawing/2014/chart" uri="{C3380CC4-5D6E-409C-BE32-E72D297353CC}">
              <c16:uniqueId val="{00000005-A2C5-4E0B-8CE6-233CA7CB12E4}"/>
            </c:ext>
          </c:extLst>
        </c:ser>
        <c:ser>
          <c:idx val="6"/>
          <c:order val="6"/>
          <c:tx>
            <c:strRef>
              <c:f>'4全車種Weibull'!$BK$117</c:f>
              <c:strCache>
                <c:ptCount val="1"/>
                <c:pt idx="0">
                  <c:v>2050</c:v>
                </c:pt>
              </c:strCache>
            </c:strRef>
          </c:tx>
          <c:spPr>
            <a:solidFill>
              <a:schemeClr val="accent1">
                <a:lumMod val="60000"/>
              </a:schemeClr>
            </a:solidFill>
            <a:ln>
              <a:noFill/>
            </a:ln>
            <a:effectLst/>
          </c:spPr>
          <c:invertIfNegative val="0"/>
          <c:val>
            <c:numRef>
              <c:f>'4全車種Weibull'!$BK$118:$BK$158</c:f>
              <c:numCache>
                <c:formatCode>0</c:formatCode>
                <c:ptCount val="41"/>
                <c:pt idx="0">
                  <c:v>2961349.1573149394</c:v>
                </c:pt>
                <c:pt idx="1">
                  <c:v>2998274.5864820331</c:v>
                </c:pt>
                <c:pt idx="2">
                  <c:v>3008418.2022509873</c:v>
                </c:pt>
                <c:pt idx="3">
                  <c:v>2993008.4234514409</c:v>
                </c:pt>
                <c:pt idx="4">
                  <c:v>2953277.1157709747</c:v>
                </c:pt>
                <c:pt idx="5">
                  <c:v>2890828.3761810102</c:v>
                </c:pt>
                <c:pt idx="6">
                  <c:v>2807621.283568575</c:v>
                </c:pt>
                <c:pt idx="7">
                  <c:v>2705916.3833734156</c:v>
                </c:pt>
                <c:pt idx="8">
                  <c:v>2588238.449089224</c:v>
                </c:pt>
                <c:pt idx="9">
                  <c:v>2457269.9957822813</c:v>
                </c:pt>
                <c:pt idx="10">
                  <c:v>2315729.1242905944</c:v>
                </c:pt>
                <c:pt idx="11">
                  <c:v>2166340.8463618848</c:v>
                </c:pt>
                <c:pt idx="12">
                  <c:v>2010842.6910093443</c:v>
                </c:pt>
                <c:pt idx="13">
                  <c:v>1852883.6849856144</c:v>
                </c:pt>
                <c:pt idx="14">
                  <c:v>1694868.1727105908</c:v>
                </c:pt>
                <c:pt idx="15">
                  <c:v>1538994.4416701542</c:v>
                </c:pt>
                <c:pt idx="16">
                  <c:v>1387206.1315904497</c:v>
                </c:pt>
                <c:pt idx="17">
                  <c:v>1241173.7683864699</c:v>
                </c:pt>
                <c:pt idx="18">
                  <c:v>1102295.2550384784</c:v>
                </c:pt>
                <c:pt idx="19">
                  <c:v>971650.59076433163</c:v>
                </c:pt>
                <c:pt idx="20">
                  <c:v>850018.20889118384</c:v>
                </c:pt>
                <c:pt idx="21">
                  <c:v>738001.0377757781</c:v>
                </c:pt>
                <c:pt idx="22">
                  <c:v>635894.89172077749</c:v>
                </c:pt>
                <c:pt idx="23">
                  <c:v>543747.01863727299</c:v>
                </c:pt>
                <c:pt idx="24">
                  <c:v>461414.42135874846</c:v>
                </c:pt>
                <c:pt idx="25">
                  <c:v>388641.37760550732</c:v>
                </c:pt>
                <c:pt idx="26">
                  <c:v>324951.57998715591</c:v>
                </c:pt>
                <c:pt idx="27">
                  <c:v>207767.41232022466</c:v>
                </c:pt>
                <c:pt idx="28">
                  <c:v>239758.75133256879</c:v>
                </c:pt>
                <c:pt idx="29">
                  <c:v>188258.91345747441</c:v>
                </c:pt>
                <c:pt idx="30">
                  <c:v>173888.04924706038</c:v>
                </c:pt>
                <c:pt idx="31">
                  <c:v>109165.55810797002</c:v>
                </c:pt>
                <c:pt idx="32">
                  <c:v>99083.298491950874</c:v>
                </c:pt>
                <c:pt idx="33">
                  <c:v>79501.166394879911</c:v>
                </c:pt>
                <c:pt idx="34">
                  <c:v>62991.148286550248</c:v>
                </c:pt>
                <c:pt idx="35">
                  <c:v>45105.965836832853</c:v>
                </c:pt>
                <c:pt idx="36">
                  <c:v>35863.452689271355</c:v>
                </c:pt>
                <c:pt idx="37">
                  <c:v>31501.926631044422</c:v>
                </c:pt>
                <c:pt idx="38">
                  <c:v>23956.422464478856</c:v>
                </c:pt>
                <c:pt idx="39">
                  <c:v>17441.10556556912</c:v>
                </c:pt>
                <c:pt idx="40">
                  <c:v>13312.012271905982</c:v>
                </c:pt>
              </c:numCache>
            </c:numRef>
          </c:val>
          <c:extLst>
            <c:ext xmlns:c16="http://schemas.microsoft.com/office/drawing/2014/chart" uri="{C3380CC4-5D6E-409C-BE32-E72D297353CC}">
              <c16:uniqueId val="{00000006-A2C5-4E0B-8CE6-233CA7CB12E4}"/>
            </c:ext>
          </c:extLst>
        </c:ser>
        <c:dLbls>
          <c:showLegendKey val="0"/>
          <c:showVal val="0"/>
          <c:showCatName val="0"/>
          <c:showSerName val="0"/>
          <c:showPercent val="0"/>
          <c:showBubbleSize val="0"/>
        </c:dLbls>
        <c:gapWidth val="0"/>
        <c:axId val="1484627215"/>
        <c:axId val="1484625295"/>
      </c:barChart>
      <c:catAx>
        <c:axId val="14846272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vehicle age</a:t>
                </a:r>
                <a:endParaRPr lang="ja-JP" altLang="en-US"/>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484625295"/>
        <c:crosses val="autoZero"/>
        <c:auto val="1"/>
        <c:lblAlgn val="ctr"/>
        <c:lblOffset val="100"/>
        <c:noMultiLvlLbl val="0"/>
      </c:catAx>
      <c:valAx>
        <c:axId val="148462529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484627215"/>
        <c:crosses val="autoZero"/>
        <c:crossBetween val="between"/>
        <c:dispUnits>
          <c:builtInUnit val="millions"/>
          <c:dispUnitsLbl>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million vehicles</a:t>
                  </a:r>
                  <a:endParaRPr lang="ja-JP" altLang="en-US"/>
                </a:p>
              </c:rich>
            </c:tx>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New car registration</c:v>
          </c:tx>
          <c:spPr>
            <a:ln w="28575" cap="rnd">
              <a:solidFill>
                <a:schemeClr val="accent5"/>
              </a:solidFill>
              <a:round/>
            </a:ln>
            <a:effectLst/>
          </c:spPr>
          <c:marker>
            <c:symbol val="none"/>
          </c:marker>
          <c:cat>
            <c:numRef>
              <c:f>'4全車種Weibull'!$F$22:$BL$22</c:f>
              <c:numCache>
                <c:formatCode>General</c:formatCode>
                <c:ptCount val="5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pt idx="33">
                  <c:v>2026</c:v>
                </c:pt>
                <c:pt idx="34">
                  <c:v>2027</c:v>
                </c:pt>
                <c:pt idx="35">
                  <c:v>2028</c:v>
                </c:pt>
                <c:pt idx="36">
                  <c:v>2029</c:v>
                </c:pt>
                <c:pt idx="37">
                  <c:v>2030</c:v>
                </c:pt>
                <c:pt idx="38">
                  <c:v>2031</c:v>
                </c:pt>
                <c:pt idx="39">
                  <c:v>2032</c:v>
                </c:pt>
                <c:pt idx="40">
                  <c:v>2033</c:v>
                </c:pt>
                <c:pt idx="41">
                  <c:v>2034</c:v>
                </c:pt>
                <c:pt idx="42">
                  <c:v>2035</c:v>
                </c:pt>
                <c:pt idx="43">
                  <c:v>2036</c:v>
                </c:pt>
                <c:pt idx="44">
                  <c:v>2037</c:v>
                </c:pt>
                <c:pt idx="45">
                  <c:v>2038</c:v>
                </c:pt>
                <c:pt idx="46">
                  <c:v>2039</c:v>
                </c:pt>
                <c:pt idx="47">
                  <c:v>2040</c:v>
                </c:pt>
                <c:pt idx="48">
                  <c:v>2041</c:v>
                </c:pt>
                <c:pt idx="49">
                  <c:v>2042</c:v>
                </c:pt>
                <c:pt idx="50">
                  <c:v>2043</c:v>
                </c:pt>
                <c:pt idx="51">
                  <c:v>2044</c:v>
                </c:pt>
                <c:pt idx="52">
                  <c:v>2045</c:v>
                </c:pt>
                <c:pt idx="53">
                  <c:v>2046</c:v>
                </c:pt>
                <c:pt idx="54">
                  <c:v>2047</c:v>
                </c:pt>
                <c:pt idx="55">
                  <c:v>2048</c:v>
                </c:pt>
                <c:pt idx="56">
                  <c:v>2049</c:v>
                </c:pt>
                <c:pt idx="57">
                  <c:v>2050</c:v>
                </c:pt>
                <c:pt idx="58">
                  <c:v>2051</c:v>
                </c:pt>
              </c:numCache>
            </c:numRef>
          </c:cat>
          <c:val>
            <c:numRef>
              <c:f>'4全車種Weibull'!$F$23:$BK$23</c:f>
              <c:numCache>
                <c:formatCode>General</c:formatCode>
                <c:ptCount val="58"/>
                <c:pt idx="0">
                  <c:v>4348801</c:v>
                </c:pt>
                <c:pt idx="1">
                  <c:v>4580545</c:v>
                </c:pt>
                <c:pt idx="2">
                  <c:v>4827717</c:v>
                </c:pt>
                <c:pt idx="3">
                  <c:v>5244622</c:v>
                </c:pt>
                <c:pt idx="4">
                  <c:v>4531260</c:v>
                </c:pt>
                <c:pt idx="5">
                  <c:v>4409228</c:v>
                </c:pt>
                <c:pt idx="6">
                  <c:v>4456553</c:v>
                </c:pt>
                <c:pt idx="7">
                  <c:v>4525098</c:v>
                </c:pt>
                <c:pt idx="8">
                  <c:v>4563081</c:v>
                </c:pt>
                <c:pt idx="9">
                  <c:v>4897866</c:v>
                </c:pt>
                <c:pt idx="10">
                  <c:v>5016654</c:v>
                </c:pt>
                <c:pt idx="11">
                  <c:v>5018540</c:v>
                </c:pt>
                <c:pt idx="12">
                  <c:v>5020098</c:v>
                </c:pt>
                <c:pt idx="13">
                  <c:v>4816892</c:v>
                </c:pt>
                <c:pt idx="14">
                  <c:v>4653340</c:v>
                </c:pt>
                <c:pt idx="15">
                  <c:v>4115159</c:v>
                </c:pt>
                <c:pt idx="16">
                  <c:v>4343345</c:v>
                </c:pt>
                <c:pt idx="17">
                  <c:v>4093549</c:v>
                </c:pt>
                <c:pt idx="18">
                  <c:v>4270695</c:v>
                </c:pt>
                <c:pt idx="19">
                  <c:v>4739686</c:v>
                </c:pt>
                <c:pt idx="20">
                  <c:v>5168032</c:v>
                </c:pt>
                <c:pt idx="21">
                  <c:v>4773187</c:v>
                </c:pt>
                <c:pt idx="22">
                  <c:v>4428517</c:v>
                </c:pt>
                <c:pt idx="23">
                  <c:v>4571000</c:v>
                </c:pt>
                <c:pt idx="24">
                  <c:v>4683228</c:v>
                </c:pt>
                <c:pt idx="25">
                  <c:v>4706378</c:v>
                </c:pt>
                <c:pt idx="26">
                  <c:v>4499447</c:v>
                </c:pt>
                <c:pt idx="27" formatCode="0">
                  <c:v>4135826</c:v>
                </c:pt>
                <c:pt idx="28" formatCode="0">
                  <c:v>3745608</c:v>
                </c:pt>
                <c:pt idx="29" formatCode="0">
                  <c:v>3928694</c:v>
                </c:pt>
                <c:pt idx="30" formatCode="0">
                  <c:v>4104031</c:v>
                </c:pt>
                <c:pt idx="31" formatCode="0">
                  <c:v>4370271.9249207452</c:v>
                </c:pt>
                <c:pt idx="32" formatCode="0">
                  <c:v>4351305.2867954457</c:v>
                </c:pt>
                <c:pt idx="33" formatCode="0">
                  <c:v>4330274.642949935</c:v>
                </c:pt>
                <c:pt idx="34" formatCode="0">
                  <c:v>4307333.5126092164</c:v>
                </c:pt>
                <c:pt idx="35" formatCode="0">
                  <c:v>4282573.5594399329</c:v>
                </c:pt>
                <c:pt idx="36" formatCode="0">
                  <c:v>4256249.319253155</c:v>
                </c:pt>
                <c:pt idx="37" formatCode="0">
                  <c:v>4228624.2361997524</c:v>
                </c:pt>
                <c:pt idx="38" formatCode="0">
                  <c:v>4199918.8029960571</c:v>
                </c:pt>
                <c:pt idx="39" formatCode="0">
                  <c:v>4170286.9228825476</c:v>
                </c:pt>
                <c:pt idx="40" formatCode="0">
                  <c:v>4139945.3604046763</c:v>
                </c:pt>
                <c:pt idx="41" formatCode="0">
                  <c:v>4109049.0639828173</c:v>
                </c:pt>
                <c:pt idx="42" formatCode="0">
                  <c:v>4077697.414704816</c:v>
                </c:pt>
                <c:pt idx="43" formatCode="0">
                  <c:v>4045968.7701476398</c:v>
                </c:pt>
                <c:pt idx="44" formatCode="0">
                  <c:v>4013913.1679838346</c:v>
                </c:pt>
                <c:pt idx="45" formatCode="0">
                  <c:v>3981554.5317878188</c:v>
                </c:pt>
                <c:pt idx="46" formatCode="0">
                  <c:v>3948901.6979868752</c:v>
                </c:pt>
                <c:pt idx="47" formatCode="0">
                  <c:v>3915551.1340538803</c:v>
                </c:pt>
                <c:pt idx="48" formatCode="0">
                  <c:v>3881888.9326290819</c:v>
                </c:pt>
                <c:pt idx="49" formatCode="0">
                  <c:v>3847887.8546552933</c:v>
                </c:pt>
                <c:pt idx="50" formatCode="0">
                  <c:v>3813509.8627402643</c:v>
                </c:pt>
                <c:pt idx="51" formatCode="0">
                  <c:v>3778695.8678673515</c:v>
                </c:pt>
                <c:pt idx="52" formatCode="0">
                  <c:v>3743383.3686547442</c:v>
                </c:pt>
                <c:pt idx="53" formatCode="0">
                  <c:v>3707515.780125746</c:v>
                </c:pt>
                <c:pt idx="54" formatCode="0">
                  <c:v>3671034.2346283016</c:v>
                </c:pt>
                <c:pt idx="55" formatCode="0">
                  <c:v>3633881.126700175</c:v>
                </c:pt>
                <c:pt idx="56" formatCode="0">
                  <c:v>3596010.2540555983</c:v>
                </c:pt>
                <c:pt idx="57" formatCode="0">
                  <c:v>3557381.7877340456</c:v>
                </c:pt>
              </c:numCache>
            </c:numRef>
          </c:val>
          <c:smooth val="0"/>
          <c:extLst>
            <c:ext xmlns:c16="http://schemas.microsoft.com/office/drawing/2014/chart" uri="{C3380CC4-5D6E-409C-BE32-E72D297353CC}">
              <c16:uniqueId val="{00000000-425C-43F3-812F-04126D1225EC}"/>
            </c:ext>
          </c:extLst>
        </c:ser>
        <c:ser>
          <c:idx val="2"/>
          <c:order val="1"/>
          <c:tx>
            <c:v>Deregistration</c:v>
          </c:tx>
          <c:spPr>
            <a:ln w="28575" cap="rnd">
              <a:solidFill>
                <a:schemeClr val="accent4"/>
              </a:solidFill>
              <a:round/>
            </a:ln>
            <a:effectLst/>
          </c:spPr>
          <c:marker>
            <c:symbol val="none"/>
          </c:marker>
          <c:cat>
            <c:numRef>
              <c:f>'4全車種Weibull'!$F$22:$BL$22</c:f>
              <c:numCache>
                <c:formatCode>General</c:formatCode>
                <c:ptCount val="5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pt idx="33">
                  <c:v>2026</c:v>
                </c:pt>
                <c:pt idx="34">
                  <c:v>2027</c:v>
                </c:pt>
                <c:pt idx="35">
                  <c:v>2028</c:v>
                </c:pt>
                <c:pt idx="36">
                  <c:v>2029</c:v>
                </c:pt>
                <c:pt idx="37">
                  <c:v>2030</c:v>
                </c:pt>
                <c:pt idx="38">
                  <c:v>2031</c:v>
                </c:pt>
                <c:pt idx="39">
                  <c:v>2032</c:v>
                </c:pt>
                <c:pt idx="40">
                  <c:v>2033</c:v>
                </c:pt>
                <c:pt idx="41">
                  <c:v>2034</c:v>
                </c:pt>
                <c:pt idx="42">
                  <c:v>2035</c:v>
                </c:pt>
                <c:pt idx="43">
                  <c:v>2036</c:v>
                </c:pt>
                <c:pt idx="44">
                  <c:v>2037</c:v>
                </c:pt>
                <c:pt idx="45">
                  <c:v>2038</c:v>
                </c:pt>
                <c:pt idx="46">
                  <c:v>2039</c:v>
                </c:pt>
                <c:pt idx="47">
                  <c:v>2040</c:v>
                </c:pt>
                <c:pt idx="48">
                  <c:v>2041</c:v>
                </c:pt>
                <c:pt idx="49">
                  <c:v>2042</c:v>
                </c:pt>
                <c:pt idx="50">
                  <c:v>2043</c:v>
                </c:pt>
                <c:pt idx="51">
                  <c:v>2044</c:v>
                </c:pt>
                <c:pt idx="52">
                  <c:v>2045</c:v>
                </c:pt>
                <c:pt idx="53">
                  <c:v>2046</c:v>
                </c:pt>
                <c:pt idx="54">
                  <c:v>2047</c:v>
                </c:pt>
                <c:pt idx="55">
                  <c:v>2048</c:v>
                </c:pt>
                <c:pt idx="56">
                  <c:v>2049</c:v>
                </c:pt>
                <c:pt idx="57">
                  <c:v>2050</c:v>
                </c:pt>
                <c:pt idx="58">
                  <c:v>2051</c:v>
                </c:pt>
              </c:numCache>
            </c:numRef>
          </c:cat>
          <c:val>
            <c:numRef>
              <c:f>'4全車種Weibull'!$F$25:$BK$25</c:f>
              <c:numCache>
                <c:formatCode>General</c:formatCode>
                <c:ptCount val="58"/>
                <c:pt idx="0">
                  <c:v>2452740</c:v>
                </c:pt>
                <c:pt idx="1">
                  <c:v>2684817</c:v>
                </c:pt>
                <c:pt idx="2">
                  <c:v>2715526</c:v>
                </c:pt>
                <c:pt idx="3">
                  <c:v>3098326</c:v>
                </c:pt>
                <c:pt idx="4">
                  <c:v>3061880</c:v>
                </c:pt>
                <c:pt idx="5">
                  <c:v>3125285</c:v>
                </c:pt>
                <c:pt idx="6">
                  <c:v>3202573</c:v>
                </c:pt>
                <c:pt idx="7">
                  <c:v>3297873</c:v>
                </c:pt>
                <c:pt idx="8">
                  <c:v>3525142</c:v>
                </c:pt>
                <c:pt idx="9">
                  <c:v>3913783</c:v>
                </c:pt>
                <c:pt idx="10">
                  <c:v>4199906</c:v>
                </c:pt>
                <c:pt idx="11">
                  <c:v>4018408</c:v>
                </c:pt>
                <c:pt idx="12">
                  <c:v>4210684</c:v>
                </c:pt>
                <c:pt idx="13">
                  <c:v>4404202</c:v>
                </c:pt>
                <c:pt idx="14">
                  <c:v>4612452</c:v>
                </c:pt>
                <c:pt idx="15">
                  <c:v>3983932</c:v>
                </c:pt>
                <c:pt idx="16">
                  <c:v>4122985</c:v>
                </c:pt>
                <c:pt idx="17">
                  <c:v>3856913</c:v>
                </c:pt>
                <c:pt idx="18">
                  <c:v>3680823</c:v>
                </c:pt>
                <c:pt idx="19">
                  <c:v>4111806</c:v>
                </c:pt>
                <c:pt idx="20">
                  <c:v>4473917</c:v>
                </c:pt>
                <c:pt idx="21">
                  <c:v>4307276</c:v>
                </c:pt>
                <c:pt idx="22">
                  <c:v>4113874</c:v>
                </c:pt>
                <c:pt idx="23">
                  <c:v>4149592</c:v>
                </c:pt>
                <c:pt idx="24">
                  <c:v>4351622</c:v>
                </c:pt>
                <c:pt idx="25">
                  <c:v>4520711</c:v>
                </c:pt>
                <c:pt idx="26" formatCode="0">
                  <c:v>4461434</c:v>
                </c:pt>
                <c:pt idx="27" formatCode="0">
                  <c:v>4027300</c:v>
                </c:pt>
                <c:pt idx="28" formatCode="0">
                  <c:v>3795568</c:v>
                </c:pt>
                <c:pt idx="29" formatCode="0">
                  <c:v>3842711</c:v>
                </c:pt>
                <c:pt idx="30" formatCode="0">
                  <c:v>5149190.6379079744</c:v>
                </c:pt>
                <c:pt idx="31" formatCode="0">
                  <c:v>4477809.1332195401</c:v>
                </c:pt>
                <c:pt idx="32" formatCode="0">
                  <c:v>4478929.4547001794</c:v>
                </c:pt>
                <c:pt idx="33" formatCode="0">
                  <c:v>4476686.1789882258</c:v>
                </c:pt>
                <c:pt idx="34" formatCode="0">
                  <c:v>4471475.0623899102</c:v>
                </c:pt>
                <c:pt idx="35" formatCode="0">
                  <c:v>4463697.5656971857</c:v>
                </c:pt>
                <c:pt idx="36" formatCode="0">
                  <c:v>4453731.2845747098</c:v>
                </c:pt>
                <c:pt idx="37" formatCode="0">
                  <c:v>4441916.0557761863</c:v>
                </c:pt>
                <c:pt idx="38" formatCode="0">
                  <c:v>4428546.5679164827</c:v>
                </c:pt>
                <c:pt idx="39" formatCode="0">
                  <c:v>4413868.9612244666</c:v>
                </c:pt>
                <c:pt idx="40" formatCode="0">
                  <c:v>4398080.927014038</c:v>
                </c:pt>
                <c:pt idx="41" formatCode="0">
                  <c:v>4381334.4948944449</c:v>
                </c:pt>
                <c:pt idx="42" formatCode="0">
                  <c:v>4363740.3487887979</c:v>
                </c:pt>
                <c:pt idx="43" formatCode="0">
                  <c:v>4345373.2790197656</c:v>
                </c:pt>
                <c:pt idx="44" formatCode="0">
                  <c:v>4326278.3189450651</c:v>
                </c:pt>
                <c:pt idx="45" formatCode="0">
                  <c:v>4306477.0440443754</c:v>
                </c:pt>
                <c:pt idx="46" formatCode="0">
                  <c:v>4285973.6774299741</c:v>
                </c:pt>
                <c:pt idx="47" formatCode="0">
                  <c:v>4264758.8536709547</c:v>
                </c:pt>
                <c:pt idx="48" formatCode="0">
                  <c:v>4242814.9486208633</c:v>
                </c:pt>
                <c:pt idx="49" formatCode="0">
                  <c:v>4220121.9509727582</c:v>
                </c:pt>
                <c:pt idx="50" formatCode="0">
                  <c:v>4196660.5869878829</c:v>
                </c:pt>
                <c:pt idx="51" formatCode="0">
                  <c:v>4172414.5098599344</c:v>
                </c:pt>
                <c:pt idx="52" formatCode="0">
                  <c:v>4147371.5991667137</c:v>
                </c:pt>
                <c:pt idx="53" formatCode="0">
                  <c:v>4121524.5668109953</c:v>
                </c:pt>
                <c:pt idx="54" formatCode="0">
                  <c:v>4094870.9725705013</c:v>
                </c:pt>
                <c:pt idx="55" formatCode="0">
                  <c:v>4067412.7541411743</c:v>
                </c:pt>
                <c:pt idx="56" formatCode="0">
                  <c:v>4039155.462781474</c:v>
                </c:pt>
                <c:pt idx="57" formatCode="0">
                  <c:v>4010107.3536840975</c:v>
                </c:pt>
              </c:numCache>
            </c:numRef>
          </c:val>
          <c:smooth val="0"/>
          <c:extLst>
            <c:ext xmlns:c16="http://schemas.microsoft.com/office/drawing/2014/chart" uri="{C3380CC4-5D6E-409C-BE32-E72D297353CC}">
              <c16:uniqueId val="{00000001-425C-43F3-812F-04126D1225EC}"/>
            </c:ext>
          </c:extLst>
        </c:ser>
        <c:dLbls>
          <c:showLegendKey val="0"/>
          <c:showVal val="0"/>
          <c:showCatName val="0"/>
          <c:showSerName val="0"/>
          <c:showPercent val="0"/>
          <c:showBubbleSize val="0"/>
        </c:dLbls>
        <c:smooth val="0"/>
        <c:axId val="1484605135"/>
        <c:axId val="1484605615"/>
      </c:lineChart>
      <c:catAx>
        <c:axId val="148460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484605615"/>
        <c:crosses val="autoZero"/>
        <c:auto val="1"/>
        <c:lblAlgn val="ctr"/>
        <c:lblOffset val="100"/>
        <c:noMultiLvlLbl val="0"/>
      </c:catAx>
      <c:valAx>
        <c:axId val="1484605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484605135"/>
        <c:crosses val="autoZero"/>
        <c:crossBetween val="between"/>
        <c:dispUnits>
          <c:builtInUnit val="millions"/>
          <c:dispUnitsLbl>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million</a:t>
                  </a:r>
                  <a:r>
                    <a:rPr lang="en-US" altLang="ja-JP" baseline="0"/>
                    <a:t> vehicles</a:t>
                  </a:r>
                  <a:endParaRPr lang="ja-JP" altLang="en-US"/>
                </a:p>
              </c:rich>
            </c:tx>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New car registration</c:v>
          </c:tx>
          <c:spPr>
            <a:ln w="28575" cap="rnd">
              <a:solidFill>
                <a:schemeClr val="accent5"/>
              </a:solidFill>
              <a:round/>
            </a:ln>
            <a:effectLst/>
          </c:spPr>
          <c:marker>
            <c:symbol val="none"/>
          </c:marker>
          <c:cat>
            <c:numRef>
              <c:f>'4全車種Weibull'!$F$22:$BL$22</c:f>
              <c:numCache>
                <c:formatCode>General</c:formatCode>
                <c:ptCount val="5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pt idx="33">
                  <c:v>2026</c:v>
                </c:pt>
                <c:pt idx="34">
                  <c:v>2027</c:v>
                </c:pt>
                <c:pt idx="35">
                  <c:v>2028</c:v>
                </c:pt>
                <c:pt idx="36">
                  <c:v>2029</c:v>
                </c:pt>
                <c:pt idx="37">
                  <c:v>2030</c:v>
                </c:pt>
                <c:pt idx="38">
                  <c:v>2031</c:v>
                </c:pt>
                <c:pt idx="39">
                  <c:v>2032</c:v>
                </c:pt>
                <c:pt idx="40">
                  <c:v>2033</c:v>
                </c:pt>
                <c:pt idx="41">
                  <c:v>2034</c:v>
                </c:pt>
                <c:pt idx="42">
                  <c:v>2035</c:v>
                </c:pt>
                <c:pt idx="43">
                  <c:v>2036</c:v>
                </c:pt>
                <c:pt idx="44">
                  <c:v>2037</c:v>
                </c:pt>
                <c:pt idx="45">
                  <c:v>2038</c:v>
                </c:pt>
                <c:pt idx="46">
                  <c:v>2039</c:v>
                </c:pt>
                <c:pt idx="47">
                  <c:v>2040</c:v>
                </c:pt>
                <c:pt idx="48">
                  <c:v>2041</c:v>
                </c:pt>
                <c:pt idx="49">
                  <c:v>2042</c:v>
                </c:pt>
                <c:pt idx="50">
                  <c:v>2043</c:v>
                </c:pt>
                <c:pt idx="51">
                  <c:v>2044</c:v>
                </c:pt>
                <c:pt idx="52">
                  <c:v>2045</c:v>
                </c:pt>
                <c:pt idx="53">
                  <c:v>2046</c:v>
                </c:pt>
                <c:pt idx="54">
                  <c:v>2047</c:v>
                </c:pt>
                <c:pt idx="55">
                  <c:v>2048</c:v>
                </c:pt>
                <c:pt idx="56">
                  <c:v>2049</c:v>
                </c:pt>
                <c:pt idx="57">
                  <c:v>2050</c:v>
                </c:pt>
                <c:pt idx="58">
                  <c:v>2051</c:v>
                </c:pt>
              </c:numCache>
            </c:numRef>
          </c:cat>
          <c:val>
            <c:numRef>
              <c:f>'4全車種Weibull'!$F$23:$BK$23</c:f>
              <c:numCache>
                <c:formatCode>General</c:formatCode>
                <c:ptCount val="58"/>
                <c:pt idx="0">
                  <c:v>4348801</c:v>
                </c:pt>
                <c:pt idx="1">
                  <c:v>4580545</c:v>
                </c:pt>
                <c:pt idx="2">
                  <c:v>4827717</c:v>
                </c:pt>
                <c:pt idx="3">
                  <c:v>5244622</c:v>
                </c:pt>
                <c:pt idx="4">
                  <c:v>4531260</c:v>
                </c:pt>
                <c:pt idx="5">
                  <c:v>4409228</c:v>
                </c:pt>
                <c:pt idx="6">
                  <c:v>4456553</c:v>
                </c:pt>
                <c:pt idx="7">
                  <c:v>4525098</c:v>
                </c:pt>
                <c:pt idx="8">
                  <c:v>4563081</c:v>
                </c:pt>
                <c:pt idx="9">
                  <c:v>4897866</c:v>
                </c:pt>
                <c:pt idx="10">
                  <c:v>5016654</c:v>
                </c:pt>
                <c:pt idx="11">
                  <c:v>5018540</c:v>
                </c:pt>
                <c:pt idx="12">
                  <c:v>5020098</c:v>
                </c:pt>
                <c:pt idx="13">
                  <c:v>4816892</c:v>
                </c:pt>
                <c:pt idx="14">
                  <c:v>4653340</c:v>
                </c:pt>
                <c:pt idx="15">
                  <c:v>4115159</c:v>
                </c:pt>
                <c:pt idx="16">
                  <c:v>4343345</c:v>
                </c:pt>
                <c:pt idx="17">
                  <c:v>4093549</c:v>
                </c:pt>
                <c:pt idx="18">
                  <c:v>4270695</c:v>
                </c:pt>
                <c:pt idx="19">
                  <c:v>4739686</c:v>
                </c:pt>
                <c:pt idx="20">
                  <c:v>5168032</c:v>
                </c:pt>
                <c:pt idx="21">
                  <c:v>4773187</c:v>
                </c:pt>
                <c:pt idx="22">
                  <c:v>4428517</c:v>
                </c:pt>
                <c:pt idx="23">
                  <c:v>4571000</c:v>
                </c:pt>
                <c:pt idx="24">
                  <c:v>4683228</c:v>
                </c:pt>
                <c:pt idx="25">
                  <c:v>4706378</c:v>
                </c:pt>
                <c:pt idx="26">
                  <c:v>4499447</c:v>
                </c:pt>
                <c:pt idx="27" formatCode="0">
                  <c:v>4135826</c:v>
                </c:pt>
                <c:pt idx="28" formatCode="0">
                  <c:v>3745608</c:v>
                </c:pt>
                <c:pt idx="29" formatCode="0">
                  <c:v>3928694</c:v>
                </c:pt>
                <c:pt idx="30" formatCode="0">
                  <c:v>4104031</c:v>
                </c:pt>
                <c:pt idx="31" formatCode="0">
                  <c:v>4160430.6701871282</c:v>
                </c:pt>
                <c:pt idx="32" formatCode="0">
                  <c:v>4130723.4944486991</c:v>
                </c:pt>
                <c:pt idx="33" formatCode="0">
                  <c:v>4099088.0331407534</c:v>
                </c:pt>
                <c:pt idx="34" formatCode="0">
                  <c:v>4065197.3230305142</c:v>
                </c:pt>
                <c:pt idx="35" formatCode="0">
                  <c:v>4028440.0245015714</c:v>
                </c:pt>
                <c:pt idx="36" formatCode="0">
                  <c:v>3988985.1979505233</c:v>
                </c:pt>
                <c:pt idx="37" formatCode="0">
                  <c:v>3947153.103216303</c:v>
                </c:pt>
                <c:pt idx="38" formatCode="0">
                  <c:v>3903214.2222929215</c:v>
                </c:pt>
                <c:pt idx="39" formatCode="0">
                  <c:v>3857299.2776937527</c:v>
                </c:pt>
                <c:pt idx="40" formatCode="0">
                  <c:v>3809944.8528908407</c:v>
                </c:pt>
                <c:pt idx="41" formatCode="0">
                  <c:v>3761551.5542908595</c:v>
                </c:pt>
                <c:pt idx="42" formatCode="0">
                  <c:v>3712398.5863146507</c:v>
                </c:pt>
                <c:pt idx="43" formatCode="0">
                  <c:v>3662771.8256198014</c:v>
                </c:pt>
                <c:pt idx="44" formatCode="0">
                  <c:v>3612913.7119332254</c:v>
                </c:pt>
                <c:pt idx="45" formatCode="0">
                  <c:v>3563013.6250937646</c:v>
                </c:pt>
                <c:pt idx="46" formatCode="0">
                  <c:v>3513235.6031202744</c:v>
                </c:pt>
                <c:pt idx="47" formatCode="0">
                  <c:v>3462093.0310007264</c:v>
                </c:pt>
                <c:pt idx="48" formatCode="0">
                  <c:v>3411330.8520559226</c:v>
                </c:pt>
                <c:pt idx="49" formatCode="0">
                  <c:v>3360989.2648558789</c:v>
                </c:pt>
                <c:pt idx="50" formatCode="0">
                  <c:v>3311053.5782223106</c:v>
                </c:pt>
                <c:pt idx="51" formatCode="0">
                  <c:v>3261409.5910592792</c:v>
                </c:pt>
                <c:pt idx="52" formatCode="0">
                  <c:v>3211913.0599770569</c:v>
                </c:pt>
                <c:pt idx="53" formatCode="0">
                  <c:v>3162425.9574416811</c:v>
                </c:pt>
                <c:pt idx="54" formatCode="0">
                  <c:v>3112784.6839739876</c:v>
                </c:pt>
                <c:pt idx="55" formatCode="0">
                  <c:v>3062816.2066401141</c:v>
                </c:pt>
                <c:pt idx="56" formatCode="0">
                  <c:v>3012379.7350517297</c:v>
                </c:pt>
                <c:pt idx="57" formatCode="0">
                  <c:v>2961349.1573149394</c:v>
                </c:pt>
              </c:numCache>
            </c:numRef>
          </c:val>
          <c:smooth val="0"/>
          <c:extLst>
            <c:ext xmlns:c16="http://schemas.microsoft.com/office/drawing/2014/chart" uri="{C3380CC4-5D6E-409C-BE32-E72D297353CC}">
              <c16:uniqueId val="{00000000-AF3E-486B-BB9C-10CD7FDE83B4}"/>
            </c:ext>
          </c:extLst>
        </c:ser>
        <c:ser>
          <c:idx val="2"/>
          <c:order val="1"/>
          <c:tx>
            <c:v>Deregistration</c:v>
          </c:tx>
          <c:spPr>
            <a:ln w="28575" cap="rnd">
              <a:solidFill>
                <a:schemeClr val="accent4"/>
              </a:solidFill>
              <a:round/>
            </a:ln>
            <a:effectLst/>
          </c:spPr>
          <c:marker>
            <c:symbol val="none"/>
          </c:marker>
          <c:cat>
            <c:numRef>
              <c:f>'4全車種Weibull'!$F$22:$BL$22</c:f>
              <c:numCache>
                <c:formatCode>General</c:formatCode>
                <c:ptCount val="5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pt idx="33">
                  <c:v>2026</c:v>
                </c:pt>
                <c:pt idx="34">
                  <c:v>2027</c:v>
                </c:pt>
                <c:pt idx="35">
                  <c:v>2028</c:v>
                </c:pt>
                <c:pt idx="36">
                  <c:v>2029</c:v>
                </c:pt>
                <c:pt idx="37">
                  <c:v>2030</c:v>
                </c:pt>
                <c:pt idx="38">
                  <c:v>2031</c:v>
                </c:pt>
                <c:pt idx="39">
                  <c:v>2032</c:v>
                </c:pt>
                <c:pt idx="40">
                  <c:v>2033</c:v>
                </c:pt>
                <c:pt idx="41">
                  <c:v>2034</c:v>
                </c:pt>
                <c:pt idx="42">
                  <c:v>2035</c:v>
                </c:pt>
                <c:pt idx="43">
                  <c:v>2036</c:v>
                </c:pt>
                <c:pt idx="44">
                  <c:v>2037</c:v>
                </c:pt>
                <c:pt idx="45">
                  <c:v>2038</c:v>
                </c:pt>
                <c:pt idx="46">
                  <c:v>2039</c:v>
                </c:pt>
                <c:pt idx="47">
                  <c:v>2040</c:v>
                </c:pt>
                <c:pt idx="48">
                  <c:v>2041</c:v>
                </c:pt>
                <c:pt idx="49">
                  <c:v>2042</c:v>
                </c:pt>
                <c:pt idx="50">
                  <c:v>2043</c:v>
                </c:pt>
                <c:pt idx="51">
                  <c:v>2044</c:v>
                </c:pt>
                <c:pt idx="52">
                  <c:v>2045</c:v>
                </c:pt>
                <c:pt idx="53">
                  <c:v>2046</c:v>
                </c:pt>
                <c:pt idx="54">
                  <c:v>2047</c:v>
                </c:pt>
                <c:pt idx="55">
                  <c:v>2048</c:v>
                </c:pt>
                <c:pt idx="56">
                  <c:v>2049</c:v>
                </c:pt>
                <c:pt idx="57">
                  <c:v>2050</c:v>
                </c:pt>
                <c:pt idx="58">
                  <c:v>2051</c:v>
                </c:pt>
              </c:numCache>
            </c:numRef>
          </c:cat>
          <c:val>
            <c:numRef>
              <c:f>'4全車種Weibull'!$F$25:$BK$25</c:f>
              <c:numCache>
                <c:formatCode>General</c:formatCode>
                <c:ptCount val="58"/>
                <c:pt idx="0">
                  <c:v>2452740</c:v>
                </c:pt>
                <c:pt idx="1">
                  <c:v>2684817</c:v>
                </c:pt>
                <c:pt idx="2">
                  <c:v>2715526</c:v>
                </c:pt>
                <c:pt idx="3">
                  <c:v>3098326</c:v>
                </c:pt>
                <c:pt idx="4">
                  <c:v>3061880</c:v>
                </c:pt>
                <c:pt idx="5">
                  <c:v>3125285</c:v>
                </c:pt>
                <c:pt idx="6">
                  <c:v>3202573</c:v>
                </c:pt>
                <c:pt idx="7">
                  <c:v>3297873</c:v>
                </c:pt>
                <c:pt idx="8">
                  <c:v>3525142</c:v>
                </c:pt>
                <c:pt idx="9">
                  <c:v>3913783</c:v>
                </c:pt>
                <c:pt idx="10">
                  <c:v>4199906</c:v>
                </c:pt>
                <c:pt idx="11">
                  <c:v>4018408</c:v>
                </c:pt>
                <c:pt idx="12">
                  <c:v>4210684</c:v>
                </c:pt>
                <c:pt idx="13">
                  <c:v>4404202</c:v>
                </c:pt>
                <c:pt idx="14">
                  <c:v>4612452</c:v>
                </c:pt>
                <c:pt idx="15">
                  <c:v>3983932</c:v>
                </c:pt>
                <c:pt idx="16">
                  <c:v>4122985</c:v>
                </c:pt>
                <c:pt idx="17">
                  <c:v>3856913</c:v>
                </c:pt>
                <c:pt idx="18">
                  <c:v>3680823</c:v>
                </c:pt>
                <c:pt idx="19">
                  <c:v>4111806</c:v>
                </c:pt>
                <c:pt idx="20">
                  <c:v>4473917</c:v>
                </c:pt>
                <c:pt idx="21">
                  <c:v>4307276</c:v>
                </c:pt>
                <c:pt idx="22">
                  <c:v>4113874</c:v>
                </c:pt>
                <c:pt idx="23">
                  <c:v>4149592</c:v>
                </c:pt>
                <c:pt idx="24">
                  <c:v>4351622</c:v>
                </c:pt>
                <c:pt idx="25">
                  <c:v>4520711</c:v>
                </c:pt>
                <c:pt idx="26" formatCode="0">
                  <c:v>4461434</c:v>
                </c:pt>
                <c:pt idx="27" formatCode="0">
                  <c:v>4027300</c:v>
                </c:pt>
                <c:pt idx="28" formatCode="0">
                  <c:v>3795568</c:v>
                </c:pt>
                <c:pt idx="29" formatCode="0">
                  <c:v>3842711</c:v>
                </c:pt>
                <c:pt idx="30" formatCode="0">
                  <c:v>5349924.0249579847</c:v>
                </c:pt>
                <c:pt idx="31" formatCode="0">
                  <c:v>4474188.9547263086</c:v>
                </c:pt>
                <c:pt idx="32" formatCode="0">
                  <c:v>4470973.8531726599</c:v>
                </c:pt>
                <c:pt idx="33" formatCode="0">
                  <c:v>4462793.5686929226</c:v>
                </c:pt>
                <c:pt idx="34" formatCode="0">
                  <c:v>4450121.1819668561</c:v>
                </c:pt>
                <c:pt idx="35" formatCode="0">
                  <c:v>4433451.2646018937</c:v>
                </c:pt>
                <c:pt idx="36" formatCode="0">
                  <c:v>4413265.3054544255</c:v>
                </c:pt>
                <c:pt idx="37" formatCode="0">
                  <c:v>4390014.70782803</c:v>
                </c:pt>
                <c:pt idx="38" formatCode="0">
                  <c:v>4364110.1315694675</c:v>
                </c:pt>
                <c:pt idx="39" formatCode="0">
                  <c:v>4335914.237238951</c:v>
                </c:pt>
                <c:pt idx="40" formatCode="0">
                  <c:v>4305739.3764904812</c:v>
                </c:pt>
                <c:pt idx="41" formatCode="0">
                  <c:v>4273849.2761459798</c:v>
                </c:pt>
                <c:pt idx="42" formatCode="0">
                  <c:v>4240461.92989517</c:v>
                </c:pt>
                <c:pt idx="43" formatCode="0">
                  <c:v>4205753.9478353858</c:v>
                </c:pt>
                <c:pt idx="44" formatCode="0">
                  <c:v>4169866.1370169595</c:v>
                </c:pt>
                <c:pt idx="45" formatCode="0">
                  <c:v>4132909.5451594144</c:v>
                </c:pt>
                <c:pt idx="46" formatCode="0">
                  <c:v>4094971.6252929866</c:v>
                </c:pt>
                <c:pt idx="47" formatCode="0">
                  <c:v>4056114.646132201</c:v>
                </c:pt>
                <c:pt idx="48" formatCode="0">
                  <c:v>4016382.8587854207</c:v>
                </c:pt>
                <c:pt idx="49" formatCode="0">
                  <c:v>3975814.433588922</c:v>
                </c:pt>
                <c:pt idx="50" formatCode="0">
                  <c:v>3934444.8523418829</c:v>
                </c:pt>
                <c:pt idx="51" formatCode="0">
                  <c:v>3892309.1436948255</c:v>
                </c:pt>
                <c:pt idx="52" formatCode="0">
                  <c:v>3849442.9362574518</c:v>
                </c:pt>
                <c:pt idx="53" formatCode="0">
                  <c:v>3805882.8114599288</c:v>
                </c:pt>
                <c:pt idx="54" formatCode="0">
                  <c:v>3761666.0068861693</c:v>
                </c:pt>
                <c:pt idx="55" formatCode="0">
                  <c:v>3716829.5102555454</c:v>
                </c:pt>
                <c:pt idx="56" formatCode="0">
                  <c:v>3671408.929472886</c:v>
                </c:pt>
                <c:pt idx="57" formatCode="0">
                  <c:v>3625437.3466485739</c:v>
                </c:pt>
              </c:numCache>
            </c:numRef>
          </c:val>
          <c:smooth val="0"/>
          <c:extLst>
            <c:ext xmlns:c16="http://schemas.microsoft.com/office/drawing/2014/chart" uri="{C3380CC4-5D6E-409C-BE32-E72D297353CC}">
              <c16:uniqueId val="{00000001-AF3E-486B-BB9C-10CD7FDE83B4}"/>
            </c:ext>
          </c:extLst>
        </c:ser>
        <c:dLbls>
          <c:showLegendKey val="0"/>
          <c:showVal val="0"/>
          <c:showCatName val="0"/>
          <c:showSerName val="0"/>
          <c:showPercent val="0"/>
          <c:showBubbleSize val="0"/>
        </c:dLbls>
        <c:smooth val="0"/>
        <c:axId val="1484605135"/>
        <c:axId val="1484605615"/>
      </c:lineChart>
      <c:catAx>
        <c:axId val="148460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484605615"/>
        <c:crosses val="autoZero"/>
        <c:auto val="1"/>
        <c:lblAlgn val="ctr"/>
        <c:lblOffset val="100"/>
        <c:noMultiLvlLbl val="0"/>
      </c:catAx>
      <c:valAx>
        <c:axId val="1484605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484605135"/>
        <c:crosses val="autoZero"/>
        <c:crossBetween val="between"/>
        <c:dispUnits>
          <c:builtInUnit val="millions"/>
          <c:dispUnitsLbl>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million</a:t>
                  </a:r>
                  <a:r>
                    <a:rPr lang="en-US" altLang="ja-JP" baseline="0"/>
                    <a:t> vehicles</a:t>
                  </a:r>
                  <a:endParaRPr lang="ja-JP" altLang="en-US"/>
                </a:p>
              </c:rich>
            </c:tx>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Export of new passenger cars to overseas (actual result 2017-2023)</c:v>
          </c:tx>
          <c:spPr>
            <a:ln w="19050" cap="rnd">
              <a:solidFill>
                <a:schemeClr val="tx1"/>
              </a:solidFill>
              <a:round/>
            </a:ln>
            <a:effectLst/>
          </c:spPr>
          <c:marker>
            <c:symbol val="none"/>
          </c:marker>
          <c:xVal>
            <c:numRef>
              <c:f>'2新車海外販売'!$N$42:$T$42</c:f>
              <c:numCache>
                <c:formatCode>General</c:formatCode>
                <c:ptCount val="7"/>
                <c:pt idx="0">
                  <c:v>2017</c:v>
                </c:pt>
                <c:pt idx="1">
                  <c:v>2018</c:v>
                </c:pt>
                <c:pt idx="2">
                  <c:v>2019</c:v>
                </c:pt>
                <c:pt idx="3">
                  <c:v>2020</c:v>
                </c:pt>
                <c:pt idx="4">
                  <c:v>2021</c:v>
                </c:pt>
                <c:pt idx="5">
                  <c:v>2022</c:v>
                </c:pt>
                <c:pt idx="6">
                  <c:v>2023</c:v>
                </c:pt>
              </c:numCache>
            </c:numRef>
          </c:xVal>
          <c:yVal>
            <c:numRef>
              <c:f>'2新車海外販売'!$N$49:$T$49</c:f>
              <c:numCache>
                <c:formatCode>0</c:formatCode>
                <c:ptCount val="7"/>
                <c:pt idx="0">
                  <c:v>4166210</c:v>
                </c:pt>
                <c:pt idx="1">
                  <c:v>4284988</c:v>
                </c:pt>
                <c:pt idx="2">
                  <c:v>4307355</c:v>
                </c:pt>
                <c:pt idx="3">
                  <c:v>3396357</c:v>
                </c:pt>
                <c:pt idx="4">
                  <c:v>3345866</c:v>
                </c:pt>
                <c:pt idx="5">
                  <c:v>3308872</c:v>
                </c:pt>
                <c:pt idx="6">
                  <c:v>3933043</c:v>
                </c:pt>
              </c:numCache>
            </c:numRef>
          </c:yVal>
          <c:smooth val="1"/>
          <c:extLst>
            <c:ext xmlns:c16="http://schemas.microsoft.com/office/drawing/2014/chart" uri="{C3380CC4-5D6E-409C-BE32-E72D297353CC}">
              <c16:uniqueId val="{00000000-2381-44B5-86D1-59C92948F748}"/>
            </c:ext>
          </c:extLst>
        </c:ser>
        <c:ser>
          <c:idx val="1"/>
          <c:order val="1"/>
          <c:tx>
            <c:v>Export prediction of new passenger cars to overseas (average between 2017-2023)</c:v>
          </c:tx>
          <c:spPr>
            <a:ln w="19050" cap="rnd">
              <a:solidFill>
                <a:schemeClr val="tx1"/>
              </a:solidFill>
              <a:prstDash val="dash"/>
              <a:round/>
            </a:ln>
            <a:effectLst/>
          </c:spPr>
          <c:marker>
            <c:symbol val="none"/>
          </c:marker>
          <c:xVal>
            <c:numRef>
              <c:f>'2新車海外販売'!$U$42:$AU$42</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xVal>
          <c:yVal>
            <c:numRef>
              <c:f>'2新車海外販売'!$U$49:$AU$49</c:f>
              <c:numCache>
                <c:formatCode>0</c:formatCode>
                <c:ptCount val="27"/>
                <c:pt idx="0">
                  <c:v>3820000</c:v>
                </c:pt>
                <c:pt idx="1">
                  <c:v>3820000</c:v>
                </c:pt>
                <c:pt idx="2">
                  <c:v>3820000</c:v>
                </c:pt>
                <c:pt idx="3">
                  <c:v>3820000</c:v>
                </c:pt>
                <c:pt idx="4">
                  <c:v>3820000</c:v>
                </c:pt>
                <c:pt idx="5">
                  <c:v>3820000</c:v>
                </c:pt>
                <c:pt idx="6">
                  <c:v>3820000</c:v>
                </c:pt>
                <c:pt idx="7">
                  <c:v>3820000</c:v>
                </c:pt>
                <c:pt idx="8">
                  <c:v>3820000</c:v>
                </c:pt>
                <c:pt idx="9">
                  <c:v>3820000</c:v>
                </c:pt>
                <c:pt idx="10">
                  <c:v>3820000</c:v>
                </c:pt>
                <c:pt idx="11">
                  <c:v>3820000</c:v>
                </c:pt>
                <c:pt idx="12">
                  <c:v>3820000</c:v>
                </c:pt>
                <c:pt idx="13">
                  <c:v>3820000</c:v>
                </c:pt>
                <c:pt idx="14">
                  <c:v>3820000</c:v>
                </c:pt>
                <c:pt idx="15">
                  <c:v>3820000</c:v>
                </c:pt>
                <c:pt idx="16">
                  <c:v>3820000</c:v>
                </c:pt>
                <c:pt idx="17">
                  <c:v>3820000</c:v>
                </c:pt>
                <c:pt idx="18">
                  <c:v>3820000</c:v>
                </c:pt>
                <c:pt idx="19">
                  <c:v>3820000</c:v>
                </c:pt>
                <c:pt idx="20">
                  <c:v>3820000</c:v>
                </c:pt>
                <c:pt idx="21">
                  <c:v>3820000</c:v>
                </c:pt>
                <c:pt idx="22">
                  <c:v>3820000</c:v>
                </c:pt>
                <c:pt idx="23">
                  <c:v>3820000</c:v>
                </c:pt>
                <c:pt idx="24">
                  <c:v>3820000</c:v>
                </c:pt>
                <c:pt idx="25">
                  <c:v>3820000</c:v>
                </c:pt>
                <c:pt idx="26">
                  <c:v>3820000</c:v>
                </c:pt>
              </c:numCache>
            </c:numRef>
          </c:yVal>
          <c:smooth val="1"/>
          <c:extLst>
            <c:ext xmlns:c16="http://schemas.microsoft.com/office/drawing/2014/chart" uri="{C3380CC4-5D6E-409C-BE32-E72D297353CC}">
              <c16:uniqueId val="{00000001-2381-44B5-86D1-59C92948F748}"/>
            </c:ext>
          </c:extLst>
        </c:ser>
        <c:dLbls>
          <c:showLegendKey val="0"/>
          <c:showVal val="0"/>
          <c:showCatName val="0"/>
          <c:showSerName val="0"/>
          <c:showPercent val="0"/>
          <c:showBubbleSize val="0"/>
        </c:dLbls>
        <c:axId val="1208027471"/>
        <c:axId val="1208027951"/>
      </c:scatterChart>
      <c:valAx>
        <c:axId val="1208027471"/>
        <c:scaling>
          <c:orientation val="minMax"/>
          <c:max val="20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crossAx val="1208027951"/>
        <c:crosses val="autoZero"/>
        <c:crossBetween val="midCat"/>
      </c:valAx>
      <c:valAx>
        <c:axId val="12080279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crossAx val="1208027471"/>
        <c:crosses val="autoZero"/>
        <c:crossBetween val="midCat"/>
        <c:majorUnit val="1000000"/>
        <c:dispUnits>
          <c:builtInUnit val="millions"/>
          <c:dispUnitsLbl>
            <c:tx>
              <c:rich>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r>
                    <a:rPr lang="en-US"/>
                    <a:t>million vehicles</a:t>
                  </a:r>
                  <a:endParaRPr lang="ja-JP"/>
                </a:p>
              </c:rich>
            </c:tx>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ptos" panose="020B0004020202020204" pitchFamily="34" charset="0"/>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v>ICEV</c:v>
          </c:tx>
          <c:spPr>
            <a:solidFill>
              <a:schemeClr val="accent2"/>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'5車両選好'!$C$61:$AS$61</c:f>
              <c:numCache>
                <c:formatCode>0%</c:formatCode>
                <c:ptCount val="43"/>
                <c:pt idx="0">
                  <c:v>0.9736296945026911</c:v>
                </c:pt>
                <c:pt idx="1">
                  <c:v>0.91862470054761936</c:v>
                </c:pt>
                <c:pt idx="2">
                  <c:v>0.87966676348566974</c:v>
                </c:pt>
                <c:pt idx="3">
                  <c:v>0.88930911713433058</c:v>
                </c:pt>
                <c:pt idx="4">
                  <c:v>0.79903710920934423</c:v>
                </c:pt>
                <c:pt idx="5">
                  <c:v>0.80159701023523078</c:v>
                </c:pt>
                <c:pt idx="6">
                  <c:v>0.75498152492244697</c:v>
                </c:pt>
                <c:pt idx="7">
                  <c:v>0.7168894237054978</c:v>
                </c:pt>
                <c:pt idx="8">
                  <c:v>0.68394202581492014</c:v>
                </c:pt>
                <c:pt idx="9">
                  <c:v>0.65911332952399504</c:v>
                </c:pt>
                <c:pt idx="10">
                  <c:v>0.64750897611709046</c:v>
                </c:pt>
                <c:pt idx="11">
                  <c:v>0.6250648135204171</c:v>
                </c:pt>
                <c:pt idx="12">
                  <c:v>0.63151375323816816</c:v>
                </c:pt>
                <c:pt idx="13">
                  <c:v>0.56460579964587854</c:v>
                </c:pt>
                <c:pt idx="14">
                  <c:v>0.57077975530799807</c:v>
                </c:pt>
                <c:pt idx="15">
                  <c:v>0.52687362028430595</c:v>
                </c:pt>
                <c:pt idx="16">
                  <c:v>0.48296748526061373</c:v>
                </c:pt>
                <c:pt idx="17">
                  <c:v>0.43906135023692161</c:v>
                </c:pt>
                <c:pt idx="18">
                  <c:v>0.39515521521322944</c:v>
                </c:pt>
                <c:pt idx="19">
                  <c:v>0.35124908018953727</c:v>
                </c:pt>
                <c:pt idx="20">
                  <c:v>0.30734294516584515</c:v>
                </c:pt>
                <c:pt idx="21">
                  <c:v>0.26343681014215298</c:v>
                </c:pt>
                <c:pt idx="22">
                  <c:v>0.21953067511846081</c:v>
                </c:pt>
                <c:pt idx="23">
                  <c:v>0.17562454009476863</c:v>
                </c:pt>
                <c:pt idx="24">
                  <c:v>0.13171840507107646</c:v>
                </c:pt>
                <c:pt idx="25">
                  <c:v>8.7812270047384344E-2</c:v>
                </c:pt>
                <c:pt idx="26">
                  <c:v>4.3906135023692228E-2</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FB2B-4EC6-A8B3-27794005B827}"/>
            </c:ext>
          </c:extLst>
        </c:ser>
        <c:ser>
          <c:idx val="4"/>
          <c:order val="1"/>
          <c:tx>
            <c:v>HEV</c:v>
          </c:tx>
          <c:spPr>
            <a:solidFill>
              <a:schemeClr val="accent4"/>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'5車両選好'!$C$65:$AS$65</c:f>
              <c:numCache>
                <c:formatCode>0%</c:formatCode>
                <c:ptCount val="43"/>
                <c:pt idx="0">
                  <c:v>2.6370305497308854E-2</c:v>
                </c:pt>
                <c:pt idx="1">
                  <c:v>8.0122348098067273E-2</c:v>
                </c:pt>
                <c:pt idx="2">
                  <c:v>0.11755593984584037</c:v>
                </c:pt>
                <c:pt idx="3">
                  <c:v>0.10567553992968358</c:v>
                </c:pt>
                <c:pt idx="4">
                  <c:v>0.18732527851001099</c:v>
                </c:pt>
                <c:pt idx="5">
                  <c:v>0.17821967820632689</c:v>
                </c:pt>
                <c:pt idx="6">
                  <c:v>0.22173906029661106</c:v>
                </c:pt>
                <c:pt idx="7">
                  <c:v>0.24272820901443981</c:v>
                </c:pt>
                <c:pt idx="8">
                  <c:v>0.27905491139794358</c:v>
                </c:pt>
                <c:pt idx="9">
                  <c:v>0.29580942888110506</c:v>
                </c:pt>
                <c:pt idx="10">
                  <c:v>0.30423735620045816</c:v>
                </c:pt>
                <c:pt idx="11">
                  <c:v>0.32721376649174888</c:v>
                </c:pt>
                <c:pt idx="12">
                  <c:v>0.32565223972188384</c:v>
                </c:pt>
                <c:pt idx="13">
                  <c:v>0.38304035019147759</c:v>
                </c:pt>
                <c:pt idx="14">
                  <c:v>0.36922753464637359</c:v>
                </c:pt>
                <c:pt idx="15">
                  <c:v>0.37745545322668916</c:v>
                </c:pt>
                <c:pt idx="16">
                  <c:v>0.38568337180700474</c:v>
                </c:pt>
                <c:pt idx="17">
                  <c:v>0.39391129038732031</c:v>
                </c:pt>
                <c:pt idx="18">
                  <c:v>0.40213920896763594</c:v>
                </c:pt>
                <c:pt idx="19">
                  <c:v>0.41036712754795152</c:v>
                </c:pt>
                <c:pt idx="20">
                  <c:v>0.41859504612826709</c:v>
                </c:pt>
                <c:pt idx="21">
                  <c:v>0.42682296470858266</c:v>
                </c:pt>
                <c:pt idx="22">
                  <c:v>0.43505088328889824</c:v>
                </c:pt>
                <c:pt idx="23">
                  <c:v>0.44327880186921387</c:v>
                </c:pt>
                <c:pt idx="24">
                  <c:v>0.45150672044952944</c:v>
                </c:pt>
                <c:pt idx="25">
                  <c:v>0.45973463902984502</c:v>
                </c:pt>
                <c:pt idx="26">
                  <c:v>0.46796255761016059</c:v>
                </c:pt>
                <c:pt idx="27">
                  <c:v>0.47619047619047616</c:v>
                </c:pt>
                <c:pt idx="28">
                  <c:v>0.44444444444444442</c:v>
                </c:pt>
                <c:pt idx="29">
                  <c:v>0.41269841269841268</c:v>
                </c:pt>
                <c:pt idx="30">
                  <c:v>0.38095238095238093</c:v>
                </c:pt>
                <c:pt idx="31">
                  <c:v>0.34920634920634919</c:v>
                </c:pt>
                <c:pt idx="32">
                  <c:v>0.31746031746031744</c:v>
                </c:pt>
                <c:pt idx="33">
                  <c:v>0.2857142857142857</c:v>
                </c:pt>
                <c:pt idx="34">
                  <c:v>0.25396825396825395</c:v>
                </c:pt>
                <c:pt idx="35">
                  <c:v>0.22222222222222221</c:v>
                </c:pt>
                <c:pt idx="36">
                  <c:v>0.19047619047619047</c:v>
                </c:pt>
                <c:pt idx="37">
                  <c:v>0.15873015873015872</c:v>
                </c:pt>
                <c:pt idx="38">
                  <c:v>0.12698412698412698</c:v>
                </c:pt>
                <c:pt idx="39">
                  <c:v>9.5238095238095233E-2</c:v>
                </c:pt>
                <c:pt idx="40">
                  <c:v>6.3492063492063489E-2</c:v>
                </c:pt>
                <c:pt idx="41">
                  <c:v>3.1746031746031744E-2</c:v>
                </c:pt>
                <c:pt idx="42">
                  <c:v>0</c:v>
                </c:pt>
              </c:numCache>
            </c:numRef>
          </c:val>
          <c:extLst>
            <c:ext xmlns:c16="http://schemas.microsoft.com/office/drawing/2014/chart" uri="{C3380CC4-5D6E-409C-BE32-E72D297353CC}">
              <c16:uniqueId val="{00000001-FB2B-4EC6-A8B3-27794005B827}"/>
            </c:ext>
          </c:extLst>
        </c:ser>
        <c:ser>
          <c:idx val="1"/>
          <c:order val="2"/>
          <c:tx>
            <c:v>BEV</c:v>
          </c:tx>
          <c:spPr>
            <a:solidFill>
              <a:schemeClr val="accent5"/>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'5車両選好'!$C$62:$AS$62</c:f>
              <c:numCache>
                <c:formatCode>0%</c:formatCode>
                <c:ptCount val="43"/>
                <c:pt idx="0">
                  <c:v>0</c:v>
                </c:pt>
                <c:pt idx="1">
                  <c:v>2.4819580300436644E-4</c:v>
                </c:pt>
                <c:pt idx="2">
                  <c:v>5.9654837403925055E-4</c:v>
                </c:pt>
                <c:pt idx="3">
                  <c:v>2.9519785421342429E-3</c:v>
                </c:pt>
                <c:pt idx="4">
                  <c:v>2.841749432346362E-3</c:v>
                </c:pt>
                <c:pt idx="5">
                  <c:v>2.8552454783561713E-3</c:v>
                </c:pt>
                <c:pt idx="6">
                  <c:v>3.3751034686049382E-3</c:v>
                </c:pt>
                <c:pt idx="7">
                  <c:v>2.3635451777649268E-3</c:v>
                </c:pt>
                <c:pt idx="8">
                  <c:v>3.3316560927586962E-3</c:v>
                </c:pt>
                <c:pt idx="9">
                  <c:v>3.863147384667157E-3</c:v>
                </c:pt>
                <c:pt idx="10">
                  <c:v>5.6376687125428513E-3</c:v>
                </c:pt>
                <c:pt idx="11">
                  <c:v>4.729692337747283E-3</c:v>
                </c:pt>
                <c:pt idx="12">
                  <c:v>3.5238426374803967E-3</c:v>
                </c:pt>
                <c:pt idx="13">
                  <c:v>5.7822388247782469E-3</c:v>
                </c:pt>
                <c:pt idx="14">
                  <c:v>1.4454167211801174E-2</c:v>
                </c:pt>
                <c:pt idx="15">
                  <c:v>4.1353512677301488E-2</c:v>
                </c:pt>
                <c:pt idx="16">
                  <c:v>6.8252858142801812E-2</c:v>
                </c:pt>
                <c:pt idx="17">
                  <c:v>9.5152203608302122E-2</c:v>
                </c:pt>
                <c:pt idx="18">
                  <c:v>0.12205154907380245</c:v>
                </c:pt>
                <c:pt idx="19">
                  <c:v>0.14895089453930277</c:v>
                </c:pt>
                <c:pt idx="20">
                  <c:v>0.17585024000480307</c:v>
                </c:pt>
                <c:pt idx="21">
                  <c:v>0.20274958547030339</c:v>
                </c:pt>
                <c:pt idx="22">
                  <c:v>0.22964893093580371</c:v>
                </c:pt>
                <c:pt idx="23">
                  <c:v>0.25654827640130401</c:v>
                </c:pt>
                <c:pt idx="24">
                  <c:v>0.28344762186680433</c:v>
                </c:pt>
                <c:pt idx="25">
                  <c:v>0.31034696733230466</c:v>
                </c:pt>
                <c:pt idx="26">
                  <c:v>0.33724631279780493</c:v>
                </c:pt>
                <c:pt idx="27">
                  <c:v>0.36414565826330525</c:v>
                </c:pt>
                <c:pt idx="28">
                  <c:v>0.39986928104575159</c:v>
                </c:pt>
                <c:pt idx="29">
                  <c:v>0.43559290382819787</c:v>
                </c:pt>
                <c:pt idx="30">
                  <c:v>0.47131652661064422</c:v>
                </c:pt>
                <c:pt idx="31">
                  <c:v>0.5070401493930905</c:v>
                </c:pt>
                <c:pt idx="32">
                  <c:v>0.54276377217553684</c:v>
                </c:pt>
                <c:pt idx="33">
                  <c:v>0.57848739495798318</c:v>
                </c:pt>
                <c:pt idx="34">
                  <c:v>0.61421101774042941</c:v>
                </c:pt>
                <c:pt idx="35">
                  <c:v>0.64993464052287586</c:v>
                </c:pt>
                <c:pt idx="36">
                  <c:v>0.68565826330532209</c:v>
                </c:pt>
                <c:pt idx="37">
                  <c:v>0.72138188608776843</c:v>
                </c:pt>
                <c:pt idx="38">
                  <c:v>0.75710550887021477</c:v>
                </c:pt>
                <c:pt idx="39">
                  <c:v>0.79282913165266111</c:v>
                </c:pt>
                <c:pt idx="40">
                  <c:v>0.82855275443510745</c:v>
                </c:pt>
                <c:pt idx="41">
                  <c:v>0.86427637721755368</c:v>
                </c:pt>
                <c:pt idx="42">
                  <c:v>0.9</c:v>
                </c:pt>
              </c:numCache>
            </c:numRef>
          </c:val>
          <c:extLst>
            <c:ext xmlns:c16="http://schemas.microsoft.com/office/drawing/2014/chart" uri="{C3380CC4-5D6E-409C-BE32-E72D297353CC}">
              <c16:uniqueId val="{00000002-FB2B-4EC6-A8B3-27794005B827}"/>
            </c:ext>
          </c:extLst>
        </c:ser>
        <c:ser>
          <c:idx val="2"/>
          <c:order val="3"/>
          <c:tx>
            <c:v>PHEV</c:v>
          </c:tx>
          <c:spPr>
            <a:solidFill>
              <a:schemeClr val="accent3"/>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'5車両選好'!$C$63:$AS$63</c:f>
              <c:numCache>
                <c:formatCode>0%</c:formatCode>
                <c:ptCount val="43"/>
                <c:pt idx="0">
                  <c:v>0</c:v>
                </c:pt>
                <c:pt idx="1">
                  <c:v>0</c:v>
                </c:pt>
                <c:pt idx="2">
                  <c:v>0</c:v>
                </c:pt>
                <c:pt idx="3">
                  <c:v>3.5123088864927136E-6</c:v>
                </c:pt>
                <c:pt idx="4">
                  <c:v>2.314077346052038E-3</c:v>
                </c:pt>
                <c:pt idx="5">
                  <c:v>2.7325682193918305E-3</c:v>
                </c:pt>
                <c:pt idx="6">
                  <c:v>3.3893497153997948E-3</c:v>
                </c:pt>
                <c:pt idx="7">
                  <c:v>3.2037813109896608E-3</c:v>
                </c:pt>
                <c:pt idx="8">
                  <c:v>2.0542550864143514E-3</c:v>
                </c:pt>
                <c:pt idx="9">
                  <c:v>7.6878597411870614E-3</c:v>
                </c:pt>
                <c:pt idx="10">
                  <c:v>4.9358551310583216E-3</c:v>
                </c:pt>
                <c:pt idx="11">
                  <c:v>3.9135920480894652E-3</c:v>
                </c:pt>
                <c:pt idx="12">
                  <c:v>3.5494723424051204E-3</c:v>
                </c:pt>
                <c:pt idx="13">
                  <c:v>6.0542907853678232E-3</c:v>
                </c:pt>
                <c:pt idx="14">
                  <c:v>9.6009004519059006E-3</c:v>
                </c:pt>
                <c:pt idx="15">
                  <c:v>1.7481201796157055E-2</c:v>
                </c:pt>
                <c:pt idx="16">
                  <c:v>2.536150314040821E-2</c:v>
                </c:pt>
                <c:pt idx="17">
                  <c:v>3.3241804484659368E-2</c:v>
                </c:pt>
                <c:pt idx="18">
                  <c:v>4.1122105828910516E-2</c:v>
                </c:pt>
                <c:pt idx="19">
                  <c:v>4.9002407173161677E-2</c:v>
                </c:pt>
                <c:pt idx="20">
                  <c:v>5.6882708517412825E-2</c:v>
                </c:pt>
                <c:pt idx="21">
                  <c:v>6.4763009861663987E-2</c:v>
                </c:pt>
                <c:pt idx="22">
                  <c:v>7.2643311205915134E-2</c:v>
                </c:pt>
                <c:pt idx="23">
                  <c:v>8.0523612550166296E-2</c:v>
                </c:pt>
                <c:pt idx="24">
                  <c:v>8.8403913894417444E-2</c:v>
                </c:pt>
                <c:pt idx="25">
                  <c:v>9.6284215238668591E-2</c:v>
                </c:pt>
                <c:pt idx="26">
                  <c:v>0.10416451658291975</c:v>
                </c:pt>
                <c:pt idx="27">
                  <c:v>0.11204481792717091</c:v>
                </c:pt>
                <c:pt idx="28">
                  <c:v>0.10457516339869288</c:v>
                </c:pt>
                <c:pt idx="29">
                  <c:v>9.7105508870214963E-2</c:v>
                </c:pt>
                <c:pt idx="30">
                  <c:v>8.9635854341736709E-2</c:v>
                </c:pt>
                <c:pt idx="31">
                  <c:v>8.2166199813258733E-2</c:v>
                </c:pt>
                <c:pt idx="32">
                  <c:v>7.4696545284780647E-2</c:v>
                </c:pt>
                <c:pt idx="33">
                  <c:v>6.722689075630256E-2</c:v>
                </c:pt>
                <c:pt idx="34">
                  <c:v>5.9757236227824584E-2</c:v>
                </c:pt>
                <c:pt idx="35">
                  <c:v>5.2287581699346386E-2</c:v>
                </c:pt>
                <c:pt idx="36">
                  <c:v>4.481792717086841E-2</c:v>
                </c:pt>
                <c:pt idx="37">
                  <c:v>3.7348272642390323E-2</c:v>
                </c:pt>
                <c:pt idx="38">
                  <c:v>2.9878618113912209E-2</c:v>
                </c:pt>
                <c:pt idx="39">
                  <c:v>2.2408963585434122E-2</c:v>
                </c:pt>
                <c:pt idx="40">
                  <c:v>1.4939309056956035E-2</c:v>
                </c:pt>
                <c:pt idx="41">
                  <c:v>7.4696545284780591E-3</c:v>
                </c:pt>
                <c:pt idx="42">
                  <c:v>0</c:v>
                </c:pt>
              </c:numCache>
            </c:numRef>
          </c:val>
          <c:extLst>
            <c:ext xmlns:c16="http://schemas.microsoft.com/office/drawing/2014/chart" uri="{C3380CC4-5D6E-409C-BE32-E72D297353CC}">
              <c16:uniqueId val="{00000003-FB2B-4EC6-A8B3-27794005B827}"/>
            </c:ext>
          </c:extLst>
        </c:ser>
        <c:ser>
          <c:idx val="3"/>
          <c:order val="4"/>
          <c:tx>
            <c:v>FCV</c:v>
          </c:tx>
          <c:spPr>
            <a:solidFill>
              <a:schemeClr val="accent1"/>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'5車両選好'!$C$64:$AS$64</c:f>
              <c:numCache>
                <c:formatCode>0%</c:formatCode>
                <c:ptCount val="43"/>
                <c:pt idx="0">
                  <c:v>0</c:v>
                </c:pt>
                <c:pt idx="1">
                  <c:v>0</c:v>
                </c:pt>
                <c:pt idx="2">
                  <c:v>0</c:v>
                </c:pt>
                <c:pt idx="3">
                  <c:v>0</c:v>
                </c:pt>
                <c:pt idx="4">
                  <c:v>0</c:v>
                </c:pt>
                <c:pt idx="5">
                  <c:v>0</c:v>
                </c:pt>
                <c:pt idx="6">
                  <c:v>1.4665254053528597E-6</c:v>
                </c:pt>
                <c:pt idx="7">
                  <c:v>9.280759224814989E-5</c:v>
                </c:pt>
                <c:pt idx="8">
                  <c:v>2.3058411726099322E-4</c:v>
                </c:pt>
                <c:pt idx="9">
                  <c:v>1.8128521609453991E-4</c:v>
                </c:pt>
                <c:pt idx="10">
                  <c:v>1.3003630392628896E-4</c:v>
                </c:pt>
                <c:pt idx="11">
                  <c:v>1.5224093094106899E-4</c:v>
                </c:pt>
                <c:pt idx="12">
                  <c:v>1.8400193818598752E-4</c:v>
                </c:pt>
                <c:pt idx="13">
                  <c:v>6.5783712550806172E-4</c:v>
                </c:pt>
                <c:pt idx="14">
                  <c:v>2.1584781100284216E-4</c:v>
                </c:pt>
                <c:pt idx="15">
                  <c:v>3.8622477962370555E-3</c:v>
                </c:pt>
                <c:pt idx="16">
                  <c:v>7.508647781471269E-3</c:v>
                </c:pt>
                <c:pt idx="17">
                  <c:v>1.1155047766705483E-2</c:v>
                </c:pt>
                <c:pt idx="18">
                  <c:v>1.4801447751939697E-2</c:v>
                </c:pt>
                <c:pt idx="19">
                  <c:v>1.8447847737173912E-2</c:v>
                </c:pt>
                <c:pt idx="20">
                  <c:v>2.2094247722408124E-2</c:v>
                </c:pt>
                <c:pt idx="21">
                  <c:v>2.5740647707642336E-2</c:v>
                </c:pt>
                <c:pt idx="22">
                  <c:v>2.9387047692876551E-2</c:v>
                </c:pt>
                <c:pt idx="23">
                  <c:v>3.3033447678110762E-2</c:v>
                </c:pt>
                <c:pt idx="24">
                  <c:v>3.6679847663344978E-2</c:v>
                </c:pt>
                <c:pt idx="25">
                  <c:v>4.0326247648579186E-2</c:v>
                </c:pt>
                <c:pt idx="26">
                  <c:v>4.3972647633813401E-2</c:v>
                </c:pt>
                <c:pt idx="27">
                  <c:v>4.7619047619047616E-2</c:v>
                </c:pt>
                <c:pt idx="28">
                  <c:v>5.1111111111111107E-2</c:v>
                </c:pt>
                <c:pt idx="29">
                  <c:v>5.4603174603174598E-2</c:v>
                </c:pt>
                <c:pt idx="30">
                  <c:v>5.8095238095238096E-2</c:v>
                </c:pt>
                <c:pt idx="31">
                  <c:v>6.1587301587301586E-2</c:v>
                </c:pt>
                <c:pt idx="32">
                  <c:v>6.507936507936507E-2</c:v>
                </c:pt>
                <c:pt idx="33">
                  <c:v>6.8571428571428575E-2</c:v>
                </c:pt>
                <c:pt idx="34">
                  <c:v>7.2063492063492066E-2</c:v>
                </c:pt>
                <c:pt idx="35">
                  <c:v>7.5555555555555556E-2</c:v>
                </c:pt>
                <c:pt idx="36">
                  <c:v>7.9047619047619047E-2</c:v>
                </c:pt>
                <c:pt idx="37">
                  <c:v>8.2539682539682538E-2</c:v>
                </c:pt>
                <c:pt idx="38">
                  <c:v>8.6031746031746043E-2</c:v>
                </c:pt>
                <c:pt idx="39">
                  <c:v>8.9523809523809533E-2</c:v>
                </c:pt>
                <c:pt idx="40">
                  <c:v>9.3015873015873024E-2</c:v>
                </c:pt>
                <c:pt idx="41">
                  <c:v>9.6507936507936515E-2</c:v>
                </c:pt>
                <c:pt idx="42">
                  <c:v>0.1</c:v>
                </c:pt>
              </c:numCache>
            </c:numRef>
          </c:val>
          <c:extLst>
            <c:ext xmlns:c16="http://schemas.microsoft.com/office/drawing/2014/chart" uri="{C3380CC4-5D6E-409C-BE32-E72D297353CC}">
              <c16:uniqueId val="{00000004-FB2B-4EC6-A8B3-27794005B827}"/>
            </c:ext>
          </c:extLst>
        </c:ser>
        <c:ser>
          <c:idx val="5"/>
          <c:order val="5"/>
          <c:tx>
            <c:v>Others</c:v>
          </c:tx>
          <c:spPr>
            <a:solidFill>
              <a:schemeClr val="accent6"/>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'5車両選好'!$C$66:$AS$66</c:f>
              <c:numCache>
                <c:formatCode>0%</c:formatCode>
                <c:ptCount val="43"/>
                <c:pt idx="0">
                  <c:v>0</c:v>
                </c:pt>
                <c:pt idx="1">
                  <c:v>1.0047555513089566E-3</c:v>
                </c:pt>
                <c:pt idx="2">
                  <c:v>2.1807482944506099E-3</c:v>
                </c:pt>
                <c:pt idx="3">
                  <c:v>2.0598520849650936E-3</c:v>
                </c:pt>
                <c:pt idx="4">
                  <c:v>8.4817855022463508E-3</c:v>
                </c:pt>
                <c:pt idx="5">
                  <c:v>1.459549786069436E-2</c:v>
                </c:pt>
                <c:pt idx="6">
                  <c:v>1.651349507153187E-2</c:v>
                </c:pt>
                <c:pt idx="7">
                  <c:v>3.4722233199059642E-2</c:v>
                </c:pt>
                <c:pt idx="8">
                  <c:v>3.1386567490702254E-2</c:v>
                </c:pt>
                <c:pt idx="9">
                  <c:v>3.3344949252951173E-2</c:v>
                </c:pt>
                <c:pt idx="10">
                  <c:v>3.7550107534923882E-2</c:v>
                </c:pt>
                <c:pt idx="11">
                  <c:v>3.8925894671056241E-2</c:v>
                </c:pt>
                <c:pt idx="12">
                  <c:v>3.5576690121876503E-2</c:v>
                </c:pt>
                <c:pt idx="13">
                  <c:v>3.9859483426989688E-2</c:v>
                </c:pt>
                <c:pt idx="14">
                  <c:v>3.572179457091848E-2</c:v>
                </c:pt>
                <c:pt idx="15">
                  <c:v>3.2973964219309364E-2</c:v>
                </c:pt>
                <c:pt idx="16">
                  <c:v>3.0226133867700254E-2</c:v>
                </c:pt>
                <c:pt idx="17">
                  <c:v>2.7478303516091138E-2</c:v>
                </c:pt>
                <c:pt idx="18">
                  <c:v>2.4730473164482025E-2</c:v>
                </c:pt>
                <c:pt idx="19">
                  <c:v>2.1982642812872911E-2</c:v>
                </c:pt>
                <c:pt idx="20">
                  <c:v>1.9234812461263795E-2</c:v>
                </c:pt>
                <c:pt idx="21">
                  <c:v>1.6486982109654682E-2</c:v>
                </c:pt>
                <c:pt idx="22">
                  <c:v>1.3739151758045569E-2</c:v>
                </c:pt>
                <c:pt idx="23">
                  <c:v>1.0991321406436456E-2</c:v>
                </c:pt>
                <c:pt idx="24">
                  <c:v>8.2434910548273427E-3</c:v>
                </c:pt>
                <c:pt idx="25">
                  <c:v>5.4956607032182261E-3</c:v>
                </c:pt>
                <c:pt idx="26">
                  <c:v>2.7478303516091096E-3</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5-FB2B-4EC6-A8B3-27794005B827}"/>
            </c:ext>
          </c:extLst>
        </c:ser>
        <c:dLbls>
          <c:showLegendKey val="0"/>
          <c:showVal val="0"/>
          <c:showCatName val="0"/>
          <c:showSerName val="0"/>
          <c:showPercent val="0"/>
          <c:showBubbleSize val="0"/>
        </c:dLbls>
        <c:axId val="1652285791"/>
        <c:axId val="1652282431"/>
      </c:areaChart>
      <c:catAx>
        <c:axId val="16522857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282431"/>
        <c:crosses val="autoZero"/>
        <c:auto val="1"/>
        <c:lblAlgn val="ctr"/>
        <c:lblOffset val="100"/>
        <c:tickLblSkip val="1"/>
        <c:noMultiLvlLbl val="0"/>
      </c:catAx>
      <c:valAx>
        <c:axId val="16522824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285791"/>
        <c:crosses val="autoZero"/>
        <c:crossBetween val="midCat"/>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chart>
  <c:spPr>
    <a:solidFill>
      <a:schemeClr val="bg1"/>
    </a:solidFill>
    <a:ln w="9525" cap="flat" cmpd="sng" algn="ctr">
      <a:noFill/>
      <a:round/>
    </a:ln>
    <a:effectLst/>
  </c:spPr>
  <c:txPr>
    <a:bodyPr/>
    <a:lstStyle/>
    <a:p>
      <a:pPr>
        <a:defRPr sz="1000">
          <a:solidFill>
            <a:schemeClr val="tx1"/>
          </a:solidFill>
          <a:latin typeface="Aptos" panose="020B0004020202020204" pitchFamily="34" charset="0"/>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v>ICEV</c:v>
          </c:tx>
          <c:spPr>
            <a:solidFill>
              <a:schemeClr val="accent2"/>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'5車両選好'!$C$71:$AS$71</c:f>
              <c:numCache>
                <c:formatCode>0%</c:formatCode>
                <c:ptCount val="43"/>
                <c:pt idx="0">
                  <c:v>0.9736296945026911</c:v>
                </c:pt>
                <c:pt idx="1">
                  <c:v>0.91862470054761936</c:v>
                </c:pt>
                <c:pt idx="2">
                  <c:v>0.87966676348566974</c:v>
                </c:pt>
                <c:pt idx="3">
                  <c:v>0.88930911713433058</c:v>
                </c:pt>
                <c:pt idx="4">
                  <c:v>0.79903710920934423</c:v>
                </c:pt>
                <c:pt idx="5">
                  <c:v>0.80159701023523078</c:v>
                </c:pt>
                <c:pt idx="6">
                  <c:v>0.75498152492244697</c:v>
                </c:pt>
                <c:pt idx="7">
                  <c:v>0.7168894237054978</c:v>
                </c:pt>
                <c:pt idx="8">
                  <c:v>0.68394202581492014</c:v>
                </c:pt>
                <c:pt idx="9">
                  <c:v>0.65911332952399504</c:v>
                </c:pt>
                <c:pt idx="10">
                  <c:v>0.64750897611709046</c:v>
                </c:pt>
                <c:pt idx="11">
                  <c:v>0.6250648135204171</c:v>
                </c:pt>
                <c:pt idx="12">
                  <c:v>0.63151375323816816</c:v>
                </c:pt>
                <c:pt idx="13">
                  <c:v>0.56460579964587854</c:v>
                </c:pt>
                <c:pt idx="14">
                  <c:v>0.57077975530799807</c:v>
                </c:pt>
                <c:pt idx="15">
                  <c:v>0.52687362028430595</c:v>
                </c:pt>
                <c:pt idx="16">
                  <c:v>0.48296748526061373</c:v>
                </c:pt>
                <c:pt idx="17">
                  <c:v>0.43906135023692161</c:v>
                </c:pt>
                <c:pt idx="18">
                  <c:v>0.39515521521322944</c:v>
                </c:pt>
                <c:pt idx="19">
                  <c:v>0.35124908018953727</c:v>
                </c:pt>
                <c:pt idx="20">
                  <c:v>0.30734294516584515</c:v>
                </c:pt>
                <c:pt idx="21">
                  <c:v>0.26343681014215298</c:v>
                </c:pt>
                <c:pt idx="22">
                  <c:v>0.21953067511846081</c:v>
                </c:pt>
                <c:pt idx="23">
                  <c:v>0.17562454009476863</c:v>
                </c:pt>
                <c:pt idx="24">
                  <c:v>0.13171840507107646</c:v>
                </c:pt>
                <c:pt idx="25">
                  <c:v>8.7812270047384344E-2</c:v>
                </c:pt>
                <c:pt idx="26">
                  <c:v>4.3906135023692228E-2</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0851-4199-85C7-81A975B9315C}"/>
            </c:ext>
          </c:extLst>
        </c:ser>
        <c:ser>
          <c:idx val="4"/>
          <c:order val="1"/>
          <c:tx>
            <c:v>HEV</c:v>
          </c:tx>
          <c:spPr>
            <a:solidFill>
              <a:schemeClr val="accent4"/>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'5車両選好'!$C$75:$AS$75</c:f>
              <c:numCache>
                <c:formatCode>0%</c:formatCode>
                <c:ptCount val="43"/>
                <c:pt idx="0">
                  <c:v>2.6370305497308854E-2</c:v>
                </c:pt>
                <c:pt idx="1">
                  <c:v>8.0122348098067273E-2</c:v>
                </c:pt>
                <c:pt idx="2">
                  <c:v>0.11755593984584037</c:v>
                </c:pt>
                <c:pt idx="3">
                  <c:v>0.10567553992968358</c:v>
                </c:pt>
                <c:pt idx="4">
                  <c:v>0.18732527851001099</c:v>
                </c:pt>
                <c:pt idx="5">
                  <c:v>0.17821967820632689</c:v>
                </c:pt>
                <c:pt idx="6">
                  <c:v>0.22173906029661106</c:v>
                </c:pt>
                <c:pt idx="7">
                  <c:v>0.24272820901443981</c:v>
                </c:pt>
                <c:pt idx="8">
                  <c:v>0.27905491139794358</c:v>
                </c:pt>
                <c:pt idx="9">
                  <c:v>0.29580942888110506</c:v>
                </c:pt>
                <c:pt idx="10">
                  <c:v>0.30423735620045816</c:v>
                </c:pt>
                <c:pt idx="11">
                  <c:v>0.32721376649174888</c:v>
                </c:pt>
                <c:pt idx="12">
                  <c:v>0.32565223972188384</c:v>
                </c:pt>
                <c:pt idx="13">
                  <c:v>0.38304035019147759</c:v>
                </c:pt>
                <c:pt idx="14">
                  <c:v>0.36922753464637359</c:v>
                </c:pt>
                <c:pt idx="15">
                  <c:v>0.37745545322668916</c:v>
                </c:pt>
                <c:pt idx="16">
                  <c:v>0.38568337180700474</c:v>
                </c:pt>
                <c:pt idx="17">
                  <c:v>0.39391129038732031</c:v>
                </c:pt>
                <c:pt idx="18">
                  <c:v>0.40213920896763594</c:v>
                </c:pt>
                <c:pt idx="19">
                  <c:v>0.41036712754795152</c:v>
                </c:pt>
                <c:pt idx="20">
                  <c:v>0.41859504612826709</c:v>
                </c:pt>
                <c:pt idx="21">
                  <c:v>0.42682296470858266</c:v>
                </c:pt>
                <c:pt idx="22">
                  <c:v>0.43505088328889824</c:v>
                </c:pt>
                <c:pt idx="23">
                  <c:v>0.44327880186921387</c:v>
                </c:pt>
                <c:pt idx="24">
                  <c:v>0.45150672044952944</c:v>
                </c:pt>
                <c:pt idx="25">
                  <c:v>0.45973463902984502</c:v>
                </c:pt>
                <c:pt idx="26">
                  <c:v>0.46796255761016059</c:v>
                </c:pt>
                <c:pt idx="27">
                  <c:v>0.47619047619047616</c:v>
                </c:pt>
                <c:pt idx="28">
                  <c:v>0.44444444444444442</c:v>
                </c:pt>
                <c:pt idx="29">
                  <c:v>0.41269841269841268</c:v>
                </c:pt>
                <c:pt idx="30">
                  <c:v>0.38095238095238093</c:v>
                </c:pt>
                <c:pt idx="31">
                  <c:v>0.34920634920634919</c:v>
                </c:pt>
                <c:pt idx="32">
                  <c:v>0.31746031746031744</c:v>
                </c:pt>
                <c:pt idx="33">
                  <c:v>0.2857142857142857</c:v>
                </c:pt>
                <c:pt idx="34">
                  <c:v>0.25396825396825395</c:v>
                </c:pt>
                <c:pt idx="35">
                  <c:v>0.22222222222222221</c:v>
                </c:pt>
                <c:pt idx="36">
                  <c:v>0.19047619047619047</c:v>
                </c:pt>
                <c:pt idx="37">
                  <c:v>0.15873015873015872</c:v>
                </c:pt>
                <c:pt idx="38">
                  <c:v>0.12698412698412698</c:v>
                </c:pt>
                <c:pt idx="39">
                  <c:v>9.5238095238095233E-2</c:v>
                </c:pt>
                <c:pt idx="40">
                  <c:v>6.3492063492063489E-2</c:v>
                </c:pt>
                <c:pt idx="41">
                  <c:v>3.1746031746031744E-2</c:v>
                </c:pt>
                <c:pt idx="42">
                  <c:v>0</c:v>
                </c:pt>
              </c:numCache>
            </c:numRef>
          </c:val>
          <c:extLst>
            <c:ext xmlns:c16="http://schemas.microsoft.com/office/drawing/2014/chart" uri="{C3380CC4-5D6E-409C-BE32-E72D297353CC}">
              <c16:uniqueId val="{00000001-0851-4199-85C7-81A975B9315C}"/>
            </c:ext>
          </c:extLst>
        </c:ser>
        <c:ser>
          <c:idx val="1"/>
          <c:order val="2"/>
          <c:tx>
            <c:v>BEV</c:v>
          </c:tx>
          <c:spPr>
            <a:solidFill>
              <a:schemeClr val="accent5"/>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'5車両選好'!$C$72:$AS$72</c:f>
              <c:numCache>
                <c:formatCode>0%</c:formatCode>
                <c:ptCount val="43"/>
                <c:pt idx="0">
                  <c:v>0</c:v>
                </c:pt>
                <c:pt idx="1">
                  <c:v>2.4819580300436644E-4</c:v>
                </c:pt>
                <c:pt idx="2">
                  <c:v>5.9654837403925055E-4</c:v>
                </c:pt>
                <c:pt idx="3">
                  <c:v>2.9519785421342429E-3</c:v>
                </c:pt>
                <c:pt idx="4">
                  <c:v>2.841749432346362E-3</c:v>
                </c:pt>
                <c:pt idx="5">
                  <c:v>2.8552454783561713E-3</c:v>
                </c:pt>
                <c:pt idx="6">
                  <c:v>3.3751034686049382E-3</c:v>
                </c:pt>
                <c:pt idx="7">
                  <c:v>2.3635451777649268E-3</c:v>
                </c:pt>
                <c:pt idx="8">
                  <c:v>3.3316560927586962E-3</c:v>
                </c:pt>
                <c:pt idx="9">
                  <c:v>3.863147384667157E-3</c:v>
                </c:pt>
                <c:pt idx="10">
                  <c:v>5.6376687125428513E-3</c:v>
                </c:pt>
                <c:pt idx="11">
                  <c:v>4.729692337747283E-3</c:v>
                </c:pt>
                <c:pt idx="12">
                  <c:v>3.5238426374803967E-3</c:v>
                </c:pt>
                <c:pt idx="13">
                  <c:v>5.7822388247782469E-3</c:v>
                </c:pt>
                <c:pt idx="14">
                  <c:v>1.4454167211801174E-2</c:v>
                </c:pt>
                <c:pt idx="15">
                  <c:v>4.1353512677301488E-2</c:v>
                </c:pt>
                <c:pt idx="16">
                  <c:v>6.8252858142801812E-2</c:v>
                </c:pt>
                <c:pt idx="17">
                  <c:v>9.5152203608302122E-2</c:v>
                </c:pt>
                <c:pt idx="18">
                  <c:v>0.12205154907380245</c:v>
                </c:pt>
                <c:pt idx="19">
                  <c:v>0.14895089453930277</c:v>
                </c:pt>
                <c:pt idx="20">
                  <c:v>0.17585024000480307</c:v>
                </c:pt>
                <c:pt idx="21">
                  <c:v>0.20274958547030339</c:v>
                </c:pt>
                <c:pt idx="22">
                  <c:v>0.22964893093580371</c:v>
                </c:pt>
                <c:pt idx="23">
                  <c:v>0.25654827640130401</c:v>
                </c:pt>
                <c:pt idx="24">
                  <c:v>0.28344762186680433</c:v>
                </c:pt>
                <c:pt idx="25">
                  <c:v>0.31034696733230466</c:v>
                </c:pt>
                <c:pt idx="26">
                  <c:v>0.33724631279780493</c:v>
                </c:pt>
                <c:pt idx="27">
                  <c:v>0.36414565826330525</c:v>
                </c:pt>
                <c:pt idx="28">
                  <c:v>0.37320261437908492</c:v>
                </c:pt>
                <c:pt idx="29">
                  <c:v>0.38225957049486453</c:v>
                </c:pt>
                <c:pt idx="30">
                  <c:v>0.3913165266106442</c:v>
                </c:pt>
                <c:pt idx="31">
                  <c:v>0.40037348272642387</c:v>
                </c:pt>
                <c:pt idx="32">
                  <c:v>0.40943043884220348</c:v>
                </c:pt>
                <c:pt idx="33">
                  <c:v>0.41848739495798315</c:v>
                </c:pt>
                <c:pt idx="34">
                  <c:v>0.42754435107376276</c:v>
                </c:pt>
                <c:pt idx="35">
                  <c:v>0.43660130718954243</c:v>
                </c:pt>
                <c:pt idx="36">
                  <c:v>0.4456582633053221</c:v>
                </c:pt>
                <c:pt idx="37">
                  <c:v>0.45471521942110171</c:v>
                </c:pt>
                <c:pt idx="38">
                  <c:v>0.46377217553688138</c:v>
                </c:pt>
                <c:pt idx="39">
                  <c:v>0.47282913165266105</c:v>
                </c:pt>
                <c:pt idx="40">
                  <c:v>0.48188608776844066</c:v>
                </c:pt>
                <c:pt idx="41">
                  <c:v>0.49094304388422033</c:v>
                </c:pt>
                <c:pt idx="42">
                  <c:v>0.5</c:v>
                </c:pt>
              </c:numCache>
            </c:numRef>
          </c:val>
          <c:extLst>
            <c:ext xmlns:c16="http://schemas.microsoft.com/office/drawing/2014/chart" uri="{C3380CC4-5D6E-409C-BE32-E72D297353CC}">
              <c16:uniqueId val="{00000002-0851-4199-85C7-81A975B9315C}"/>
            </c:ext>
          </c:extLst>
        </c:ser>
        <c:ser>
          <c:idx val="2"/>
          <c:order val="3"/>
          <c:tx>
            <c:v>PHEV</c:v>
          </c:tx>
          <c:spPr>
            <a:solidFill>
              <a:schemeClr val="accent3"/>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'5車両選好'!$C$73:$AS$73</c:f>
              <c:numCache>
                <c:formatCode>0%</c:formatCode>
                <c:ptCount val="43"/>
                <c:pt idx="0">
                  <c:v>0</c:v>
                </c:pt>
                <c:pt idx="1">
                  <c:v>0</c:v>
                </c:pt>
                <c:pt idx="2">
                  <c:v>0</c:v>
                </c:pt>
                <c:pt idx="3">
                  <c:v>3.5123088864927136E-6</c:v>
                </c:pt>
                <c:pt idx="4">
                  <c:v>2.314077346052038E-3</c:v>
                </c:pt>
                <c:pt idx="5">
                  <c:v>2.7325682193918305E-3</c:v>
                </c:pt>
                <c:pt idx="6">
                  <c:v>3.3893497153997948E-3</c:v>
                </c:pt>
                <c:pt idx="7">
                  <c:v>3.2037813109896608E-3</c:v>
                </c:pt>
                <c:pt idx="8">
                  <c:v>2.0542550864143514E-3</c:v>
                </c:pt>
                <c:pt idx="9">
                  <c:v>7.6878597411870614E-3</c:v>
                </c:pt>
                <c:pt idx="10">
                  <c:v>4.9358551310583216E-3</c:v>
                </c:pt>
                <c:pt idx="11">
                  <c:v>3.9135920480894652E-3</c:v>
                </c:pt>
                <c:pt idx="12">
                  <c:v>3.5494723424051204E-3</c:v>
                </c:pt>
                <c:pt idx="13">
                  <c:v>6.0542907853678232E-3</c:v>
                </c:pt>
                <c:pt idx="14">
                  <c:v>9.6009004519059006E-3</c:v>
                </c:pt>
                <c:pt idx="15">
                  <c:v>1.7481201796157055E-2</c:v>
                </c:pt>
                <c:pt idx="16">
                  <c:v>2.536150314040821E-2</c:v>
                </c:pt>
                <c:pt idx="17">
                  <c:v>3.3241804484659368E-2</c:v>
                </c:pt>
                <c:pt idx="18">
                  <c:v>4.1122105828910516E-2</c:v>
                </c:pt>
                <c:pt idx="19">
                  <c:v>4.9002407173161677E-2</c:v>
                </c:pt>
                <c:pt idx="20">
                  <c:v>5.6882708517412825E-2</c:v>
                </c:pt>
                <c:pt idx="21">
                  <c:v>6.4763009861663987E-2</c:v>
                </c:pt>
                <c:pt idx="22">
                  <c:v>7.2643311205915134E-2</c:v>
                </c:pt>
                <c:pt idx="23">
                  <c:v>8.0523612550166296E-2</c:v>
                </c:pt>
                <c:pt idx="24">
                  <c:v>8.8403913894417444E-2</c:v>
                </c:pt>
                <c:pt idx="25">
                  <c:v>9.6284215238668591E-2</c:v>
                </c:pt>
                <c:pt idx="26">
                  <c:v>0.10416451658291975</c:v>
                </c:pt>
                <c:pt idx="27">
                  <c:v>0.11204481792717091</c:v>
                </c:pt>
                <c:pt idx="28">
                  <c:v>0.1312418300653595</c:v>
                </c:pt>
                <c:pt idx="29">
                  <c:v>0.1504388422035482</c:v>
                </c:pt>
                <c:pt idx="30">
                  <c:v>0.16963585434173678</c:v>
                </c:pt>
                <c:pt idx="31">
                  <c:v>0.18883286647992537</c:v>
                </c:pt>
                <c:pt idx="32">
                  <c:v>0.20802987861811406</c:v>
                </c:pt>
                <c:pt idx="33">
                  <c:v>0.22722689075630254</c:v>
                </c:pt>
                <c:pt idx="34">
                  <c:v>0.24642390289449123</c:v>
                </c:pt>
                <c:pt idx="35">
                  <c:v>0.26562091503267976</c:v>
                </c:pt>
                <c:pt idx="36">
                  <c:v>0.2848179271708684</c:v>
                </c:pt>
                <c:pt idx="37">
                  <c:v>0.30401493930905704</c:v>
                </c:pt>
                <c:pt idx="38">
                  <c:v>0.32321195144724568</c:v>
                </c:pt>
                <c:pt idx="39">
                  <c:v>0.34240896358543416</c:v>
                </c:pt>
                <c:pt idx="40">
                  <c:v>0.36160597572362285</c:v>
                </c:pt>
                <c:pt idx="41">
                  <c:v>0.38080298786181133</c:v>
                </c:pt>
                <c:pt idx="42">
                  <c:v>0.4</c:v>
                </c:pt>
              </c:numCache>
            </c:numRef>
          </c:val>
          <c:extLst>
            <c:ext xmlns:c16="http://schemas.microsoft.com/office/drawing/2014/chart" uri="{C3380CC4-5D6E-409C-BE32-E72D297353CC}">
              <c16:uniqueId val="{00000003-0851-4199-85C7-81A975B9315C}"/>
            </c:ext>
          </c:extLst>
        </c:ser>
        <c:ser>
          <c:idx val="3"/>
          <c:order val="4"/>
          <c:tx>
            <c:v>FCV</c:v>
          </c:tx>
          <c:spPr>
            <a:solidFill>
              <a:schemeClr val="accent1"/>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'5車両選好'!$C$74:$AS$74</c:f>
              <c:numCache>
                <c:formatCode>0%</c:formatCode>
                <c:ptCount val="43"/>
                <c:pt idx="0">
                  <c:v>0</c:v>
                </c:pt>
                <c:pt idx="1">
                  <c:v>0</c:v>
                </c:pt>
                <c:pt idx="2">
                  <c:v>0</c:v>
                </c:pt>
                <c:pt idx="3">
                  <c:v>0</c:v>
                </c:pt>
                <c:pt idx="4">
                  <c:v>0</c:v>
                </c:pt>
                <c:pt idx="5">
                  <c:v>0</c:v>
                </c:pt>
                <c:pt idx="6">
                  <c:v>1.4665254053528597E-6</c:v>
                </c:pt>
                <c:pt idx="7">
                  <c:v>9.280759224814989E-5</c:v>
                </c:pt>
                <c:pt idx="8">
                  <c:v>2.3058411726099322E-4</c:v>
                </c:pt>
                <c:pt idx="9">
                  <c:v>1.8128521609453991E-4</c:v>
                </c:pt>
                <c:pt idx="10">
                  <c:v>1.3003630392628896E-4</c:v>
                </c:pt>
                <c:pt idx="11">
                  <c:v>1.5224093094106899E-4</c:v>
                </c:pt>
                <c:pt idx="12">
                  <c:v>1.8400193818598752E-4</c:v>
                </c:pt>
                <c:pt idx="13">
                  <c:v>6.5783712550806172E-4</c:v>
                </c:pt>
                <c:pt idx="14">
                  <c:v>2.1584781100284216E-4</c:v>
                </c:pt>
                <c:pt idx="15">
                  <c:v>3.8622477962370555E-3</c:v>
                </c:pt>
                <c:pt idx="16">
                  <c:v>7.508647781471269E-3</c:v>
                </c:pt>
                <c:pt idx="17">
                  <c:v>1.1155047766705483E-2</c:v>
                </c:pt>
                <c:pt idx="18">
                  <c:v>1.4801447751939697E-2</c:v>
                </c:pt>
                <c:pt idx="19">
                  <c:v>1.8447847737173912E-2</c:v>
                </c:pt>
                <c:pt idx="20">
                  <c:v>2.2094247722408124E-2</c:v>
                </c:pt>
                <c:pt idx="21">
                  <c:v>2.5740647707642336E-2</c:v>
                </c:pt>
                <c:pt idx="22">
                  <c:v>2.9387047692876551E-2</c:v>
                </c:pt>
                <c:pt idx="23">
                  <c:v>3.3033447678110762E-2</c:v>
                </c:pt>
                <c:pt idx="24">
                  <c:v>3.6679847663344978E-2</c:v>
                </c:pt>
                <c:pt idx="25">
                  <c:v>4.0326247648579186E-2</c:v>
                </c:pt>
                <c:pt idx="26">
                  <c:v>4.3972647633813401E-2</c:v>
                </c:pt>
                <c:pt idx="27">
                  <c:v>4.7619047619047616E-2</c:v>
                </c:pt>
                <c:pt idx="28">
                  <c:v>5.1111111111111107E-2</c:v>
                </c:pt>
                <c:pt idx="29">
                  <c:v>5.4603174603174598E-2</c:v>
                </c:pt>
                <c:pt idx="30">
                  <c:v>5.8095238095238096E-2</c:v>
                </c:pt>
                <c:pt idx="31">
                  <c:v>6.1587301587301586E-2</c:v>
                </c:pt>
                <c:pt idx="32">
                  <c:v>6.507936507936507E-2</c:v>
                </c:pt>
                <c:pt idx="33">
                  <c:v>6.8571428571428575E-2</c:v>
                </c:pt>
                <c:pt idx="34">
                  <c:v>7.2063492063492066E-2</c:v>
                </c:pt>
                <c:pt idx="35">
                  <c:v>7.5555555555555556E-2</c:v>
                </c:pt>
                <c:pt idx="36">
                  <c:v>7.9047619047619047E-2</c:v>
                </c:pt>
                <c:pt idx="37">
                  <c:v>8.2539682539682538E-2</c:v>
                </c:pt>
                <c:pt idx="38">
                  <c:v>8.6031746031746043E-2</c:v>
                </c:pt>
                <c:pt idx="39">
                  <c:v>8.9523809523809533E-2</c:v>
                </c:pt>
                <c:pt idx="40">
                  <c:v>9.3015873015873024E-2</c:v>
                </c:pt>
                <c:pt idx="41">
                  <c:v>9.6507936507936515E-2</c:v>
                </c:pt>
                <c:pt idx="42">
                  <c:v>0.1</c:v>
                </c:pt>
              </c:numCache>
            </c:numRef>
          </c:val>
          <c:extLst>
            <c:ext xmlns:c16="http://schemas.microsoft.com/office/drawing/2014/chart" uri="{C3380CC4-5D6E-409C-BE32-E72D297353CC}">
              <c16:uniqueId val="{00000004-0851-4199-85C7-81A975B9315C}"/>
            </c:ext>
          </c:extLst>
        </c:ser>
        <c:ser>
          <c:idx val="5"/>
          <c:order val="5"/>
          <c:tx>
            <c:v>Others</c:v>
          </c:tx>
          <c:spPr>
            <a:solidFill>
              <a:schemeClr val="accent6"/>
            </a:solidFill>
            <a:ln>
              <a:noFill/>
            </a:ln>
            <a:effectLst/>
          </c:spPr>
          <c:cat>
            <c:numRef>
              <c:f>'5車両選好'!$C$60:$AS$60</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'5車両選好'!$C$76:$AS$76</c:f>
              <c:numCache>
                <c:formatCode>0%</c:formatCode>
                <c:ptCount val="43"/>
                <c:pt idx="0">
                  <c:v>0</c:v>
                </c:pt>
                <c:pt idx="1">
                  <c:v>1.0047555513089566E-3</c:v>
                </c:pt>
                <c:pt idx="2">
                  <c:v>2.1807482944506099E-3</c:v>
                </c:pt>
                <c:pt idx="3">
                  <c:v>2.0598520849650936E-3</c:v>
                </c:pt>
                <c:pt idx="4">
                  <c:v>8.4817855022463508E-3</c:v>
                </c:pt>
                <c:pt idx="5">
                  <c:v>1.459549786069436E-2</c:v>
                </c:pt>
                <c:pt idx="6">
                  <c:v>1.651349507153187E-2</c:v>
                </c:pt>
                <c:pt idx="7">
                  <c:v>3.4722233199059642E-2</c:v>
                </c:pt>
                <c:pt idx="8">
                  <c:v>3.1386567490702254E-2</c:v>
                </c:pt>
                <c:pt idx="9">
                  <c:v>3.3344949252951173E-2</c:v>
                </c:pt>
                <c:pt idx="10">
                  <c:v>3.7550107534923882E-2</c:v>
                </c:pt>
                <c:pt idx="11">
                  <c:v>3.8925894671056241E-2</c:v>
                </c:pt>
                <c:pt idx="12">
                  <c:v>3.5576690121876503E-2</c:v>
                </c:pt>
                <c:pt idx="13">
                  <c:v>3.9859483426989688E-2</c:v>
                </c:pt>
                <c:pt idx="14">
                  <c:v>3.572179457091848E-2</c:v>
                </c:pt>
                <c:pt idx="15">
                  <c:v>3.2973964219309364E-2</c:v>
                </c:pt>
                <c:pt idx="16">
                  <c:v>3.0226133867700254E-2</c:v>
                </c:pt>
                <c:pt idx="17">
                  <c:v>2.7478303516091138E-2</c:v>
                </c:pt>
                <c:pt idx="18">
                  <c:v>2.4730473164482025E-2</c:v>
                </c:pt>
                <c:pt idx="19">
                  <c:v>2.1982642812872911E-2</c:v>
                </c:pt>
                <c:pt idx="20">
                  <c:v>1.9234812461263795E-2</c:v>
                </c:pt>
                <c:pt idx="21">
                  <c:v>1.6486982109654682E-2</c:v>
                </c:pt>
                <c:pt idx="22">
                  <c:v>1.3739151758045569E-2</c:v>
                </c:pt>
                <c:pt idx="23">
                  <c:v>1.0991321406436456E-2</c:v>
                </c:pt>
                <c:pt idx="24">
                  <c:v>8.2434910548273427E-3</c:v>
                </c:pt>
                <c:pt idx="25">
                  <c:v>5.4956607032182261E-3</c:v>
                </c:pt>
                <c:pt idx="26">
                  <c:v>2.7478303516091096E-3</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5-0851-4199-85C7-81A975B9315C}"/>
            </c:ext>
          </c:extLst>
        </c:ser>
        <c:dLbls>
          <c:showLegendKey val="0"/>
          <c:showVal val="0"/>
          <c:showCatName val="0"/>
          <c:showSerName val="0"/>
          <c:showPercent val="0"/>
          <c:showBubbleSize val="0"/>
        </c:dLbls>
        <c:axId val="1652285791"/>
        <c:axId val="1652282431"/>
      </c:areaChart>
      <c:catAx>
        <c:axId val="16522857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282431"/>
        <c:crosses val="autoZero"/>
        <c:auto val="1"/>
        <c:lblAlgn val="ctr"/>
        <c:lblOffset val="100"/>
        <c:tickLblSkip val="1"/>
        <c:noMultiLvlLbl val="0"/>
      </c:catAx>
      <c:valAx>
        <c:axId val="16522824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285791"/>
        <c:crosses val="autoZero"/>
        <c:crossBetween val="midCat"/>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chart>
  <c:spPr>
    <a:solidFill>
      <a:schemeClr val="bg1"/>
    </a:solidFill>
    <a:ln w="9525" cap="flat" cmpd="sng" algn="ctr">
      <a:noFill/>
      <a:round/>
    </a:ln>
    <a:effectLst/>
  </c:spPr>
  <c:txPr>
    <a:bodyPr/>
    <a:lstStyle/>
    <a:p>
      <a:pPr>
        <a:defRPr sz="1000">
          <a:solidFill>
            <a:schemeClr val="tx1"/>
          </a:solidFill>
          <a:latin typeface="Aptos" panose="020B0004020202020204" pitchFamily="34" charset="0"/>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strRef>
              <c:f>'5車両選好'!$B$33</c:f>
              <c:strCache>
                <c:ptCount val="1"/>
                <c:pt idx="0">
                  <c:v>ICEV</c:v>
                </c:pt>
              </c:strCache>
            </c:strRef>
          </c:tx>
          <c:spPr>
            <a:solidFill>
              <a:schemeClr val="accent2"/>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'5車両選好'!$D$33:$AT$33</c:f>
              <c:numCache>
                <c:formatCode>0</c:formatCode>
                <c:ptCount val="43"/>
                <c:pt idx="0">
                  <c:v>4006641</c:v>
                </c:pt>
                <c:pt idx="1">
                  <c:v>3989904</c:v>
                </c:pt>
                <c:pt idx="2">
                  <c:v>3600959</c:v>
                </c:pt>
                <c:pt idx="3">
                  <c:v>3797968</c:v>
                </c:pt>
                <c:pt idx="4">
                  <c:v>3787185</c:v>
                </c:pt>
                <c:pt idx="5">
                  <c:v>4142679</c:v>
                </c:pt>
                <c:pt idx="6">
                  <c:v>3603668</c:v>
                </c:pt>
                <c:pt idx="7">
                  <c:v>3174757</c:v>
                </c:pt>
                <c:pt idx="8">
                  <c:v>3126299</c:v>
                </c:pt>
                <c:pt idx="9">
                  <c:v>3086778</c:v>
                </c:pt>
                <c:pt idx="10">
                  <c:v>3047422</c:v>
                </c:pt>
                <c:pt idx="11">
                  <c:v>2812446</c:v>
                </c:pt>
                <c:pt idx="12">
                  <c:v>2611831</c:v>
                </c:pt>
                <c:pt idx="13">
                  <c:v>2114792</c:v>
                </c:pt>
                <c:pt idx="14">
                  <c:v>2242419</c:v>
                </c:pt>
                <c:pt idx="15">
                  <c:v>2162305.6707290206</c:v>
                </c:pt>
                <c:pt idx="16">
                  <c:v>2110699.2414840339</c:v>
                </c:pt>
                <c:pt idx="17">
                  <c:v>1910489.9745134639</c:v>
                </c:pt>
                <c:pt idx="18">
                  <c:v>1711130.6084672718</c:v>
                </c:pt>
                <c:pt idx="19">
                  <c:v>1512946.9343735559</c:v>
                </c:pt>
                <c:pt idx="20">
                  <c:v>1316218.7706476457</c:v>
                </c:pt>
                <c:pt idx="21">
                  <c:v>1121252.7438337612</c:v>
                </c:pt>
                <c:pt idx="22">
                  <c:v>928312.73339521734</c:v>
                </c:pt>
                <c:pt idx="23">
                  <c:v>737608.80821155373</c:v>
                </c:pt>
                <c:pt idx="24">
                  <c:v>549303.54217085638</c:v>
                </c:pt>
                <c:pt idx="25">
                  <c:v>363537.99996927136</c:v>
                </c:pt>
                <c:pt idx="26">
                  <c:v>180412.46302220575</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7E7B-4A81-95E0-AFFEC848FAEC}"/>
            </c:ext>
          </c:extLst>
        </c:ser>
        <c:ser>
          <c:idx val="5"/>
          <c:order val="1"/>
          <c:tx>
            <c:strRef>
              <c:f>'5車両選好'!$B$37</c:f>
              <c:strCache>
                <c:ptCount val="1"/>
                <c:pt idx="0">
                  <c:v>HEV</c:v>
                </c:pt>
              </c:strCache>
            </c:strRef>
          </c:tx>
          <c:spPr>
            <a:solidFill>
              <a:schemeClr val="accent4"/>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'5車両選好'!$D$37:$AT$37</c:f>
              <c:numCache>
                <c:formatCode>General</c:formatCode>
                <c:ptCount val="43"/>
                <c:pt idx="0">
                  <c:v>108518</c:v>
                </c:pt>
                <c:pt idx="1">
                  <c:v>347999</c:v>
                </c:pt>
                <c:pt idx="2">
                  <c:v>481221</c:v>
                </c:pt>
                <c:pt idx="3">
                  <c:v>451308</c:v>
                </c:pt>
                <c:pt idx="4">
                  <c:v>887863</c:v>
                </c:pt>
                <c:pt idx="5">
                  <c:v>921045</c:v>
                </c:pt>
                <c:pt idx="6">
                  <c:v>1058402</c:v>
                </c:pt>
                <c:pt idx="7">
                  <c:v>1074926</c:v>
                </c:pt>
                <c:pt idx="8">
                  <c:v>1275560</c:v>
                </c:pt>
                <c:pt idx="9">
                  <c:v>1385343</c:v>
                </c:pt>
                <c:pt idx="10">
                  <c:v>1431856</c:v>
                </c:pt>
                <c:pt idx="11">
                  <c:v>1472281</c:v>
                </c:pt>
                <c:pt idx="12" formatCode="0">
                  <c:v>1346841</c:v>
                </c:pt>
                <c:pt idx="13" formatCode="0">
                  <c:v>1434719</c:v>
                </c:pt>
                <c:pt idx="14" formatCode="0">
                  <c:v>1450582</c:v>
                </c:pt>
                <c:pt idx="15" formatCode="0">
                  <c:v>1549088.8811613824</c:v>
                </c:pt>
                <c:pt idx="16" formatCode="0">
                  <c:v>1685541.211716922</c:v>
                </c:pt>
                <c:pt idx="17" formatCode="0">
                  <c:v>1714028.280390763</c:v>
                </c:pt>
                <c:pt idx="18" formatCode="0">
                  <c:v>1741373.2195284991</c:v>
                </c:pt>
                <c:pt idx="19" formatCode="0">
                  <c:v>1767588.0809604723</c:v>
                </c:pt>
                <c:pt idx="20" formatCode="0">
                  <c:v>1792664.0766614557</c:v>
                </c:pt>
                <c:pt idx="21" formatCode="0">
                  <c:v>1816664.9529825184</c:v>
                </c:pt>
                <c:pt idx="22" formatCode="0">
                  <c:v>1839666.709055545</c:v>
                </c:pt>
                <c:pt idx="23" formatCode="0">
                  <c:v>1861734.9749400751</c:v>
                </c:pt>
                <c:pt idx="24" formatCode="0">
                  <c:v>1882912.5718842587</c:v>
                </c:pt>
                <c:pt idx="25" formatCode="0">
                  <c:v>1903276.2858689255</c:v>
                </c:pt>
                <c:pt idx="26" formatCode="0">
                  <c:v>1922881.1093270357</c:v>
                </c:pt>
                <c:pt idx="27" formatCode="0">
                  <c:v>1941760.6736689599</c:v>
                </c:pt>
                <c:pt idx="28" formatCode="0">
                  <c:v>1798208.3422878399</c:v>
                </c:pt>
                <c:pt idx="29" formatCode="0">
                  <c:v>1656535.5931361855</c:v>
                </c:pt>
                <c:pt idx="30" formatCode="0">
                  <c:v>1516782.6787763119</c:v>
                </c:pt>
                <c:pt idx="31" formatCode="0">
                  <c:v>1378981.54532875</c:v>
                </c:pt>
                <c:pt idx="32" formatCode="0">
                  <c:v>1243032.1060488508</c:v>
                </c:pt>
                <c:pt idx="33" formatCode="0">
                  <c:v>1109111.1236083091</c:v>
                </c:pt>
                <c:pt idx="34" formatCode="0">
                  <c:v>977241.35991245543</c:v>
                </c:pt>
                <c:pt idx="35" formatCode="0">
                  <c:v>847446.63616450317</c:v>
                </c:pt>
                <c:pt idx="36" formatCode="0">
                  <c:v>719751.59387949551</c:v>
                </c:pt>
                <c:pt idx="37" formatCode="0">
                  <c:v>594187.83629440377</c:v>
                </c:pt>
                <c:pt idx="38" formatCode="0">
                  <c:v>470795.65461914235</c:v>
                </c:pt>
                <c:pt idx="39" formatCode="0">
                  <c:v>349622.30805983825</c:v>
                </c:pt>
                <c:pt idx="40" formatCode="0">
                  <c:v>230722.61121905872</c:v>
                </c:pt>
                <c:pt idx="41" formatCode="0">
                  <c:v>114159.05568430469</c:v>
                </c:pt>
                <c:pt idx="42" formatCode="0">
                  <c:v>0</c:v>
                </c:pt>
              </c:numCache>
            </c:numRef>
          </c:val>
          <c:extLst>
            <c:ext xmlns:c16="http://schemas.microsoft.com/office/drawing/2014/chart" uri="{C3380CC4-5D6E-409C-BE32-E72D297353CC}">
              <c16:uniqueId val="{00000001-7E7B-4A81-95E0-AFFEC848FAEC}"/>
            </c:ext>
          </c:extLst>
        </c:ser>
        <c:ser>
          <c:idx val="2"/>
          <c:order val="2"/>
          <c:tx>
            <c:strRef>
              <c:f>'5車両選好'!$B$34</c:f>
              <c:strCache>
                <c:ptCount val="1"/>
                <c:pt idx="0">
                  <c:v>BEV</c:v>
                </c:pt>
              </c:strCache>
            </c:strRef>
          </c:tx>
          <c:spPr>
            <a:solidFill>
              <a:schemeClr val="accent1"/>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'5車両選好'!$D$34:$AT$34</c:f>
              <c:numCache>
                <c:formatCode>General</c:formatCode>
                <c:ptCount val="43"/>
                <c:pt idx="0">
                  <c:v>0</c:v>
                </c:pt>
                <c:pt idx="1">
                  <c:v>1078</c:v>
                </c:pt>
                <c:pt idx="2">
                  <c:v>2442</c:v>
                </c:pt>
                <c:pt idx="3">
                  <c:v>12607</c:v>
                </c:pt>
                <c:pt idx="4">
                  <c:v>13469</c:v>
                </c:pt>
                <c:pt idx="5">
                  <c:v>14756</c:v>
                </c:pt>
                <c:pt idx="6">
                  <c:v>16110</c:v>
                </c:pt>
                <c:pt idx="7">
                  <c:v>10467</c:v>
                </c:pt>
                <c:pt idx="8">
                  <c:v>15229</c:v>
                </c:pt>
                <c:pt idx="9">
                  <c:v>18092</c:v>
                </c:pt>
                <c:pt idx="10">
                  <c:v>26533</c:v>
                </c:pt>
                <c:pt idx="11">
                  <c:v>21281</c:v>
                </c:pt>
                <c:pt idx="12" formatCode="0">
                  <c:v>14574</c:v>
                </c:pt>
                <c:pt idx="13" formatCode="0">
                  <c:v>21658</c:v>
                </c:pt>
                <c:pt idx="14" formatCode="0">
                  <c:v>56786</c:v>
                </c:pt>
                <c:pt idx="15" formatCode="0">
                  <c:v>169716.09798653831</c:v>
                </c:pt>
                <c:pt idx="16" formatCode="0">
                  <c:v>298283.54973708501</c:v>
                </c:pt>
                <c:pt idx="17" formatCode="0">
                  <c:v>414036.28661104169</c:v>
                </c:pt>
                <c:pt idx="18" formatCode="0">
                  <c:v>528516.72808704642</c:v>
                </c:pt>
                <c:pt idx="19" formatCode="0">
                  <c:v>641581.17978225998</c:v>
                </c:pt>
                <c:pt idx="20" formatCode="0">
                  <c:v>753091.58826573601</c:v>
                </c:pt>
                <c:pt idx="21" formatCode="0">
                  <c:v>862952.78513683821</c:v>
                </c:pt>
                <c:pt idx="22" formatCode="0">
                  <c:v>971099.03517250263</c:v>
                </c:pt>
                <c:pt idx="23" formatCode="0">
                  <c:v>1077481.9299340663</c:v>
                </c:pt>
                <c:pt idx="24" formatCode="0">
                  <c:v>1182057.9107932914</c:v>
                </c:pt>
                <c:pt idx="25" formatCode="0">
                  <c:v>1284819.4875230363</c:v>
                </c:pt>
                <c:pt idx="26" formatCode="0">
                  <c:v>1385761.6459334767</c:v>
                </c:pt>
                <c:pt idx="27" formatCode="0">
                  <c:v>1484875.8092762632</c:v>
                </c:pt>
                <c:pt idx="28" formatCode="0">
                  <c:v>1617858.6232525005</c:v>
                </c:pt>
                <c:pt idx="29" formatCode="0">
                  <c:v>1748432.0925563194</c:v>
                </c:pt>
                <c:pt idx="30" formatCode="0">
                  <c:v>1876572.4524331046</c:v>
                </c:pt>
                <c:pt idx="31" formatCode="0">
                  <c:v>2002251.7068858938</c:v>
                </c:pt>
                <c:pt idx="32" formatCode="0">
                  <c:v>2125219.303665285</c:v>
                </c:pt>
                <c:pt idx="33" formatCode="0">
                  <c:v>2245623.8161528236</c:v>
                </c:pt>
                <c:pt idx="34" formatCode="0">
                  <c:v>2363415.1153588654</c:v>
                </c:pt>
                <c:pt idx="35" formatCode="0">
                  <c:v>2478532.1617705352</c:v>
                </c:pt>
                <c:pt idx="36" formatCode="0">
                  <c:v>2590894.046320925</c:v>
                </c:pt>
                <c:pt idx="37" formatCode="0">
                  <c:v>2700408.9548297436</c:v>
                </c:pt>
                <c:pt idx="38" formatCode="0">
                  <c:v>2806980.6213564542</c:v>
                </c:pt>
                <c:pt idx="39" formatCode="0">
                  <c:v>2910502.8845075476</c:v>
                </c:pt>
                <c:pt idx="40" formatCode="0">
                  <c:v>3010862.2168171816</c:v>
                </c:pt>
                <c:pt idx="41" formatCode="0">
                  <c:v>3107946.7148123472</c:v>
                </c:pt>
                <c:pt idx="42" formatCode="0">
                  <c:v>3201643.6089606411</c:v>
                </c:pt>
              </c:numCache>
            </c:numRef>
          </c:val>
          <c:extLst>
            <c:ext xmlns:c16="http://schemas.microsoft.com/office/drawing/2014/chart" uri="{C3380CC4-5D6E-409C-BE32-E72D297353CC}">
              <c16:uniqueId val="{00000002-7E7B-4A81-95E0-AFFEC848FAEC}"/>
            </c:ext>
          </c:extLst>
        </c:ser>
        <c:ser>
          <c:idx val="3"/>
          <c:order val="3"/>
          <c:tx>
            <c:strRef>
              <c:f>'5車両選好'!$B$35</c:f>
              <c:strCache>
                <c:ptCount val="1"/>
                <c:pt idx="0">
                  <c:v>PHEV</c:v>
                </c:pt>
              </c:strCache>
            </c:strRef>
          </c:tx>
          <c:spPr>
            <a:solidFill>
              <a:schemeClr val="accent3"/>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'5車両選好'!$D$35:$AT$35</c:f>
              <c:numCache>
                <c:formatCode>General</c:formatCode>
                <c:ptCount val="43"/>
                <c:pt idx="0">
                  <c:v>0</c:v>
                </c:pt>
                <c:pt idx="1">
                  <c:v>0</c:v>
                </c:pt>
                <c:pt idx="2">
                  <c:v>0</c:v>
                </c:pt>
                <c:pt idx="3">
                  <c:v>15</c:v>
                </c:pt>
                <c:pt idx="4">
                  <c:v>10968</c:v>
                </c:pt>
                <c:pt idx="5">
                  <c:v>14122</c:v>
                </c:pt>
                <c:pt idx="6">
                  <c:v>16178</c:v>
                </c:pt>
                <c:pt idx="7">
                  <c:v>14188</c:v>
                </c:pt>
                <c:pt idx="8">
                  <c:v>9390</c:v>
                </c:pt>
                <c:pt idx="9">
                  <c:v>36004</c:v>
                </c:pt>
                <c:pt idx="10">
                  <c:v>23230</c:v>
                </c:pt>
                <c:pt idx="11">
                  <c:v>17609</c:v>
                </c:pt>
                <c:pt idx="12" formatCode="0">
                  <c:v>14680</c:v>
                </c:pt>
                <c:pt idx="13" formatCode="0">
                  <c:v>22677</c:v>
                </c:pt>
                <c:pt idx="14" formatCode="0">
                  <c:v>37719</c:v>
                </c:pt>
                <c:pt idx="15" formatCode="0">
                  <c:v>71743.394088684232</c:v>
                </c:pt>
                <c:pt idx="16" formatCode="0">
                  <c:v>110836.66514831531</c:v>
                </c:pt>
                <c:pt idx="17" formatCode="0">
                  <c:v>144645.23959671886</c:v>
                </c:pt>
                <c:pt idx="18" formatCode="0">
                  <c:v>178070.01213563493</c:v>
                </c:pt>
                <c:pt idx="19" formatCode="0">
                  <c:v>211069.71061548154</c:v>
                </c:pt>
                <c:pt idx="20" formatCode="0">
                  <c:v>243604.38348600082</c:v>
                </c:pt>
                <c:pt idx="21" formatCode="0">
                  <c:v>275647.51663649268</c:v>
                </c:pt>
                <c:pt idx="22" formatCode="0">
                  <c:v>307181.26636313379</c:v>
                </c:pt>
                <c:pt idx="23" formatCode="0">
                  <c:v>338192.6344346127</c:v>
                </c:pt>
                <c:pt idx="24" formatCode="0">
                  <c:v>368669.68604552379</c:v>
                </c:pt>
                <c:pt idx="25" formatCode="0">
                  <c:v>398611.39015753125</c:v>
                </c:pt>
                <c:pt idx="26" formatCode="0">
                  <c:v>428017.10936526908</c:v>
                </c:pt>
                <c:pt idx="27" formatCode="0">
                  <c:v>456884.86439269665</c:v>
                </c:pt>
                <c:pt idx="28" formatCode="0">
                  <c:v>423107.84524419793</c:v>
                </c:pt>
                <c:pt idx="29" formatCode="0">
                  <c:v>389773.08073792688</c:v>
                </c:pt>
                <c:pt idx="30" formatCode="0">
                  <c:v>356890.0420650146</c:v>
                </c:pt>
                <c:pt idx="31" formatCode="0">
                  <c:v>324466.24595970626</c:v>
                </c:pt>
                <c:pt idx="32" formatCode="0">
                  <c:v>292478.14259972988</c:v>
                </c:pt>
                <c:pt idx="33" formatCode="0">
                  <c:v>260967.32320195524</c:v>
                </c:pt>
                <c:pt idx="34" formatCode="0">
                  <c:v>229939.14350881352</c:v>
                </c:pt>
                <c:pt idx="35" formatCode="0">
                  <c:v>199399.20850929478</c:v>
                </c:pt>
                <c:pt idx="36" formatCode="0">
                  <c:v>169353.31620694036</c:v>
                </c:pt>
                <c:pt idx="37" formatCode="0">
                  <c:v>139808.9026575069</c:v>
                </c:pt>
                <c:pt idx="38" formatCode="0">
                  <c:v>110775.44814568046</c:v>
                </c:pt>
                <c:pt idx="39" formatCode="0">
                  <c:v>82264.072484667631</c:v>
                </c:pt>
                <c:pt idx="40" formatCode="0">
                  <c:v>54287.673228013526</c:v>
                </c:pt>
                <c:pt idx="41" formatCode="0">
                  <c:v>26860.954278659934</c:v>
                </c:pt>
                <c:pt idx="42" formatCode="0">
                  <c:v>0</c:v>
                </c:pt>
              </c:numCache>
            </c:numRef>
          </c:val>
          <c:extLst>
            <c:ext xmlns:c16="http://schemas.microsoft.com/office/drawing/2014/chart" uri="{C3380CC4-5D6E-409C-BE32-E72D297353CC}">
              <c16:uniqueId val="{00000003-7E7B-4A81-95E0-AFFEC848FAEC}"/>
            </c:ext>
          </c:extLst>
        </c:ser>
        <c:ser>
          <c:idx val="4"/>
          <c:order val="4"/>
          <c:tx>
            <c:strRef>
              <c:f>'5車両選好'!$B$36</c:f>
              <c:strCache>
                <c:ptCount val="1"/>
                <c:pt idx="0">
                  <c:v>FCV</c:v>
                </c:pt>
              </c:strCache>
            </c:strRef>
          </c:tx>
          <c:spPr>
            <a:solidFill>
              <a:schemeClr val="accent5"/>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'5車両選好'!$D$36:$AT$36</c:f>
              <c:numCache>
                <c:formatCode>General</c:formatCode>
                <c:ptCount val="43"/>
                <c:pt idx="0">
                  <c:v>0</c:v>
                </c:pt>
                <c:pt idx="1">
                  <c:v>0</c:v>
                </c:pt>
                <c:pt idx="2">
                  <c:v>0</c:v>
                </c:pt>
                <c:pt idx="3">
                  <c:v>0</c:v>
                </c:pt>
                <c:pt idx="4">
                  <c:v>0</c:v>
                </c:pt>
                <c:pt idx="5">
                  <c:v>0</c:v>
                </c:pt>
                <c:pt idx="6">
                  <c:v>7</c:v>
                </c:pt>
                <c:pt idx="7">
                  <c:v>411</c:v>
                </c:pt>
                <c:pt idx="8">
                  <c:v>1054</c:v>
                </c:pt>
                <c:pt idx="9">
                  <c:v>849</c:v>
                </c:pt>
                <c:pt idx="10">
                  <c:v>612</c:v>
                </c:pt>
                <c:pt idx="11">
                  <c:v>685</c:v>
                </c:pt>
                <c:pt idx="12" formatCode="0">
                  <c:v>761</c:v>
                </c:pt>
                <c:pt idx="13" formatCode="0">
                  <c:v>2464</c:v>
                </c:pt>
                <c:pt idx="14" formatCode="0">
                  <c:v>848</c:v>
                </c:pt>
                <c:pt idx="15" formatCode="0">
                  <c:v>15850.784685438559</c:v>
                </c:pt>
                <c:pt idx="16" formatCode="0">
                  <c:v>32814.832593482322</c:v>
                </c:pt>
                <c:pt idx="17" formatCode="0">
                  <c:v>48539.018321721298</c:v>
                </c:pt>
                <c:pt idx="18" formatCode="0">
                  <c:v>64094.333879172787</c:v>
                </c:pt>
                <c:pt idx="19" formatCode="0">
                  <c:v>79461.032793841296</c:v>
                </c:pt>
                <c:pt idx="20" formatCode="0">
                  <c:v>94620.241111700991</c:v>
                </c:pt>
                <c:pt idx="21" formatCode="0">
                  <c:v>109558.61428278798</c:v>
                </c:pt>
                <c:pt idx="22" formatCode="0">
                  <c:v>124266.78210445581</c:v>
                </c:pt>
                <c:pt idx="23" formatCode="0">
                  <c:v>138737.79803108383</c:v>
                </c:pt>
                <c:pt idx="24" formatCode="0">
                  <c:v>152965.48904377152</c:v>
                </c:pt>
                <c:pt idx="25" formatCode="0">
                  <c:v>166948.4618552654</c:v>
                </c:pt>
                <c:pt idx="26" formatCode="0">
                  <c:v>180685.76660056721</c:v>
                </c:pt>
                <c:pt idx="27" formatCode="0">
                  <c:v>194176.06736689599</c:v>
                </c:pt>
                <c:pt idx="28" formatCode="0">
                  <c:v>206793.95936310157</c:v>
                </c:pt>
                <c:pt idx="29" formatCode="0">
                  <c:v>219172.401553403</c:v>
                </c:pt>
                <c:pt idx="30" formatCode="0">
                  <c:v>231309.35851338756</c:v>
                </c:pt>
                <c:pt idx="31" formatCode="0">
                  <c:v>243202.19981252501</c:v>
                </c:pt>
                <c:pt idx="32" formatCode="0">
                  <c:v>254821.5817400144</c:v>
                </c:pt>
                <c:pt idx="33" formatCode="0">
                  <c:v>266186.66966599418</c:v>
                </c:pt>
                <c:pt idx="34" formatCode="0">
                  <c:v>277292.23587515921</c:v>
                </c:pt>
                <c:pt idx="35" formatCode="0">
                  <c:v>288131.85629593109</c:v>
                </c:pt>
                <c:pt idx="36" formatCode="0">
                  <c:v>298696.91145999066</c:v>
                </c:pt>
                <c:pt idx="37" formatCode="0">
                  <c:v>308977.67487309</c:v>
                </c:pt>
                <c:pt idx="38" formatCode="0">
                  <c:v>318964.05600446899</c:v>
                </c:pt>
                <c:pt idx="39" formatCode="0">
                  <c:v>328644.96957624797</c:v>
                </c:pt>
                <c:pt idx="40" formatCode="0">
                  <c:v>338008.62543592107</c:v>
                </c:pt>
                <c:pt idx="41" formatCode="0">
                  <c:v>347043.52928028634</c:v>
                </c:pt>
                <c:pt idx="42" formatCode="0">
                  <c:v>355738.17877340456</c:v>
                </c:pt>
              </c:numCache>
            </c:numRef>
          </c:val>
          <c:extLst>
            <c:ext xmlns:c16="http://schemas.microsoft.com/office/drawing/2014/chart" uri="{C3380CC4-5D6E-409C-BE32-E72D297353CC}">
              <c16:uniqueId val="{00000004-7E7B-4A81-95E0-AFFEC848FAEC}"/>
            </c:ext>
          </c:extLst>
        </c:ser>
        <c:ser>
          <c:idx val="6"/>
          <c:order val="5"/>
          <c:tx>
            <c:strRef>
              <c:f>'5車両選好'!$B$38</c:f>
              <c:strCache>
                <c:ptCount val="1"/>
                <c:pt idx="0">
                  <c:v>Others</c:v>
                </c:pt>
              </c:strCache>
            </c:strRef>
          </c:tx>
          <c:spPr>
            <a:solidFill>
              <a:srgbClr val="7030A0"/>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'5車両選好'!$D$38:$AT$38</c:f>
              <c:numCache>
                <c:formatCode>General</c:formatCode>
                <c:ptCount val="43"/>
                <c:pt idx="0">
                  <c:v>0</c:v>
                </c:pt>
                <c:pt idx="1">
                  <c:v>4364</c:v>
                </c:pt>
                <c:pt idx="2">
                  <c:v>8927</c:v>
                </c:pt>
                <c:pt idx="3">
                  <c:v>8797</c:v>
                </c:pt>
                <c:pt idx="4">
                  <c:v>40201</c:v>
                </c:pt>
                <c:pt idx="5">
                  <c:v>75430</c:v>
                </c:pt>
                <c:pt idx="6">
                  <c:v>78822</c:v>
                </c:pt>
                <c:pt idx="7">
                  <c:v>153768</c:v>
                </c:pt>
                <c:pt idx="8">
                  <c:v>143468</c:v>
                </c:pt>
                <c:pt idx="9">
                  <c:v>156162</c:v>
                </c:pt>
                <c:pt idx="10">
                  <c:v>176725</c:v>
                </c:pt>
                <c:pt idx="11">
                  <c:v>175145</c:v>
                </c:pt>
                <c:pt idx="12" formatCode="0">
                  <c:v>147139</c:v>
                </c:pt>
                <c:pt idx="13" formatCode="0">
                  <c:v>149298</c:v>
                </c:pt>
                <c:pt idx="14" formatCode="0">
                  <c:v>140340</c:v>
                </c:pt>
                <c:pt idx="15" formatCode="0">
                  <c:v>135326.17134893642</c:v>
                </c:pt>
                <c:pt idx="16" formatCode="0">
                  <c:v>132096.42424090652</c:v>
                </c:pt>
                <c:pt idx="17" formatCode="0">
                  <c:v>119566.48736173725</c:v>
                </c:pt>
                <c:pt idx="18" formatCode="0">
                  <c:v>107089.74085231035</c:v>
                </c:pt>
                <c:pt idx="19" formatCode="0">
                  <c:v>94686.574083605621</c:v>
                </c:pt>
                <c:pt idx="20" formatCode="0">
                  <c:v>82374.499267394072</c:v>
                </c:pt>
                <c:pt idx="21" formatCode="0">
                  <c:v>70172.706380756688</c:v>
                </c:pt>
                <c:pt idx="22" formatCode="0">
                  <c:v>58097.710108897933</c:v>
                </c:pt>
                <c:pt idx="23" formatCode="0">
                  <c:v>46162.657444665536</c:v>
                </c:pt>
                <c:pt idx="24" formatCode="0">
                  <c:v>34377.722944845722</c:v>
                </c:pt>
                <c:pt idx="25" formatCode="0">
                  <c:v>22751.735030646596</c:v>
                </c:pt>
                <c:pt idx="26" formatCode="0">
                  <c:v>11290.969734262988</c:v>
                </c:pt>
                <c:pt idx="27" formatCode="0">
                  <c:v>0</c:v>
                </c:pt>
                <c:pt idx="28" formatCode="0">
                  <c:v>0</c:v>
                </c:pt>
                <c:pt idx="29" formatCode="0">
                  <c:v>0</c:v>
                </c:pt>
                <c:pt idx="30" formatCode="0">
                  <c:v>0</c:v>
                </c:pt>
                <c:pt idx="31" formatCode="0">
                  <c:v>0</c:v>
                </c:pt>
                <c:pt idx="32" formatCode="0">
                  <c:v>0</c:v>
                </c:pt>
                <c:pt idx="33" formatCode="0">
                  <c:v>0</c:v>
                </c:pt>
                <c:pt idx="34" formatCode="0">
                  <c:v>0</c:v>
                </c:pt>
                <c:pt idx="35" formatCode="0">
                  <c:v>0</c:v>
                </c:pt>
                <c:pt idx="36" formatCode="0">
                  <c:v>0</c:v>
                </c:pt>
                <c:pt idx="37" formatCode="0">
                  <c:v>0</c:v>
                </c:pt>
                <c:pt idx="38" formatCode="0">
                  <c:v>0</c:v>
                </c:pt>
                <c:pt idx="39" formatCode="0">
                  <c:v>0</c:v>
                </c:pt>
                <c:pt idx="40" formatCode="0">
                  <c:v>0</c:v>
                </c:pt>
                <c:pt idx="41" formatCode="0">
                  <c:v>0</c:v>
                </c:pt>
                <c:pt idx="42" formatCode="0">
                  <c:v>0</c:v>
                </c:pt>
              </c:numCache>
            </c:numRef>
          </c:val>
          <c:extLst>
            <c:ext xmlns:c16="http://schemas.microsoft.com/office/drawing/2014/chart" uri="{C3380CC4-5D6E-409C-BE32-E72D297353CC}">
              <c16:uniqueId val="{00000005-7E7B-4A81-95E0-AFFEC848FAEC}"/>
            </c:ext>
          </c:extLst>
        </c:ser>
        <c:dLbls>
          <c:showLegendKey val="0"/>
          <c:showVal val="0"/>
          <c:showCatName val="0"/>
          <c:showSerName val="0"/>
          <c:showPercent val="0"/>
          <c:showBubbleSize val="0"/>
        </c:dLbls>
        <c:axId val="666998112"/>
        <c:axId val="666998592"/>
      </c:areaChart>
      <c:catAx>
        <c:axId val="666998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666998592"/>
        <c:crosses val="autoZero"/>
        <c:auto val="1"/>
        <c:lblAlgn val="ctr"/>
        <c:lblOffset val="100"/>
        <c:noMultiLvlLbl val="0"/>
      </c:catAx>
      <c:valAx>
        <c:axId val="6669985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666998112"/>
        <c:crosses val="autoZero"/>
        <c:crossBetween val="midCat"/>
        <c:dispUnits>
          <c:builtInUnit val="millions"/>
          <c:dispUnitsLbl>
            <c:tx>
              <c:rich>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r>
                    <a:rPr lang="en-US"/>
                    <a:t>million vehicles</a:t>
                  </a:r>
                  <a:endParaRPr lang="ja-JP"/>
                </a:p>
              </c:rich>
            </c:tx>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dispUnitsLbl>
        </c:dispUnits>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Aptos" panose="020B0004020202020204" pitchFamily="34" charset="0"/>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strRef>
              <c:f>'5車両選好'!$B$33</c:f>
              <c:strCache>
                <c:ptCount val="1"/>
                <c:pt idx="0">
                  <c:v>ICEV</c:v>
                </c:pt>
              </c:strCache>
            </c:strRef>
          </c:tx>
          <c:spPr>
            <a:solidFill>
              <a:schemeClr val="accent2"/>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'5車両選好'!$D$33:$AT$33</c:f>
              <c:numCache>
                <c:formatCode>0</c:formatCode>
                <c:ptCount val="43"/>
                <c:pt idx="0">
                  <c:v>4006641</c:v>
                </c:pt>
                <c:pt idx="1">
                  <c:v>3989904</c:v>
                </c:pt>
                <c:pt idx="2">
                  <c:v>3600959</c:v>
                </c:pt>
                <c:pt idx="3">
                  <c:v>3797968</c:v>
                </c:pt>
                <c:pt idx="4">
                  <c:v>3787185</c:v>
                </c:pt>
                <c:pt idx="5">
                  <c:v>4142679</c:v>
                </c:pt>
                <c:pt idx="6">
                  <c:v>3603668</c:v>
                </c:pt>
                <c:pt idx="7">
                  <c:v>3174757</c:v>
                </c:pt>
                <c:pt idx="8">
                  <c:v>3126299</c:v>
                </c:pt>
                <c:pt idx="9">
                  <c:v>3086778</c:v>
                </c:pt>
                <c:pt idx="10">
                  <c:v>3047422</c:v>
                </c:pt>
                <c:pt idx="11">
                  <c:v>2812446</c:v>
                </c:pt>
                <c:pt idx="12">
                  <c:v>2611831</c:v>
                </c:pt>
                <c:pt idx="13">
                  <c:v>2114792</c:v>
                </c:pt>
                <c:pt idx="14">
                  <c:v>2242419</c:v>
                </c:pt>
                <c:pt idx="15">
                  <c:v>2162305.6707290206</c:v>
                </c:pt>
                <c:pt idx="16">
                  <c:v>2110699.2414840339</c:v>
                </c:pt>
                <c:pt idx="17">
                  <c:v>1910489.9745134639</c:v>
                </c:pt>
                <c:pt idx="18">
                  <c:v>1711130.6084672718</c:v>
                </c:pt>
                <c:pt idx="19">
                  <c:v>1512946.9343735559</c:v>
                </c:pt>
                <c:pt idx="20">
                  <c:v>1316218.7706476457</c:v>
                </c:pt>
                <c:pt idx="21">
                  <c:v>1121252.7438337612</c:v>
                </c:pt>
                <c:pt idx="22">
                  <c:v>928312.73339521734</c:v>
                </c:pt>
                <c:pt idx="23">
                  <c:v>737608.80821155373</c:v>
                </c:pt>
                <c:pt idx="24">
                  <c:v>549303.54217085638</c:v>
                </c:pt>
                <c:pt idx="25">
                  <c:v>363537.99996927136</c:v>
                </c:pt>
                <c:pt idx="26">
                  <c:v>180412.46302220575</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1858-42DC-B37F-69AAC41E6A5F}"/>
            </c:ext>
          </c:extLst>
        </c:ser>
        <c:ser>
          <c:idx val="5"/>
          <c:order val="1"/>
          <c:tx>
            <c:strRef>
              <c:f>'5車両選好'!$B$37</c:f>
              <c:strCache>
                <c:ptCount val="1"/>
                <c:pt idx="0">
                  <c:v>HEV</c:v>
                </c:pt>
              </c:strCache>
            </c:strRef>
          </c:tx>
          <c:spPr>
            <a:solidFill>
              <a:schemeClr val="accent4"/>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'5車両選好'!$D$37:$AT$37</c:f>
              <c:numCache>
                <c:formatCode>General</c:formatCode>
                <c:ptCount val="43"/>
                <c:pt idx="0">
                  <c:v>108518</c:v>
                </c:pt>
                <c:pt idx="1">
                  <c:v>347999</c:v>
                </c:pt>
                <c:pt idx="2">
                  <c:v>481221</c:v>
                </c:pt>
                <c:pt idx="3">
                  <c:v>451308</c:v>
                </c:pt>
                <c:pt idx="4">
                  <c:v>887863</c:v>
                </c:pt>
                <c:pt idx="5">
                  <c:v>921045</c:v>
                </c:pt>
                <c:pt idx="6">
                  <c:v>1058402</c:v>
                </c:pt>
                <c:pt idx="7">
                  <c:v>1074926</c:v>
                </c:pt>
                <c:pt idx="8">
                  <c:v>1275560</c:v>
                </c:pt>
                <c:pt idx="9">
                  <c:v>1385343</c:v>
                </c:pt>
                <c:pt idx="10">
                  <c:v>1431856</c:v>
                </c:pt>
                <c:pt idx="11">
                  <c:v>1472281</c:v>
                </c:pt>
                <c:pt idx="12" formatCode="0">
                  <c:v>1346841</c:v>
                </c:pt>
                <c:pt idx="13" formatCode="0">
                  <c:v>1434719</c:v>
                </c:pt>
                <c:pt idx="14" formatCode="0">
                  <c:v>1450582</c:v>
                </c:pt>
                <c:pt idx="15" formatCode="0">
                  <c:v>1549088.8811613824</c:v>
                </c:pt>
                <c:pt idx="16" formatCode="0">
                  <c:v>1685541.211716922</c:v>
                </c:pt>
                <c:pt idx="17" formatCode="0">
                  <c:v>1714028.280390763</c:v>
                </c:pt>
                <c:pt idx="18" formatCode="0">
                  <c:v>1741373.2195284991</c:v>
                </c:pt>
                <c:pt idx="19" formatCode="0">
                  <c:v>1767588.0809604723</c:v>
                </c:pt>
                <c:pt idx="20" formatCode="0">
                  <c:v>1792664.0766614557</c:v>
                </c:pt>
                <c:pt idx="21" formatCode="0">
                  <c:v>1816664.9529825184</c:v>
                </c:pt>
                <c:pt idx="22" formatCode="0">
                  <c:v>1839666.709055545</c:v>
                </c:pt>
                <c:pt idx="23" formatCode="0">
                  <c:v>1861734.9749400751</c:v>
                </c:pt>
                <c:pt idx="24" formatCode="0">
                  <c:v>1882912.5718842587</c:v>
                </c:pt>
                <c:pt idx="25" formatCode="0">
                  <c:v>1903276.2858689255</c:v>
                </c:pt>
                <c:pt idx="26" formatCode="0">
                  <c:v>1922881.1093270357</c:v>
                </c:pt>
                <c:pt idx="27" formatCode="0">
                  <c:v>1941760.6736689599</c:v>
                </c:pt>
                <c:pt idx="28" formatCode="0">
                  <c:v>1798208.3422878399</c:v>
                </c:pt>
                <c:pt idx="29" formatCode="0">
                  <c:v>1656535.5931361855</c:v>
                </c:pt>
                <c:pt idx="30" formatCode="0">
                  <c:v>1516782.6787763119</c:v>
                </c:pt>
                <c:pt idx="31" formatCode="0">
                  <c:v>1378981.54532875</c:v>
                </c:pt>
                <c:pt idx="32" formatCode="0">
                  <c:v>1243032.1060488508</c:v>
                </c:pt>
                <c:pt idx="33" formatCode="0">
                  <c:v>1109111.1236083091</c:v>
                </c:pt>
                <c:pt idx="34" formatCode="0">
                  <c:v>977241.35991245543</c:v>
                </c:pt>
                <c:pt idx="35" formatCode="0">
                  <c:v>847446.63616450317</c:v>
                </c:pt>
                <c:pt idx="36" formatCode="0">
                  <c:v>719751.59387949551</c:v>
                </c:pt>
                <c:pt idx="37" formatCode="0">
                  <c:v>594187.83629440377</c:v>
                </c:pt>
                <c:pt idx="38" formatCode="0">
                  <c:v>470795.65461914235</c:v>
                </c:pt>
                <c:pt idx="39" formatCode="0">
                  <c:v>349622.30805983825</c:v>
                </c:pt>
                <c:pt idx="40" formatCode="0">
                  <c:v>230722.61121905872</c:v>
                </c:pt>
                <c:pt idx="41" formatCode="0">
                  <c:v>114159.05568430469</c:v>
                </c:pt>
                <c:pt idx="42" formatCode="0">
                  <c:v>0</c:v>
                </c:pt>
              </c:numCache>
            </c:numRef>
          </c:val>
          <c:extLst>
            <c:ext xmlns:c16="http://schemas.microsoft.com/office/drawing/2014/chart" uri="{C3380CC4-5D6E-409C-BE32-E72D297353CC}">
              <c16:uniqueId val="{00000001-1858-42DC-B37F-69AAC41E6A5F}"/>
            </c:ext>
          </c:extLst>
        </c:ser>
        <c:ser>
          <c:idx val="2"/>
          <c:order val="2"/>
          <c:tx>
            <c:strRef>
              <c:f>'5車両選好'!$B$34</c:f>
              <c:strCache>
                <c:ptCount val="1"/>
                <c:pt idx="0">
                  <c:v>BEV</c:v>
                </c:pt>
              </c:strCache>
            </c:strRef>
          </c:tx>
          <c:spPr>
            <a:solidFill>
              <a:schemeClr val="accent1"/>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'5車両選好'!$D$34:$AT$34</c:f>
              <c:numCache>
                <c:formatCode>General</c:formatCode>
                <c:ptCount val="43"/>
                <c:pt idx="0">
                  <c:v>0</c:v>
                </c:pt>
                <c:pt idx="1">
                  <c:v>1078</c:v>
                </c:pt>
                <c:pt idx="2">
                  <c:v>2442</c:v>
                </c:pt>
                <c:pt idx="3">
                  <c:v>12607</c:v>
                </c:pt>
                <c:pt idx="4">
                  <c:v>13469</c:v>
                </c:pt>
                <c:pt idx="5">
                  <c:v>14756</c:v>
                </c:pt>
                <c:pt idx="6">
                  <c:v>16110</c:v>
                </c:pt>
                <c:pt idx="7">
                  <c:v>10467</c:v>
                </c:pt>
                <c:pt idx="8">
                  <c:v>15229</c:v>
                </c:pt>
                <c:pt idx="9">
                  <c:v>18092</c:v>
                </c:pt>
                <c:pt idx="10">
                  <c:v>26533</c:v>
                </c:pt>
                <c:pt idx="11">
                  <c:v>21281</c:v>
                </c:pt>
                <c:pt idx="12" formatCode="0">
                  <c:v>14574</c:v>
                </c:pt>
                <c:pt idx="13" formatCode="0">
                  <c:v>21658</c:v>
                </c:pt>
                <c:pt idx="14" formatCode="0">
                  <c:v>56786</c:v>
                </c:pt>
                <c:pt idx="15" formatCode="0">
                  <c:v>169716.09798653831</c:v>
                </c:pt>
                <c:pt idx="16" formatCode="0">
                  <c:v>298283.54973708501</c:v>
                </c:pt>
                <c:pt idx="17" formatCode="0">
                  <c:v>414036.28661104169</c:v>
                </c:pt>
                <c:pt idx="18" formatCode="0">
                  <c:v>528516.72808704642</c:v>
                </c:pt>
                <c:pt idx="19" formatCode="0">
                  <c:v>641581.17978225998</c:v>
                </c:pt>
                <c:pt idx="20" formatCode="0">
                  <c:v>753091.58826573601</c:v>
                </c:pt>
                <c:pt idx="21" formatCode="0">
                  <c:v>862952.78513683821</c:v>
                </c:pt>
                <c:pt idx="22" formatCode="0">
                  <c:v>971099.03517250263</c:v>
                </c:pt>
                <c:pt idx="23" formatCode="0">
                  <c:v>1077481.9299340663</c:v>
                </c:pt>
                <c:pt idx="24" formatCode="0">
                  <c:v>1182057.9107932914</c:v>
                </c:pt>
                <c:pt idx="25" formatCode="0">
                  <c:v>1284819.4875230363</c:v>
                </c:pt>
                <c:pt idx="26" formatCode="0">
                  <c:v>1385761.6459334767</c:v>
                </c:pt>
                <c:pt idx="27" formatCode="0">
                  <c:v>1484875.8092762632</c:v>
                </c:pt>
                <c:pt idx="28" formatCode="0">
                  <c:v>1617858.6232525005</c:v>
                </c:pt>
                <c:pt idx="29" formatCode="0">
                  <c:v>1748432.0925563194</c:v>
                </c:pt>
                <c:pt idx="30" formatCode="0">
                  <c:v>1876572.4524331046</c:v>
                </c:pt>
                <c:pt idx="31" formatCode="0">
                  <c:v>2002251.7068858938</c:v>
                </c:pt>
                <c:pt idx="32" formatCode="0">
                  <c:v>2125219.303665285</c:v>
                </c:pt>
                <c:pt idx="33" formatCode="0">
                  <c:v>2245623.8161528236</c:v>
                </c:pt>
                <c:pt idx="34" formatCode="0">
                  <c:v>2363415.1153588654</c:v>
                </c:pt>
                <c:pt idx="35" formatCode="0">
                  <c:v>2478532.1617705352</c:v>
                </c:pt>
                <c:pt idx="36" formatCode="0">
                  <c:v>2590894.046320925</c:v>
                </c:pt>
                <c:pt idx="37" formatCode="0">
                  <c:v>2700408.9548297436</c:v>
                </c:pt>
                <c:pt idx="38" formatCode="0">
                  <c:v>2806980.6213564542</c:v>
                </c:pt>
                <c:pt idx="39" formatCode="0">
                  <c:v>2910502.8845075476</c:v>
                </c:pt>
                <c:pt idx="40" formatCode="0">
                  <c:v>3010862.2168171816</c:v>
                </c:pt>
                <c:pt idx="41" formatCode="0">
                  <c:v>3107946.7148123472</c:v>
                </c:pt>
                <c:pt idx="42" formatCode="0">
                  <c:v>3201643.6089606411</c:v>
                </c:pt>
              </c:numCache>
            </c:numRef>
          </c:val>
          <c:extLst>
            <c:ext xmlns:c16="http://schemas.microsoft.com/office/drawing/2014/chart" uri="{C3380CC4-5D6E-409C-BE32-E72D297353CC}">
              <c16:uniqueId val="{00000002-1858-42DC-B37F-69AAC41E6A5F}"/>
            </c:ext>
          </c:extLst>
        </c:ser>
        <c:ser>
          <c:idx val="3"/>
          <c:order val="3"/>
          <c:tx>
            <c:strRef>
              <c:f>'5車両選好'!$B$35</c:f>
              <c:strCache>
                <c:ptCount val="1"/>
                <c:pt idx="0">
                  <c:v>PHEV</c:v>
                </c:pt>
              </c:strCache>
            </c:strRef>
          </c:tx>
          <c:spPr>
            <a:solidFill>
              <a:schemeClr val="accent3"/>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'5車両選好'!$D$35:$AT$35</c:f>
              <c:numCache>
                <c:formatCode>General</c:formatCode>
                <c:ptCount val="43"/>
                <c:pt idx="0">
                  <c:v>0</c:v>
                </c:pt>
                <c:pt idx="1">
                  <c:v>0</c:v>
                </c:pt>
                <c:pt idx="2">
                  <c:v>0</c:v>
                </c:pt>
                <c:pt idx="3">
                  <c:v>15</c:v>
                </c:pt>
                <c:pt idx="4">
                  <c:v>10968</c:v>
                </c:pt>
                <c:pt idx="5">
                  <c:v>14122</c:v>
                </c:pt>
                <c:pt idx="6">
                  <c:v>16178</c:v>
                </c:pt>
                <c:pt idx="7">
                  <c:v>14188</c:v>
                </c:pt>
                <c:pt idx="8">
                  <c:v>9390</c:v>
                </c:pt>
                <c:pt idx="9">
                  <c:v>36004</c:v>
                </c:pt>
                <c:pt idx="10">
                  <c:v>23230</c:v>
                </c:pt>
                <c:pt idx="11">
                  <c:v>17609</c:v>
                </c:pt>
                <c:pt idx="12" formatCode="0">
                  <c:v>14680</c:v>
                </c:pt>
                <c:pt idx="13" formatCode="0">
                  <c:v>22677</c:v>
                </c:pt>
                <c:pt idx="14" formatCode="0">
                  <c:v>37719</c:v>
                </c:pt>
                <c:pt idx="15" formatCode="0">
                  <c:v>71743.394088684232</c:v>
                </c:pt>
                <c:pt idx="16" formatCode="0">
                  <c:v>110836.66514831531</c:v>
                </c:pt>
                <c:pt idx="17" formatCode="0">
                  <c:v>144645.23959671886</c:v>
                </c:pt>
                <c:pt idx="18" formatCode="0">
                  <c:v>178070.01213563493</c:v>
                </c:pt>
                <c:pt idx="19" formatCode="0">
                  <c:v>211069.71061548154</c:v>
                </c:pt>
                <c:pt idx="20" formatCode="0">
                  <c:v>243604.38348600082</c:v>
                </c:pt>
                <c:pt idx="21" formatCode="0">
                  <c:v>275647.51663649268</c:v>
                </c:pt>
                <c:pt idx="22" formatCode="0">
                  <c:v>307181.26636313379</c:v>
                </c:pt>
                <c:pt idx="23" formatCode="0">
                  <c:v>338192.6344346127</c:v>
                </c:pt>
                <c:pt idx="24" formatCode="0">
                  <c:v>368669.68604552379</c:v>
                </c:pt>
                <c:pt idx="25" formatCode="0">
                  <c:v>398611.39015753125</c:v>
                </c:pt>
                <c:pt idx="26" formatCode="0">
                  <c:v>428017.10936526908</c:v>
                </c:pt>
                <c:pt idx="27" formatCode="0">
                  <c:v>456884.86439269665</c:v>
                </c:pt>
                <c:pt idx="28" formatCode="0">
                  <c:v>423107.84524419793</c:v>
                </c:pt>
                <c:pt idx="29" formatCode="0">
                  <c:v>389773.08073792688</c:v>
                </c:pt>
                <c:pt idx="30" formatCode="0">
                  <c:v>356890.0420650146</c:v>
                </c:pt>
                <c:pt idx="31" formatCode="0">
                  <c:v>324466.24595970626</c:v>
                </c:pt>
                <c:pt idx="32" formatCode="0">
                  <c:v>292478.14259972988</c:v>
                </c:pt>
                <c:pt idx="33" formatCode="0">
                  <c:v>260967.32320195524</c:v>
                </c:pt>
                <c:pt idx="34" formatCode="0">
                  <c:v>229939.14350881352</c:v>
                </c:pt>
                <c:pt idx="35" formatCode="0">
                  <c:v>199399.20850929478</c:v>
                </c:pt>
                <c:pt idx="36" formatCode="0">
                  <c:v>169353.31620694036</c:v>
                </c:pt>
                <c:pt idx="37" formatCode="0">
                  <c:v>139808.9026575069</c:v>
                </c:pt>
                <c:pt idx="38" formatCode="0">
                  <c:v>110775.44814568046</c:v>
                </c:pt>
                <c:pt idx="39" formatCode="0">
                  <c:v>82264.072484667631</c:v>
                </c:pt>
                <c:pt idx="40" formatCode="0">
                  <c:v>54287.673228013526</c:v>
                </c:pt>
                <c:pt idx="41" formatCode="0">
                  <c:v>26860.954278659934</c:v>
                </c:pt>
                <c:pt idx="42" formatCode="0">
                  <c:v>0</c:v>
                </c:pt>
              </c:numCache>
            </c:numRef>
          </c:val>
          <c:extLst>
            <c:ext xmlns:c16="http://schemas.microsoft.com/office/drawing/2014/chart" uri="{C3380CC4-5D6E-409C-BE32-E72D297353CC}">
              <c16:uniqueId val="{00000003-1858-42DC-B37F-69AAC41E6A5F}"/>
            </c:ext>
          </c:extLst>
        </c:ser>
        <c:ser>
          <c:idx val="4"/>
          <c:order val="4"/>
          <c:tx>
            <c:strRef>
              <c:f>'5車両選好'!$B$36</c:f>
              <c:strCache>
                <c:ptCount val="1"/>
                <c:pt idx="0">
                  <c:v>FCV</c:v>
                </c:pt>
              </c:strCache>
            </c:strRef>
          </c:tx>
          <c:spPr>
            <a:solidFill>
              <a:schemeClr val="accent5"/>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'5車両選好'!$D$36:$AT$36</c:f>
              <c:numCache>
                <c:formatCode>General</c:formatCode>
                <c:ptCount val="43"/>
                <c:pt idx="0">
                  <c:v>0</c:v>
                </c:pt>
                <c:pt idx="1">
                  <c:v>0</c:v>
                </c:pt>
                <c:pt idx="2">
                  <c:v>0</c:v>
                </c:pt>
                <c:pt idx="3">
                  <c:v>0</c:v>
                </c:pt>
                <c:pt idx="4">
                  <c:v>0</c:v>
                </c:pt>
                <c:pt idx="5">
                  <c:v>0</c:v>
                </c:pt>
                <c:pt idx="6">
                  <c:v>7</c:v>
                </c:pt>
                <c:pt idx="7">
                  <c:v>411</c:v>
                </c:pt>
                <c:pt idx="8">
                  <c:v>1054</c:v>
                </c:pt>
                <c:pt idx="9">
                  <c:v>849</c:v>
                </c:pt>
                <c:pt idx="10">
                  <c:v>612</c:v>
                </c:pt>
                <c:pt idx="11">
                  <c:v>685</c:v>
                </c:pt>
                <c:pt idx="12" formatCode="0">
                  <c:v>761</c:v>
                </c:pt>
                <c:pt idx="13" formatCode="0">
                  <c:v>2464</c:v>
                </c:pt>
                <c:pt idx="14" formatCode="0">
                  <c:v>848</c:v>
                </c:pt>
                <c:pt idx="15" formatCode="0">
                  <c:v>15850.784685438559</c:v>
                </c:pt>
                <c:pt idx="16" formatCode="0">
                  <c:v>32814.832593482322</c:v>
                </c:pt>
                <c:pt idx="17" formatCode="0">
                  <c:v>48539.018321721298</c:v>
                </c:pt>
                <c:pt idx="18" formatCode="0">
                  <c:v>64094.333879172787</c:v>
                </c:pt>
                <c:pt idx="19" formatCode="0">
                  <c:v>79461.032793841296</c:v>
                </c:pt>
                <c:pt idx="20" formatCode="0">
                  <c:v>94620.241111700991</c:v>
                </c:pt>
                <c:pt idx="21" formatCode="0">
                  <c:v>109558.61428278798</c:v>
                </c:pt>
                <c:pt idx="22" formatCode="0">
                  <c:v>124266.78210445581</c:v>
                </c:pt>
                <c:pt idx="23" formatCode="0">
                  <c:v>138737.79803108383</c:v>
                </c:pt>
                <c:pt idx="24" formatCode="0">
                  <c:v>152965.48904377152</c:v>
                </c:pt>
                <c:pt idx="25" formatCode="0">
                  <c:v>166948.4618552654</c:v>
                </c:pt>
                <c:pt idx="26" formatCode="0">
                  <c:v>180685.76660056721</c:v>
                </c:pt>
                <c:pt idx="27" formatCode="0">
                  <c:v>194176.06736689599</c:v>
                </c:pt>
                <c:pt idx="28" formatCode="0">
                  <c:v>206793.95936310157</c:v>
                </c:pt>
                <c:pt idx="29" formatCode="0">
                  <c:v>219172.401553403</c:v>
                </c:pt>
                <c:pt idx="30" formatCode="0">
                  <c:v>231309.35851338756</c:v>
                </c:pt>
                <c:pt idx="31" formatCode="0">
                  <c:v>243202.19981252501</c:v>
                </c:pt>
                <c:pt idx="32" formatCode="0">
                  <c:v>254821.5817400144</c:v>
                </c:pt>
                <c:pt idx="33" formatCode="0">
                  <c:v>266186.66966599418</c:v>
                </c:pt>
                <c:pt idx="34" formatCode="0">
                  <c:v>277292.23587515921</c:v>
                </c:pt>
                <c:pt idx="35" formatCode="0">
                  <c:v>288131.85629593109</c:v>
                </c:pt>
                <c:pt idx="36" formatCode="0">
                  <c:v>298696.91145999066</c:v>
                </c:pt>
                <c:pt idx="37" formatCode="0">
                  <c:v>308977.67487309</c:v>
                </c:pt>
                <c:pt idx="38" formatCode="0">
                  <c:v>318964.05600446899</c:v>
                </c:pt>
                <c:pt idx="39" formatCode="0">
                  <c:v>328644.96957624797</c:v>
                </c:pt>
                <c:pt idx="40" formatCode="0">
                  <c:v>338008.62543592107</c:v>
                </c:pt>
                <c:pt idx="41" formatCode="0">
                  <c:v>347043.52928028634</c:v>
                </c:pt>
                <c:pt idx="42" formatCode="0">
                  <c:v>355738.17877340456</c:v>
                </c:pt>
              </c:numCache>
            </c:numRef>
          </c:val>
          <c:extLst>
            <c:ext xmlns:c16="http://schemas.microsoft.com/office/drawing/2014/chart" uri="{C3380CC4-5D6E-409C-BE32-E72D297353CC}">
              <c16:uniqueId val="{00000004-1858-42DC-B37F-69AAC41E6A5F}"/>
            </c:ext>
          </c:extLst>
        </c:ser>
        <c:ser>
          <c:idx val="6"/>
          <c:order val="5"/>
          <c:tx>
            <c:strRef>
              <c:f>'5車両選好'!$B$38</c:f>
              <c:strCache>
                <c:ptCount val="1"/>
                <c:pt idx="0">
                  <c:v>Others</c:v>
                </c:pt>
              </c:strCache>
            </c:strRef>
          </c:tx>
          <c:spPr>
            <a:solidFill>
              <a:srgbClr val="7030A0"/>
            </a:solidFill>
            <a:ln>
              <a:noFill/>
            </a:ln>
            <a:effectLst/>
          </c:spPr>
          <c:cat>
            <c:numRef>
              <c:f>'5車両選好'!$D$32:$AT$32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'5車両選好'!$D$38:$AT$38</c:f>
              <c:numCache>
                <c:formatCode>General</c:formatCode>
                <c:ptCount val="43"/>
                <c:pt idx="0">
                  <c:v>0</c:v>
                </c:pt>
                <c:pt idx="1">
                  <c:v>4364</c:v>
                </c:pt>
                <c:pt idx="2">
                  <c:v>8927</c:v>
                </c:pt>
                <c:pt idx="3">
                  <c:v>8797</c:v>
                </c:pt>
                <c:pt idx="4">
                  <c:v>40201</c:v>
                </c:pt>
                <c:pt idx="5">
                  <c:v>75430</c:v>
                </c:pt>
                <c:pt idx="6">
                  <c:v>78822</c:v>
                </c:pt>
                <c:pt idx="7">
                  <c:v>153768</c:v>
                </c:pt>
                <c:pt idx="8">
                  <c:v>143468</c:v>
                </c:pt>
                <c:pt idx="9">
                  <c:v>156162</c:v>
                </c:pt>
                <c:pt idx="10">
                  <c:v>176725</c:v>
                </c:pt>
                <c:pt idx="11">
                  <c:v>175145</c:v>
                </c:pt>
                <c:pt idx="12" formatCode="0">
                  <c:v>147139</c:v>
                </c:pt>
                <c:pt idx="13" formatCode="0">
                  <c:v>149298</c:v>
                </c:pt>
                <c:pt idx="14" formatCode="0">
                  <c:v>140340</c:v>
                </c:pt>
                <c:pt idx="15" formatCode="0">
                  <c:v>135326.17134893642</c:v>
                </c:pt>
                <c:pt idx="16" formatCode="0">
                  <c:v>132096.42424090652</c:v>
                </c:pt>
                <c:pt idx="17" formatCode="0">
                  <c:v>119566.48736173725</c:v>
                </c:pt>
                <c:pt idx="18" formatCode="0">
                  <c:v>107089.74085231035</c:v>
                </c:pt>
                <c:pt idx="19" formatCode="0">
                  <c:v>94686.574083605621</c:v>
                </c:pt>
                <c:pt idx="20" formatCode="0">
                  <c:v>82374.499267394072</c:v>
                </c:pt>
                <c:pt idx="21" formatCode="0">
                  <c:v>70172.706380756688</c:v>
                </c:pt>
                <c:pt idx="22" formatCode="0">
                  <c:v>58097.710108897933</c:v>
                </c:pt>
                <c:pt idx="23" formatCode="0">
                  <c:v>46162.657444665536</c:v>
                </c:pt>
                <c:pt idx="24" formatCode="0">
                  <c:v>34377.722944845722</c:v>
                </c:pt>
                <c:pt idx="25" formatCode="0">
                  <c:v>22751.735030646596</c:v>
                </c:pt>
                <c:pt idx="26" formatCode="0">
                  <c:v>11290.969734262988</c:v>
                </c:pt>
                <c:pt idx="27" formatCode="0">
                  <c:v>0</c:v>
                </c:pt>
                <c:pt idx="28" formatCode="0">
                  <c:v>0</c:v>
                </c:pt>
                <c:pt idx="29" formatCode="0">
                  <c:v>0</c:v>
                </c:pt>
                <c:pt idx="30" formatCode="0">
                  <c:v>0</c:v>
                </c:pt>
                <c:pt idx="31" formatCode="0">
                  <c:v>0</c:v>
                </c:pt>
                <c:pt idx="32" formatCode="0">
                  <c:v>0</c:v>
                </c:pt>
                <c:pt idx="33" formatCode="0">
                  <c:v>0</c:v>
                </c:pt>
                <c:pt idx="34" formatCode="0">
                  <c:v>0</c:v>
                </c:pt>
                <c:pt idx="35" formatCode="0">
                  <c:v>0</c:v>
                </c:pt>
                <c:pt idx="36" formatCode="0">
                  <c:v>0</c:v>
                </c:pt>
                <c:pt idx="37" formatCode="0">
                  <c:v>0</c:v>
                </c:pt>
                <c:pt idx="38" formatCode="0">
                  <c:v>0</c:v>
                </c:pt>
                <c:pt idx="39" formatCode="0">
                  <c:v>0</c:v>
                </c:pt>
                <c:pt idx="40" formatCode="0">
                  <c:v>0</c:v>
                </c:pt>
                <c:pt idx="41" formatCode="0">
                  <c:v>0</c:v>
                </c:pt>
                <c:pt idx="42" formatCode="0">
                  <c:v>0</c:v>
                </c:pt>
              </c:numCache>
            </c:numRef>
          </c:val>
          <c:extLst>
            <c:ext xmlns:c16="http://schemas.microsoft.com/office/drawing/2014/chart" uri="{C3380CC4-5D6E-409C-BE32-E72D297353CC}">
              <c16:uniqueId val="{00000005-1858-42DC-B37F-69AAC41E6A5F}"/>
            </c:ext>
          </c:extLst>
        </c:ser>
        <c:dLbls>
          <c:showLegendKey val="0"/>
          <c:showVal val="0"/>
          <c:showCatName val="0"/>
          <c:showSerName val="0"/>
          <c:showPercent val="0"/>
          <c:showBubbleSize val="0"/>
        </c:dLbls>
        <c:axId val="666998112"/>
        <c:axId val="666998592"/>
      </c:areaChart>
      <c:catAx>
        <c:axId val="666998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666998592"/>
        <c:crosses val="autoZero"/>
        <c:auto val="1"/>
        <c:lblAlgn val="ctr"/>
        <c:lblOffset val="100"/>
        <c:noMultiLvlLbl val="0"/>
      </c:catAx>
      <c:valAx>
        <c:axId val="6669985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666998112"/>
        <c:crosses val="autoZero"/>
        <c:crossBetween val="midCat"/>
        <c:dispUnits>
          <c:builtInUnit val="millions"/>
          <c:dispUnitsLbl>
            <c:tx>
              <c:rich>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r>
                    <a:rPr lang="en-US"/>
                    <a:t>million vehicles</a:t>
                  </a:r>
                  <a:endParaRPr lang="ja-JP"/>
                </a:p>
              </c:rich>
            </c:tx>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dispUnitsLbl>
        </c:dispUnits>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Aptos" panose="020B0004020202020204" pitchFamily="34" charset="0"/>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Number of households (statistics)</c:v>
          </c:tx>
          <c:spPr>
            <a:solidFill>
              <a:schemeClr val="accent1"/>
            </a:solidFill>
            <a:ln>
              <a:noFill/>
            </a:ln>
            <a:effectLst/>
          </c:spPr>
          <c:invertIfNegative val="0"/>
          <c:cat>
            <c:numRef>
              <c:f>Supplementary!$C$1:$AU$1</c:f>
              <c:numCache>
                <c:formatCode>General</c:formatCode>
                <c:ptCount val="4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Supplementary!$C$6:$AU$6</c:f>
              <c:numCache>
                <c:formatCode>General</c:formatCode>
                <c:ptCount val="45"/>
                <c:pt idx="0">
                  <c:v>30.3</c:v>
                </c:pt>
                <c:pt idx="1">
                  <c:v>33.6</c:v>
                </c:pt>
                <c:pt idx="2">
                  <c:v>35.82</c:v>
                </c:pt>
                <c:pt idx="3">
                  <c:v>37.979999999999997</c:v>
                </c:pt>
                <c:pt idx="4">
                  <c:v>40.67</c:v>
                </c:pt>
                <c:pt idx="5">
                  <c:v>43.9</c:v>
                </c:pt>
                <c:pt idx="6">
                  <c:v>47.537827715355803</c:v>
                </c:pt>
                <c:pt idx="7">
                  <c:v>49.909374999999997</c:v>
                </c:pt>
                <c:pt idx="8">
                  <c:v>52.916115702479345</c:v>
                </c:pt>
                <c:pt idx="9">
                  <c:v>54.547100858369092</c:v>
                </c:pt>
                <c:pt idx="10">
                  <c:v>54.759482758620699</c:v>
                </c:pt>
                <c:pt idx="11">
                  <c:v>55.182173913043478</c:v>
                </c:pt>
                <c:pt idx="12">
                  <c:v>55.591666666666669</c:v>
                </c:pt>
                <c:pt idx="13">
                  <c:v>55.751101321585899</c:v>
                </c:pt>
              </c:numCache>
            </c:numRef>
          </c:val>
          <c:extLst>
            <c:ext xmlns:c16="http://schemas.microsoft.com/office/drawing/2014/chart" uri="{C3380CC4-5D6E-409C-BE32-E72D297353CC}">
              <c16:uniqueId val="{00000000-8EAD-4763-B935-9D6784797EF9}"/>
            </c:ext>
          </c:extLst>
        </c:ser>
        <c:ser>
          <c:idx val="2"/>
          <c:order val="2"/>
          <c:tx>
            <c:v>Number of households (prediction)</c:v>
          </c:tx>
          <c:spPr>
            <a:solidFill>
              <a:schemeClr val="accent3"/>
            </a:solidFill>
            <a:ln>
              <a:noFill/>
            </a:ln>
            <a:effectLst/>
          </c:spPr>
          <c:invertIfNegative val="0"/>
          <c:cat>
            <c:numRef>
              <c:f>Supplementary!$C$1:$AU$1</c:f>
              <c:numCache>
                <c:formatCode>General</c:formatCode>
                <c:ptCount val="4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cat>
          <c:val>
            <c:numRef>
              <c:f>Supplementary!$C$8:$AU$8</c:f>
              <c:numCache>
                <c:formatCode>General</c:formatCode>
                <c:ptCount val="45"/>
                <c:pt idx="14" formatCode="#,##0.00">
                  <c:v>57.054166402367471</c:v>
                </c:pt>
                <c:pt idx="15" formatCode="#,##0.00">
                  <c:v>52.964823206751049</c:v>
                </c:pt>
                <c:pt idx="16" formatCode="#,##0.00">
                  <c:v>55.545619555555561</c:v>
                </c:pt>
                <c:pt idx="17" formatCode="#,##0.00">
                  <c:v>58.106233980980136</c:v>
                </c:pt>
                <c:pt idx="18" formatCode="#,##0.00">
                  <c:v>58.460548654578488</c:v>
                </c:pt>
                <c:pt idx="19" formatCode="#,##0.00">
                  <c:v>58.813447547822925</c:v>
                </c:pt>
                <c:pt idx="20" formatCode="#,##0.00">
                  <c:v>58.972901384768335</c:v>
                </c:pt>
                <c:pt idx="21" formatCode="#,##0.00">
                  <c:v>59.114572515343816</c:v>
                </c:pt>
                <c:pt idx="22" formatCode="#,##0.00">
                  <c:v>59.244642876512117</c:v>
                </c:pt>
                <c:pt idx="23" formatCode="#,##0.00">
                  <c:v>59.359099168384525</c:v>
                </c:pt>
                <c:pt idx="24" formatCode="#,##0.00">
                  <c:v>59.457265875941957</c:v>
                </c:pt>
                <c:pt idx="25" formatCode="#,##0.00">
                  <c:v>59.433341770172376</c:v>
                </c:pt>
                <c:pt idx="26" formatCode="#,##0.00">
                  <c:v>59.380277556182399</c:v>
                </c:pt>
                <c:pt idx="27" formatCode="#,##0.00">
                  <c:v>59.318549864167032</c:v>
                </c:pt>
                <c:pt idx="28" formatCode="#,##0.00">
                  <c:v>59.234363524797516</c:v>
                </c:pt>
                <c:pt idx="29" formatCode="#,##0.00">
                  <c:v>59.143350609094171</c:v>
                </c:pt>
                <c:pt idx="30" formatCode="#,##0.00">
                  <c:v>58.981856721882032</c:v>
                </c:pt>
                <c:pt idx="31" formatCode="#,##0.00">
                  <c:v>58.77927046656395</c:v>
                </c:pt>
                <c:pt idx="32" formatCode="#,##0.00">
                  <c:v>58.559176403093652</c:v>
                </c:pt>
                <c:pt idx="33" formatCode="#,##0.00">
                  <c:v>58.314221958379932</c:v>
                </c:pt>
                <c:pt idx="34" formatCode="#,##0.00">
                  <c:v>58.061079496918964</c:v>
                </c:pt>
                <c:pt idx="35" formatCode="#,##0.00">
                  <c:v>57.775249211732564</c:v>
                </c:pt>
                <c:pt idx="36" formatCode="#,##0.00">
                  <c:v>57.453670958253248</c:v>
                </c:pt>
                <c:pt idx="37" formatCode="#,##0.00">
                  <c:v>57.115254992414528</c:v>
                </c:pt>
                <c:pt idx="38" formatCode="#,##0.00">
                  <c:v>56.77118516689292</c:v>
                </c:pt>
                <c:pt idx="39" formatCode="#,##0.00">
                  <c:v>56.425741875871147</c:v>
                </c:pt>
                <c:pt idx="40" formatCode="#,##0.00">
                  <c:v>56.064273179280562</c:v>
                </c:pt>
                <c:pt idx="41" formatCode="#,##0.00">
                  <c:v>55.69861140554174</c:v>
                </c:pt>
                <c:pt idx="42" formatCode="#,##0.00">
                  <c:v>55.333567921767205</c:v>
                </c:pt>
                <c:pt idx="43" formatCode="#,##0.00">
                  <c:v>54.976772738718481</c:v>
                </c:pt>
                <c:pt idx="44" formatCode="#,##0.00">
                  <c:v>54.624967934698809</c:v>
                </c:pt>
              </c:numCache>
            </c:numRef>
          </c:val>
          <c:extLst>
            <c:ext xmlns:c16="http://schemas.microsoft.com/office/drawing/2014/chart" uri="{C3380CC4-5D6E-409C-BE32-E72D297353CC}">
              <c16:uniqueId val="{00000001-8EAD-4763-B935-9D6784797EF9}"/>
            </c:ext>
          </c:extLst>
        </c:ser>
        <c:dLbls>
          <c:showLegendKey val="0"/>
          <c:showVal val="0"/>
          <c:showCatName val="0"/>
          <c:showSerName val="0"/>
          <c:showPercent val="0"/>
          <c:showBubbleSize val="0"/>
        </c:dLbls>
        <c:gapWidth val="10"/>
        <c:axId val="1652366911"/>
        <c:axId val="1652376991"/>
      </c:barChart>
      <c:scatterChart>
        <c:scatterStyle val="smoothMarker"/>
        <c:varyColors val="0"/>
        <c:ser>
          <c:idx val="1"/>
          <c:order val="1"/>
          <c:tx>
            <c:v>Household size (statistics)</c:v>
          </c:tx>
          <c:spPr>
            <a:ln w="28575" cap="rnd">
              <a:solidFill>
                <a:schemeClr val="accent2"/>
              </a:solidFill>
              <a:round/>
            </a:ln>
            <a:effectLst/>
          </c:spPr>
          <c:marker>
            <c:symbol val="none"/>
          </c:marker>
          <c:yVal>
            <c:numRef>
              <c:f>Supplementary!$C$7:$AU$7</c:f>
              <c:numCache>
                <c:formatCode>General</c:formatCode>
                <c:ptCount val="45"/>
                <c:pt idx="6">
                  <c:v>2.67</c:v>
                </c:pt>
                <c:pt idx="7">
                  <c:v>2.56</c:v>
                </c:pt>
                <c:pt idx="8">
                  <c:v>2.42</c:v>
                </c:pt>
                <c:pt idx="9">
                  <c:v>2.33</c:v>
                </c:pt>
                <c:pt idx="10">
                  <c:v>2.3199999999999998</c:v>
                </c:pt>
                <c:pt idx="11">
                  <c:v>2.2999999999999998</c:v>
                </c:pt>
                <c:pt idx="12">
                  <c:v>2.2799999999999998</c:v>
                </c:pt>
                <c:pt idx="13">
                  <c:v>2.27</c:v>
                </c:pt>
              </c:numCache>
            </c:numRef>
          </c:yVal>
          <c:smooth val="1"/>
          <c:extLst>
            <c:ext xmlns:c16="http://schemas.microsoft.com/office/drawing/2014/chart" uri="{C3380CC4-5D6E-409C-BE32-E72D297353CC}">
              <c16:uniqueId val="{00000002-8EAD-4763-B935-9D6784797EF9}"/>
            </c:ext>
          </c:extLst>
        </c:ser>
        <c:ser>
          <c:idx val="3"/>
          <c:order val="3"/>
          <c:tx>
            <c:v>Household size (prediction)</c:v>
          </c:tx>
          <c:spPr>
            <a:ln w="28575" cap="rnd">
              <a:solidFill>
                <a:schemeClr val="accent4"/>
              </a:solidFill>
              <a:round/>
            </a:ln>
            <a:effectLst/>
          </c:spPr>
          <c:marker>
            <c:symbol val="none"/>
          </c:marker>
          <c:yVal>
            <c:numRef>
              <c:f>Supplementary!$C$9:$AU$9</c:f>
              <c:numCache>
                <c:formatCode>General</c:formatCode>
                <c:ptCount val="45"/>
                <c:pt idx="14" formatCode="#,##0">
                  <c:v>2.2109883809425974</c:v>
                </c:pt>
                <c:pt idx="15">
                  <c:v>2.37</c:v>
                </c:pt>
                <c:pt idx="16">
                  <c:v>2.25</c:v>
                </c:pt>
                <c:pt idx="17">
                  <c:v>2.1410439031502606</c:v>
                </c:pt>
                <c:pt idx="18">
                  <c:v>2.1184144153648967</c:v>
                </c:pt>
                <c:pt idx="19">
                  <c:v>2.0958208222663997</c:v>
                </c:pt>
                <c:pt idx="20">
                  <c:v>2.0799576266342767</c:v>
                </c:pt>
                <c:pt idx="21">
                  <c:v>2.0645335457398795</c:v>
                </c:pt>
                <c:pt idx="22">
                  <c:v>2.049363961110739</c:v>
                </c:pt>
                <c:pt idx="23">
                  <c:v>2.0345844140492675</c:v>
                </c:pt>
                <c:pt idx="24">
                  <c:v>2.0202035567969521</c:v>
                </c:pt>
                <c:pt idx="25">
                  <c:v>2.0097759682082499</c:v>
                </c:pt>
                <c:pt idx="26">
                  <c:v>2.00009996395907</c:v>
                </c:pt>
                <c:pt idx="27">
                  <c:v>1.9904627181610213</c:v>
                </c:pt>
                <c:pt idx="28">
                  <c:v>1.9813179549210185</c:v>
                </c:pt>
                <c:pt idx="29">
                  <c:v>1.9721389099329292</c:v>
                </c:pt>
                <c:pt idx="30">
                  <c:v>1.9650471592733154</c:v>
                </c:pt>
                <c:pt idx="31">
                  <c:v>1.959066233486233</c:v>
                </c:pt>
                <c:pt idx="32">
                  <c:v>1.9534249117949818</c:v>
                </c:pt>
                <c:pt idx="33">
                  <c:v>1.9483886980622338</c:v>
                </c:pt>
                <c:pt idx="34">
                  <c:v>1.9434258883524163</c:v>
                </c:pt>
                <c:pt idx="35">
                  <c:v>1.9393230410721753</c:v>
                </c:pt>
                <c:pt idx="36">
                  <c:v>1.9362221794466532</c:v>
                </c:pt>
                <c:pt idx="37">
                  <c:v>1.933528582069129</c:v>
                </c:pt>
                <c:pt idx="38">
                  <c:v>1.9309006263960558</c:v>
                </c:pt>
                <c:pt idx="39">
                  <c:v>1.9282216836306372</c:v>
                </c:pt>
                <c:pt idx="40">
                  <c:v>1.9260169066082888</c:v>
                </c:pt>
                <c:pt idx="41">
                  <c:v>1.9239017148879625</c:v>
                </c:pt>
                <c:pt idx="42">
                  <c:v>1.9217195636171789</c:v>
                </c:pt>
                <c:pt idx="43">
                  <c:v>1.91920370628979</c:v>
                </c:pt>
                <c:pt idx="44">
                  <c:v>1.9164566490024655</c:v>
                </c:pt>
              </c:numCache>
            </c:numRef>
          </c:yVal>
          <c:smooth val="1"/>
          <c:extLst>
            <c:ext xmlns:c16="http://schemas.microsoft.com/office/drawing/2014/chart" uri="{C3380CC4-5D6E-409C-BE32-E72D297353CC}">
              <c16:uniqueId val="{00000003-8EAD-4763-B935-9D6784797EF9}"/>
            </c:ext>
          </c:extLst>
        </c:ser>
        <c:dLbls>
          <c:showLegendKey val="0"/>
          <c:showVal val="0"/>
          <c:showCatName val="0"/>
          <c:showSerName val="0"/>
          <c:showPercent val="0"/>
          <c:showBubbleSize val="0"/>
        </c:dLbls>
        <c:axId val="1652381791"/>
        <c:axId val="1652368831"/>
      </c:scatterChart>
      <c:catAx>
        <c:axId val="1652366911"/>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Year</a:t>
                </a:r>
                <a:endParaRPr lang="ja-JP"/>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376991"/>
        <c:crosses val="autoZero"/>
        <c:auto val="1"/>
        <c:lblAlgn val="ctr"/>
        <c:lblOffset val="100"/>
        <c:tickLblSkip val="1"/>
        <c:noMultiLvlLbl val="0"/>
      </c:catAx>
      <c:valAx>
        <c:axId val="1652376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Number of households (million)</a:t>
                </a:r>
                <a:endParaRPr lang="ja-JP"/>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66911"/>
        <c:crosses val="autoZero"/>
        <c:crossBetween val="between"/>
      </c:valAx>
      <c:valAx>
        <c:axId val="1652368831"/>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Household</a:t>
                </a:r>
                <a:r>
                  <a:rPr lang="en-US" altLang="ja-JP" baseline="0"/>
                  <a:t> size (persons)</a:t>
                </a:r>
                <a:endParaRPr lang="ja-JP" altLang="en-US"/>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81791"/>
        <c:crosses val="max"/>
        <c:crossBetween val="midCat"/>
      </c:valAx>
      <c:valAx>
        <c:axId val="1652381791"/>
        <c:scaling>
          <c:orientation val="minMax"/>
        </c:scaling>
        <c:delete val="1"/>
        <c:axPos val="b"/>
        <c:majorTickMark val="out"/>
        <c:minorTickMark val="none"/>
        <c:tickLblPos val="nextTo"/>
        <c:crossAx val="165236883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'5車両選好'!$B$23</c:f>
              <c:strCache>
                <c:ptCount val="1"/>
                <c:pt idx="0">
                  <c:v>ICEV</c:v>
                </c:pt>
              </c:strCache>
            </c:strRef>
          </c:tx>
          <c:spPr>
            <a:solidFill>
              <a:schemeClr val="accent2"/>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'5車両選好'!$D$23:$AT$23</c:f>
              <c:numCache>
                <c:formatCode>0</c:formatCode>
                <c:ptCount val="43"/>
                <c:pt idx="0">
                  <c:v>57551248.000000007</c:v>
                </c:pt>
                <c:pt idx="1">
                  <c:v>57574465.124023877</c:v>
                </c:pt>
                <c:pt idx="2">
                  <c:v>57444458.314299606</c:v>
                </c:pt>
                <c:pt idx="3">
                  <c:v>57197681.532072343</c:v>
                </c:pt>
                <c:pt idx="4">
                  <c:v>57333806.166544393</c:v>
                </c:pt>
                <c:pt idx="5">
                  <c:v>57043479.483159639</c:v>
                </c:pt>
                <c:pt idx="6">
                  <c:v>56769125.382586628</c:v>
                </c:pt>
                <c:pt idx="7">
                  <c:v>56152455.412221</c:v>
                </c:pt>
                <c:pt idx="8">
                  <c:v>55337915.120578997</c:v>
                </c:pt>
                <c:pt idx="9">
                  <c:v>54484668.623351008</c:v>
                </c:pt>
                <c:pt idx="10">
                  <c:v>53443533.90117348</c:v>
                </c:pt>
                <c:pt idx="11">
                  <c:v>52255435.872361995</c:v>
                </c:pt>
                <c:pt idx="12">
                  <c:v>50463599.633824445</c:v>
                </c:pt>
                <c:pt idx="13">
                  <c:v>49094262.196756512</c:v>
                </c:pt>
                <c:pt idx="14">
                  <c:v>47288285.78983184</c:v>
                </c:pt>
                <c:pt idx="15">
                  <c:v>45682196.731681451</c:v>
                </c:pt>
                <c:pt idx="16">
                  <c:v>44077886.37938296</c:v>
                </c:pt>
                <c:pt idx="17">
                  <c:v>42512026.801855221</c:v>
                </c:pt>
                <c:pt idx="18">
                  <c:v>40843257.796069704</c:v>
                </c:pt>
                <c:pt idx="19">
                  <c:v>39079333.532574102</c:v>
                </c:pt>
                <c:pt idx="20">
                  <c:v>37227948.599923454</c:v>
                </c:pt>
                <c:pt idx="21">
                  <c:v>35296684.474536888</c:v>
                </c:pt>
                <c:pt idx="22">
                  <c:v>33293043.772627857</c:v>
                </c:pt>
                <c:pt idx="23">
                  <c:v>31224421.84966873</c:v>
                </c:pt>
                <c:pt idx="24">
                  <c:v>29098069.719234124</c:v>
                </c:pt>
                <c:pt idx="25">
                  <c:v>26921062.683951244</c:v>
                </c:pt>
                <c:pt idx="26">
                  <c:v>24700292.294275351</c:v>
                </c:pt>
                <c:pt idx="27">
                  <c:v>22442435.210169215</c:v>
                </c:pt>
                <c:pt idx="28">
                  <c:v>20153931.430569481</c:v>
                </c:pt>
                <c:pt idx="29">
                  <c:v>18017780.202465422</c:v>
                </c:pt>
                <c:pt idx="30">
                  <c:v>16034779.545644006</c:v>
                </c:pt>
                <c:pt idx="31">
                  <c:v>14204092.16137265</c:v>
                </c:pt>
                <c:pt idx="32">
                  <c:v>12523385.638964338</c:v>
                </c:pt>
                <c:pt idx="33">
                  <c:v>10988981.724311875</c:v>
                </c:pt>
                <c:pt idx="34">
                  <c:v>9596016.6056922432</c:v>
                </c:pt>
                <c:pt idx="35">
                  <c:v>8338610.2886452116</c:v>
                </c:pt>
                <c:pt idx="36">
                  <c:v>7210041.709816209</c:v>
                </c:pt>
                <c:pt idx="37">
                  <c:v>6202925.6587991435</c:v>
                </c:pt>
                <c:pt idx="38">
                  <c:v>5309387.4310499085</c:v>
                </c:pt>
                <c:pt idx="39">
                  <c:v>4521231.2768247845</c:v>
                </c:pt>
                <c:pt idx="40">
                  <c:v>3830099.0647792872</c:v>
                </c:pt>
                <c:pt idx="41">
                  <c:v>3227616.0894567692</c:v>
                </c:pt>
                <c:pt idx="42">
                  <c:v>2705521.5710136248</c:v>
                </c:pt>
              </c:numCache>
            </c:numRef>
          </c:val>
          <c:extLst>
            <c:ext xmlns:c16="http://schemas.microsoft.com/office/drawing/2014/chart" uri="{C3380CC4-5D6E-409C-BE32-E72D297353CC}">
              <c16:uniqueId val="{00000000-C079-4CE6-A752-FAFD24F9A595}"/>
            </c:ext>
          </c:extLst>
        </c:ser>
        <c:ser>
          <c:idx val="4"/>
          <c:order val="1"/>
          <c:tx>
            <c:strRef>
              <c:f>'5車両選好'!$B$27</c:f>
              <c:strCache>
                <c:ptCount val="1"/>
                <c:pt idx="0">
                  <c:v>HEV</c:v>
                </c:pt>
              </c:strCache>
            </c:strRef>
          </c:tx>
          <c:spPr>
            <a:solidFill>
              <a:schemeClr val="accent4"/>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'5車両選好'!$D$27:$AT$27</c:f>
              <c:numCache>
                <c:formatCode>0</c:formatCode>
                <c:ptCount val="43"/>
                <c:pt idx="0">
                  <c:v>0</c:v>
                </c:pt>
                <c:pt idx="1">
                  <c:v>108009.87597610097</c:v>
                </c:pt>
                <c:pt idx="2">
                  <c:v>452960.16728812642</c:v>
                </c:pt>
                <c:pt idx="3">
                  <c:v>925128.35622815811</c:v>
                </c:pt>
                <c:pt idx="4">
                  <c:v>1357818.4496589706</c:v>
                </c:pt>
                <c:pt idx="5">
                  <c:v>2212355.9709595749</c:v>
                </c:pt>
                <c:pt idx="6">
                  <c:v>3078793.1421858557</c:v>
                </c:pt>
                <c:pt idx="7">
                  <c:v>4054670.9394932375</c:v>
                </c:pt>
                <c:pt idx="8">
                  <c:v>5012666.9459237987</c:v>
                </c:pt>
                <c:pt idx="9">
                  <c:v>6130276.6196729131</c:v>
                </c:pt>
                <c:pt idx="10">
                  <c:v>7309691.2675366635</c:v>
                </c:pt>
                <c:pt idx="11">
                  <c:v>8481151.4359934181</c:v>
                </c:pt>
                <c:pt idx="12">
                  <c:v>9632891.8614997361</c:v>
                </c:pt>
                <c:pt idx="13">
                  <c:v>10595009.867272744</c:v>
                </c:pt>
                <c:pt idx="14">
                  <c:v>11578055.688651863</c:v>
                </c:pt>
                <c:pt idx="15">
                  <c:v>12507930.243144982</c:v>
                </c:pt>
                <c:pt idx="16">
                  <c:v>13465776.606057763</c:v>
                </c:pt>
                <c:pt idx="17">
                  <c:v>14488061.952222541</c:v>
                </c:pt>
                <c:pt idx="18">
                  <c:v>15465706.444293313</c:v>
                </c:pt>
                <c:pt idx="19">
                  <c:v>16397212.771853114</c:v>
                </c:pt>
                <c:pt idx="20">
                  <c:v>17281767.801593129</c:v>
                </c:pt>
                <c:pt idx="21">
                  <c:v>18119144.01433064</c:v>
                </c:pt>
                <c:pt idx="22">
                  <c:v>18909693.6443629</c:v>
                </c:pt>
                <c:pt idx="23">
                  <c:v>19654281.780853543</c:v>
                </c:pt>
                <c:pt idx="24">
                  <c:v>20354197.667874385</c:v>
                </c:pt>
                <c:pt idx="25">
                  <c:v>21011056.229384128</c:v>
                </c:pt>
                <c:pt idx="26">
                  <c:v>21626760.459126126</c:v>
                </c:pt>
                <c:pt idx="27">
                  <c:v>22203413.311280496</c:v>
                </c:pt>
                <c:pt idx="28">
                  <c:v>22743236.359729845</c:v>
                </c:pt>
                <c:pt idx="29">
                  <c:v>23087533.856818799</c:v>
                </c:pt>
                <c:pt idx="30">
                  <c:v>23243253.827693686</c:v>
                </c:pt>
                <c:pt idx="31">
                  <c:v>23218534.627565213</c:v>
                </c:pt>
                <c:pt idx="32">
                  <c:v>23022532.294807442</c:v>
                </c:pt>
                <c:pt idx="33">
                  <c:v>22665122.974710099</c:v>
                </c:pt>
                <c:pt idx="34">
                  <c:v>22157010.848279603</c:v>
                </c:pt>
                <c:pt idx="35">
                  <c:v>21509403.397495136</c:v>
                </c:pt>
                <c:pt idx="36">
                  <c:v>20733843.649887778</c:v>
                </c:pt>
                <c:pt idx="37">
                  <c:v>19842047.433016255</c:v>
                </c:pt>
                <c:pt idx="38">
                  <c:v>18845755.270104896</c:v>
                </c:pt>
                <c:pt idx="39">
                  <c:v>17756597.421861742</c:v>
                </c:pt>
                <c:pt idx="40">
                  <c:v>16585971.096746679</c:v>
                </c:pt>
                <c:pt idx="41">
                  <c:v>15344934.055138385</c:v>
                </c:pt>
                <c:pt idx="42">
                  <c:v>14044115.445975643</c:v>
                </c:pt>
              </c:numCache>
            </c:numRef>
          </c:val>
          <c:extLst>
            <c:ext xmlns:c16="http://schemas.microsoft.com/office/drawing/2014/chart" uri="{C3380CC4-5D6E-409C-BE32-E72D297353CC}">
              <c16:uniqueId val="{00000001-C079-4CE6-A752-FAFD24F9A595}"/>
            </c:ext>
          </c:extLst>
        </c:ser>
        <c:ser>
          <c:idx val="1"/>
          <c:order val="2"/>
          <c:tx>
            <c:strRef>
              <c:f>'5車両選好'!$B$24</c:f>
              <c:strCache>
                <c:ptCount val="1"/>
                <c:pt idx="0">
                  <c:v>BEV</c:v>
                </c:pt>
              </c:strCache>
            </c:strRef>
          </c:tx>
          <c:spPr>
            <a:solidFill>
              <a:schemeClr val="accent1"/>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'5車両選好'!$D$24:$AT$24</c:f>
              <c:numCache>
                <c:formatCode>0</c:formatCode>
                <c:ptCount val="43"/>
                <c:pt idx="0">
                  <c:v>0</c:v>
                </c:pt>
                <c:pt idx="1">
                  <c:v>0</c:v>
                </c:pt>
                <c:pt idx="2">
                  <c:v>1072.9523793493877</c:v>
                </c:pt>
                <c:pt idx="3">
                  <c:v>3489.4194733503318</c:v>
                </c:pt>
                <c:pt idx="4">
                  <c:v>15983.117074705859</c:v>
                </c:pt>
                <c:pt idx="5">
                  <c:v>29143.763278718267</c:v>
                </c:pt>
                <c:pt idx="6">
                  <c:v>43289.316977223643</c:v>
                </c:pt>
                <c:pt idx="7">
                  <c:v>58378.335846260816</c:v>
                </c:pt>
                <c:pt idx="8">
                  <c:v>67338.213423588386</c:v>
                </c:pt>
                <c:pt idx="9">
                  <c:v>80510.267218341673</c:v>
                </c:pt>
                <c:pt idx="10">
                  <c:v>95910.398699914469</c:v>
                </c:pt>
                <c:pt idx="11">
                  <c:v>118995.48979881615</c:v>
                </c:pt>
                <c:pt idx="12">
                  <c:v>135960.56093674237</c:v>
                </c:pt>
                <c:pt idx="13">
                  <c:v>145311.41105433751</c:v>
                </c:pt>
                <c:pt idx="14">
                  <c:v>160808.6932866913</c:v>
                </c:pt>
                <c:pt idx="15">
                  <c:v>210287.5760132049</c:v>
                </c:pt>
                <c:pt idx="16">
                  <c:v>370699.53319364222</c:v>
                </c:pt>
                <c:pt idx="17">
                  <c:v>655852.09931459418</c:v>
                </c:pt>
                <c:pt idx="18">
                  <c:v>1050205.5999018641</c:v>
                </c:pt>
                <c:pt idx="19">
                  <c:v>1549012.9465472838</c:v>
                </c:pt>
                <c:pt idx="20">
                  <c:v>2146733.3199859066</c:v>
                </c:pt>
                <c:pt idx="21">
                  <c:v>2837146.76699743</c:v>
                </c:pt>
                <c:pt idx="22">
                  <c:v>3613511.6375131449</c:v>
                </c:pt>
                <c:pt idx="23">
                  <c:v>4468710.8558893465</c:v>
                </c:pt>
                <c:pt idx="24">
                  <c:v>5395385.1524086669</c:v>
                </c:pt>
                <c:pt idx="25">
                  <c:v>6386049.9095612736</c:v>
                </c:pt>
                <c:pt idx="26">
                  <c:v>7433236.5273082387</c:v>
                </c:pt>
                <c:pt idx="27">
                  <c:v>8529591.132156143</c:v>
                </c:pt>
                <c:pt idx="28">
                  <c:v>9667956.4563815072</c:v>
                </c:pt>
                <c:pt idx="29">
                  <c:v>10876983.299217071</c:v>
                </c:pt>
                <c:pt idx="30">
                  <c:v>12149086.605101097</c:v>
                </c:pt>
                <c:pt idx="31">
                  <c:v>13476779.181987993</c:v>
                </c:pt>
                <c:pt idx="32">
                  <c:v>14852731.904661598</c:v>
                </c:pt>
                <c:pt idx="33">
                  <c:v>16269606.451660125</c:v>
                </c:pt>
                <c:pt idx="34">
                  <c:v>17720500.630981386</c:v>
                </c:pt>
                <c:pt idx="35">
                  <c:v>19198786.645185634</c:v>
                </c:pt>
                <c:pt idx="36">
                  <c:v>20698129.350557707</c:v>
                </c:pt>
                <c:pt idx="37">
                  <c:v>22212488.373478033</c:v>
                </c:pt>
                <c:pt idx="38">
                  <c:v>23736122.668334097</c:v>
                </c:pt>
                <c:pt idx="39">
                  <c:v>25263595.631977499</c:v>
                </c:pt>
                <c:pt idx="40">
                  <c:v>26789769.527685001</c:v>
                </c:pt>
                <c:pt idx="41">
                  <c:v>28309797.862584986</c:v>
                </c:pt>
                <c:pt idx="42">
                  <c:v>29819122.793962341</c:v>
                </c:pt>
              </c:numCache>
            </c:numRef>
          </c:val>
          <c:extLst>
            <c:ext xmlns:c16="http://schemas.microsoft.com/office/drawing/2014/chart" uri="{C3380CC4-5D6E-409C-BE32-E72D297353CC}">
              <c16:uniqueId val="{00000002-C079-4CE6-A752-FAFD24F9A595}"/>
            </c:ext>
          </c:extLst>
        </c:ser>
        <c:ser>
          <c:idx val="2"/>
          <c:order val="3"/>
          <c:tx>
            <c:strRef>
              <c:f>'5車両選好'!$B$25</c:f>
              <c:strCache>
                <c:ptCount val="1"/>
                <c:pt idx="0">
                  <c:v>PHEV</c:v>
                </c:pt>
              </c:strCache>
            </c:strRef>
          </c:tx>
          <c:spPr>
            <a:solidFill>
              <a:schemeClr val="accent3"/>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'5車両選好'!$D$25:$AT$25</c:f>
              <c:numCache>
                <c:formatCode>0</c:formatCode>
                <c:ptCount val="43"/>
                <c:pt idx="0">
                  <c:v>0</c:v>
                </c:pt>
                <c:pt idx="1">
                  <c:v>0</c:v>
                </c:pt>
                <c:pt idx="2">
                  <c:v>0</c:v>
                </c:pt>
                <c:pt idx="3">
                  <c:v>0</c:v>
                </c:pt>
                <c:pt idx="4">
                  <c:v>14.929764091132482</c:v>
                </c:pt>
                <c:pt idx="5">
                  <c:v>10931.377091738213</c:v>
                </c:pt>
                <c:pt idx="6">
                  <c:v>24843.497817326028</c:v>
                </c:pt>
                <c:pt idx="7">
                  <c:v>40533.402840746887</c:v>
                </c:pt>
                <c:pt idx="8">
                  <c:v>53846.960069594948</c:v>
                </c:pt>
                <c:pt idx="9">
                  <c:v>61910.04263498199</c:v>
                </c:pt>
                <c:pt idx="10">
                  <c:v>95973.216753473011</c:v>
                </c:pt>
                <c:pt idx="11">
                  <c:v>116456.95120317416</c:v>
                </c:pt>
                <c:pt idx="12">
                  <c:v>130426.33824165555</c:v>
                </c:pt>
                <c:pt idx="13">
                  <c:v>140538.65177520545</c:v>
                </c:pt>
                <c:pt idx="14">
                  <c:v>157674.80487912585</c:v>
                </c:pt>
                <c:pt idx="15">
                  <c:v>188749.13756505871</c:v>
                </c:pt>
                <c:pt idx="16">
                  <c:v>252418.21289189142</c:v>
                </c:pt>
                <c:pt idx="17">
                  <c:v>353145.10541826853</c:v>
                </c:pt>
                <c:pt idx="18">
                  <c:v>484788.79300634906</c:v>
                </c:pt>
                <c:pt idx="19">
                  <c:v>645907.17150088295</c:v>
                </c:pt>
                <c:pt idx="20">
                  <c:v>834843.21514689911</c:v>
                </c:pt>
                <c:pt idx="21">
                  <c:v>1049757.2885132155</c:v>
                </c:pt>
                <c:pt idx="22">
                  <c:v>1288673.0118964743</c:v>
                </c:pt>
                <c:pt idx="23">
                  <c:v>1549518.8216709434</c:v>
                </c:pt>
                <c:pt idx="24">
                  <c:v>1830165.2603981534</c:v>
                </c:pt>
                <c:pt idx="25">
                  <c:v>2128457.2178994589</c:v>
                </c:pt>
                <c:pt idx="26">
                  <c:v>2442253.9787041056</c:v>
                </c:pt>
                <c:pt idx="27">
                  <c:v>2769456.0833587195</c:v>
                </c:pt>
                <c:pt idx="28">
                  <c:v>3108027.3220471404</c:v>
                </c:pt>
                <c:pt idx="29">
                  <c:v>3394200.5902061746</c:v>
                </c:pt>
                <c:pt idx="30">
                  <c:v>3627914.0097561241</c:v>
                </c:pt>
                <c:pt idx="31">
                  <c:v>3809690.6676162453</c:v>
                </c:pt>
                <c:pt idx="32">
                  <c:v>3940594.463730128</c:v>
                </c:pt>
                <c:pt idx="33">
                  <c:v>4022150.2730055689</c:v>
                </c:pt>
                <c:pt idx="34">
                  <c:v>4056353.5066815349</c:v>
                </c:pt>
                <c:pt idx="35">
                  <c:v>4045572.7312916676</c:v>
                </c:pt>
                <c:pt idx="36">
                  <c:v>3992485.1840797947</c:v>
                </c:pt>
                <c:pt idx="37">
                  <c:v>3900010.6047772779</c:v>
                </c:pt>
                <c:pt idx="38">
                  <c:v>3771246.8196292743</c:v>
                </c:pt>
                <c:pt idx="39">
                  <c:v>3609407.8284855559</c:v>
                </c:pt>
                <c:pt idx="40">
                  <c:v>3417765.1575008002</c:v>
                </c:pt>
                <c:pt idx="41">
                  <c:v>3199594.3246372198</c:v>
                </c:pt>
                <c:pt idx="42">
                  <c:v>2958127.3105436466</c:v>
                </c:pt>
              </c:numCache>
            </c:numRef>
          </c:val>
          <c:extLst>
            <c:ext xmlns:c16="http://schemas.microsoft.com/office/drawing/2014/chart" uri="{C3380CC4-5D6E-409C-BE32-E72D297353CC}">
              <c16:uniqueId val="{00000003-C079-4CE6-A752-FAFD24F9A595}"/>
            </c:ext>
          </c:extLst>
        </c:ser>
        <c:ser>
          <c:idx val="3"/>
          <c:order val="4"/>
          <c:tx>
            <c:strRef>
              <c:f>'5車両選好'!$B$26</c:f>
              <c:strCache>
                <c:ptCount val="1"/>
                <c:pt idx="0">
                  <c:v>FCV</c:v>
                </c:pt>
              </c:strCache>
            </c:strRef>
          </c:tx>
          <c:spPr>
            <a:solidFill>
              <a:schemeClr val="accent5"/>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'5車両選好'!$D$26:$AT$26</c:f>
              <c:numCache>
                <c:formatCode>0</c:formatCode>
                <c:ptCount val="43"/>
                <c:pt idx="0">
                  <c:v>0</c:v>
                </c:pt>
                <c:pt idx="1">
                  <c:v>0</c:v>
                </c:pt>
                <c:pt idx="2">
                  <c:v>0</c:v>
                </c:pt>
                <c:pt idx="3">
                  <c:v>0</c:v>
                </c:pt>
                <c:pt idx="4">
                  <c:v>0</c:v>
                </c:pt>
                <c:pt idx="5">
                  <c:v>0</c:v>
                </c:pt>
                <c:pt idx="6">
                  <c:v>0</c:v>
                </c:pt>
                <c:pt idx="7">
                  <c:v>6.9672232425284912</c:v>
                </c:pt>
                <c:pt idx="8">
                  <c:v>415.95121063802975</c:v>
                </c:pt>
                <c:pt idx="9">
                  <c:v>1459.49572458957</c:v>
                </c:pt>
                <c:pt idx="10">
                  <c:v>2282.0270443590239</c:v>
                </c:pt>
                <c:pt idx="11">
                  <c:v>2846.6173169704853</c:v>
                </c:pt>
                <c:pt idx="12">
                  <c:v>3459.4872327614485</c:v>
                </c:pt>
                <c:pt idx="13">
                  <c:v>4119.7420733114323</c:v>
                </c:pt>
                <c:pt idx="14">
                  <c:v>6442.8647541711907</c:v>
                </c:pt>
                <c:pt idx="15">
                  <c:v>7100.2872825750874</c:v>
                </c:pt>
                <c:pt idx="16">
                  <c:v>22638.970149467226</c:v>
                </c:pt>
                <c:pt idx="17">
                  <c:v>54813.869350539484</c:v>
                </c:pt>
                <c:pt idx="18">
                  <c:v>102054.37261715243</c:v>
                </c:pt>
                <c:pt idx="19">
                  <c:v>163753.78582194852</c:v>
                </c:pt>
                <c:pt idx="20">
                  <c:v>239191.93422719461</c:v>
                </c:pt>
                <c:pt idx="21">
                  <c:v>327550.62180876167</c:v>
                </c:pt>
                <c:pt idx="22">
                  <c:v>427934.61279683438</c:v>
                </c:pt>
                <c:pt idx="23">
                  <c:v>539391.49971032899</c:v>
                </c:pt>
                <c:pt idx="24">
                  <c:v>660930.02782893355</c:v>
                </c:pt>
                <c:pt idx="25">
                  <c:v>791536.36399036867</c:v>
                </c:pt>
                <c:pt idx="26">
                  <c:v>930193.57242592191</c:v>
                </c:pt>
                <c:pt idx="27">
                  <c:v>1075895.6149093339</c:v>
                </c:pt>
                <c:pt idx="28">
                  <c:v>1227659.1247288536</c:v>
                </c:pt>
                <c:pt idx="29">
                  <c:v>1383912.8334244497</c:v>
                </c:pt>
                <c:pt idx="30">
                  <c:v>1543767.0684719312</c:v>
                </c:pt>
                <c:pt idx="31">
                  <c:v>1706385.3043714548</c:v>
                </c:pt>
                <c:pt idx="32">
                  <c:v>1870988.4079874489</c:v>
                </c:pt>
                <c:pt idx="33">
                  <c:v>2036831.1766382512</c:v>
                </c:pt>
                <c:pt idx="34">
                  <c:v>2203252.4885516111</c:v>
                </c:pt>
                <c:pt idx="35">
                  <c:v>2369651.0121776396</c:v>
                </c:pt>
                <c:pt idx="36">
                  <c:v>2535482.8753887736</c:v>
                </c:pt>
                <c:pt idx="37">
                  <c:v>2700257.3141170451</c:v>
                </c:pt>
                <c:pt idx="38">
                  <c:v>2863532.609779458</c:v>
                </c:pt>
                <c:pt idx="39">
                  <c:v>3024912.1801872752</c:v>
                </c:pt>
                <c:pt idx="40">
                  <c:v>3184039.6489061904</c:v>
                </c:pt>
                <c:pt idx="41">
                  <c:v>3340593.9959546952</c:v>
                </c:pt>
                <c:pt idx="42">
                  <c:v>3494285.6550019309</c:v>
                </c:pt>
              </c:numCache>
            </c:numRef>
          </c:val>
          <c:extLst>
            <c:ext xmlns:c16="http://schemas.microsoft.com/office/drawing/2014/chart" uri="{C3380CC4-5D6E-409C-BE32-E72D297353CC}">
              <c16:uniqueId val="{00000004-C079-4CE6-A752-FAFD24F9A595}"/>
            </c:ext>
          </c:extLst>
        </c:ser>
        <c:ser>
          <c:idx val="5"/>
          <c:order val="5"/>
          <c:tx>
            <c:strRef>
              <c:f>'5車両選好'!$B$28</c:f>
              <c:strCache>
                <c:ptCount val="1"/>
                <c:pt idx="0">
                  <c:v>Others</c:v>
                </c:pt>
              </c:strCache>
            </c:strRef>
          </c:tx>
          <c:spPr>
            <a:solidFill>
              <a:srgbClr val="7030A0"/>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'5車両選好'!$D$28:$AT$28</c:f>
              <c:numCache>
                <c:formatCode>0</c:formatCode>
                <c:ptCount val="43"/>
                <c:pt idx="0">
                  <c:v>0</c:v>
                </c:pt>
                <c:pt idx="1">
                  <c:v>0</c:v>
                </c:pt>
                <c:pt idx="2">
                  <c:v>4343.5660329134771</c:v>
                </c:pt>
                <c:pt idx="3">
                  <c:v>13171.692226139261</c:v>
                </c:pt>
                <c:pt idx="4">
                  <c:v>21720.336957865555</c:v>
                </c:pt>
                <c:pt idx="5">
                  <c:v>61312.405510349126</c:v>
                </c:pt>
                <c:pt idx="6">
                  <c:v>135286.66043299239</c:v>
                </c:pt>
                <c:pt idx="7">
                  <c:v>211203.94237551797</c:v>
                </c:pt>
                <c:pt idx="8">
                  <c:v>359708.80879337975</c:v>
                </c:pt>
                <c:pt idx="9">
                  <c:v>494474.95139817143</c:v>
                </c:pt>
                <c:pt idx="10">
                  <c:v>637515.18879207596</c:v>
                </c:pt>
                <c:pt idx="11">
                  <c:v>795686.63332563778</c:v>
                </c:pt>
                <c:pt idx="12">
                  <c:v>945896.01387373556</c:v>
                </c:pt>
                <c:pt idx="13">
                  <c:v>1061055.2158441746</c:v>
                </c:pt>
                <c:pt idx="14">
                  <c:v>1170913.325967392</c:v>
                </c:pt>
                <c:pt idx="15">
                  <c:v>1264104.156639192</c:v>
                </c:pt>
                <c:pt idx="16">
                  <c:v>1344513.6335929106</c:v>
                </c:pt>
                <c:pt idx="17">
                  <c:v>1414021.5531053836</c:v>
                </c:pt>
                <c:pt idx="18">
                  <c:v>1463600.6412246339</c:v>
                </c:pt>
                <c:pt idx="19">
                  <c:v>1493773.0051210809</c:v>
                </c:pt>
                <c:pt idx="20">
                  <c:v>1505251.9627360869</c:v>
                </c:pt>
                <c:pt idx="21">
                  <c:v>1498913.3155758881</c:v>
                </c:pt>
                <c:pt idx="22">
                  <c:v>1475770.1975017122</c:v>
                </c:pt>
                <c:pt idx="23">
                  <c:v>1436943.2297181825</c:v>
                </c:pt>
                <c:pt idx="24">
                  <c:v>1383630.3989784704</c:v>
                </c:pt>
                <c:pt idx="25">
                  <c:v>1317078.4608805107</c:v>
                </c:pt>
                <c:pt idx="26">
                  <c:v>1238557.7099652223</c:v>
                </c:pt>
                <c:pt idx="27">
                  <c:v>1149337.7757689019</c:v>
                </c:pt>
                <c:pt idx="28">
                  <c:v>1050666.8646600174</c:v>
                </c:pt>
                <c:pt idx="29">
                  <c:v>954820.07330731547</c:v>
                </c:pt>
                <c:pt idx="30">
                  <c:v>862633.47791287652</c:v>
                </c:pt>
                <c:pt idx="31">
                  <c:v>774794.61017252959</c:v>
                </c:pt>
                <c:pt idx="32">
                  <c:v>691844.03515031072</c:v>
                </c:pt>
                <c:pt idx="33">
                  <c:v>614180.13790314808</c:v>
                </c:pt>
                <c:pt idx="34">
                  <c:v>542066.9257966138</c:v>
                </c:pt>
                <c:pt idx="35">
                  <c:v>475644.37764039368</c:v>
                </c:pt>
                <c:pt idx="36">
                  <c:v>414940.77038523345</c:v>
                </c:pt>
                <c:pt idx="37">
                  <c:v>359886.38434002554</c:v>
                </c:pt>
                <c:pt idx="38">
                  <c:v>310327.99950887111</c:v>
                </c:pt>
                <c:pt idx="39">
                  <c:v>266043.63569420704</c:v>
                </c:pt>
                <c:pt idx="40">
                  <c:v>226757.04907482633</c:v>
                </c:pt>
                <c:pt idx="41">
                  <c:v>192151.57135326185</c:v>
                </c:pt>
                <c:pt idx="42">
                  <c:v>161882.95847930422</c:v>
                </c:pt>
              </c:numCache>
            </c:numRef>
          </c:val>
          <c:extLst>
            <c:ext xmlns:c16="http://schemas.microsoft.com/office/drawing/2014/chart" uri="{C3380CC4-5D6E-409C-BE32-E72D297353CC}">
              <c16:uniqueId val="{00000005-C079-4CE6-A752-FAFD24F9A595}"/>
            </c:ext>
          </c:extLst>
        </c:ser>
        <c:dLbls>
          <c:showLegendKey val="0"/>
          <c:showVal val="0"/>
          <c:showCatName val="0"/>
          <c:showSerName val="0"/>
          <c:showPercent val="0"/>
          <c:showBubbleSize val="0"/>
        </c:dLbls>
        <c:axId val="966656912"/>
        <c:axId val="966654032"/>
      </c:areaChart>
      <c:catAx>
        <c:axId val="966656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crossAx val="966654032"/>
        <c:crosses val="autoZero"/>
        <c:auto val="1"/>
        <c:lblAlgn val="ctr"/>
        <c:lblOffset val="100"/>
        <c:noMultiLvlLbl val="0"/>
      </c:catAx>
      <c:valAx>
        <c:axId val="9666540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crossAx val="966656912"/>
        <c:crosses val="autoZero"/>
        <c:crossBetween val="midCat"/>
        <c:dispUnits>
          <c:builtInUnit val="millions"/>
          <c:dispUnitsLbl>
            <c:tx>
              <c:rich>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r>
                    <a:rPr lang="en-US" altLang="ja-JP"/>
                    <a:t>million vehicles</a:t>
                  </a:r>
                  <a:endParaRPr lang="ja-JP" altLang="en-US"/>
                </a:p>
              </c:rich>
            </c:tx>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ltLang="en-US"/>
              </a:p>
            </c:txPr>
          </c:dispUnitsLbl>
        </c:dispUnits>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ptos" panose="020B0004020202020204" pitchFamily="34" charset="0"/>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'5車両選好'!$B$23</c:f>
              <c:strCache>
                <c:ptCount val="1"/>
                <c:pt idx="0">
                  <c:v>ICEV</c:v>
                </c:pt>
              </c:strCache>
            </c:strRef>
          </c:tx>
          <c:spPr>
            <a:solidFill>
              <a:schemeClr val="accent2"/>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'5車両選好'!$D$23:$AT$23</c:f>
              <c:numCache>
                <c:formatCode>0</c:formatCode>
                <c:ptCount val="43"/>
                <c:pt idx="0">
                  <c:v>57551248.000000007</c:v>
                </c:pt>
                <c:pt idx="1">
                  <c:v>57574465.124023877</c:v>
                </c:pt>
                <c:pt idx="2">
                  <c:v>57444458.314299606</c:v>
                </c:pt>
                <c:pt idx="3">
                  <c:v>57197681.532072343</c:v>
                </c:pt>
                <c:pt idx="4">
                  <c:v>57333806.166544393</c:v>
                </c:pt>
                <c:pt idx="5">
                  <c:v>57043479.483159639</c:v>
                </c:pt>
                <c:pt idx="6">
                  <c:v>56769125.382586628</c:v>
                </c:pt>
                <c:pt idx="7">
                  <c:v>56152455.412221</c:v>
                </c:pt>
                <c:pt idx="8">
                  <c:v>55337915.120578997</c:v>
                </c:pt>
                <c:pt idx="9">
                  <c:v>54484668.623351008</c:v>
                </c:pt>
                <c:pt idx="10">
                  <c:v>53443533.90117348</c:v>
                </c:pt>
                <c:pt idx="11">
                  <c:v>52255435.872361995</c:v>
                </c:pt>
                <c:pt idx="12">
                  <c:v>50463599.633824445</c:v>
                </c:pt>
                <c:pt idx="13">
                  <c:v>49094262.196756512</c:v>
                </c:pt>
                <c:pt idx="14">
                  <c:v>47288285.78983184</c:v>
                </c:pt>
                <c:pt idx="15">
                  <c:v>45682196.731681451</c:v>
                </c:pt>
                <c:pt idx="16">
                  <c:v>44077886.37938296</c:v>
                </c:pt>
                <c:pt idx="17">
                  <c:v>42512026.801855221</c:v>
                </c:pt>
                <c:pt idx="18">
                  <c:v>40843257.796069704</c:v>
                </c:pt>
                <c:pt idx="19">
                  <c:v>39079333.532574102</c:v>
                </c:pt>
                <c:pt idx="20">
                  <c:v>37227948.599923454</c:v>
                </c:pt>
                <c:pt idx="21">
                  <c:v>35296684.474536888</c:v>
                </c:pt>
                <c:pt idx="22">
                  <c:v>33293043.772627857</c:v>
                </c:pt>
                <c:pt idx="23">
                  <c:v>31224421.84966873</c:v>
                </c:pt>
                <c:pt idx="24">
                  <c:v>29098069.719234124</c:v>
                </c:pt>
                <c:pt idx="25">
                  <c:v>26921062.683951244</c:v>
                </c:pt>
                <c:pt idx="26">
                  <c:v>24700292.294275351</c:v>
                </c:pt>
                <c:pt idx="27">
                  <c:v>22442435.210169215</c:v>
                </c:pt>
                <c:pt idx="28">
                  <c:v>20153931.430569481</c:v>
                </c:pt>
                <c:pt idx="29">
                  <c:v>18017780.202465422</c:v>
                </c:pt>
                <c:pt idx="30">
                  <c:v>16034779.545644006</c:v>
                </c:pt>
                <c:pt idx="31">
                  <c:v>14204092.16137265</c:v>
                </c:pt>
                <c:pt idx="32">
                  <c:v>12523385.638964338</c:v>
                </c:pt>
                <c:pt idx="33">
                  <c:v>10988981.724311875</c:v>
                </c:pt>
                <c:pt idx="34">
                  <c:v>9596016.6056922432</c:v>
                </c:pt>
                <c:pt idx="35">
                  <c:v>8338610.2886452116</c:v>
                </c:pt>
                <c:pt idx="36">
                  <c:v>7210041.709816209</c:v>
                </c:pt>
                <c:pt idx="37">
                  <c:v>6202925.6587991435</c:v>
                </c:pt>
                <c:pt idx="38">
                  <c:v>5309387.4310499085</c:v>
                </c:pt>
                <c:pt idx="39">
                  <c:v>4521231.2768247845</c:v>
                </c:pt>
                <c:pt idx="40">
                  <c:v>3830099.0647792872</c:v>
                </c:pt>
                <c:pt idx="41">
                  <c:v>3227616.0894567692</c:v>
                </c:pt>
                <c:pt idx="42">
                  <c:v>2705521.5710136248</c:v>
                </c:pt>
              </c:numCache>
            </c:numRef>
          </c:val>
          <c:extLst>
            <c:ext xmlns:c16="http://schemas.microsoft.com/office/drawing/2014/chart" uri="{C3380CC4-5D6E-409C-BE32-E72D297353CC}">
              <c16:uniqueId val="{00000000-A3FF-44FB-8460-B1FBE2D41E56}"/>
            </c:ext>
          </c:extLst>
        </c:ser>
        <c:ser>
          <c:idx val="4"/>
          <c:order val="1"/>
          <c:tx>
            <c:strRef>
              <c:f>'5車両選好'!$B$27</c:f>
              <c:strCache>
                <c:ptCount val="1"/>
                <c:pt idx="0">
                  <c:v>HEV</c:v>
                </c:pt>
              </c:strCache>
            </c:strRef>
          </c:tx>
          <c:spPr>
            <a:solidFill>
              <a:schemeClr val="accent4"/>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'5車両選好'!$D$27:$AT$27</c:f>
              <c:numCache>
                <c:formatCode>0</c:formatCode>
                <c:ptCount val="43"/>
                <c:pt idx="0">
                  <c:v>0</c:v>
                </c:pt>
                <c:pt idx="1">
                  <c:v>108009.87597610097</c:v>
                </c:pt>
                <c:pt idx="2">
                  <c:v>452960.16728812642</c:v>
                </c:pt>
                <c:pt idx="3">
                  <c:v>925128.35622815811</c:v>
                </c:pt>
                <c:pt idx="4">
                  <c:v>1357818.4496589706</c:v>
                </c:pt>
                <c:pt idx="5">
                  <c:v>2212355.9709595749</c:v>
                </c:pt>
                <c:pt idx="6">
                  <c:v>3078793.1421858557</c:v>
                </c:pt>
                <c:pt idx="7">
                  <c:v>4054670.9394932375</c:v>
                </c:pt>
                <c:pt idx="8">
                  <c:v>5012666.9459237987</c:v>
                </c:pt>
                <c:pt idx="9">
                  <c:v>6130276.6196729131</c:v>
                </c:pt>
                <c:pt idx="10">
                  <c:v>7309691.2675366635</c:v>
                </c:pt>
                <c:pt idx="11">
                  <c:v>8481151.4359934181</c:v>
                </c:pt>
                <c:pt idx="12">
                  <c:v>9632891.8614997361</c:v>
                </c:pt>
                <c:pt idx="13">
                  <c:v>10595009.867272744</c:v>
                </c:pt>
                <c:pt idx="14">
                  <c:v>11578055.688651863</c:v>
                </c:pt>
                <c:pt idx="15">
                  <c:v>12507930.243144982</c:v>
                </c:pt>
                <c:pt idx="16">
                  <c:v>13465776.606057763</c:v>
                </c:pt>
                <c:pt idx="17">
                  <c:v>14488061.952222541</c:v>
                </c:pt>
                <c:pt idx="18">
                  <c:v>15465706.444293313</c:v>
                </c:pt>
                <c:pt idx="19">
                  <c:v>16397212.771853114</c:v>
                </c:pt>
                <c:pt idx="20">
                  <c:v>17281767.801593129</c:v>
                </c:pt>
                <c:pt idx="21">
                  <c:v>18119144.01433064</c:v>
                </c:pt>
                <c:pt idx="22">
                  <c:v>18909693.6443629</c:v>
                </c:pt>
                <c:pt idx="23">
                  <c:v>19654281.780853543</c:v>
                </c:pt>
                <c:pt idx="24">
                  <c:v>20354197.667874385</c:v>
                </c:pt>
                <c:pt idx="25">
                  <c:v>21011056.229384128</c:v>
                </c:pt>
                <c:pt idx="26">
                  <c:v>21626760.459126126</c:v>
                </c:pt>
                <c:pt idx="27">
                  <c:v>22203413.311280496</c:v>
                </c:pt>
                <c:pt idx="28">
                  <c:v>22743236.359729845</c:v>
                </c:pt>
                <c:pt idx="29">
                  <c:v>23087533.856818799</c:v>
                </c:pt>
                <c:pt idx="30">
                  <c:v>23243253.827693686</c:v>
                </c:pt>
                <c:pt idx="31">
                  <c:v>23218534.627565213</c:v>
                </c:pt>
                <c:pt idx="32">
                  <c:v>23022532.294807442</c:v>
                </c:pt>
                <c:pt idx="33">
                  <c:v>22665122.974710099</c:v>
                </c:pt>
                <c:pt idx="34">
                  <c:v>22157010.848279603</c:v>
                </c:pt>
                <c:pt idx="35">
                  <c:v>21509403.397495136</c:v>
                </c:pt>
                <c:pt idx="36">
                  <c:v>20733843.649887778</c:v>
                </c:pt>
                <c:pt idx="37">
                  <c:v>19842047.433016255</c:v>
                </c:pt>
                <c:pt idx="38">
                  <c:v>18845755.270104896</c:v>
                </c:pt>
                <c:pt idx="39">
                  <c:v>17756597.421861742</c:v>
                </c:pt>
                <c:pt idx="40">
                  <c:v>16585971.096746679</c:v>
                </c:pt>
                <c:pt idx="41">
                  <c:v>15344934.055138385</c:v>
                </c:pt>
                <c:pt idx="42">
                  <c:v>14044115.445975643</c:v>
                </c:pt>
              </c:numCache>
            </c:numRef>
          </c:val>
          <c:extLst>
            <c:ext xmlns:c16="http://schemas.microsoft.com/office/drawing/2014/chart" uri="{C3380CC4-5D6E-409C-BE32-E72D297353CC}">
              <c16:uniqueId val="{00000001-A3FF-44FB-8460-B1FBE2D41E56}"/>
            </c:ext>
          </c:extLst>
        </c:ser>
        <c:ser>
          <c:idx val="1"/>
          <c:order val="2"/>
          <c:tx>
            <c:strRef>
              <c:f>'5車両選好'!$B$24</c:f>
              <c:strCache>
                <c:ptCount val="1"/>
                <c:pt idx="0">
                  <c:v>BEV</c:v>
                </c:pt>
              </c:strCache>
            </c:strRef>
          </c:tx>
          <c:spPr>
            <a:solidFill>
              <a:schemeClr val="accent1"/>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'5車両選好'!$D$24:$AT$24</c:f>
              <c:numCache>
                <c:formatCode>0</c:formatCode>
                <c:ptCount val="43"/>
                <c:pt idx="0">
                  <c:v>0</c:v>
                </c:pt>
                <c:pt idx="1">
                  <c:v>0</c:v>
                </c:pt>
                <c:pt idx="2">
                  <c:v>1072.9523793493877</c:v>
                </c:pt>
                <c:pt idx="3">
                  <c:v>3489.4194733503318</c:v>
                </c:pt>
                <c:pt idx="4">
                  <c:v>15983.117074705859</c:v>
                </c:pt>
                <c:pt idx="5">
                  <c:v>29143.763278718267</c:v>
                </c:pt>
                <c:pt idx="6">
                  <c:v>43289.316977223643</c:v>
                </c:pt>
                <c:pt idx="7">
                  <c:v>58378.335846260816</c:v>
                </c:pt>
                <c:pt idx="8">
                  <c:v>67338.213423588386</c:v>
                </c:pt>
                <c:pt idx="9">
                  <c:v>80510.267218341673</c:v>
                </c:pt>
                <c:pt idx="10">
                  <c:v>95910.398699914469</c:v>
                </c:pt>
                <c:pt idx="11">
                  <c:v>118995.48979881615</c:v>
                </c:pt>
                <c:pt idx="12">
                  <c:v>135960.56093674237</c:v>
                </c:pt>
                <c:pt idx="13">
                  <c:v>145311.41105433751</c:v>
                </c:pt>
                <c:pt idx="14">
                  <c:v>160808.6932866913</c:v>
                </c:pt>
                <c:pt idx="15">
                  <c:v>210287.5760132049</c:v>
                </c:pt>
                <c:pt idx="16">
                  <c:v>370699.53319364222</c:v>
                </c:pt>
                <c:pt idx="17">
                  <c:v>655852.09931459418</c:v>
                </c:pt>
                <c:pt idx="18">
                  <c:v>1050205.5999018641</c:v>
                </c:pt>
                <c:pt idx="19">
                  <c:v>1549012.9465472838</c:v>
                </c:pt>
                <c:pt idx="20">
                  <c:v>2146733.3199859066</c:v>
                </c:pt>
                <c:pt idx="21">
                  <c:v>2837146.76699743</c:v>
                </c:pt>
                <c:pt idx="22">
                  <c:v>3613511.6375131449</c:v>
                </c:pt>
                <c:pt idx="23">
                  <c:v>4468710.8558893465</c:v>
                </c:pt>
                <c:pt idx="24">
                  <c:v>5395385.1524086669</c:v>
                </c:pt>
                <c:pt idx="25">
                  <c:v>6386049.9095612736</c:v>
                </c:pt>
                <c:pt idx="26">
                  <c:v>7433236.5273082387</c:v>
                </c:pt>
                <c:pt idx="27">
                  <c:v>8529591.132156143</c:v>
                </c:pt>
                <c:pt idx="28">
                  <c:v>9667956.4563815072</c:v>
                </c:pt>
                <c:pt idx="29">
                  <c:v>10769595.993868817</c:v>
                </c:pt>
                <c:pt idx="30">
                  <c:v>11830037.375761971</c:v>
                </c:pt>
                <c:pt idx="31">
                  <c:v>12845732.127368035</c:v>
                </c:pt>
                <c:pt idx="32">
                  <c:v>13814025.930782383</c:v>
                </c:pt>
                <c:pt idx="33">
                  <c:v>14732950.339908857</c:v>
                </c:pt>
                <c:pt idx="34">
                  <c:v>15601483.323779186</c:v>
                </c:pt>
                <c:pt idx="35">
                  <c:v>16419317.513415698</c:v>
                </c:pt>
                <c:pt idx="36">
                  <c:v>17186775.485191502</c:v>
                </c:pt>
                <c:pt idx="37">
                  <c:v>17904713.27102688</c:v>
                </c:pt>
                <c:pt idx="38">
                  <c:v>18574427.491848867</c:v>
                </c:pt>
                <c:pt idx="39">
                  <c:v>19197566.25859727</c:v>
                </c:pt>
                <c:pt idx="40">
                  <c:v>19776038.794056457</c:v>
                </c:pt>
                <c:pt idx="41">
                  <c:v>20311931.335528374</c:v>
                </c:pt>
                <c:pt idx="42">
                  <c:v>20807434.614916455</c:v>
                </c:pt>
              </c:numCache>
            </c:numRef>
          </c:val>
          <c:extLst>
            <c:ext xmlns:c16="http://schemas.microsoft.com/office/drawing/2014/chart" uri="{C3380CC4-5D6E-409C-BE32-E72D297353CC}">
              <c16:uniqueId val="{00000002-A3FF-44FB-8460-B1FBE2D41E56}"/>
            </c:ext>
          </c:extLst>
        </c:ser>
        <c:ser>
          <c:idx val="2"/>
          <c:order val="3"/>
          <c:tx>
            <c:strRef>
              <c:f>'5車両選好'!$B$25</c:f>
              <c:strCache>
                <c:ptCount val="1"/>
                <c:pt idx="0">
                  <c:v>PHEV</c:v>
                </c:pt>
              </c:strCache>
            </c:strRef>
          </c:tx>
          <c:spPr>
            <a:solidFill>
              <a:schemeClr val="accent3"/>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'5車両選好'!$D$25:$AT$25</c:f>
              <c:numCache>
                <c:formatCode>0</c:formatCode>
                <c:ptCount val="43"/>
                <c:pt idx="0">
                  <c:v>0</c:v>
                </c:pt>
                <c:pt idx="1">
                  <c:v>0</c:v>
                </c:pt>
                <c:pt idx="2">
                  <c:v>0</c:v>
                </c:pt>
                <c:pt idx="3">
                  <c:v>0</c:v>
                </c:pt>
                <c:pt idx="4">
                  <c:v>14.929764091132482</c:v>
                </c:pt>
                <c:pt idx="5">
                  <c:v>10931.377091738213</c:v>
                </c:pt>
                <c:pt idx="6">
                  <c:v>24843.497817326028</c:v>
                </c:pt>
                <c:pt idx="7">
                  <c:v>40533.402840746887</c:v>
                </c:pt>
                <c:pt idx="8">
                  <c:v>53846.960069594948</c:v>
                </c:pt>
                <c:pt idx="9">
                  <c:v>61910.04263498199</c:v>
                </c:pt>
                <c:pt idx="10">
                  <c:v>95973.216753473011</c:v>
                </c:pt>
                <c:pt idx="11">
                  <c:v>116456.95120317416</c:v>
                </c:pt>
                <c:pt idx="12">
                  <c:v>130426.33824165555</c:v>
                </c:pt>
                <c:pt idx="13">
                  <c:v>140538.65177520545</c:v>
                </c:pt>
                <c:pt idx="14">
                  <c:v>157674.80487912585</c:v>
                </c:pt>
                <c:pt idx="15">
                  <c:v>188749.13756505871</c:v>
                </c:pt>
                <c:pt idx="16">
                  <c:v>252418.21289189142</c:v>
                </c:pt>
                <c:pt idx="17">
                  <c:v>353145.10541826853</c:v>
                </c:pt>
                <c:pt idx="18">
                  <c:v>484788.79300634906</c:v>
                </c:pt>
                <c:pt idx="19">
                  <c:v>645907.17150088295</c:v>
                </c:pt>
                <c:pt idx="20">
                  <c:v>834843.21514689911</c:v>
                </c:pt>
                <c:pt idx="21">
                  <c:v>1049757.2885132155</c:v>
                </c:pt>
                <c:pt idx="22">
                  <c:v>1288673.0118964743</c:v>
                </c:pt>
                <c:pt idx="23">
                  <c:v>1549518.8216709434</c:v>
                </c:pt>
                <c:pt idx="24">
                  <c:v>1830165.2603981534</c:v>
                </c:pt>
                <c:pt idx="25">
                  <c:v>2128457.2178994589</c:v>
                </c:pt>
                <c:pt idx="26">
                  <c:v>2442253.9787041056</c:v>
                </c:pt>
                <c:pt idx="27">
                  <c:v>2769456.0833587195</c:v>
                </c:pt>
                <c:pt idx="28">
                  <c:v>3108027.3220471404</c:v>
                </c:pt>
                <c:pt idx="29">
                  <c:v>3501587.8955544303</c:v>
                </c:pt>
                <c:pt idx="30">
                  <c:v>3946963.2390952497</c:v>
                </c:pt>
                <c:pt idx="31">
                  <c:v>4440737.722236203</c:v>
                </c:pt>
                <c:pt idx="32">
                  <c:v>4979300.437609341</c:v>
                </c:pt>
                <c:pt idx="33">
                  <c:v>5558806.384756838</c:v>
                </c:pt>
                <c:pt idx="34">
                  <c:v>6175370.8138837414</c:v>
                </c:pt>
                <c:pt idx="35">
                  <c:v>6825041.8630616032</c:v>
                </c:pt>
                <c:pt idx="36">
                  <c:v>7503839.0494460016</c:v>
                </c:pt>
                <c:pt idx="37">
                  <c:v>8207785.7072284343</c:v>
                </c:pt>
                <c:pt idx="38">
                  <c:v>8932941.9961145055</c:v>
                </c:pt>
                <c:pt idx="39">
                  <c:v>9675437.2018657867</c:v>
                </c:pt>
                <c:pt idx="40">
                  <c:v>10431495.891129345</c:v>
                </c:pt>
                <c:pt idx="41">
                  <c:v>11197460.85169383</c:v>
                </c:pt>
                <c:pt idx="42">
                  <c:v>11969815.48958954</c:v>
                </c:pt>
              </c:numCache>
            </c:numRef>
          </c:val>
          <c:extLst>
            <c:ext xmlns:c16="http://schemas.microsoft.com/office/drawing/2014/chart" uri="{C3380CC4-5D6E-409C-BE32-E72D297353CC}">
              <c16:uniqueId val="{00000003-A3FF-44FB-8460-B1FBE2D41E56}"/>
            </c:ext>
          </c:extLst>
        </c:ser>
        <c:ser>
          <c:idx val="3"/>
          <c:order val="4"/>
          <c:tx>
            <c:strRef>
              <c:f>'5車両選好'!$B$26</c:f>
              <c:strCache>
                <c:ptCount val="1"/>
                <c:pt idx="0">
                  <c:v>FCV</c:v>
                </c:pt>
              </c:strCache>
            </c:strRef>
          </c:tx>
          <c:spPr>
            <a:solidFill>
              <a:schemeClr val="accent5"/>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'5車両選好'!$D$26:$AT$26</c:f>
              <c:numCache>
                <c:formatCode>0</c:formatCode>
                <c:ptCount val="43"/>
                <c:pt idx="0">
                  <c:v>0</c:v>
                </c:pt>
                <c:pt idx="1">
                  <c:v>0</c:v>
                </c:pt>
                <c:pt idx="2">
                  <c:v>0</c:v>
                </c:pt>
                <c:pt idx="3">
                  <c:v>0</c:v>
                </c:pt>
                <c:pt idx="4">
                  <c:v>0</c:v>
                </c:pt>
                <c:pt idx="5">
                  <c:v>0</c:v>
                </c:pt>
                <c:pt idx="6">
                  <c:v>0</c:v>
                </c:pt>
                <c:pt idx="7">
                  <c:v>6.9672232425284912</c:v>
                </c:pt>
                <c:pt idx="8">
                  <c:v>415.95121063802975</c:v>
                </c:pt>
                <c:pt idx="9">
                  <c:v>1459.49572458957</c:v>
                </c:pt>
                <c:pt idx="10">
                  <c:v>2282.0270443590239</c:v>
                </c:pt>
                <c:pt idx="11">
                  <c:v>2846.6173169704853</c:v>
                </c:pt>
                <c:pt idx="12">
                  <c:v>3459.4872327614485</c:v>
                </c:pt>
                <c:pt idx="13">
                  <c:v>4119.7420733114323</c:v>
                </c:pt>
                <c:pt idx="14">
                  <c:v>6442.8647541711907</c:v>
                </c:pt>
                <c:pt idx="15">
                  <c:v>7100.2872825750874</c:v>
                </c:pt>
                <c:pt idx="16">
                  <c:v>22638.970149467226</c:v>
                </c:pt>
                <c:pt idx="17">
                  <c:v>54813.869350539484</c:v>
                </c:pt>
                <c:pt idx="18">
                  <c:v>102054.37261715243</c:v>
                </c:pt>
                <c:pt idx="19">
                  <c:v>163753.78582194852</c:v>
                </c:pt>
                <c:pt idx="20">
                  <c:v>239191.93422719461</c:v>
                </c:pt>
                <c:pt idx="21">
                  <c:v>327550.62180876167</c:v>
                </c:pt>
                <c:pt idx="22">
                  <c:v>427934.61279683438</c:v>
                </c:pt>
                <c:pt idx="23">
                  <c:v>539391.49971032899</c:v>
                </c:pt>
                <c:pt idx="24">
                  <c:v>660930.02782893355</c:v>
                </c:pt>
                <c:pt idx="25">
                  <c:v>791536.36399036867</c:v>
                </c:pt>
                <c:pt idx="26">
                  <c:v>930193.57242592191</c:v>
                </c:pt>
                <c:pt idx="27">
                  <c:v>1075895.6149093339</c:v>
                </c:pt>
                <c:pt idx="28">
                  <c:v>1227659.1247288536</c:v>
                </c:pt>
                <c:pt idx="29">
                  <c:v>1383912.8334244497</c:v>
                </c:pt>
                <c:pt idx="30">
                  <c:v>1543767.0684719312</c:v>
                </c:pt>
                <c:pt idx="31">
                  <c:v>1706385.3043714548</c:v>
                </c:pt>
                <c:pt idx="32">
                  <c:v>1870988.4079874489</c:v>
                </c:pt>
                <c:pt idx="33">
                  <c:v>2036831.1766382512</c:v>
                </c:pt>
                <c:pt idx="34">
                  <c:v>2203252.4885516111</c:v>
                </c:pt>
                <c:pt idx="35">
                  <c:v>2369651.0121776396</c:v>
                </c:pt>
                <c:pt idx="36">
                  <c:v>2535482.8753887736</c:v>
                </c:pt>
                <c:pt idx="37">
                  <c:v>2700257.3141170451</c:v>
                </c:pt>
                <c:pt idx="38">
                  <c:v>2863532.609779458</c:v>
                </c:pt>
                <c:pt idx="39">
                  <c:v>3024912.1801872752</c:v>
                </c:pt>
                <c:pt idx="40">
                  <c:v>3184039.6489061904</c:v>
                </c:pt>
                <c:pt idx="41">
                  <c:v>3340593.9959546952</c:v>
                </c:pt>
                <c:pt idx="42">
                  <c:v>3494285.6550019309</c:v>
                </c:pt>
              </c:numCache>
            </c:numRef>
          </c:val>
          <c:extLst>
            <c:ext xmlns:c16="http://schemas.microsoft.com/office/drawing/2014/chart" uri="{C3380CC4-5D6E-409C-BE32-E72D297353CC}">
              <c16:uniqueId val="{00000004-A3FF-44FB-8460-B1FBE2D41E56}"/>
            </c:ext>
          </c:extLst>
        </c:ser>
        <c:ser>
          <c:idx val="5"/>
          <c:order val="5"/>
          <c:tx>
            <c:strRef>
              <c:f>'5車両選好'!$B$28</c:f>
              <c:strCache>
                <c:ptCount val="1"/>
                <c:pt idx="0">
                  <c:v>Others</c:v>
                </c:pt>
              </c:strCache>
            </c:strRef>
          </c:tx>
          <c:spPr>
            <a:solidFill>
              <a:srgbClr val="7030A0"/>
            </a:solidFill>
            <a:ln>
              <a:noFill/>
            </a:ln>
            <a:effectLst/>
          </c:spPr>
          <c:cat>
            <c:numRef>
              <c:f>'5車両選好'!$D$22:$AT$22</c:f>
              <c:numCache>
                <c:formatCode>General</c:formatCode>
                <c:ptCount val="4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pt idx="34">
                  <c:v>2042</c:v>
                </c:pt>
                <c:pt idx="35">
                  <c:v>2043</c:v>
                </c:pt>
                <c:pt idx="36">
                  <c:v>2044</c:v>
                </c:pt>
                <c:pt idx="37">
                  <c:v>2045</c:v>
                </c:pt>
                <c:pt idx="38">
                  <c:v>2046</c:v>
                </c:pt>
                <c:pt idx="39">
                  <c:v>2047</c:v>
                </c:pt>
                <c:pt idx="40">
                  <c:v>2048</c:v>
                </c:pt>
                <c:pt idx="41">
                  <c:v>2049</c:v>
                </c:pt>
                <c:pt idx="42">
                  <c:v>2050</c:v>
                </c:pt>
              </c:numCache>
            </c:numRef>
          </c:cat>
          <c:val>
            <c:numRef>
              <c:f>'5車両選好'!$D$28:$AT$28</c:f>
              <c:numCache>
                <c:formatCode>0</c:formatCode>
                <c:ptCount val="43"/>
                <c:pt idx="0">
                  <c:v>0</c:v>
                </c:pt>
                <c:pt idx="1">
                  <c:v>0</c:v>
                </c:pt>
                <c:pt idx="2">
                  <c:v>4343.5660329134771</c:v>
                </c:pt>
                <c:pt idx="3">
                  <c:v>13171.692226139261</c:v>
                </c:pt>
                <c:pt idx="4">
                  <c:v>21720.336957865555</c:v>
                </c:pt>
                <c:pt idx="5">
                  <c:v>61312.405510349126</c:v>
                </c:pt>
                <c:pt idx="6">
                  <c:v>135286.66043299239</c:v>
                </c:pt>
                <c:pt idx="7">
                  <c:v>211203.94237551797</c:v>
                </c:pt>
                <c:pt idx="8">
                  <c:v>359708.80879337975</c:v>
                </c:pt>
                <c:pt idx="9">
                  <c:v>494474.95139817143</c:v>
                </c:pt>
                <c:pt idx="10">
                  <c:v>637515.18879207596</c:v>
                </c:pt>
                <c:pt idx="11">
                  <c:v>795686.63332563778</c:v>
                </c:pt>
                <c:pt idx="12">
                  <c:v>945896.01387373556</c:v>
                </c:pt>
                <c:pt idx="13">
                  <c:v>1061055.2158441746</c:v>
                </c:pt>
                <c:pt idx="14">
                  <c:v>1170913.325967392</c:v>
                </c:pt>
                <c:pt idx="15">
                  <c:v>1264104.156639192</c:v>
                </c:pt>
                <c:pt idx="16">
                  <c:v>1344513.6335929106</c:v>
                </c:pt>
                <c:pt idx="17">
                  <c:v>1414021.5531053836</c:v>
                </c:pt>
                <c:pt idx="18">
                  <c:v>1463600.6412246339</c:v>
                </c:pt>
                <c:pt idx="19">
                  <c:v>1493773.0051210809</c:v>
                </c:pt>
                <c:pt idx="20">
                  <c:v>1505251.9627360869</c:v>
                </c:pt>
                <c:pt idx="21">
                  <c:v>1498913.3155758881</c:v>
                </c:pt>
                <c:pt idx="22">
                  <c:v>1475770.1975017122</c:v>
                </c:pt>
                <c:pt idx="23">
                  <c:v>1436943.2297181825</c:v>
                </c:pt>
                <c:pt idx="24">
                  <c:v>1383630.3989784704</c:v>
                </c:pt>
                <c:pt idx="25">
                  <c:v>1317078.4608805107</c:v>
                </c:pt>
                <c:pt idx="26">
                  <c:v>1238557.7099652223</c:v>
                </c:pt>
                <c:pt idx="27">
                  <c:v>1149337.7757689019</c:v>
                </c:pt>
                <c:pt idx="28">
                  <c:v>1050666.8646600174</c:v>
                </c:pt>
                <c:pt idx="29">
                  <c:v>954820.07330731547</c:v>
                </c:pt>
                <c:pt idx="30">
                  <c:v>862633.47791287652</c:v>
                </c:pt>
                <c:pt idx="31">
                  <c:v>774794.61017252959</c:v>
                </c:pt>
                <c:pt idx="32">
                  <c:v>691844.03515031072</c:v>
                </c:pt>
                <c:pt idx="33">
                  <c:v>614180.13790314808</c:v>
                </c:pt>
                <c:pt idx="34">
                  <c:v>542066.9257966138</c:v>
                </c:pt>
                <c:pt idx="35">
                  <c:v>475644.37764039368</c:v>
                </c:pt>
                <c:pt idx="36">
                  <c:v>414940.77038523345</c:v>
                </c:pt>
                <c:pt idx="37">
                  <c:v>359886.38434002554</c:v>
                </c:pt>
                <c:pt idx="38">
                  <c:v>310327.99950887111</c:v>
                </c:pt>
                <c:pt idx="39">
                  <c:v>266043.63569420704</c:v>
                </c:pt>
                <c:pt idx="40">
                  <c:v>226757.04907482633</c:v>
                </c:pt>
                <c:pt idx="41">
                  <c:v>192151.57135326185</c:v>
                </c:pt>
                <c:pt idx="42">
                  <c:v>161882.95847930422</c:v>
                </c:pt>
              </c:numCache>
            </c:numRef>
          </c:val>
          <c:extLst>
            <c:ext xmlns:c16="http://schemas.microsoft.com/office/drawing/2014/chart" uri="{C3380CC4-5D6E-409C-BE32-E72D297353CC}">
              <c16:uniqueId val="{00000005-A3FF-44FB-8460-B1FBE2D41E56}"/>
            </c:ext>
          </c:extLst>
        </c:ser>
        <c:dLbls>
          <c:showLegendKey val="0"/>
          <c:showVal val="0"/>
          <c:showCatName val="0"/>
          <c:showSerName val="0"/>
          <c:showPercent val="0"/>
          <c:showBubbleSize val="0"/>
        </c:dLbls>
        <c:axId val="966656912"/>
        <c:axId val="966654032"/>
      </c:areaChart>
      <c:catAx>
        <c:axId val="966656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crossAx val="966654032"/>
        <c:crosses val="autoZero"/>
        <c:auto val="1"/>
        <c:lblAlgn val="ctr"/>
        <c:lblOffset val="100"/>
        <c:noMultiLvlLbl val="0"/>
      </c:catAx>
      <c:valAx>
        <c:axId val="9666540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crossAx val="966656912"/>
        <c:crosses val="autoZero"/>
        <c:crossBetween val="midCat"/>
        <c:dispUnits>
          <c:builtInUnit val="millions"/>
          <c:dispUnitsLbl>
            <c:tx>
              <c:rich>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r>
                    <a:rPr lang="en-US" altLang="ja-JP"/>
                    <a:t>million vehicles</a:t>
                  </a:r>
                  <a:endParaRPr lang="ja-JP" altLang="en-US"/>
                </a:p>
              </c:rich>
            </c:tx>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ltLang="en-US"/>
              </a:p>
            </c:txPr>
          </c:dispUnitsLbl>
        </c:dispUnits>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ptos" panose="020B0004020202020204" pitchFamily="34" charset="0"/>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v>ICEV</c:v>
          </c:tx>
          <c:spPr>
            <a:solidFill>
              <a:schemeClr val="accent2"/>
            </a:solidFill>
            <a:ln>
              <a:noFill/>
            </a:ln>
            <a:effectLst/>
          </c:spPr>
          <c:cat>
            <c:numRef>
              <c:f>'2新車海外販売'!$N$52:$AU$52</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'2新車海外販売'!$N$53:$AU$53</c:f>
              <c:numCache>
                <c:formatCode>0.0%</c:formatCode>
                <c:ptCount val="34"/>
                <c:pt idx="0">
                  <c:v>0.88160678410353777</c:v>
                </c:pt>
                <c:pt idx="1">
                  <c:v>0.88237726686749185</c:v>
                </c:pt>
                <c:pt idx="2">
                  <c:v>0.82483380171822385</c:v>
                </c:pt>
                <c:pt idx="3">
                  <c:v>0.74978307639626807</c:v>
                </c:pt>
                <c:pt idx="4">
                  <c:v>0.74991078542894429</c:v>
                </c:pt>
                <c:pt idx="5">
                  <c:v>0.75086404067609747</c:v>
                </c:pt>
                <c:pt idx="6">
                  <c:v>0.68273166604077296</c:v>
                </c:pt>
                <c:pt idx="7">
                  <c:v>0.62583736053737526</c:v>
                </c:pt>
                <c:pt idx="8">
                  <c:v>0.56894305503397746</c:v>
                </c:pt>
                <c:pt idx="9">
                  <c:v>0.51204874953057966</c:v>
                </c:pt>
                <c:pt idx="10">
                  <c:v>0.45515444402718197</c:v>
                </c:pt>
                <c:pt idx="11">
                  <c:v>0.39826013852378422</c:v>
                </c:pt>
                <c:pt idx="12">
                  <c:v>0.34136583302038648</c:v>
                </c:pt>
                <c:pt idx="13">
                  <c:v>0.28447152751698873</c:v>
                </c:pt>
                <c:pt idx="14">
                  <c:v>0.22757722201359099</c:v>
                </c:pt>
                <c:pt idx="15">
                  <c:v>0.17068291651019329</c:v>
                </c:pt>
                <c:pt idx="16">
                  <c:v>0.11378861100679549</c:v>
                </c:pt>
                <c:pt idx="17">
                  <c:v>5.6894305503397691E-2</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numCache>
            </c:numRef>
          </c:val>
          <c:extLst>
            <c:ext xmlns:c16="http://schemas.microsoft.com/office/drawing/2014/chart" uri="{C3380CC4-5D6E-409C-BE32-E72D297353CC}">
              <c16:uniqueId val="{00000000-3837-44AF-83A2-960870444393}"/>
            </c:ext>
          </c:extLst>
        </c:ser>
        <c:ser>
          <c:idx val="4"/>
          <c:order val="1"/>
          <c:tx>
            <c:v>HEV</c:v>
          </c:tx>
          <c:spPr>
            <a:solidFill>
              <a:schemeClr val="accent4"/>
            </a:solidFill>
            <a:ln>
              <a:noFill/>
            </a:ln>
            <a:effectLst/>
          </c:spPr>
          <c:cat>
            <c:numRef>
              <c:f>'2新車海外販売'!$N$52:$AU$52</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'2新車海外販売'!$N$57:$AU$57</c:f>
              <c:numCache>
                <c:formatCode>0.0%</c:formatCode>
                <c:ptCount val="34"/>
                <c:pt idx="0">
                  <c:v>0.10233449586074633</c:v>
                </c:pt>
                <c:pt idx="1">
                  <c:v>9.5571329487970563E-2</c:v>
                </c:pt>
                <c:pt idx="2">
                  <c:v>0.15113753103702851</c:v>
                </c:pt>
                <c:pt idx="3">
                  <c:v>0.22089344553590803</c:v>
                </c:pt>
                <c:pt idx="4">
                  <c:v>0.20634867026952067</c:v>
                </c:pt>
                <c:pt idx="5">
                  <c:v>0.19129872657509869</c:v>
                </c:pt>
                <c:pt idx="6">
                  <c:v>0.21302182559407562</c:v>
                </c:pt>
                <c:pt idx="7">
                  <c:v>0.21583233018978631</c:v>
                </c:pt>
                <c:pt idx="8">
                  <c:v>0.21853452170577736</c:v>
                </c:pt>
                <c:pt idx="9">
                  <c:v>0.22123671322176841</c:v>
                </c:pt>
                <c:pt idx="10">
                  <c:v>0.22393890473775935</c:v>
                </c:pt>
                <c:pt idx="11">
                  <c:v>0.22664109625375028</c:v>
                </c:pt>
                <c:pt idx="12">
                  <c:v>0.22934328776974144</c:v>
                </c:pt>
                <c:pt idx="13">
                  <c:v>0.23204547928573227</c:v>
                </c:pt>
                <c:pt idx="14">
                  <c:v>0.24814046423666669</c:v>
                </c:pt>
                <c:pt idx="15">
                  <c:v>0.264235449187601</c:v>
                </c:pt>
                <c:pt idx="16">
                  <c:v>0.28033043413853542</c:v>
                </c:pt>
                <c:pt idx="17">
                  <c:v>0.29642541908946973</c:v>
                </c:pt>
                <c:pt idx="18">
                  <c:v>0.31252040404040393</c:v>
                </c:pt>
                <c:pt idx="19">
                  <c:v>0.29168571043771035</c:v>
                </c:pt>
                <c:pt idx="20">
                  <c:v>0.27085101683501672</c:v>
                </c:pt>
                <c:pt idx="21">
                  <c:v>0.25001632323232315</c:v>
                </c:pt>
                <c:pt idx="22">
                  <c:v>0.22918162962962957</c:v>
                </c:pt>
                <c:pt idx="23">
                  <c:v>0.20834693602693596</c:v>
                </c:pt>
                <c:pt idx="24">
                  <c:v>0.18751224242424236</c:v>
                </c:pt>
                <c:pt idx="25">
                  <c:v>0.16667754882154878</c:v>
                </c:pt>
                <c:pt idx="26">
                  <c:v>0.14584285521885518</c:v>
                </c:pt>
                <c:pt idx="27">
                  <c:v>0.12500816161616157</c:v>
                </c:pt>
                <c:pt idx="28">
                  <c:v>0.104173468013468</c:v>
                </c:pt>
                <c:pt idx="29">
                  <c:v>8.3338774410774391E-2</c:v>
                </c:pt>
                <c:pt idx="30">
                  <c:v>6.2504080808080786E-2</c:v>
                </c:pt>
                <c:pt idx="31">
                  <c:v>4.1669387205387209E-2</c:v>
                </c:pt>
                <c:pt idx="32">
                  <c:v>2.0834693602693632E-2</c:v>
                </c:pt>
                <c:pt idx="33">
                  <c:v>0</c:v>
                </c:pt>
              </c:numCache>
            </c:numRef>
          </c:val>
          <c:extLst>
            <c:ext xmlns:c16="http://schemas.microsoft.com/office/drawing/2014/chart" uri="{C3380CC4-5D6E-409C-BE32-E72D297353CC}">
              <c16:uniqueId val="{00000001-3837-44AF-83A2-960870444393}"/>
            </c:ext>
          </c:extLst>
        </c:ser>
        <c:ser>
          <c:idx val="1"/>
          <c:order val="2"/>
          <c:tx>
            <c:v>BEV</c:v>
          </c:tx>
          <c:spPr>
            <a:solidFill>
              <a:schemeClr val="accent5"/>
            </a:solidFill>
            <a:ln>
              <a:noFill/>
            </a:ln>
            <a:effectLst/>
          </c:spPr>
          <c:cat>
            <c:numRef>
              <c:f>'2新車海外販売'!$N$52:$AU$52</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'2新車海外販売'!$N$54:$AU$54</c:f>
              <c:numCache>
                <c:formatCode>0.0%</c:formatCode>
                <c:ptCount val="34"/>
                <c:pt idx="0">
                  <c:v>1.6554614385736676E-3</c:v>
                </c:pt>
                <c:pt idx="1">
                  <c:v>1.5108560397368673E-3</c:v>
                </c:pt>
                <c:pt idx="2">
                  <c:v>1.5473533061472759E-3</c:v>
                </c:pt>
                <c:pt idx="3">
                  <c:v>6.5367097746202767E-3</c:v>
                </c:pt>
                <c:pt idx="4">
                  <c:v>8.2008663825747959E-3</c:v>
                </c:pt>
                <c:pt idx="5">
                  <c:v>1.8353988912233533E-2</c:v>
                </c:pt>
                <c:pt idx="6">
                  <c:v>5.2173342625544648E-2</c:v>
                </c:pt>
                <c:pt idx="7">
                  <c:v>0.10225159202694886</c:v>
                </c:pt>
                <c:pt idx="8">
                  <c:v>0.15232984142835307</c:v>
                </c:pt>
                <c:pt idx="9">
                  <c:v>0.2024080908297573</c:v>
                </c:pt>
                <c:pt idx="10">
                  <c:v>0.25248634023116151</c:v>
                </c:pt>
                <c:pt idx="11">
                  <c:v>0.30256458963256572</c:v>
                </c:pt>
                <c:pt idx="12">
                  <c:v>0.35264283903396992</c:v>
                </c:pt>
                <c:pt idx="13">
                  <c:v>0.40272108843537413</c:v>
                </c:pt>
                <c:pt idx="14">
                  <c:v>0.44893242630385488</c:v>
                </c:pt>
                <c:pt idx="15">
                  <c:v>0.49514376417233558</c:v>
                </c:pt>
                <c:pt idx="16">
                  <c:v>0.54135510204081627</c:v>
                </c:pt>
                <c:pt idx="17">
                  <c:v>0.58756643990929702</c:v>
                </c:pt>
                <c:pt idx="18">
                  <c:v>0.63377777777777777</c:v>
                </c:pt>
                <c:pt idx="19">
                  <c:v>0.65708592592592596</c:v>
                </c:pt>
                <c:pt idx="20">
                  <c:v>0.68039407407407404</c:v>
                </c:pt>
                <c:pt idx="21">
                  <c:v>0.70370222222222223</c:v>
                </c:pt>
                <c:pt idx="22">
                  <c:v>0.72701037037037042</c:v>
                </c:pt>
                <c:pt idx="23">
                  <c:v>0.7503185185185185</c:v>
                </c:pt>
                <c:pt idx="24">
                  <c:v>0.77362666666666668</c:v>
                </c:pt>
                <c:pt idx="25">
                  <c:v>0.79693481481481476</c:v>
                </c:pt>
                <c:pt idx="26">
                  <c:v>0.82024296296296295</c:v>
                </c:pt>
                <c:pt idx="27">
                  <c:v>0.84355111111111114</c:v>
                </c:pt>
                <c:pt idx="28">
                  <c:v>0.86685925925925922</c:v>
                </c:pt>
                <c:pt idx="29">
                  <c:v>0.89016740740740741</c:v>
                </c:pt>
                <c:pt idx="30">
                  <c:v>0.9134755555555556</c:v>
                </c:pt>
                <c:pt idx="31">
                  <c:v>0.93678370370370367</c:v>
                </c:pt>
                <c:pt idx="32">
                  <c:v>0.96009185185185186</c:v>
                </c:pt>
                <c:pt idx="33">
                  <c:v>0.98340000000000005</c:v>
                </c:pt>
              </c:numCache>
            </c:numRef>
          </c:val>
          <c:extLst>
            <c:ext xmlns:c16="http://schemas.microsoft.com/office/drawing/2014/chart" uri="{C3380CC4-5D6E-409C-BE32-E72D297353CC}">
              <c16:uniqueId val="{00000002-3837-44AF-83A2-960870444393}"/>
            </c:ext>
          </c:extLst>
        </c:ser>
        <c:ser>
          <c:idx val="2"/>
          <c:order val="3"/>
          <c:tx>
            <c:v>PHEV</c:v>
          </c:tx>
          <c:spPr>
            <a:solidFill>
              <a:schemeClr val="accent3"/>
            </a:solidFill>
            <a:ln>
              <a:noFill/>
            </a:ln>
            <a:effectLst/>
          </c:spPr>
          <c:cat>
            <c:numRef>
              <c:f>'2新車海外販売'!$N$52:$AU$52</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'2新車海外販売'!$N$55:$AU$55</c:f>
              <c:numCache>
                <c:formatCode>0.0%</c:formatCode>
                <c:ptCount val="34"/>
                <c:pt idx="0">
                  <c:v>1.4225879156355536E-2</c:v>
                </c:pt>
                <c:pt idx="1">
                  <c:v>2.0404491214444473E-2</c:v>
                </c:pt>
                <c:pt idx="2">
                  <c:v>2.2373359056776142E-2</c:v>
                </c:pt>
                <c:pt idx="3">
                  <c:v>2.2638079565840692E-2</c:v>
                </c:pt>
                <c:pt idx="4">
                  <c:v>3.5357961137714423E-2</c:v>
                </c:pt>
                <c:pt idx="5">
                  <c:v>3.9336970423757701E-2</c:v>
                </c:pt>
                <c:pt idx="6">
                  <c:v>5.1964852659887012E-2</c:v>
                </c:pt>
                <c:pt idx="7">
                  <c:v>5.5581146789135415E-2</c:v>
                </c:pt>
                <c:pt idx="8">
                  <c:v>5.9197440918383824E-2</c:v>
                </c:pt>
                <c:pt idx="9">
                  <c:v>6.2813735047632227E-2</c:v>
                </c:pt>
                <c:pt idx="10">
                  <c:v>6.6430029176880637E-2</c:v>
                </c:pt>
                <c:pt idx="11">
                  <c:v>7.0046323306129032E-2</c:v>
                </c:pt>
                <c:pt idx="12">
                  <c:v>7.3662617435377442E-2</c:v>
                </c:pt>
                <c:pt idx="13">
                  <c:v>7.7278911564625852E-2</c:v>
                </c:pt>
                <c:pt idx="14">
                  <c:v>7.1067573696145137E-2</c:v>
                </c:pt>
                <c:pt idx="15">
                  <c:v>6.4856235827664421E-2</c:v>
                </c:pt>
                <c:pt idx="16">
                  <c:v>5.8644897959183706E-2</c:v>
                </c:pt>
                <c:pt idx="17">
                  <c:v>5.2433560090702991E-2</c:v>
                </c:pt>
                <c:pt idx="18">
                  <c:v>4.6222222222222276E-2</c:v>
                </c:pt>
                <c:pt idx="19">
                  <c:v>4.3140740740740792E-2</c:v>
                </c:pt>
                <c:pt idx="20">
                  <c:v>4.0059259259259308E-2</c:v>
                </c:pt>
                <c:pt idx="21">
                  <c:v>3.6977777777777818E-2</c:v>
                </c:pt>
                <c:pt idx="22">
                  <c:v>3.3896296296296334E-2</c:v>
                </c:pt>
                <c:pt idx="23">
                  <c:v>3.081481481481485E-2</c:v>
                </c:pt>
                <c:pt idx="24">
                  <c:v>2.7733333333333367E-2</c:v>
                </c:pt>
                <c:pt idx="25">
                  <c:v>2.465185185185188E-2</c:v>
                </c:pt>
                <c:pt idx="26">
                  <c:v>2.1570370370370396E-2</c:v>
                </c:pt>
                <c:pt idx="27">
                  <c:v>1.8488888888888912E-2</c:v>
                </c:pt>
                <c:pt idx="28">
                  <c:v>1.5407407407407425E-2</c:v>
                </c:pt>
                <c:pt idx="29">
                  <c:v>1.2325925925925942E-2</c:v>
                </c:pt>
                <c:pt idx="30">
                  <c:v>9.2444444444444579E-3</c:v>
                </c:pt>
                <c:pt idx="31">
                  <c:v>6.1629629629629742E-3</c:v>
                </c:pt>
                <c:pt idx="32">
                  <c:v>3.0814814814814837E-3</c:v>
                </c:pt>
                <c:pt idx="33">
                  <c:v>0</c:v>
                </c:pt>
              </c:numCache>
            </c:numRef>
          </c:val>
          <c:extLst>
            <c:ext xmlns:c16="http://schemas.microsoft.com/office/drawing/2014/chart" uri="{C3380CC4-5D6E-409C-BE32-E72D297353CC}">
              <c16:uniqueId val="{00000003-3837-44AF-83A2-960870444393}"/>
            </c:ext>
          </c:extLst>
        </c:ser>
        <c:ser>
          <c:idx val="3"/>
          <c:order val="4"/>
          <c:tx>
            <c:v>FCV</c:v>
          </c:tx>
          <c:spPr>
            <a:solidFill>
              <a:schemeClr val="accent1"/>
            </a:solidFill>
            <a:ln>
              <a:noFill/>
            </a:ln>
            <a:effectLst/>
          </c:spPr>
          <c:cat>
            <c:numRef>
              <c:f>'2新車海外販売'!$N$52:$AU$52</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'2新車海外販売'!$N$56:$AU$56</c:f>
              <c:numCache>
                <c:formatCode>0.0%</c:formatCode>
                <c:ptCount val="34"/>
                <c:pt idx="0">
                  <c:v>0</c:v>
                </c:pt>
                <c:pt idx="1">
                  <c:v>0</c:v>
                </c:pt>
                <c:pt idx="2">
                  <c:v>0</c:v>
                </c:pt>
                <c:pt idx="3">
                  <c:v>0</c:v>
                </c:pt>
                <c:pt idx="4">
                  <c:v>0</c:v>
                </c:pt>
                <c:pt idx="5">
                  <c:v>0</c:v>
                </c:pt>
                <c:pt idx="6">
                  <c:v>0</c:v>
                </c:pt>
                <c:pt idx="7">
                  <c:v>4.975704567541302E-4</c:v>
                </c:pt>
                <c:pt idx="8">
                  <c:v>9.951409135082604E-4</c:v>
                </c:pt>
                <c:pt idx="9">
                  <c:v>1.4927113702623905E-3</c:v>
                </c:pt>
                <c:pt idx="10">
                  <c:v>1.9902818270165208E-3</c:v>
                </c:pt>
                <c:pt idx="11">
                  <c:v>2.4878522837706511E-3</c:v>
                </c:pt>
                <c:pt idx="12">
                  <c:v>2.985422740524781E-3</c:v>
                </c:pt>
                <c:pt idx="13">
                  <c:v>3.4829931972789117E-3</c:v>
                </c:pt>
                <c:pt idx="14">
                  <c:v>4.2823137497423232E-3</c:v>
                </c:pt>
                <c:pt idx="15">
                  <c:v>5.0816343022057342E-3</c:v>
                </c:pt>
                <c:pt idx="16">
                  <c:v>5.8809548546691452E-3</c:v>
                </c:pt>
                <c:pt idx="17">
                  <c:v>6.6802754071325571E-3</c:v>
                </c:pt>
                <c:pt idx="18">
                  <c:v>7.4795959595959681E-3</c:v>
                </c:pt>
                <c:pt idx="19">
                  <c:v>8.199999999999763E-3</c:v>
                </c:pt>
                <c:pt idx="20">
                  <c:v>8.799999999999919E-3</c:v>
                </c:pt>
                <c:pt idx="21">
                  <c:v>9.3999999999998529E-3</c:v>
                </c:pt>
                <c:pt idx="22">
                  <c:v>9.9999999999997868E-3</c:v>
                </c:pt>
                <c:pt idx="23">
                  <c:v>1.0599999999999943E-2</c:v>
                </c:pt>
                <c:pt idx="24">
                  <c:v>1.1199999999999877E-2</c:v>
                </c:pt>
                <c:pt idx="25">
                  <c:v>1.1799999999999811E-2</c:v>
                </c:pt>
                <c:pt idx="26">
                  <c:v>1.2399999999999967E-2</c:v>
                </c:pt>
                <c:pt idx="27">
                  <c:v>1.2999999999999901E-2</c:v>
                </c:pt>
                <c:pt idx="28">
                  <c:v>1.3599999999999834E-2</c:v>
                </c:pt>
                <c:pt idx="29">
                  <c:v>1.4199999999999768E-2</c:v>
                </c:pt>
                <c:pt idx="30">
                  <c:v>1.4799999999999924E-2</c:v>
                </c:pt>
                <c:pt idx="31">
                  <c:v>1.5399999999999858E-2</c:v>
                </c:pt>
                <c:pt idx="32">
                  <c:v>1.5999999999999792E-2</c:v>
                </c:pt>
                <c:pt idx="33">
                  <c:v>1.6599999999999948E-2</c:v>
                </c:pt>
              </c:numCache>
            </c:numRef>
          </c:val>
          <c:extLst>
            <c:ext xmlns:c16="http://schemas.microsoft.com/office/drawing/2014/chart" uri="{C3380CC4-5D6E-409C-BE32-E72D297353CC}">
              <c16:uniqueId val="{00000004-3837-44AF-83A2-960870444393}"/>
            </c:ext>
          </c:extLst>
        </c:ser>
        <c:ser>
          <c:idx val="5"/>
          <c:order val="5"/>
          <c:tx>
            <c:v>Others</c:v>
          </c:tx>
          <c:spPr>
            <a:solidFill>
              <a:schemeClr val="accent6"/>
            </a:solidFill>
            <a:ln>
              <a:noFill/>
            </a:ln>
            <a:effectLst/>
          </c:spPr>
          <c:cat>
            <c:numRef>
              <c:f>'2新車海外販売'!$N$52:$AU$52</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'2新車海外販売'!$N$58:$AU$58</c:f>
              <c:numCache>
                <c:formatCode>0.0%</c:formatCode>
                <c:ptCount val="34"/>
                <c:pt idx="0">
                  <c:v>1.7737944078671022E-4</c:v>
                </c:pt>
                <c:pt idx="1">
                  <c:v>1.3605639035628572E-4</c:v>
                </c:pt>
                <c:pt idx="2">
                  <c:v>1.0795488182422856E-4</c:v>
                </c:pt>
                <c:pt idx="3">
                  <c:v>1.4868872736287735E-4</c:v>
                </c:pt>
                <c:pt idx="4">
                  <c:v>1.8171678124587177E-4</c:v>
                </c:pt>
                <c:pt idx="5">
                  <c:v>1.4627341281258385E-4</c:v>
                </c:pt>
                <c:pt idx="6">
                  <c:v>1.0831307971969796E-4</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numCache>
            </c:numRef>
          </c:val>
          <c:extLst>
            <c:ext xmlns:c16="http://schemas.microsoft.com/office/drawing/2014/chart" uri="{C3380CC4-5D6E-409C-BE32-E72D297353CC}">
              <c16:uniqueId val="{00000005-3837-44AF-83A2-960870444393}"/>
            </c:ext>
          </c:extLst>
        </c:ser>
        <c:dLbls>
          <c:showLegendKey val="0"/>
          <c:showVal val="0"/>
          <c:showCatName val="0"/>
          <c:showSerName val="0"/>
          <c:showPercent val="0"/>
          <c:showBubbleSize val="0"/>
        </c:dLbls>
        <c:axId val="1696639135"/>
        <c:axId val="1696639615"/>
      </c:areaChart>
      <c:catAx>
        <c:axId val="16966391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96639615"/>
        <c:crosses val="autoZero"/>
        <c:auto val="1"/>
        <c:lblAlgn val="ctr"/>
        <c:lblOffset val="100"/>
        <c:tickLblSkip val="1"/>
        <c:noMultiLvlLbl val="0"/>
      </c:catAx>
      <c:valAx>
        <c:axId val="169663961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96639135"/>
        <c:crosses val="autoZero"/>
        <c:crossBetween val="midCat"/>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chart>
  <c:spPr>
    <a:solidFill>
      <a:schemeClr val="bg1"/>
    </a:solidFill>
    <a:ln w="9525" cap="flat" cmpd="sng" algn="ctr">
      <a:noFill/>
      <a:round/>
    </a:ln>
    <a:effectLst/>
  </c:spPr>
  <c:txPr>
    <a:bodyPr/>
    <a:lstStyle/>
    <a:p>
      <a:pPr>
        <a:defRPr sz="1000">
          <a:solidFill>
            <a:schemeClr val="tx1"/>
          </a:solidFill>
          <a:latin typeface="Aptos" panose="020B0004020202020204" pitchFamily="34" charset="0"/>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'2新車海外販売'!$B$63</c:f>
              <c:strCache>
                <c:ptCount val="1"/>
                <c:pt idx="0">
                  <c:v>BEV</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cat>
            <c:numRef>
              <c:f>'2新車海外販売'!$N$62:$AU$62</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'2新車海外販売'!$N$63:$AU$63</c:f>
              <c:numCache>
                <c:formatCode>0</c:formatCode>
                <c:ptCount val="34"/>
                <c:pt idx="0">
                  <c:v>0</c:v>
                </c:pt>
                <c:pt idx="1">
                  <c:v>6864.7055291027154</c:v>
                </c:pt>
                <c:pt idx="2">
                  <c:v>13218.190083057834</c:v>
                </c:pt>
                <c:pt idx="3">
                  <c:v>19624.420180755904</c:v>
                </c:pt>
                <c:pt idx="4">
                  <c:v>41309.421715010045</c:v>
                </c:pt>
                <c:pt idx="5">
                  <c:v>67779.11870415289</c:v>
                </c:pt>
                <c:pt idx="6">
                  <c:v>126733.40905307583</c:v>
                </c:pt>
                <c:pt idx="7">
                  <c:v>328215.86962693679</c:v>
                </c:pt>
                <c:pt idx="8">
                  <c:v>710667.40011683828</c:v>
                </c:pt>
                <c:pt idx="9">
                  <c:v>1276066.1589027033</c:v>
                </c:pt>
                <c:pt idx="10">
                  <c:v>2019177.5146447245</c:v>
                </c:pt>
                <c:pt idx="11">
                  <c:v>2933598.2885387717</c:v>
                </c:pt>
                <c:pt idx="12">
                  <c:v>4011914.3582151784</c:v>
                </c:pt>
                <c:pt idx="13">
                  <c:v>5245868.0381706497</c:v>
                </c:pt>
                <c:pt idx="14">
                  <c:v>6626531.4517441159</c:v>
                </c:pt>
                <c:pt idx="15">
                  <c:v>8129779.015938404</c:v>
                </c:pt>
                <c:pt idx="16">
                  <c:v>9746057.4660818689</c:v>
                </c:pt>
                <c:pt idx="17">
                  <c:v>11465767.858883107</c:v>
                </c:pt>
                <c:pt idx="18">
                  <c:v>13279409.067947159</c:v>
                </c:pt>
                <c:pt idx="19">
                  <c:v>15177706.310102193</c:v>
                </c:pt>
                <c:pt idx="20">
                  <c:v>17064641.705966584</c:v>
                </c:pt>
                <c:pt idx="21">
                  <c:v>18932851.786239095</c:v>
                </c:pt>
                <c:pt idx="22">
                  <c:v>20776143.976473294</c:v>
                </c:pt>
                <c:pt idx="23">
                  <c:v>22589488.92854812</c:v>
                </c:pt>
                <c:pt idx="24">
                  <c:v>24368988.968901265</c:v>
                </c:pt>
                <c:pt idx="25">
                  <c:v>26111823.482266538</c:v>
                </c:pt>
                <c:pt idx="26">
                  <c:v>27816174.292873997</c:v>
                </c:pt>
                <c:pt idx="27">
                  <c:v>29481135.010306612</c:v>
                </c:pt>
                <c:pt idx="28">
                  <c:v>31106608.671065714</c:v>
                </c:pt>
                <c:pt idx="29">
                  <c:v>32693198.044367593</c:v>
                </c:pt>
                <c:pt idx="30">
                  <c:v>34242092.774698593</c:v>
                </c:pt>
                <c:pt idx="31">
                  <c:v>35754957.164004244</c:v>
                </c:pt>
                <c:pt idx="32">
                  <c:v>37233821.902234636</c:v>
                </c:pt>
                <c:pt idx="33">
                  <c:v>38680982.480640844</c:v>
                </c:pt>
              </c:numCache>
            </c:numRef>
          </c:val>
          <c:extLst>
            <c:ext xmlns:c16="http://schemas.microsoft.com/office/drawing/2014/chart" uri="{C3380CC4-5D6E-409C-BE32-E72D297353CC}">
              <c16:uniqueId val="{00000000-8F5A-4B2D-B246-64A75BEB0C57}"/>
            </c:ext>
          </c:extLst>
        </c:ser>
        <c:ser>
          <c:idx val="1"/>
          <c:order val="1"/>
          <c:tx>
            <c:strRef>
              <c:f>'2新車海外販売'!$B$64</c:f>
              <c:strCache>
                <c:ptCount val="1"/>
                <c:pt idx="0">
                  <c:v>PHEV</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cat>
            <c:numRef>
              <c:f>'2新車海外販売'!$N$62:$AU$62</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'2新車海外販売'!$N$64:$AU$64</c:f>
              <c:numCache>
                <c:formatCode>0</c:formatCode>
                <c:ptCount val="34"/>
                <c:pt idx="0">
                  <c:v>0</c:v>
                </c:pt>
                <c:pt idx="1">
                  <c:v>58990.483876882659</c:v>
                </c:pt>
                <c:pt idx="2">
                  <c:v>145238.95835142396</c:v>
                </c:pt>
                <c:pt idx="3">
                  <c:v>238786.31712891452</c:v>
                </c:pt>
                <c:pt idx="4">
                  <c:v>310602.33741251915</c:v>
                </c:pt>
                <c:pt idx="5">
                  <c:v>420926.01864296768</c:v>
                </c:pt>
                <c:pt idx="6">
                  <c:v>539392.50567507558</c:v>
                </c:pt>
                <c:pt idx="7">
                  <c:v>727265.03001635987</c:v>
                </c:pt>
                <c:pt idx="8">
                  <c:v>916964.19073557481</c:v>
                </c:pt>
                <c:pt idx="9">
                  <c:v>1113138.52496528</c:v>
                </c:pt>
                <c:pt idx="10">
                  <c:v>1314619.1709360096</c:v>
                </c:pt>
                <c:pt idx="11">
                  <c:v>1520308.6054440418</c:v>
                </c:pt>
                <c:pt idx="12">
                  <c:v>1729193.1028790148</c:v>
                </c:pt>
                <c:pt idx="13">
                  <c:v>1940352.4720876366</c:v>
                </c:pt>
                <c:pt idx="14">
                  <c:v>2152966.7511110208</c:v>
                </c:pt>
                <c:pt idx="15">
                  <c:v>2328954.0495739407</c:v>
                </c:pt>
                <c:pt idx="16">
                  <c:v>2468193.7388111749</c:v>
                </c:pt>
                <c:pt idx="17">
                  <c:v>2570954.4877265254</c:v>
                </c:pt>
                <c:pt idx="18">
                  <c:v>2637863.5993421366</c:v>
                </c:pt>
                <c:pt idx="19">
                  <c:v>2669872.0411678036</c:v>
                </c:pt>
                <c:pt idx="20">
                  <c:v>2680115.4372138539</c:v>
                </c:pt>
                <c:pt idx="21">
                  <c:v>2669915.3776768362</c:v>
                </c:pt>
                <c:pt idx="22">
                  <c:v>2640700.465318704</c:v>
                </c:pt>
                <c:pt idx="23">
                  <c:v>2593970.0955088669</c:v>
                </c:pt>
                <c:pt idx="24">
                  <c:v>2531259.7005570461</c:v>
                </c:pt>
                <c:pt idx="25">
                  <c:v>2454108.6762955249</c:v>
                </c:pt>
                <c:pt idx="26">
                  <c:v>2364031.7949535064</c:v>
                </c:pt>
                <c:pt idx="27">
                  <c:v>2262494.6315663159</c:v>
                </c:pt>
                <c:pt idx="28">
                  <c:v>2150893.297464869</c:v>
                </c:pt>
                <c:pt idx="29">
                  <c:v>2030538.5680973942</c:v>
                </c:pt>
                <c:pt idx="30">
                  <c:v>1902644.313255674</c:v>
                </c:pt>
                <c:pt idx="31">
                  <c:v>1768319.9883597791</c:v>
                </c:pt>
                <c:pt idx="32">
                  <c:v>1628566.828010523</c:v>
                </c:pt>
                <c:pt idx="33">
                  <c:v>1484277.2983226485</c:v>
                </c:pt>
              </c:numCache>
            </c:numRef>
          </c:val>
          <c:extLst>
            <c:ext xmlns:c16="http://schemas.microsoft.com/office/drawing/2014/chart" uri="{C3380CC4-5D6E-409C-BE32-E72D297353CC}">
              <c16:uniqueId val="{00000001-8F5A-4B2D-B246-64A75BEB0C57}"/>
            </c:ext>
          </c:extLst>
        </c:ser>
        <c:dLbls>
          <c:showLegendKey val="0"/>
          <c:showVal val="0"/>
          <c:showCatName val="0"/>
          <c:showSerName val="0"/>
          <c:showPercent val="0"/>
          <c:showBubbleSize val="0"/>
        </c:dLbls>
        <c:axId val="772942368"/>
        <c:axId val="772940928"/>
      </c:areaChart>
      <c:catAx>
        <c:axId val="772942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crossAx val="772940928"/>
        <c:crosses val="autoZero"/>
        <c:auto val="1"/>
        <c:lblAlgn val="ctr"/>
        <c:lblOffset val="100"/>
        <c:tickLblSkip val="1"/>
        <c:noMultiLvlLbl val="0"/>
      </c:catAx>
      <c:valAx>
        <c:axId val="7729409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crossAx val="772942368"/>
        <c:crosses val="autoZero"/>
        <c:crossBetween val="midCat"/>
        <c:dispUnits>
          <c:builtInUnit val="millions"/>
          <c:dispUnitsLbl>
            <c:tx>
              <c:rich>
                <a:bodyPr rot="-5400000" spcFirstLastPara="1" vertOverflow="ellipsis" vert="horz" wrap="square" anchor="ctr" anchorCtr="1"/>
                <a:lstStyle/>
                <a:p>
                  <a:pPr>
                    <a:defRPr sz="900" b="0" i="0" u="none" strike="noStrike" kern="1200" cap="all" baseline="0">
                      <a:solidFill>
                        <a:schemeClr val="tx1"/>
                      </a:solidFill>
                      <a:latin typeface="Aptos" panose="020B0004020202020204" pitchFamily="34" charset="0"/>
                      <a:ea typeface="+mn-ea"/>
                      <a:cs typeface="+mn-cs"/>
                    </a:defRPr>
                  </a:pPr>
                  <a:r>
                    <a:rPr lang="en-US"/>
                    <a:t>million vehicles</a:t>
                  </a:r>
                  <a:endParaRPr lang="ja-JP"/>
                </a:p>
              </c:rich>
            </c:tx>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Aptos" panose="020B0004020202020204" pitchFamily="34" charset="0"/>
                    <a:ea typeface="+mn-ea"/>
                    <a:cs typeface="+mn-cs"/>
                  </a:defRPr>
                </a:pPr>
                <a:endParaRPr lang="ja-JP"/>
              </a:p>
            </c:txPr>
          </c:dispUnitsLbl>
        </c:dispUnits>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ptos" panose="020B0004020202020204" pitchFamily="34" charset="0"/>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NC論文参考値!$A$72</c:f>
              <c:strCache>
                <c:ptCount val="1"/>
                <c:pt idx="0">
                  <c:v>LFP</c:v>
                </c:pt>
              </c:strCache>
            </c:strRef>
          </c:tx>
          <c:spPr>
            <a:solidFill>
              <a:schemeClr val="accent1"/>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NC論文参考値!$B$72:$AU$72</c:f>
              <c:numCache>
                <c:formatCode>0%</c:formatCode>
                <c:ptCount val="46"/>
                <c:pt idx="0">
                  <c:v>0.239863819251009</c:v>
                </c:pt>
                <c:pt idx="1">
                  <c:v>0.23986381925100869</c:v>
                </c:pt>
                <c:pt idx="2">
                  <c:v>0.23986381925100869</c:v>
                </c:pt>
                <c:pt idx="3">
                  <c:v>0.23986381925100869</c:v>
                </c:pt>
                <c:pt idx="4">
                  <c:v>0.23986381925100869</c:v>
                </c:pt>
                <c:pt idx="5">
                  <c:v>0.14124293785310904</c:v>
                </c:pt>
                <c:pt idx="6">
                  <c:v>0.18441678192715721</c:v>
                </c:pt>
                <c:pt idx="7">
                  <c:v>0.23971234518577847</c:v>
                </c:pt>
                <c:pt idx="8">
                  <c:v>0.29488859764088782</c:v>
                </c:pt>
                <c:pt idx="9">
                  <c:v>0.35921205098493197</c:v>
                </c:pt>
                <c:pt idx="10">
                  <c:v>0.27893033901474312</c:v>
                </c:pt>
                <c:pt idx="11">
                  <c:v>0.31301307523565658</c:v>
                </c:pt>
                <c:pt idx="12">
                  <c:v>0.28160896730148871</c:v>
                </c:pt>
                <c:pt idx="13">
                  <c:v>0.22990270578907193</c:v>
                </c:pt>
                <c:pt idx="14">
                  <c:v>0.27588993374298398</c:v>
                </c:pt>
                <c:pt idx="15">
                  <c:v>0.32187716169689612</c:v>
                </c:pt>
                <c:pt idx="16">
                  <c:v>0.2612271491451913</c:v>
                </c:pt>
                <c:pt idx="17">
                  <c:v>0.2005771365934865</c:v>
                </c:pt>
                <c:pt idx="18">
                  <c:v>0.1399271240417817</c:v>
                </c:pt>
                <c:pt idx="19">
                  <c:v>7.9277111490076907E-2</c:v>
                </c:pt>
                <c:pt idx="20">
                  <c:v>1.8627098938372121E-2</c:v>
                </c:pt>
                <c:pt idx="21">
                  <c:v>1.9955496387331146E-2</c:v>
                </c:pt>
                <c:pt idx="22">
                  <c:v>2.1283893836290171E-2</c:v>
                </c:pt>
                <c:pt idx="23">
                  <c:v>2.2612291285249195E-2</c:v>
                </c:pt>
                <c:pt idx="24">
                  <c:v>2.394068873420822E-2</c:v>
                </c:pt>
                <c:pt idx="25">
                  <c:v>2.5022167164338669E-2</c:v>
                </c:pt>
                <c:pt idx="26">
                  <c:v>2.5000628649397439E-2</c:v>
                </c:pt>
                <c:pt idx="27">
                  <c:v>2.4933188708653662E-2</c:v>
                </c:pt>
                <c:pt idx="28">
                  <c:v>2.4839505107293595E-2</c:v>
                </c:pt>
                <c:pt idx="29">
                  <c:v>2.4535186419335841E-2</c:v>
                </c:pt>
                <c:pt idx="30">
                  <c:v>2.453767467980527E-2</c:v>
                </c:pt>
                <c:pt idx="31">
                  <c:v>2.4015231452469147E-2</c:v>
                </c:pt>
                <c:pt idx="32">
                  <c:v>2.3383191837782608E-2</c:v>
                </c:pt>
                <c:pt idx="33">
                  <c:v>2.2641555835745657E-2</c:v>
                </c:pt>
                <c:pt idx="34">
                  <c:v>2.1790323446358298E-2</c:v>
                </c:pt>
                <c:pt idx="35">
                  <c:v>2.0829494669620523E-2</c:v>
                </c:pt>
                <c:pt idx="36">
                  <c:v>2.0464304018823407E-2</c:v>
                </c:pt>
                <c:pt idx="37">
                  <c:v>2.0087984822739002E-2</c:v>
                </c:pt>
                <c:pt idx="38">
                  <c:v>1.9700537081367302E-2</c:v>
                </c:pt>
                <c:pt idx="39">
                  <c:v>1.930196079470831E-2</c:v>
                </c:pt>
                <c:pt idx="40">
                  <c:v>1.8903384508049317E-2</c:v>
                </c:pt>
                <c:pt idx="41">
                  <c:v>1.8504808221390324E-2</c:v>
                </c:pt>
                <c:pt idx="42">
                  <c:v>1.8106231934731331E-2</c:v>
                </c:pt>
                <c:pt idx="43">
                  <c:v>1.7707655648072338E-2</c:v>
                </c:pt>
                <c:pt idx="44">
                  <c:v>1.7309079361413345E-2</c:v>
                </c:pt>
                <c:pt idx="45">
                  <c:v>1.6910503074754352E-2</c:v>
                </c:pt>
              </c:numCache>
            </c:numRef>
          </c:val>
          <c:extLst>
            <c:ext xmlns:c16="http://schemas.microsoft.com/office/drawing/2014/chart" uri="{C3380CC4-5D6E-409C-BE32-E72D297353CC}">
              <c16:uniqueId val="{00000000-72FE-4677-A6BC-5C39A8AFFC50}"/>
            </c:ext>
          </c:extLst>
        </c:ser>
        <c:ser>
          <c:idx val="1"/>
          <c:order val="1"/>
          <c:tx>
            <c:strRef>
              <c:f>NC論文参考値!$A$73</c:f>
              <c:strCache>
                <c:ptCount val="1"/>
                <c:pt idx="0">
                  <c:v>NCA</c:v>
                </c:pt>
              </c:strCache>
            </c:strRef>
          </c:tx>
          <c:spPr>
            <a:solidFill>
              <a:schemeClr val="accent2"/>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NC論文参考値!$B$73:$AU$73</c:f>
              <c:numCache>
                <c:formatCode>0%</c:formatCode>
                <c:ptCount val="46"/>
                <c:pt idx="0">
                  <c:v>0.19189105540080365</c:v>
                </c:pt>
                <c:pt idx="1">
                  <c:v>0.19189105540080365</c:v>
                </c:pt>
                <c:pt idx="2">
                  <c:v>0.19189105540080365</c:v>
                </c:pt>
                <c:pt idx="3">
                  <c:v>0.19189105540080365</c:v>
                </c:pt>
                <c:pt idx="4">
                  <c:v>0.19189105540080365</c:v>
                </c:pt>
                <c:pt idx="5">
                  <c:v>0.11299435028248529</c:v>
                </c:pt>
                <c:pt idx="6">
                  <c:v>0.16136468418625807</c:v>
                </c:pt>
                <c:pt idx="7">
                  <c:v>0.21973631642029548</c:v>
                </c:pt>
                <c:pt idx="8">
                  <c:v>0.22935779816513932</c:v>
                </c:pt>
                <c:pt idx="9">
                  <c:v>0.22016222479722017</c:v>
                </c:pt>
                <c:pt idx="10">
                  <c:v>0.16571792401695173</c:v>
                </c:pt>
                <c:pt idx="11">
                  <c:v>0.16944873967056734</c:v>
                </c:pt>
                <c:pt idx="12">
                  <c:v>0.15178447845441967</c:v>
                </c:pt>
                <c:pt idx="13">
                  <c:v>0.12597627081641158</c:v>
                </c:pt>
                <c:pt idx="14">
                  <c:v>0.25250083694312486</c:v>
                </c:pt>
                <c:pt idx="15">
                  <c:v>0.37902540306983817</c:v>
                </c:pt>
                <c:pt idx="16">
                  <c:v>0.39345742046979038</c:v>
                </c:pt>
                <c:pt idx="17">
                  <c:v>0.40788943786974258</c:v>
                </c:pt>
                <c:pt idx="18">
                  <c:v>0.42232145526969478</c:v>
                </c:pt>
                <c:pt idx="19">
                  <c:v>0.43675347266964698</c:v>
                </c:pt>
                <c:pt idx="20">
                  <c:v>0.45118549006959918</c:v>
                </c:pt>
                <c:pt idx="21">
                  <c:v>0.43881467084295922</c:v>
                </c:pt>
                <c:pt idx="22">
                  <c:v>0.42644385161631926</c:v>
                </c:pt>
                <c:pt idx="23">
                  <c:v>0.4140730323896793</c:v>
                </c:pt>
                <c:pt idx="24">
                  <c:v>0.40170221316303933</c:v>
                </c:pt>
                <c:pt idx="25">
                  <c:v>0.38552700919952759</c:v>
                </c:pt>
                <c:pt idx="26">
                  <c:v>0.3851951562791408</c:v>
                </c:pt>
                <c:pt idx="27">
                  <c:v>0.38415608086713587</c:v>
                </c:pt>
                <c:pt idx="28">
                  <c:v>0.3827126583847355</c:v>
                </c:pt>
                <c:pt idx="29">
                  <c:v>0.37802389290565724</c:v>
                </c:pt>
                <c:pt idx="30">
                  <c:v>0.37806223057683447</c:v>
                </c:pt>
                <c:pt idx="31">
                  <c:v>0.37001272896537929</c:v>
                </c:pt>
                <c:pt idx="32">
                  <c:v>0.36027462991323178</c:v>
                </c:pt>
                <c:pt idx="33">
                  <c:v>0.34884793342039194</c:v>
                </c:pt>
                <c:pt idx="34">
                  <c:v>0.33573263948685989</c:v>
                </c:pt>
                <c:pt idx="35">
                  <c:v>0.32092874811263544</c:v>
                </c:pt>
                <c:pt idx="36">
                  <c:v>0.31530210280790361</c:v>
                </c:pt>
                <c:pt idx="37">
                  <c:v>0.30950399534511119</c:v>
                </c:pt>
                <c:pt idx="38">
                  <c:v>0.30353442572425809</c:v>
                </c:pt>
                <c:pt idx="39">
                  <c:v>0.29739339394534442</c:v>
                </c:pt>
                <c:pt idx="40">
                  <c:v>0.29125236216643069</c:v>
                </c:pt>
                <c:pt idx="41">
                  <c:v>0.28511133038751696</c:v>
                </c:pt>
                <c:pt idx="42">
                  <c:v>0.27897029860860323</c:v>
                </c:pt>
                <c:pt idx="43">
                  <c:v>0.27282926682968955</c:v>
                </c:pt>
                <c:pt idx="44">
                  <c:v>0.26668823505077582</c:v>
                </c:pt>
                <c:pt idx="45">
                  <c:v>0.26054720327186209</c:v>
                </c:pt>
              </c:numCache>
            </c:numRef>
          </c:val>
          <c:extLst>
            <c:ext xmlns:c16="http://schemas.microsoft.com/office/drawing/2014/chart" uri="{C3380CC4-5D6E-409C-BE32-E72D297353CC}">
              <c16:uniqueId val="{00000001-72FE-4677-A6BC-5C39A8AFFC50}"/>
            </c:ext>
          </c:extLst>
        </c:ser>
        <c:ser>
          <c:idx val="2"/>
          <c:order val="2"/>
          <c:tx>
            <c:strRef>
              <c:f>NC論文参考値!$A$74</c:f>
              <c:strCache>
                <c:ptCount val="1"/>
                <c:pt idx="0">
                  <c:v>NCM111</c:v>
                </c:pt>
              </c:strCache>
            </c:strRef>
          </c:tx>
          <c:spPr>
            <a:solidFill>
              <a:schemeClr val="accent3"/>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NC論文参考値!$B$74:$AU$74</c:f>
              <c:numCache>
                <c:formatCode>0%</c:formatCode>
                <c:ptCount val="46"/>
                <c:pt idx="0">
                  <c:v>0.5682451253481875</c:v>
                </c:pt>
                <c:pt idx="1">
                  <c:v>0.5682451253481875</c:v>
                </c:pt>
                <c:pt idx="2">
                  <c:v>0.5682451253481875</c:v>
                </c:pt>
                <c:pt idx="3">
                  <c:v>0.5682451253481875</c:v>
                </c:pt>
                <c:pt idx="4">
                  <c:v>0.5682451253481875</c:v>
                </c:pt>
                <c:pt idx="5">
                  <c:v>0.33460907599781198</c:v>
                </c:pt>
                <c:pt idx="6">
                  <c:v>0.30274394324722287</c:v>
                </c:pt>
                <c:pt idx="7">
                  <c:v>0.25775263232508011</c:v>
                </c:pt>
                <c:pt idx="8">
                  <c:v>0.23355176933158647</c:v>
                </c:pt>
                <c:pt idx="9">
                  <c:v>0.21240982319739979</c:v>
                </c:pt>
                <c:pt idx="10">
                  <c:v>0.28826175203340143</c:v>
                </c:pt>
                <c:pt idx="11">
                  <c:v>0.22715019072053286</c:v>
                </c:pt>
                <c:pt idx="12">
                  <c:v>0.20326940900056809</c:v>
                </c:pt>
                <c:pt idx="13">
                  <c:v>0.17944720593102306</c:v>
                </c:pt>
                <c:pt idx="14">
                  <c:v>9.8194297012569418E-2</c:v>
                </c:pt>
                <c:pt idx="15">
                  <c:v>4.1224573184643558E-2</c:v>
                </c:pt>
                <c:pt idx="16">
                  <c:v>4.3139112417600406E-2</c:v>
                </c:pt>
                <c:pt idx="17">
                  <c:v>4.386092919502823E-2</c:v>
                </c:pt>
                <c:pt idx="18">
                  <c:v>4.3390023516926869E-2</c:v>
                </c:pt>
                <c:pt idx="19">
                  <c:v>4.1726395383296463E-2</c:v>
                </c:pt>
                <c:pt idx="20">
                  <c:v>3.8870044794137026E-2</c:v>
                </c:pt>
                <c:pt idx="21">
                  <c:v>3.5235490579142367E-2</c:v>
                </c:pt>
                <c:pt idx="22">
                  <c:v>3.1419594540232777E-2</c:v>
                </c:pt>
                <c:pt idx="23">
                  <c:v>2.7422356677408128E-2</c:v>
                </c:pt>
                <c:pt idx="24">
                  <c:v>2.3243776990668548E-2</c:v>
                </c:pt>
                <c:pt idx="25">
                  <c:v>1.869933028456262E-2</c:v>
                </c:pt>
                <c:pt idx="26">
                  <c:v>1.8683234324445342E-2</c:v>
                </c:pt>
                <c:pt idx="27">
                  <c:v>1.8632835743137146E-2</c:v>
                </c:pt>
                <c:pt idx="28">
                  <c:v>1.856282499656297E-2</c:v>
                </c:pt>
                <c:pt idx="29">
                  <c:v>1.8335404421018383E-2</c:v>
                </c:pt>
                <c:pt idx="30">
                  <c:v>1.8337263924395778E-2</c:v>
                </c:pt>
                <c:pt idx="31">
                  <c:v>1.7946836572570946E-2</c:v>
                </c:pt>
                <c:pt idx="32">
                  <c:v>1.7474506680826191E-2</c:v>
                </c:pt>
                <c:pt idx="33">
                  <c:v>1.6920274249161513E-2</c:v>
                </c:pt>
                <c:pt idx="34">
                  <c:v>1.6284139277576912E-2</c:v>
                </c:pt>
                <c:pt idx="35">
                  <c:v>1.556610176607239E-2</c:v>
                </c:pt>
                <c:pt idx="36">
                  <c:v>1.5293190928604164E-2</c:v>
                </c:pt>
                <c:pt idx="37">
                  <c:v>1.5011963611490228E-2</c:v>
                </c:pt>
                <c:pt idx="38">
                  <c:v>1.4722419814730579E-2</c:v>
                </c:pt>
                <c:pt idx="39">
                  <c:v>1.4424559538325219E-2</c:v>
                </c:pt>
                <c:pt idx="40">
                  <c:v>1.412669926191986E-2</c:v>
                </c:pt>
                <c:pt idx="41">
                  <c:v>1.3828838985514501E-2</c:v>
                </c:pt>
                <c:pt idx="42">
                  <c:v>1.3530978709109142E-2</c:v>
                </c:pt>
                <c:pt idx="43">
                  <c:v>1.3233118432703783E-2</c:v>
                </c:pt>
                <c:pt idx="44">
                  <c:v>1.2935258156298424E-2</c:v>
                </c:pt>
                <c:pt idx="45">
                  <c:v>1.2637397879893065E-2</c:v>
                </c:pt>
              </c:numCache>
            </c:numRef>
          </c:val>
          <c:extLst>
            <c:ext xmlns:c16="http://schemas.microsoft.com/office/drawing/2014/chart" uri="{C3380CC4-5D6E-409C-BE32-E72D297353CC}">
              <c16:uniqueId val="{00000002-72FE-4677-A6BC-5C39A8AFFC50}"/>
            </c:ext>
          </c:extLst>
        </c:ser>
        <c:ser>
          <c:idx val="3"/>
          <c:order val="3"/>
          <c:tx>
            <c:strRef>
              <c:f>NC論文参考値!$A$75</c:f>
              <c:strCache>
                <c:ptCount val="1"/>
                <c:pt idx="0">
                  <c:v>NCM523</c:v>
                </c:pt>
              </c:strCache>
            </c:strRef>
          </c:tx>
          <c:spPr>
            <a:solidFill>
              <a:schemeClr val="accent4"/>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NC論文参考値!$B$75:$AU$75</c:f>
              <c:numCache>
                <c:formatCode>0%</c:formatCode>
                <c:ptCount val="46"/>
                <c:pt idx="0">
                  <c:v>0</c:v>
                </c:pt>
                <c:pt idx="1">
                  <c:v>0</c:v>
                </c:pt>
                <c:pt idx="2">
                  <c:v>0</c:v>
                </c:pt>
                <c:pt idx="3">
                  <c:v>0</c:v>
                </c:pt>
                <c:pt idx="4">
                  <c:v>0</c:v>
                </c:pt>
                <c:pt idx="5">
                  <c:v>0.41115363586659348</c:v>
                </c:pt>
                <c:pt idx="6">
                  <c:v>0.35147459063936187</c:v>
                </c:pt>
                <c:pt idx="7">
                  <c:v>0.28279870606884605</c:v>
                </c:pt>
                <c:pt idx="8">
                  <c:v>0.24220183486238639</c:v>
                </c:pt>
                <c:pt idx="9">
                  <c:v>0.2082159010204481</c:v>
                </c:pt>
                <c:pt idx="10">
                  <c:v>0.21497486592321519</c:v>
                </c:pt>
                <c:pt idx="11">
                  <c:v>0.2129849227023265</c:v>
                </c:pt>
                <c:pt idx="12">
                  <c:v>0.24702494935763938</c:v>
                </c:pt>
                <c:pt idx="13">
                  <c:v>0.29656011927548137</c:v>
                </c:pt>
                <c:pt idx="14">
                  <c:v>0.19293104835568267</c:v>
                </c:pt>
                <c:pt idx="15">
                  <c:v>0.10700846656439408</c:v>
                </c:pt>
                <c:pt idx="16">
                  <c:v>0.10653132925660957</c:v>
                </c:pt>
                <c:pt idx="17">
                  <c:v>0.10150016075498669</c:v>
                </c:pt>
                <c:pt idx="18">
                  <c:v>9.1914961059525416E-2</c:v>
                </c:pt>
                <c:pt idx="19">
                  <c:v>7.7775730170225751E-2</c:v>
                </c:pt>
                <c:pt idx="20">
                  <c:v>5.9082468087087718E-2</c:v>
                </c:pt>
                <c:pt idx="21">
                  <c:v>5.49165754071314E-2</c:v>
                </c:pt>
                <c:pt idx="22">
                  <c:v>5.0530481940992591E-2</c:v>
                </c:pt>
                <c:pt idx="23">
                  <c:v>4.5924187688671292E-2</c:v>
                </c:pt>
                <c:pt idx="24">
                  <c:v>4.1097692650167501E-2</c:v>
                </c:pt>
                <c:pt idx="25">
                  <c:v>3.5698721452346822E-2</c:v>
                </c:pt>
                <c:pt idx="26">
                  <c:v>3.5667992801213841E-2</c:v>
                </c:pt>
                <c:pt idx="27">
                  <c:v>3.557177732780728E-2</c:v>
                </c:pt>
                <c:pt idx="28">
                  <c:v>3.5438120447983855E-2</c:v>
                </c:pt>
                <c:pt idx="29">
                  <c:v>3.5003953894671459E-2</c:v>
                </c:pt>
                <c:pt idx="30">
                  <c:v>3.5007503855664673E-2</c:v>
                </c:pt>
                <c:pt idx="31">
                  <c:v>3.4262142547635446E-2</c:v>
                </c:pt>
                <c:pt idx="32">
                  <c:v>3.3360421845213643E-2</c:v>
                </c:pt>
                <c:pt idx="33">
                  <c:v>3.2302341748399251E-2</c:v>
                </c:pt>
                <c:pt idx="34">
                  <c:v>3.1087902257192289E-2</c:v>
                </c:pt>
                <c:pt idx="35">
                  <c:v>2.9717103371592748E-2</c:v>
                </c:pt>
                <c:pt idx="36">
                  <c:v>2.9196091772789767E-2</c:v>
                </c:pt>
                <c:pt idx="37">
                  <c:v>2.8659203258299529E-2</c:v>
                </c:pt>
                <c:pt idx="38">
                  <c:v>2.8106437828122017E-2</c:v>
                </c:pt>
                <c:pt idx="39">
                  <c:v>2.7537795482257238E-2</c:v>
                </c:pt>
                <c:pt idx="40">
                  <c:v>2.6969153136392462E-2</c:v>
                </c:pt>
                <c:pt idx="41">
                  <c:v>2.6400510790527687E-2</c:v>
                </c:pt>
                <c:pt idx="42">
                  <c:v>2.5831868444662908E-2</c:v>
                </c:pt>
                <c:pt idx="43">
                  <c:v>2.5263226098798133E-2</c:v>
                </c:pt>
                <c:pt idx="44">
                  <c:v>2.4694583752933357E-2</c:v>
                </c:pt>
                <c:pt idx="45">
                  <c:v>2.4125941407068578E-2</c:v>
                </c:pt>
              </c:numCache>
            </c:numRef>
          </c:val>
          <c:extLst>
            <c:ext xmlns:c16="http://schemas.microsoft.com/office/drawing/2014/chart" uri="{C3380CC4-5D6E-409C-BE32-E72D297353CC}">
              <c16:uniqueId val="{00000003-72FE-4677-A6BC-5C39A8AFFC50}"/>
            </c:ext>
          </c:extLst>
        </c:ser>
        <c:ser>
          <c:idx val="4"/>
          <c:order val="4"/>
          <c:tx>
            <c:strRef>
              <c:f>NC論文参考値!$A$76</c:f>
              <c:strCache>
                <c:ptCount val="1"/>
                <c:pt idx="0">
                  <c:v>NCM622</c:v>
                </c:pt>
              </c:strCache>
            </c:strRef>
          </c:tx>
          <c:spPr>
            <a:solidFill>
              <a:schemeClr val="accent5"/>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NC論文参考値!$B$76:$AU$76</c:f>
              <c:numCache>
                <c:formatCode>0%</c:formatCode>
                <c:ptCount val="46"/>
                <c:pt idx="0">
                  <c:v>0</c:v>
                </c:pt>
                <c:pt idx="1">
                  <c:v>0</c:v>
                </c:pt>
                <c:pt idx="2">
                  <c:v>0</c:v>
                </c:pt>
                <c:pt idx="3">
                  <c:v>0</c:v>
                </c:pt>
                <c:pt idx="4">
                  <c:v>0</c:v>
                </c:pt>
                <c:pt idx="5">
                  <c:v>0</c:v>
                </c:pt>
                <c:pt idx="6">
                  <c:v>0</c:v>
                </c:pt>
                <c:pt idx="7">
                  <c:v>0</c:v>
                </c:pt>
                <c:pt idx="8">
                  <c:v>0</c:v>
                </c:pt>
                <c:pt idx="9">
                  <c:v>0</c:v>
                </c:pt>
                <c:pt idx="10">
                  <c:v>2.1171767098498322E-2</c:v>
                </c:pt>
                <c:pt idx="11">
                  <c:v>3.3389560328630691E-2</c:v>
                </c:pt>
                <c:pt idx="12">
                  <c:v>5.1509686749462928E-2</c:v>
                </c:pt>
                <c:pt idx="13">
                  <c:v>7.5556718286746954E-2</c:v>
                </c:pt>
                <c:pt idx="14">
                  <c:v>7.5720250161101343E-2</c:v>
                </c:pt>
                <c:pt idx="15">
                  <c:v>6.0959741198568833E-2</c:v>
                </c:pt>
                <c:pt idx="16">
                  <c:v>7.3012441439178385E-2</c:v>
                </c:pt>
                <c:pt idx="17">
                  <c:v>8.5769932221691506E-2</c:v>
                </c:pt>
                <c:pt idx="18">
                  <c:v>9.9232213546108186E-2</c:v>
                </c:pt>
                <c:pt idx="19">
                  <c:v>0.11339928541242844</c:v>
                </c:pt>
                <c:pt idx="20">
                  <c:v>0.12827114782065224</c:v>
                </c:pt>
                <c:pt idx="21">
                  <c:v>0.13046654619844625</c:v>
                </c:pt>
                <c:pt idx="22">
                  <c:v>0.13264251509510652</c:v>
                </c:pt>
                <c:pt idx="23">
                  <c:v>0.13479905451063304</c:v>
                </c:pt>
                <c:pt idx="24">
                  <c:v>0.13693616444502579</c:v>
                </c:pt>
                <c:pt idx="25">
                  <c:v>0.13769506845905213</c:v>
                </c:pt>
                <c:pt idx="26">
                  <c:v>0.13757654366182492</c:v>
                </c:pt>
                <c:pt idx="27">
                  <c:v>0.1372054268358282</c:v>
                </c:pt>
                <c:pt idx="28">
                  <c:v>0.13668989315650926</c:v>
                </c:pt>
                <c:pt idx="29">
                  <c:v>0.13501525073659001</c:v>
                </c:pt>
                <c:pt idx="30">
                  <c:v>0.13502894344327812</c:v>
                </c:pt>
                <c:pt idx="31">
                  <c:v>0.13215397839802254</c:v>
                </c:pt>
                <c:pt idx="32">
                  <c:v>0.12867591283153842</c:v>
                </c:pt>
                <c:pt idx="33">
                  <c:v>0.12459474674382578</c:v>
                </c:pt>
                <c:pt idx="34">
                  <c:v>0.11991048013488464</c:v>
                </c:pt>
                <c:pt idx="35">
                  <c:v>0.11462311300471498</c:v>
                </c:pt>
                <c:pt idx="36">
                  <c:v>0.11261349683790348</c:v>
                </c:pt>
                <c:pt idx="37">
                  <c:v>0.11054264113915541</c:v>
                </c:pt>
                <c:pt idx="38">
                  <c:v>0.10841054590847071</c:v>
                </c:pt>
                <c:pt idx="39">
                  <c:v>0.10621721114584944</c:v>
                </c:pt>
                <c:pt idx="40">
                  <c:v>0.10402387638322814</c:v>
                </c:pt>
                <c:pt idx="41">
                  <c:v>0.10183054162060687</c:v>
                </c:pt>
                <c:pt idx="42">
                  <c:v>9.9637206857985591E-2</c:v>
                </c:pt>
                <c:pt idx="43">
                  <c:v>9.7443872095364301E-2</c:v>
                </c:pt>
                <c:pt idx="44">
                  <c:v>9.5250537332743024E-2</c:v>
                </c:pt>
                <c:pt idx="45">
                  <c:v>9.3057202570121733E-2</c:v>
                </c:pt>
              </c:numCache>
            </c:numRef>
          </c:val>
          <c:extLst>
            <c:ext xmlns:c16="http://schemas.microsoft.com/office/drawing/2014/chart" uri="{C3380CC4-5D6E-409C-BE32-E72D297353CC}">
              <c16:uniqueId val="{00000004-72FE-4677-A6BC-5C39A8AFFC50}"/>
            </c:ext>
          </c:extLst>
        </c:ser>
        <c:ser>
          <c:idx val="5"/>
          <c:order val="5"/>
          <c:tx>
            <c:strRef>
              <c:f>NC論文参考値!$A$77</c:f>
              <c:strCache>
                <c:ptCount val="1"/>
                <c:pt idx="0">
                  <c:v>NCM622-Graphite (Si)</c:v>
                </c:pt>
              </c:strCache>
            </c:strRef>
          </c:tx>
          <c:spPr>
            <a:solidFill>
              <a:schemeClr val="accent6"/>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NC論文参考値!$B$77:$AU$77</c:f>
              <c:numCache>
                <c:formatCode>0%</c:formatCode>
                <c:ptCount val="46"/>
                <c:pt idx="0">
                  <c:v>0</c:v>
                </c:pt>
                <c:pt idx="1">
                  <c:v>0</c:v>
                </c:pt>
                <c:pt idx="2">
                  <c:v>0</c:v>
                </c:pt>
                <c:pt idx="3">
                  <c:v>0</c:v>
                </c:pt>
                <c:pt idx="4">
                  <c:v>0</c:v>
                </c:pt>
                <c:pt idx="5">
                  <c:v>0</c:v>
                </c:pt>
                <c:pt idx="6">
                  <c:v>0</c:v>
                </c:pt>
                <c:pt idx="7">
                  <c:v>0</c:v>
                </c:pt>
                <c:pt idx="8">
                  <c:v>0</c:v>
                </c:pt>
                <c:pt idx="9">
                  <c:v>0</c:v>
                </c:pt>
                <c:pt idx="10">
                  <c:v>2.1171767098498322E-2</c:v>
                </c:pt>
                <c:pt idx="11">
                  <c:v>3.3389560328630691E-2</c:v>
                </c:pt>
                <c:pt idx="12">
                  <c:v>5.1509686749462928E-2</c:v>
                </c:pt>
                <c:pt idx="13">
                  <c:v>7.5556718286746954E-2</c:v>
                </c:pt>
                <c:pt idx="14">
                  <c:v>7.5720250161101343E-2</c:v>
                </c:pt>
                <c:pt idx="15">
                  <c:v>6.0959741198568833E-2</c:v>
                </c:pt>
                <c:pt idx="16">
                  <c:v>7.3012441439178385E-2</c:v>
                </c:pt>
                <c:pt idx="17">
                  <c:v>8.5769932221691506E-2</c:v>
                </c:pt>
                <c:pt idx="18">
                  <c:v>9.9232213546108186E-2</c:v>
                </c:pt>
                <c:pt idx="19">
                  <c:v>0.11339928541242844</c:v>
                </c:pt>
                <c:pt idx="20">
                  <c:v>0.12827114782065224</c:v>
                </c:pt>
                <c:pt idx="21">
                  <c:v>0.13046654619844625</c:v>
                </c:pt>
                <c:pt idx="22">
                  <c:v>0.13264251509510652</c:v>
                </c:pt>
                <c:pt idx="23">
                  <c:v>0.13479905451063304</c:v>
                </c:pt>
                <c:pt idx="24">
                  <c:v>0.13693616444502579</c:v>
                </c:pt>
                <c:pt idx="25">
                  <c:v>0.13769506845905213</c:v>
                </c:pt>
                <c:pt idx="26">
                  <c:v>0.13757654366182492</c:v>
                </c:pt>
                <c:pt idx="27">
                  <c:v>0.1372054268358282</c:v>
                </c:pt>
                <c:pt idx="28">
                  <c:v>0.13668989315650926</c:v>
                </c:pt>
                <c:pt idx="29">
                  <c:v>0.13501525073659001</c:v>
                </c:pt>
                <c:pt idx="30">
                  <c:v>0.13502894344327812</c:v>
                </c:pt>
                <c:pt idx="31">
                  <c:v>0.13215397839802254</c:v>
                </c:pt>
                <c:pt idx="32">
                  <c:v>0.12867591283153842</c:v>
                </c:pt>
                <c:pt idx="33">
                  <c:v>0.12459474674382578</c:v>
                </c:pt>
                <c:pt idx="34">
                  <c:v>0.11991048013488464</c:v>
                </c:pt>
                <c:pt idx="35">
                  <c:v>0.11462311300471498</c:v>
                </c:pt>
                <c:pt idx="36">
                  <c:v>0.11261349683790348</c:v>
                </c:pt>
                <c:pt idx="37">
                  <c:v>0.11054264113915541</c:v>
                </c:pt>
                <c:pt idx="38">
                  <c:v>0.10841054590847071</c:v>
                </c:pt>
                <c:pt idx="39">
                  <c:v>0.10621721114584944</c:v>
                </c:pt>
                <c:pt idx="40">
                  <c:v>0.10402387638322814</c:v>
                </c:pt>
                <c:pt idx="41">
                  <c:v>0.10183054162060687</c:v>
                </c:pt>
                <c:pt idx="42">
                  <c:v>9.9637206857985591E-2</c:v>
                </c:pt>
                <c:pt idx="43">
                  <c:v>9.7443872095364301E-2</c:v>
                </c:pt>
                <c:pt idx="44">
                  <c:v>9.5250537332743024E-2</c:v>
                </c:pt>
                <c:pt idx="45">
                  <c:v>9.3057202570121733E-2</c:v>
                </c:pt>
              </c:numCache>
            </c:numRef>
          </c:val>
          <c:extLst>
            <c:ext xmlns:c16="http://schemas.microsoft.com/office/drawing/2014/chart" uri="{C3380CC4-5D6E-409C-BE32-E72D297353CC}">
              <c16:uniqueId val="{00000005-72FE-4677-A6BC-5C39A8AFFC50}"/>
            </c:ext>
          </c:extLst>
        </c:ser>
        <c:ser>
          <c:idx val="6"/>
          <c:order val="6"/>
          <c:tx>
            <c:strRef>
              <c:f>NC論文参考値!$A$78</c:f>
              <c:strCache>
                <c:ptCount val="1"/>
                <c:pt idx="0">
                  <c:v>NCM811-Graphite (Si)</c:v>
                </c:pt>
              </c:strCache>
            </c:strRef>
          </c:tx>
          <c:spPr>
            <a:solidFill>
              <a:schemeClr val="accent1">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NC論文参考値!$B$78:$AU$78</c:f>
              <c:numCache>
                <c:formatCode>0%</c:formatCode>
                <c:ptCount val="46"/>
                <c:pt idx="0">
                  <c:v>0</c:v>
                </c:pt>
                <c:pt idx="1">
                  <c:v>0</c:v>
                </c:pt>
                <c:pt idx="2">
                  <c:v>0</c:v>
                </c:pt>
                <c:pt idx="3">
                  <c:v>0</c:v>
                </c:pt>
                <c:pt idx="4">
                  <c:v>0</c:v>
                </c:pt>
                <c:pt idx="5">
                  <c:v>0</c:v>
                </c:pt>
                <c:pt idx="6">
                  <c:v>0</c:v>
                </c:pt>
                <c:pt idx="7">
                  <c:v>0</c:v>
                </c:pt>
                <c:pt idx="8">
                  <c:v>0</c:v>
                </c:pt>
                <c:pt idx="9">
                  <c:v>0</c:v>
                </c:pt>
                <c:pt idx="10">
                  <c:v>9.7715848146918225E-3</c:v>
                </c:pt>
                <c:pt idx="11">
                  <c:v>1.0623951013655411E-2</c:v>
                </c:pt>
                <c:pt idx="12">
                  <c:v>1.3292822386958317E-2</c:v>
                </c:pt>
                <c:pt idx="13">
                  <c:v>1.7000261614518158E-2</c:v>
                </c:pt>
                <c:pt idx="14">
                  <c:v>2.9043383623436374E-2</c:v>
                </c:pt>
                <c:pt idx="15">
                  <c:v>2.8944913087090515E-2</c:v>
                </c:pt>
                <c:pt idx="16">
                  <c:v>4.9620105832451605E-2</c:v>
                </c:pt>
                <c:pt idx="17">
                  <c:v>7.4632471143373041E-2</c:v>
                </c:pt>
                <c:pt idx="18">
                  <c:v>0.10398200901985483</c:v>
                </c:pt>
                <c:pt idx="19">
                  <c:v>0.13766871946189696</c:v>
                </c:pt>
                <c:pt idx="20">
                  <c:v>0.17569260246949941</c:v>
                </c:pt>
                <c:pt idx="21">
                  <c:v>0.19014467438654331</c:v>
                </c:pt>
                <c:pt idx="22">
                  <c:v>0.2050371478759522</c:v>
                </c:pt>
                <c:pt idx="23">
                  <c:v>0.22037002293772609</c:v>
                </c:pt>
                <c:pt idx="24">
                  <c:v>0.23614329957186497</c:v>
                </c:pt>
                <c:pt idx="25">
                  <c:v>0.2498910501664281</c:v>
                </c:pt>
                <c:pt idx="26">
                  <c:v>0.24967594960849723</c:v>
                </c:pt>
                <c:pt idx="27">
                  <c:v>0.24900244129465129</c:v>
                </c:pt>
                <c:pt idx="28">
                  <c:v>0.24806684313588731</c:v>
                </c:pt>
                <c:pt idx="29">
                  <c:v>0.24502767726270056</c:v>
                </c:pt>
                <c:pt idx="30">
                  <c:v>0.24505252698965305</c:v>
                </c:pt>
                <c:pt idx="31">
                  <c:v>0.23983499783344844</c:v>
                </c:pt>
                <c:pt idx="32">
                  <c:v>0.2335229529164958</c:v>
                </c:pt>
                <c:pt idx="33">
                  <c:v>0.22611639223879509</c:v>
                </c:pt>
                <c:pt idx="34">
                  <c:v>0.21761531580034632</c:v>
                </c:pt>
                <c:pt idx="35">
                  <c:v>0.20801972360114951</c:v>
                </c:pt>
                <c:pt idx="36">
                  <c:v>0.20437264240952865</c:v>
                </c:pt>
                <c:pt idx="37">
                  <c:v>0.20061442280809696</c:v>
                </c:pt>
                <c:pt idx="38">
                  <c:v>0.19674506479685439</c:v>
                </c:pt>
                <c:pt idx="39">
                  <c:v>0.19276456837580094</c:v>
                </c:pt>
                <c:pt idx="40">
                  <c:v>0.1887840719547475</c:v>
                </c:pt>
                <c:pt idx="41">
                  <c:v>0.18480357553369406</c:v>
                </c:pt>
                <c:pt idx="42">
                  <c:v>0.18082307911264062</c:v>
                </c:pt>
                <c:pt idx="43">
                  <c:v>0.17684258269158717</c:v>
                </c:pt>
                <c:pt idx="44">
                  <c:v>0.17286208627053373</c:v>
                </c:pt>
                <c:pt idx="45">
                  <c:v>0.16888158984948029</c:v>
                </c:pt>
              </c:numCache>
            </c:numRef>
          </c:val>
          <c:extLst>
            <c:ext xmlns:c16="http://schemas.microsoft.com/office/drawing/2014/chart" uri="{C3380CC4-5D6E-409C-BE32-E72D297353CC}">
              <c16:uniqueId val="{00000006-72FE-4677-A6BC-5C39A8AFFC50}"/>
            </c:ext>
          </c:extLst>
        </c:ser>
        <c:ser>
          <c:idx val="7"/>
          <c:order val="7"/>
          <c:tx>
            <c:strRef>
              <c:f>NC論文参考値!$A$79</c:f>
              <c:strCache>
                <c:ptCount val="1"/>
                <c:pt idx="0">
                  <c:v>NCM955-Graphite (Si)</c:v>
                </c:pt>
              </c:strCache>
            </c:strRef>
          </c:tx>
          <c:spPr>
            <a:solidFill>
              <a:schemeClr val="accent2">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NC論文参考値!$B$79:$AU$79</c:f>
              <c:numCache>
                <c:formatCode>0%</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9.7715848146918225E-3</c:v>
                </c:pt>
                <c:pt idx="26">
                  <c:v>1.0623951013655411E-2</c:v>
                </c:pt>
                <c:pt idx="27">
                  <c:v>1.3292822386958317E-2</c:v>
                </c:pt>
                <c:pt idx="28">
                  <c:v>1.7000261614518158E-2</c:v>
                </c:pt>
                <c:pt idx="29">
                  <c:v>2.9043383623436374E-2</c:v>
                </c:pt>
                <c:pt idx="30">
                  <c:v>2.8944913087090515E-2</c:v>
                </c:pt>
                <c:pt idx="31">
                  <c:v>4.9620105832451605E-2</c:v>
                </c:pt>
                <c:pt idx="32">
                  <c:v>7.4632471143373041E-2</c:v>
                </c:pt>
                <c:pt idx="33">
                  <c:v>0.10398200901985483</c:v>
                </c:pt>
                <c:pt idx="34">
                  <c:v>0.13766871946189696</c:v>
                </c:pt>
                <c:pt idx="35">
                  <c:v>0.17569260246949941</c:v>
                </c:pt>
                <c:pt idx="36">
                  <c:v>0.19014467438654331</c:v>
                </c:pt>
                <c:pt idx="37">
                  <c:v>0.2050371478759522</c:v>
                </c:pt>
                <c:pt idx="38">
                  <c:v>0.22037002293772609</c:v>
                </c:pt>
                <c:pt idx="39">
                  <c:v>0.23614329957186497</c:v>
                </c:pt>
                <c:pt idx="40">
                  <c:v>0.25191657620600383</c:v>
                </c:pt>
                <c:pt idx="41">
                  <c:v>0.26768985284014268</c:v>
                </c:pt>
                <c:pt idx="42">
                  <c:v>0.28346312947428154</c:v>
                </c:pt>
                <c:pt idx="43">
                  <c:v>0.29923640610842039</c:v>
                </c:pt>
                <c:pt idx="44">
                  <c:v>0.31500968274255925</c:v>
                </c:pt>
                <c:pt idx="45">
                  <c:v>0.3307829593766981</c:v>
                </c:pt>
              </c:numCache>
            </c:numRef>
          </c:val>
          <c:extLst>
            <c:ext xmlns:c16="http://schemas.microsoft.com/office/drawing/2014/chart" uri="{C3380CC4-5D6E-409C-BE32-E72D297353CC}">
              <c16:uniqueId val="{00000007-72FE-4677-A6BC-5C39A8AFFC50}"/>
            </c:ext>
          </c:extLst>
        </c:ser>
        <c:ser>
          <c:idx val="8"/>
          <c:order val="8"/>
          <c:tx>
            <c:strRef>
              <c:f>NC論文参考値!$A$80</c:f>
              <c:strCache>
                <c:ptCount val="1"/>
                <c:pt idx="0">
                  <c:v>Li-Sulphur</c:v>
                </c:pt>
              </c:strCache>
            </c:strRef>
          </c:tx>
          <c:spPr>
            <a:solidFill>
              <a:schemeClr val="accent3">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NC論文参考値!$B$80:$AU$80</c:f>
              <c:numCache>
                <c:formatCode>0%</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numCache>
            </c:numRef>
          </c:val>
          <c:extLst>
            <c:ext xmlns:c16="http://schemas.microsoft.com/office/drawing/2014/chart" uri="{C3380CC4-5D6E-409C-BE32-E72D297353CC}">
              <c16:uniqueId val="{00000008-72FE-4677-A6BC-5C39A8AFFC50}"/>
            </c:ext>
          </c:extLst>
        </c:ser>
        <c:ser>
          <c:idx val="9"/>
          <c:order val="9"/>
          <c:tx>
            <c:strRef>
              <c:f>NC論文参考値!$A$81</c:f>
              <c:strCache>
                <c:ptCount val="1"/>
                <c:pt idx="0">
                  <c:v>Li-Air</c:v>
                </c:pt>
              </c:strCache>
            </c:strRef>
          </c:tx>
          <c:spPr>
            <a:solidFill>
              <a:schemeClr val="accent4">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NC論文参考値!$B$81:$AU$81</c:f>
              <c:numCache>
                <c:formatCode>0%</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numCache>
            </c:numRef>
          </c:val>
          <c:extLst>
            <c:ext xmlns:c16="http://schemas.microsoft.com/office/drawing/2014/chart" uri="{C3380CC4-5D6E-409C-BE32-E72D297353CC}">
              <c16:uniqueId val="{00000009-72FE-4677-A6BC-5C39A8AFFC50}"/>
            </c:ext>
          </c:extLst>
        </c:ser>
        <c:dLbls>
          <c:showLegendKey val="0"/>
          <c:showVal val="0"/>
          <c:showCatName val="0"/>
          <c:showSerName val="0"/>
          <c:showPercent val="0"/>
          <c:showBubbleSize val="0"/>
        </c:dLbls>
        <c:axId val="1652289151"/>
        <c:axId val="1652275231"/>
      </c:areaChart>
      <c:catAx>
        <c:axId val="16522891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275231"/>
        <c:crosses val="autoZero"/>
        <c:auto val="1"/>
        <c:lblAlgn val="ctr"/>
        <c:lblOffset val="100"/>
        <c:tickLblSkip val="5"/>
        <c:tickMarkSkip val="1"/>
        <c:noMultiLvlLbl val="0"/>
      </c:catAx>
      <c:valAx>
        <c:axId val="16522752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28915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chart>
  <c:spPr>
    <a:solidFill>
      <a:schemeClr val="bg1"/>
    </a:solidFill>
    <a:ln w="9525" cap="flat" cmpd="sng" algn="ctr">
      <a:noFill/>
      <a:round/>
    </a:ln>
    <a:effectLst/>
  </c:spPr>
  <c:txPr>
    <a:bodyPr/>
    <a:lstStyle/>
    <a:p>
      <a:pPr>
        <a:defRPr sz="1000">
          <a:solidFill>
            <a:schemeClr val="tx1"/>
          </a:solidFill>
          <a:latin typeface="Aptos" panose="020B0004020202020204" pitchFamily="34" charset="0"/>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NC論文参考値!$A$85</c:f>
              <c:strCache>
                <c:ptCount val="1"/>
                <c:pt idx="0">
                  <c:v>LFP</c:v>
                </c:pt>
              </c:strCache>
            </c:strRef>
          </c:tx>
          <c:spPr>
            <a:solidFill>
              <a:schemeClr val="accent1"/>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NC論文参考値!$B$85:$AU$85</c:f>
              <c:numCache>
                <c:formatCode>0%</c:formatCode>
                <c:ptCount val="46"/>
                <c:pt idx="0">
                  <c:v>0.239863819251009</c:v>
                </c:pt>
                <c:pt idx="1">
                  <c:v>0.23986381925100869</c:v>
                </c:pt>
                <c:pt idx="2">
                  <c:v>0.23986381925100869</c:v>
                </c:pt>
                <c:pt idx="3">
                  <c:v>0.23986381925100869</c:v>
                </c:pt>
                <c:pt idx="4">
                  <c:v>0.23986381925100869</c:v>
                </c:pt>
                <c:pt idx="5">
                  <c:v>0.14124293785310904</c:v>
                </c:pt>
                <c:pt idx="6">
                  <c:v>0.18441678192715721</c:v>
                </c:pt>
                <c:pt idx="7">
                  <c:v>0.23971234518577847</c:v>
                </c:pt>
                <c:pt idx="8">
                  <c:v>0.29488859764088782</c:v>
                </c:pt>
                <c:pt idx="9">
                  <c:v>0.35921205098493197</c:v>
                </c:pt>
                <c:pt idx="10">
                  <c:v>0.27893033901474312</c:v>
                </c:pt>
                <c:pt idx="11">
                  <c:v>0.31301307523565658</c:v>
                </c:pt>
                <c:pt idx="12">
                  <c:v>0.28160896730148871</c:v>
                </c:pt>
                <c:pt idx="13">
                  <c:v>0.22990270578907193</c:v>
                </c:pt>
                <c:pt idx="14">
                  <c:v>0.27588993374298398</c:v>
                </c:pt>
                <c:pt idx="15">
                  <c:v>0.30535448522089453</c:v>
                </c:pt>
                <c:pt idx="16">
                  <c:v>0.33481903669880508</c:v>
                </c:pt>
                <c:pt idx="17">
                  <c:v>0.36428358817671563</c:v>
                </c:pt>
                <c:pt idx="18">
                  <c:v>0.39374813965462618</c:v>
                </c:pt>
                <c:pt idx="19">
                  <c:v>0.42321269113253673</c:v>
                </c:pt>
                <c:pt idx="20">
                  <c:v>0.45267724261044728</c:v>
                </c:pt>
                <c:pt idx="21">
                  <c:v>0.48214179408835783</c:v>
                </c:pt>
                <c:pt idx="22">
                  <c:v>0.51160634556626838</c:v>
                </c:pt>
                <c:pt idx="23">
                  <c:v>0.54107089704417888</c:v>
                </c:pt>
                <c:pt idx="24">
                  <c:v>0.57053544852208937</c:v>
                </c:pt>
                <c:pt idx="25">
                  <c:v>0.6</c:v>
                </c:pt>
                <c:pt idx="26">
                  <c:v>0.6</c:v>
                </c:pt>
                <c:pt idx="27">
                  <c:v>0.6</c:v>
                </c:pt>
                <c:pt idx="28">
                  <c:v>0.6</c:v>
                </c:pt>
                <c:pt idx="29">
                  <c:v>0.6</c:v>
                </c:pt>
                <c:pt idx="30">
                  <c:v>0.6</c:v>
                </c:pt>
                <c:pt idx="31">
                  <c:v>0.6</c:v>
                </c:pt>
                <c:pt idx="32">
                  <c:v>0.6</c:v>
                </c:pt>
                <c:pt idx="33">
                  <c:v>0.6</c:v>
                </c:pt>
                <c:pt idx="34">
                  <c:v>0.6</c:v>
                </c:pt>
                <c:pt idx="35">
                  <c:v>0.6</c:v>
                </c:pt>
                <c:pt idx="36">
                  <c:v>0.6</c:v>
                </c:pt>
                <c:pt idx="37">
                  <c:v>0.6</c:v>
                </c:pt>
                <c:pt idx="38">
                  <c:v>0.6</c:v>
                </c:pt>
                <c:pt idx="39">
                  <c:v>0.6</c:v>
                </c:pt>
                <c:pt idx="40">
                  <c:v>0.6</c:v>
                </c:pt>
                <c:pt idx="41">
                  <c:v>0.6</c:v>
                </c:pt>
                <c:pt idx="42">
                  <c:v>0.6</c:v>
                </c:pt>
                <c:pt idx="43">
                  <c:v>0.6</c:v>
                </c:pt>
                <c:pt idx="44">
                  <c:v>0.6</c:v>
                </c:pt>
                <c:pt idx="45">
                  <c:v>0.6</c:v>
                </c:pt>
              </c:numCache>
            </c:numRef>
          </c:val>
          <c:extLst>
            <c:ext xmlns:c16="http://schemas.microsoft.com/office/drawing/2014/chart" uri="{C3380CC4-5D6E-409C-BE32-E72D297353CC}">
              <c16:uniqueId val="{00000000-CA58-47E8-97F0-568C28BCD8E6}"/>
            </c:ext>
          </c:extLst>
        </c:ser>
        <c:ser>
          <c:idx val="1"/>
          <c:order val="1"/>
          <c:tx>
            <c:strRef>
              <c:f>NC論文参考値!$A$86</c:f>
              <c:strCache>
                <c:ptCount val="1"/>
                <c:pt idx="0">
                  <c:v>NCA</c:v>
                </c:pt>
              </c:strCache>
            </c:strRef>
          </c:tx>
          <c:spPr>
            <a:solidFill>
              <a:schemeClr val="accent2"/>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NC論文参考値!$B$86:$AU$86</c:f>
              <c:numCache>
                <c:formatCode>0%</c:formatCode>
                <c:ptCount val="46"/>
                <c:pt idx="0">
                  <c:v>0.19189105540080365</c:v>
                </c:pt>
                <c:pt idx="1">
                  <c:v>0.19189105540080365</c:v>
                </c:pt>
                <c:pt idx="2">
                  <c:v>0.19189105540080365</c:v>
                </c:pt>
                <c:pt idx="3">
                  <c:v>0.19189105540080365</c:v>
                </c:pt>
                <c:pt idx="4">
                  <c:v>0.19189105540080365</c:v>
                </c:pt>
                <c:pt idx="5">
                  <c:v>0.11299435028248529</c:v>
                </c:pt>
                <c:pt idx="6">
                  <c:v>0.16136468418625807</c:v>
                </c:pt>
                <c:pt idx="7">
                  <c:v>0.21973631642029548</c:v>
                </c:pt>
                <c:pt idx="8">
                  <c:v>0.22935779816513932</c:v>
                </c:pt>
                <c:pt idx="9">
                  <c:v>0.22016222479722017</c:v>
                </c:pt>
                <c:pt idx="10">
                  <c:v>0.16571792401695173</c:v>
                </c:pt>
                <c:pt idx="11">
                  <c:v>0.16944873967056734</c:v>
                </c:pt>
                <c:pt idx="12">
                  <c:v>0.15178447845441967</c:v>
                </c:pt>
                <c:pt idx="13">
                  <c:v>0.12597627081641158</c:v>
                </c:pt>
                <c:pt idx="14">
                  <c:v>0.25250083694312486</c:v>
                </c:pt>
                <c:pt idx="15">
                  <c:v>0.38826047635947991</c:v>
                </c:pt>
                <c:pt idx="16">
                  <c:v>0.35426367612625559</c:v>
                </c:pt>
                <c:pt idx="17">
                  <c:v>0.3243615134526267</c:v>
                </c:pt>
                <c:pt idx="18">
                  <c:v>0.29768776004680786</c:v>
                </c:pt>
                <c:pt idx="19">
                  <c:v>0.27360442895835529</c:v>
                </c:pt>
                <c:pt idx="20">
                  <c:v>0.25163124664631659</c:v>
                </c:pt>
                <c:pt idx="21">
                  <c:v>0.23187087661098038</c:v>
                </c:pt>
                <c:pt idx="22">
                  <c:v>0.21280172032527317</c:v>
                </c:pt>
                <c:pt idx="23">
                  <c:v>0.19442659613827024</c:v>
                </c:pt>
                <c:pt idx="24">
                  <c:v>0.17674833774191664</c:v>
                </c:pt>
                <c:pt idx="25">
                  <c:v>0.15816852289995015</c:v>
                </c:pt>
                <c:pt idx="26">
                  <c:v>0.15802888395530157</c:v>
                </c:pt>
                <c:pt idx="27">
                  <c:v>0.15759169583810251</c:v>
                </c:pt>
                <c:pt idx="28">
                  <c:v>0.15698448015035479</c:v>
                </c:pt>
                <c:pt idx="29">
                  <c:v>0.15501282573916125</c:v>
                </c:pt>
                <c:pt idx="30">
                  <c:v>0.15502894197486752</c:v>
                </c:pt>
                <c:pt idx="31">
                  <c:v>0.15164692765278931</c:v>
                </c:pt>
                <c:pt idx="32">
                  <c:v>0.14756028235524274</c:v>
                </c:pt>
                <c:pt idx="33">
                  <c:v>0.14277174786930671</c:v>
                </c:pt>
                <c:pt idx="34">
                  <c:v>0.13728453011002267</c:v>
                </c:pt>
                <c:pt idx="35">
                  <c:v>0.13110229377440316</c:v>
                </c:pt>
                <c:pt idx="36">
                  <c:v>0.12875573768327997</c:v>
                </c:pt>
                <c:pt idx="37">
                  <c:v>0.12633950418053547</c:v>
                </c:pt>
                <c:pt idx="38">
                  <c:v>0.12385375579847778</c:v>
                </c:pt>
                <c:pt idx="39">
                  <c:v>0.12129865954920725</c:v>
                </c:pt>
                <c:pt idx="40">
                  <c:v>0.1187456393457797</c:v>
                </c:pt>
                <c:pt idx="41">
                  <c:v>0.11619469265900506</c:v>
                </c:pt>
                <c:pt idx="42">
                  <c:v>0.11364581696379988</c:v>
                </c:pt>
                <c:pt idx="43">
                  <c:v>0.11109900973917906</c:v>
                </c:pt>
                <c:pt idx="44">
                  <c:v>0.10855426846824739</c:v>
                </c:pt>
                <c:pt idx="45">
                  <c:v>0.1060115906381916</c:v>
                </c:pt>
              </c:numCache>
            </c:numRef>
          </c:val>
          <c:extLst>
            <c:ext xmlns:c16="http://schemas.microsoft.com/office/drawing/2014/chart" uri="{C3380CC4-5D6E-409C-BE32-E72D297353CC}">
              <c16:uniqueId val="{00000001-CA58-47E8-97F0-568C28BCD8E6}"/>
            </c:ext>
          </c:extLst>
        </c:ser>
        <c:ser>
          <c:idx val="2"/>
          <c:order val="2"/>
          <c:tx>
            <c:strRef>
              <c:f>NC論文参考値!$A$87</c:f>
              <c:strCache>
                <c:ptCount val="1"/>
                <c:pt idx="0">
                  <c:v>NCM111</c:v>
                </c:pt>
              </c:strCache>
            </c:strRef>
          </c:tx>
          <c:spPr>
            <a:solidFill>
              <a:schemeClr val="accent3"/>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NC論文参考値!$B$87:$AU$87</c:f>
              <c:numCache>
                <c:formatCode>0%</c:formatCode>
                <c:ptCount val="46"/>
                <c:pt idx="0">
                  <c:v>0.5682451253481875</c:v>
                </c:pt>
                <c:pt idx="1">
                  <c:v>0.5682451253481875</c:v>
                </c:pt>
                <c:pt idx="2">
                  <c:v>0.5682451253481875</c:v>
                </c:pt>
                <c:pt idx="3">
                  <c:v>0.5682451253481875</c:v>
                </c:pt>
                <c:pt idx="4">
                  <c:v>0.5682451253481875</c:v>
                </c:pt>
                <c:pt idx="5">
                  <c:v>0.33460907599781198</c:v>
                </c:pt>
                <c:pt idx="6">
                  <c:v>0.30274394324722287</c:v>
                </c:pt>
                <c:pt idx="7">
                  <c:v>0.25775263232508011</c:v>
                </c:pt>
                <c:pt idx="8">
                  <c:v>0.23355176933158647</c:v>
                </c:pt>
                <c:pt idx="9">
                  <c:v>0.21240982319739979</c:v>
                </c:pt>
                <c:pt idx="10">
                  <c:v>0.28826175203340143</c:v>
                </c:pt>
                <c:pt idx="11">
                  <c:v>0.22715019072053286</c:v>
                </c:pt>
                <c:pt idx="12">
                  <c:v>0.20326940900056809</c:v>
                </c:pt>
                <c:pt idx="13">
                  <c:v>0.17944720593102306</c:v>
                </c:pt>
                <c:pt idx="14">
                  <c:v>9.8194297012569418E-2</c:v>
                </c:pt>
                <c:pt idx="15">
                  <c:v>4.2229022890681422E-2</c:v>
                </c:pt>
                <c:pt idx="16">
                  <c:v>3.8841866374347153E-2</c:v>
                </c:pt>
                <c:pt idx="17">
                  <c:v>3.4879053131258365E-2</c:v>
                </c:pt>
                <c:pt idx="18">
                  <c:v>3.058494601199855E-2</c:v>
                </c:pt>
                <c:pt idx="19">
                  <c:v>2.6139521024421599E-2</c:v>
                </c:pt>
                <c:pt idx="20">
                  <c:v>2.1678263250970411E-2</c:v>
                </c:pt>
                <c:pt idx="21">
                  <c:v>1.8618529942741022E-2</c:v>
                </c:pt>
                <c:pt idx="22">
                  <c:v>1.5678837307050126E-2</c:v>
                </c:pt>
                <c:pt idx="23">
                  <c:v>1.2876075111939405E-2</c:v>
                </c:pt>
                <c:pt idx="24">
                  <c:v>1.0227225072013818E-2</c:v>
                </c:pt>
                <c:pt idx="25">
                  <c:v>7.6716945369626728E-3</c:v>
                </c:pt>
                <c:pt idx="26">
                  <c:v>7.6649215880271529E-3</c:v>
                </c:pt>
                <c:pt idx="27">
                  <c:v>7.6437165237776611E-3</c:v>
                </c:pt>
                <c:pt idx="28">
                  <c:v>7.6142645621038521E-3</c:v>
                </c:pt>
                <c:pt idx="29">
                  <c:v>7.5186328264221589E-3</c:v>
                </c:pt>
                <c:pt idx="30">
                  <c:v>7.519414516958034E-3</c:v>
                </c:pt>
                <c:pt idx="31">
                  <c:v>7.3553756783641573E-3</c:v>
                </c:pt>
                <c:pt idx="32">
                  <c:v>7.1571599156518527E-3</c:v>
                </c:pt>
                <c:pt idx="33">
                  <c:v>6.9249002145288273E-3</c:v>
                </c:pt>
                <c:pt idx="34">
                  <c:v>6.6587520724383058E-3</c:v>
                </c:pt>
                <c:pt idx="35">
                  <c:v>6.3588932392608256E-3</c:v>
                </c:pt>
                <c:pt idx="36">
                  <c:v>6.2450775367753619E-3</c:v>
                </c:pt>
                <c:pt idx="37">
                  <c:v>6.1278822502343309E-3</c:v>
                </c:pt>
                <c:pt idx="38">
                  <c:v>6.0073152629902347E-3</c:v>
                </c:pt>
                <c:pt idx="39">
                  <c:v>5.8833846756802567E-3</c:v>
                </c:pt>
                <c:pt idx="40">
                  <c:v>5.7595547834343791E-3</c:v>
                </c:pt>
                <c:pt idx="41">
                  <c:v>5.6358254635785502E-3</c:v>
                </c:pt>
                <c:pt idx="42">
                  <c:v>5.5121965936379014E-3</c:v>
                </c:pt>
                <c:pt idx="43">
                  <c:v>5.3886680513363476E-3</c:v>
                </c:pt>
                <c:pt idx="44">
                  <c:v>5.2652397145961805E-3</c:v>
                </c:pt>
                <c:pt idx="45">
                  <c:v>5.1419114615376743E-3</c:v>
                </c:pt>
              </c:numCache>
            </c:numRef>
          </c:val>
          <c:extLst>
            <c:ext xmlns:c16="http://schemas.microsoft.com/office/drawing/2014/chart" uri="{C3380CC4-5D6E-409C-BE32-E72D297353CC}">
              <c16:uniqueId val="{00000002-CA58-47E8-97F0-568C28BCD8E6}"/>
            </c:ext>
          </c:extLst>
        </c:ser>
        <c:ser>
          <c:idx val="3"/>
          <c:order val="3"/>
          <c:tx>
            <c:strRef>
              <c:f>NC論文参考値!$A$88</c:f>
              <c:strCache>
                <c:ptCount val="1"/>
                <c:pt idx="0">
                  <c:v>NCM523</c:v>
                </c:pt>
              </c:strCache>
            </c:strRef>
          </c:tx>
          <c:spPr>
            <a:solidFill>
              <a:schemeClr val="accent4"/>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NC論文参考値!$B$88:$AU$88</c:f>
              <c:numCache>
                <c:formatCode>0%</c:formatCode>
                <c:ptCount val="46"/>
                <c:pt idx="0">
                  <c:v>0</c:v>
                </c:pt>
                <c:pt idx="1">
                  <c:v>0</c:v>
                </c:pt>
                <c:pt idx="2">
                  <c:v>0</c:v>
                </c:pt>
                <c:pt idx="3">
                  <c:v>0</c:v>
                </c:pt>
                <c:pt idx="4">
                  <c:v>0</c:v>
                </c:pt>
                <c:pt idx="5">
                  <c:v>0.41115363586659348</c:v>
                </c:pt>
                <c:pt idx="6">
                  <c:v>0.35147459063936187</c:v>
                </c:pt>
                <c:pt idx="7">
                  <c:v>0.28279870606884605</c:v>
                </c:pt>
                <c:pt idx="8">
                  <c:v>0.24220183486238639</c:v>
                </c:pt>
                <c:pt idx="9">
                  <c:v>0.2082159010204481</c:v>
                </c:pt>
                <c:pt idx="10">
                  <c:v>0.21497486592321519</c:v>
                </c:pt>
                <c:pt idx="11">
                  <c:v>0.2129849227023265</c:v>
                </c:pt>
                <c:pt idx="12">
                  <c:v>0.24702494935763938</c:v>
                </c:pt>
                <c:pt idx="13">
                  <c:v>0.29656011927548137</c:v>
                </c:pt>
                <c:pt idx="14">
                  <c:v>0.19293104835568267</c:v>
                </c:pt>
                <c:pt idx="15">
                  <c:v>0.10961576154602429</c:v>
                </c:pt>
                <c:pt idx="16">
                  <c:v>9.5919350764819833E-2</c:v>
                </c:pt>
                <c:pt idx="17">
                  <c:v>8.0714876879665873E-2</c:v>
                </c:pt>
                <c:pt idx="18">
                  <c:v>6.4789412262103344E-2</c:v>
                </c:pt>
                <c:pt idx="19">
                  <c:v>4.8722644630554354E-2</c:v>
                </c:pt>
                <c:pt idx="20">
                  <c:v>3.2950960141474715E-2</c:v>
                </c:pt>
                <c:pt idx="21">
                  <c:v>2.9018069190037594E-2</c:v>
                </c:pt>
                <c:pt idx="22">
                  <c:v>2.5215449689688703E-2</c:v>
                </c:pt>
                <c:pt idx="23">
                  <c:v>2.1563547476621342E-2</c:v>
                </c:pt>
                <c:pt idx="24">
                  <c:v>1.8082919692546141E-2</c:v>
                </c:pt>
                <c:pt idx="25">
                  <c:v>1.4645962297837831E-2</c:v>
                </c:pt>
                <c:pt idx="26">
                  <c:v>1.4633032122597296E-2</c:v>
                </c:pt>
                <c:pt idx="27">
                  <c:v>1.4592549727211898E-2</c:v>
                </c:pt>
                <c:pt idx="28">
                  <c:v>1.4536323254925538E-2</c:v>
                </c:pt>
                <c:pt idx="29">
                  <c:v>1.4353753577715032E-2</c:v>
                </c:pt>
                <c:pt idx="30">
                  <c:v>1.4355245896010794E-2</c:v>
                </c:pt>
                <c:pt idx="31">
                  <c:v>1.4042080840513392E-2</c:v>
                </c:pt>
                <c:pt idx="32">
                  <c:v>1.3663668929880813E-2</c:v>
                </c:pt>
                <c:pt idx="33">
                  <c:v>1.3220264045918671E-2</c:v>
                </c:pt>
                <c:pt idx="34">
                  <c:v>1.271216304738222E-2</c:v>
                </c:pt>
                <c:pt idx="35">
                  <c:v>1.2139705274952487E-2</c:v>
                </c:pt>
                <c:pt idx="36">
                  <c:v>1.1922420752025691E-2</c:v>
                </c:pt>
                <c:pt idx="37">
                  <c:v>1.1698684295901906E-2</c:v>
                </c:pt>
                <c:pt idx="38">
                  <c:v>1.1468510956617722E-2</c:v>
                </c:pt>
                <c:pt idx="39">
                  <c:v>1.1231916199025943E-2</c:v>
                </c:pt>
                <c:pt idx="40">
                  <c:v>1.0995513677465634E-2</c:v>
                </c:pt>
                <c:pt idx="41">
                  <c:v>1.075930315774087E-2</c:v>
                </c:pt>
                <c:pt idx="42">
                  <c:v>1.0523284406035994E-2</c:v>
                </c:pt>
                <c:pt idx="43">
                  <c:v>1.0287457188914845E-2</c:v>
                </c:pt>
                <c:pt idx="44">
                  <c:v>1.0051821273319982E-2</c:v>
                </c:pt>
                <c:pt idx="45">
                  <c:v>9.8163764265719235E-3</c:v>
                </c:pt>
              </c:numCache>
            </c:numRef>
          </c:val>
          <c:extLst>
            <c:ext xmlns:c16="http://schemas.microsoft.com/office/drawing/2014/chart" uri="{C3380CC4-5D6E-409C-BE32-E72D297353CC}">
              <c16:uniqueId val="{00000003-CA58-47E8-97F0-568C28BCD8E6}"/>
            </c:ext>
          </c:extLst>
        </c:ser>
        <c:ser>
          <c:idx val="4"/>
          <c:order val="4"/>
          <c:tx>
            <c:strRef>
              <c:f>NC論文参考値!$A$89</c:f>
              <c:strCache>
                <c:ptCount val="1"/>
                <c:pt idx="0">
                  <c:v>NCM622</c:v>
                </c:pt>
              </c:strCache>
            </c:strRef>
          </c:tx>
          <c:spPr>
            <a:solidFill>
              <a:schemeClr val="accent5"/>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NC論文参考値!$B$89:$AU$89</c:f>
              <c:numCache>
                <c:formatCode>0%</c:formatCode>
                <c:ptCount val="46"/>
                <c:pt idx="0">
                  <c:v>0</c:v>
                </c:pt>
                <c:pt idx="1">
                  <c:v>0</c:v>
                </c:pt>
                <c:pt idx="2">
                  <c:v>0</c:v>
                </c:pt>
                <c:pt idx="3">
                  <c:v>0</c:v>
                </c:pt>
                <c:pt idx="4">
                  <c:v>0</c:v>
                </c:pt>
                <c:pt idx="5">
                  <c:v>0</c:v>
                </c:pt>
                <c:pt idx="6">
                  <c:v>0</c:v>
                </c:pt>
                <c:pt idx="7">
                  <c:v>0</c:v>
                </c:pt>
                <c:pt idx="8">
                  <c:v>0</c:v>
                </c:pt>
                <c:pt idx="9">
                  <c:v>0</c:v>
                </c:pt>
                <c:pt idx="10">
                  <c:v>2.1171767098498322E-2</c:v>
                </c:pt>
                <c:pt idx="11">
                  <c:v>3.3389560328630691E-2</c:v>
                </c:pt>
                <c:pt idx="12">
                  <c:v>5.1509686749462928E-2</c:v>
                </c:pt>
                <c:pt idx="13">
                  <c:v>7.5556718286746954E-2</c:v>
                </c:pt>
                <c:pt idx="14">
                  <c:v>7.5720250161101343E-2</c:v>
                </c:pt>
                <c:pt idx="15">
                  <c:v>6.2445044487284398E-2</c:v>
                </c:pt>
                <c:pt idx="16">
                  <c:v>6.5739402948132353E-2</c:v>
                </c:pt>
                <c:pt idx="17">
                  <c:v>6.8205897091754064E-2</c:v>
                </c:pt>
                <c:pt idx="18">
                  <c:v>6.9947228601405162E-2</c:v>
                </c:pt>
                <c:pt idx="19">
                  <c:v>7.1039038430316018E-2</c:v>
                </c:pt>
                <c:pt idx="20">
                  <c:v>7.1538268728202389E-2</c:v>
                </c:pt>
                <c:pt idx="21">
                  <c:v>6.8938881139338465E-2</c:v>
                </c:pt>
                <c:pt idx="22">
                  <c:v>6.6190555435433326E-2</c:v>
                </c:pt>
                <c:pt idx="23">
                  <c:v>6.3294441514111913E-2</c:v>
                </c:pt>
                <c:pt idx="24">
                  <c:v>6.0251695532951066E-2</c:v>
                </c:pt>
                <c:pt idx="25">
                  <c:v>5.6491568863088815E-2</c:v>
                </c:pt>
                <c:pt idx="26">
                  <c:v>5.6441695330018186E-2</c:v>
                </c:pt>
                <c:pt idx="27">
                  <c:v>5.6285548947817378E-2</c:v>
                </c:pt>
                <c:pt idx="28">
                  <c:v>5.6068675411855687E-2</c:v>
                </c:pt>
                <c:pt idx="29">
                  <c:v>5.5364478085472305E-2</c:v>
                </c:pt>
                <c:pt idx="30">
                  <c:v>5.5370234170327381E-2</c:v>
                </c:pt>
                <c:pt idx="31">
                  <c:v>5.4162311813408838E-2</c:v>
                </c:pt>
                <c:pt idx="32">
                  <c:v>5.2702723015254596E-2</c:v>
                </c:pt>
                <c:pt idx="33">
                  <c:v>5.0992447034257773E-2</c:v>
                </c:pt>
                <c:pt idx="34">
                  <c:v>4.9032628897045745E-2</c:v>
                </c:pt>
                <c:pt idx="35">
                  <c:v>4.6824577489102487E-2</c:v>
                </c:pt>
                <c:pt idx="36">
                  <c:v>4.5986480043527705E-2</c:v>
                </c:pt>
                <c:pt idx="37">
                  <c:v>4.5123496569907384E-2</c:v>
                </c:pt>
                <c:pt idx="38">
                  <c:v>4.4235685118382675E-2</c:v>
                </c:pt>
                <c:pt idx="39">
                  <c:v>4.332310533910011E-2</c:v>
                </c:pt>
                <c:pt idx="40">
                  <c:v>4.241126704165319E-2</c:v>
                </c:pt>
                <c:pt idx="41">
                  <c:v>4.1500169322714817E-2</c:v>
                </c:pt>
                <c:pt idx="42">
                  <c:v>4.0589811280424583E-2</c:v>
                </c:pt>
                <c:pt idx="43">
                  <c:v>3.9680192014385857E-2</c:v>
                </c:pt>
                <c:pt idx="44">
                  <c:v>3.8771310625662816E-2</c:v>
                </c:pt>
                <c:pt idx="45">
                  <c:v>3.7863166216777447E-2</c:v>
                </c:pt>
              </c:numCache>
            </c:numRef>
          </c:val>
          <c:extLst>
            <c:ext xmlns:c16="http://schemas.microsoft.com/office/drawing/2014/chart" uri="{C3380CC4-5D6E-409C-BE32-E72D297353CC}">
              <c16:uniqueId val="{00000004-CA58-47E8-97F0-568C28BCD8E6}"/>
            </c:ext>
          </c:extLst>
        </c:ser>
        <c:ser>
          <c:idx val="5"/>
          <c:order val="5"/>
          <c:tx>
            <c:strRef>
              <c:f>NC論文参考値!$A$90</c:f>
              <c:strCache>
                <c:ptCount val="1"/>
                <c:pt idx="0">
                  <c:v>NCM622-Graphite (Si)</c:v>
                </c:pt>
              </c:strCache>
            </c:strRef>
          </c:tx>
          <c:spPr>
            <a:solidFill>
              <a:schemeClr val="accent6"/>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NC論文参考値!$B$90:$AU$90</c:f>
              <c:numCache>
                <c:formatCode>0%</c:formatCode>
                <c:ptCount val="46"/>
                <c:pt idx="0">
                  <c:v>0</c:v>
                </c:pt>
                <c:pt idx="1">
                  <c:v>0</c:v>
                </c:pt>
                <c:pt idx="2">
                  <c:v>0</c:v>
                </c:pt>
                <c:pt idx="3">
                  <c:v>0</c:v>
                </c:pt>
                <c:pt idx="4">
                  <c:v>0</c:v>
                </c:pt>
                <c:pt idx="5">
                  <c:v>0</c:v>
                </c:pt>
                <c:pt idx="6">
                  <c:v>0</c:v>
                </c:pt>
                <c:pt idx="7">
                  <c:v>0</c:v>
                </c:pt>
                <c:pt idx="8">
                  <c:v>0</c:v>
                </c:pt>
                <c:pt idx="9">
                  <c:v>0</c:v>
                </c:pt>
                <c:pt idx="10">
                  <c:v>2.1171767098498322E-2</c:v>
                </c:pt>
                <c:pt idx="11">
                  <c:v>3.3389560328630691E-2</c:v>
                </c:pt>
                <c:pt idx="12">
                  <c:v>5.1509686749462928E-2</c:v>
                </c:pt>
                <c:pt idx="13">
                  <c:v>7.5556718286746954E-2</c:v>
                </c:pt>
                <c:pt idx="14">
                  <c:v>7.5720250161101343E-2</c:v>
                </c:pt>
                <c:pt idx="15">
                  <c:v>6.2445044487284398E-2</c:v>
                </c:pt>
                <c:pt idx="16">
                  <c:v>6.5739402948132353E-2</c:v>
                </c:pt>
                <c:pt idx="17">
                  <c:v>6.8205897091754064E-2</c:v>
                </c:pt>
                <c:pt idx="18">
                  <c:v>6.9947228601405162E-2</c:v>
                </c:pt>
                <c:pt idx="19">
                  <c:v>7.1039038430316018E-2</c:v>
                </c:pt>
                <c:pt idx="20">
                  <c:v>7.1538268728202389E-2</c:v>
                </c:pt>
                <c:pt idx="21">
                  <c:v>6.8938881139338465E-2</c:v>
                </c:pt>
                <c:pt idx="22">
                  <c:v>6.6190555435433326E-2</c:v>
                </c:pt>
                <c:pt idx="23">
                  <c:v>6.3294441514111913E-2</c:v>
                </c:pt>
                <c:pt idx="24">
                  <c:v>6.0251695532951066E-2</c:v>
                </c:pt>
                <c:pt idx="25">
                  <c:v>5.6491568863088815E-2</c:v>
                </c:pt>
                <c:pt idx="26">
                  <c:v>5.6441695330018186E-2</c:v>
                </c:pt>
                <c:pt idx="27">
                  <c:v>5.6285548947817378E-2</c:v>
                </c:pt>
                <c:pt idx="28">
                  <c:v>5.6068675411855687E-2</c:v>
                </c:pt>
                <c:pt idx="29">
                  <c:v>5.5364478085472305E-2</c:v>
                </c:pt>
                <c:pt idx="30">
                  <c:v>5.5370234170327381E-2</c:v>
                </c:pt>
                <c:pt idx="31">
                  <c:v>5.4162311813408838E-2</c:v>
                </c:pt>
                <c:pt idx="32">
                  <c:v>5.2702723015254596E-2</c:v>
                </c:pt>
                <c:pt idx="33">
                  <c:v>5.0992447034257773E-2</c:v>
                </c:pt>
                <c:pt idx="34">
                  <c:v>4.9032628897045745E-2</c:v>
                </c:pt>
                <c:pt idx="35">
                  <c:v>4.6824577489102487E-2</c:v>
                </c:pt>
                <c:pt idx="36">
                  <c:v>4.5986480043527705E-2</c:v>
                </c:pt>
                <c:pt idx="37">
                  <c:v>4.5123496569907384E-2</c:v>
                </c:pt>
                <c:pt idx="38">
                  <c:v>4.4235685118382675E-2</c:v>
                </c:pt>
                <c:pt idx="39">
                  <c:v>4.332310533910011E-2</c:v>
                </c:pt>
                <c:pt idx="40">
                  <c:v>4.241126704165319E-2</c:v>
                </c:pt>
                <c:pt idx="41">
                  <c:v>4.1500169322714817E-2</c:v>
                </c:pt>
                <c:pt idx="42">
                  <c:v>4.0589811280424583E-2</c:v>
                </c:pt>
                <c:pt idx="43">
                  <c:v>3.9680192014385857E-2</c:v>
                </c:pt>
                <c:pt idx="44">
                  <c:v>3.8771310625662816E-2</c:v>
                </c:pt>
                <c:pt idx="45">
                  <c:v>3.7863166216777447E-2</c:v>
                </c:pt>
              </c:numCache>
            </c:numRef>
          </c:val>
          <c:extLst>
            <c:ext xmlns:c16="http://schemas.microsoft.com/office/drawing/2014/chart" uri="{C3380CC4-5D6E-409C-BE32-E72D297353CC}">
              <c16:uniqueId val="{00000005-CA58-47E8-97F0-568C28BCD8E6}"/>
            </c:ext>
          </c:extLst>
        </c:ser>
        <c:ser>
          <c:idx val="6"/>
          <c:order val="6"/>
          <c:tx>
            <c:strRef>
              <c:f>NC論文参考値!$A$91</c:f>
              <c:strCache>
                <c:ptCount val="1"/>
                <c:pt idx="0">
                  <c:v>NCM811-Graphite (Si)</c:v>
                </c:pt>
              </c:strCache>
            </c:strRef>
          </c:tx>
          <c:spPr>
            <a:solidFill>
              <a:schemeClr val="accent1">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NC論文参考値!$B$91:$AU$91</c:f>
              <c:numCache>
                <c:formatCode>0%</c:formatCode>
                <c:ptCount val="46"/>
                <c:pt idx="0">
                  <c:v>0</c:v>
                </c:pt>
                <c:pt idx="1">
                  <c:v>0</c:v>
                </c:pt>
                <c:pt idx="2">
                  <c:v>0</c:v>
                </c:pt>
                <c:pt idx="3">
                  <c:v>0</c:v>
                </c:pt>
                <c:pt idx="4">
                  <c:v>0</c:v>
                </c:pt>
                <c:pt idx="5">
                  <c:v>0</c:v>
                </c:pt>
                <c:pt idx="6">
                  <c:v>0</c:v>
                </c:pt>
                <c:pt idx="7">
                  <c:v>0</c:v>
                </c:pt>
                <c:pt idx="8">
                  <c:v>0</c:v>
                </c:pt>
                <c:pt idx="9">
                  <c:v>0</c:v>
                </c:pt>
                <c:pt idx="10">
                  <c:v>9.7715848146918225E-3</c:v>
                </c:pt>
                <c:pt idx="11">
                  <c:v>1.0623951013655411E-2</c:v>
                </c:pt>
                <c:pt idx="12">
                  <c:v>1.3292822386958317E-2</c:v>
                </c:pt>
                <c:pt idx="13">
                  <c:v>1.7000261614518158E-2</c:v>
                </c:pt>
                <c:pt idx="14">
                  <c:v>2.9043383623436374E-2</c:v>
                </c:pt>
                <c:pt idx="15">
                  <c:v>2.9650165008351152E-2</c:v>
                </c:pt>
                <c:pt idx="16">
                  <c:v>4.4677264139507671E-2</c:v>
                </c:pt>
                <c:pt idx="17">
                  <c:v>5.9349174176225275E-2</c:v>
                </c:pt>
                <c:pt idx="18">
                  <c:v>7.3295284821653678E-2</c:v>
                </c:pt>
                <c:pt idx="19">
                  <c:v>8.6242637393500132E-2</c:v>
                </c:pt>
                <c:pt idx="20">
                  <c:v>9.7985749894386298E-2</c:v>
                </c:pt>
                <c:pt idx="21">
                  <c:v>0.10047296788920618</c:v>
                </c:pt>
                <c:pt idx="22">
                  <c:v>0.10231653624085298</c:v>
                </c:pt>
                <c:pt idx="23">
                  <c:v>0.1034740012007663</c:v>
                </c:pt>
                <c:pt idx="24">
                  <c:v>0.10390267790553188</c:v>
                </c:pt>
                <c:pt idx="25">
                  <c:v>0.10252173608486495</c:v>
                </c:pt>
                <c:pt idx="26">
                  <c:v>0.10243122485818122</c:v>
                </c:pt>
                <c:pt idx="27">
                  <c:v>0.10214784809048344</c:v>
                </c:pt>
                <c:pt idx="28">
                  <c:v>0.10175426278447891</c:v>
                </c:pt>
                <c:pt idx="29">
                  <c:v>0.10047627504400536</c:v>
                </c:pt>
                <c:pt idx="30">
                  <c:v>0.1004867212720757</c:v>
                </c:pt>
                <c:pt idx="31">
                  <c:v>9.8294565883593865E-2</c:v>
                </c:pt>
                <c:pt idx="32">
                  <c:v>9.5645682509165802E-2</c:v>
                </c:pt>
                <c:pt idx="33">
                  <c:v>9.2541848321430836E-2</c:v>
                </c:pt>
                <c:pt idx="34">
                  <c:v>8.8985141331675663E-2</c:v>
                </c:pt>
                <c:pt idx="35">
                  <c:v>8.4977936924667527E-2</c:v>
                </c:pt>
                <c:pt idx="36">
                  <c:v>8.345694526417996E-2</c:v>
                </c:pt>
                <c:pt idx="37">
                  <c:v>8.1890790071313446E-2</c:v>
                </c:pt>
                <c:pt idx="38">
                  <c:v>8.027957669632417E-2</c:v>
                </c:pt>
                <c:pt idx="39">
                  <c:v>7.8623413393181726E-2</c:v>
                </c:pt>
                <c:pt idx="40">
                  <c:v>7.6968595742259546E-2</c:v>
                </c:pt>
                <c:pt idx="41">
                  <c:v>7.5315122104186186E-2</c:v>
                </c:pt>
                <c:pt idx="42">
                  <c:v>7.3662990842252057E-2</c:v>
                </c:pt>
                <c:pt idx="43">
                  <c:v>7.2012200322404005E-2</c:v>
                </c:pt>
                <c:pt idx="44">
                  <c:v>7.0362748913239972E-2</c:v>
                </c:pt>
                <c:pt idx="45">
                  <c:v>6.8714634986003553E-2</c:v>
                </c:pt>
              </c:numCache>
            </c:numRef>
          </c:val>
          <c:extLst>
            <c:ext xmlns:c16="http://schemas.microsoft.com/office/drawing/2014/chart" uri="{C3380CC4-5D6E-409C-BE32-E72D297353CC}">
              <c16:uniqueId val="{00000006-CA58-47E8-97F0-568C28BCD8E6}"/>
            </c:ext>
          </c:extLst>
        </c:ser>
        <c:ser>
          <c:idx val="7"/>
          <c:order val="7"/>
          <c:tx>
            <c:strRef>
              <c:f>NC論文参考値!$A$92</c:f>
              <c:strCache>
                <c:ptCount val="1"/>
                <c:pt idx="0">
                  <c:v>NCM955-Graphite (Si)</c:v>
                </c:pt>
              </c:strCache>
            </c:strRef>
          </c:tx>
          <c:spPr>
            <a:solidFill>
              <a:schemeClr val="accent2">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NC論文参考値!$B$92:$AU$92</c:f>
              <c:numCache>
                <c:formatCode>0%</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4.0089464542067748E-3</c:v>
                </c:pt>
                <c:pt idx="26">
                  <c:v>4.3585468158564037E-3</c:v>
                </c:pt>
                <c:pt idx="27">
                  <c:v>5.453091924789745E-3</c:v>
                </c:pt>
                <c:pt idx="28">
                  <c:v>6.9733184244255677E-3</c:v>
                </c:pt>
                <c:pt idx="29">
                  <c:v>1.1909556641751563E-2</c:v>
                </c:pt>
                <c:pt idx="30">
                  <c:v>1.1869207999433244E-2</c:v>
                </c:pt>
                <c:pt idx="31">
                  <c:v>2.0336426317921617E-2</c:v>
                </c:pt>
                <c:pt idx="32">
                  <c:v>3.0567760259549617E-2</c:v>
                </c:pt>
                <c:pt idx="33">
                  <c:v>4.2556345480299421E-2</c:v>
                </c:pt>
                <c:pt idx="34">
                  <c:v>5.6294155644389679E-2</c:v>
                </c:pt>
                <c:pt idx="35">
                  <c:v>7.1772015808511072E-2</c:v>
                </c:pt>
                <c:pt idx="36">
                  <c:v>7.7646858676683597E-2</c:v>
                </c:pt>
                <c:pt idx="37">
                  <c:v>8.3696146062200119E-2</c:v>
                </c:pt>
                <c:pt idx="38">
                  <c:v>8.9919471048824751E-2</c:v>
                </c:pt>
                <c:pt idx="39">
                  <c:v>9.6316415504704642E-2</c:v>
                </c:pt>
                <c:pt idx="40">
                  <c:v>0.10270816236775436</c:v>
                </c:pt>
                <c:pt idx="41">
                  <c:v>0.10909471797005971</c:v>
                </c:pt>
                <c:pt idx="42">
                  <c:v>0.11547608863342501</c:v>
                </c:pt>
                <c:pt idx="43">
                  <c:v>0.12185228066939408</c:v>
                </c:pt>
                <c:pt idx="44">
                  <c:v>0.12822330037927085</c:v>
                </c:pt>
                <c:pt idx="45">
                  <c:v>0.13458915405414038</c:v>
                </c:pt>
              </c:numCache>
            </c:numRef>
          </c:val>
          <c:extLst>
            <c:ext xmlns:c16="http://schemas.microsoft.com/office/drawing/2014/chart" uri="{C3380CC4-5D6E-409C-BE32-E72D297353CC}">
              <c16:uniqueId val="{00000007-CA58-47E8-97F0-568C28BCD8E6}"/>
            </c:ext>
          </c:extLst>
        </c:ser>
        <c:ser>
          <c:idx val="8"/>
          <c:order val="8"/>
          <c:tx>
            <c:strRef>
              <c:f>NC論文参考値!$A$93</c:f>
              <c:strCache>
                <c:ptCount val="1"/>
                <c:pt idx="0">
                  <c:v>Li-Sulphur</c:v>
                </c:pt>
              </c:strCache>
            </c:strRef>
          </c:tx>
          <c:spPr>
            <a:solidFill>
              <a:schemeClr val="accent3">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NC論文参考値!$B$93:$AU$93</c:f>
              <c:numCache>
                <c:formatCode>0%</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numCache>
            </c:numRef>
          </c:val>
          <c:extLst>
            <c:ext xmlns:c16="http://schemas.microsoft.com/office/drawing/2014/chart" uri="{C3380CC4-5D6E-409C-BE32-E72D297353CC}">
              <c16:uniqueId val="{00000008-CA58-47E8-97F0-568C28BCD8E6}"/>
            </c:ext>
          </c:extLst>
        </c:ser>
        <c:ser>
          <c:idx val="9"/>
          <c:order val="9"/>
          <c:tx>
            <c:strRef>
              <c:f>NC論文参考値!$A$94</c:f>
              <c:strCache>
                <c:ptCount val="1"/>
                <c:pt idx="0">
                  <c:v>Li-Air</c:v>
                </c:pt>
              </c:strCache>
            </c:strRef>
          </c:tx>
          <c:spPr>
            <a:solidFill>
              <a:schemeClr val="accent4">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NC論文参考値!$B$94:$AU$94</c:f>
              <c:numCache>
                <c:formatCode>0%</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numCache>
            </c:numRef>
          </c:val>
          <c:extLst>
            <c:ext xmlns:c16="http://schemas.microsoft.com/office/drawing/2014/chart" uri="{C3380CC4-5D6E-409C-BE32-E72D297353CC}">
              <c16:uniqueId val="{00000009-CA58-47E8-97F0-568C28BCD8E6}"/>
            </c:ext>
          </c:extLst>
        </c:ser>
        <c:dLbls>
          <c:showLegendKey val="0"/>
          <c:showVal val="0"/>
          <c:showCatName val="0"/>
          <c:showSerName val="0"/>
          <c:showPercent val="0"/>
          <c:showBubbleSize val="0"/>
        </c:dLbls>
        <c:axId val="1652289151"/>
        <c:axId val="1652275231"/>
      </c:areaChart>
      <c:catAx>
        <c:axId val="16522891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275231"/>
        <c:crosses val="autoZero"/>
        <c:auto val="1"/>
        <c:lblAlgn val="ctr"/>
        <c:lblOffset val="100"/>
        <c:tickLblSkip val="5"/>
        <c:tickMarkSkip val="1"/>
        <c:noMultiLvlLbl val="0"/>
      </c:catAx>
      <c:valAx>
        <c:axId val="16522752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28915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chart>
  <c:spPr>
    <a:solidFill>
      <a:schemeClr val="bg1"/>
    </a:solidFill>
    <a:ln w="9525" cap="flat" cmpd="sng" algn="ctr">
      <a:noFill/>
      <a:round/>
    </a:ln>
    <a:effectLst/>
  </c:spPr>
  <c:txPr>
    <a:bodyPr/>
    <a:lstStyle/>
    <a:p>
      <a:pPr>
        <a:defRPr sz="1000">
          <a:solidFill>
            <a:schemeClr val="tx1"/>
          </a:solidFill>
          <a:latin typeface="Aptos" panose="020B0004020202020204" pitchFamily="34" charset="0"/>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NC論文参考値!$A$98</c:f>
              <c:strCache>
                <c:ptCount val="1"/>
                <c:pt idx="0">
                  <c:v>LFP</c:v>
                </c:pt>
              </c:strCache>
            </c:strRef>
          </c:tx>
          <c:spPr>
            <a:solidFill>
              <a:schemeClr val="accent1"/>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NC論文参考値!$B$98:$AU$98</c:f>
              <c:numCache>
                <c:formatCode>0%</c:formatCode>
                <c:ptCount val="46"/>
                <c:pt idx="0">
                  <c:v>0.23986381925100869</c:v>
                </c:pt>
                <c:pt idx="1">
                  <c:v>0.23986381925100869</c:v>
                </c:pt>
                <c:pt idx="2">
                  <c:v>0.23986381925100869</c:v>
                </c:pt>
                <c:pt idx="3">
                  <c:v>0.23986381925100869</c:v>
                </c:pt>
                <c:pt idx="4">
                  <c:v>0.23986381925100869</c:v>
                </c:pt>
                <c:pt idx="5">
                  <c:v>0.14124293785310904</c:v>
                </c:pt>
                <c:pt idx="6">
                  <c:v>0.18441678192715721</c:v>
                </c:pt>
                <c:pt idx="7">
                  <c:v>0.23971234518577847</c:v>
                </c:pt>
                <c:pt idx="8">
                  <c:v>0.29488859764088782</c:v>
                </c:pt>
                <c:pt idx="9">
                  <c:v>0.35921205098493197</c:v>
                </c:pt>
                <c:pt idx="10">
                  <c:v>0.27893033901474312</c:v>
                </c:pt>
                <c:pt idx="11">
                  <c:v>0.31301307523565658</c:v>
                </c:pt>
                <c:pt idx="12">
                  <c:v>0.28160896730148871</c:v>
                </c:pt>
                <c:pt idx="13">
                  <c:v>0.22990270578907193</c:v>
                </c:pt>
                <c:pt idx="14">
                  <c:v>0.27588993374298398</c:v>
                </c:pt>
                <c:pt idx="15">
                  <c:v>0.32187716169689612</c:v>
                </c:pt>
                <c:pt idx="16">
                  <c:v>0.2612271491451913</c:v>
                </c:pt>
                <c:pt idx="17">
                  <c:v>0.2005771365934865</c:v>
                </c:pt>
                <c:pt idx="18">
                  <c:v>0.1399271240417817</c:v>
                </c:pt>
                <c:pt idx="19">
                  <c:v>7.9277111490076907E-2</c:v>
                </c:pt>
                <c:pt idx="20">
                  <c:v>1.8627098938372121E-2</c:v>
                </c:pt>
                <c:pt idx="21">
                  <c:v>1.9955496387331146E-2</c:v>
                </c:pt>
                <c:pt idx="22">
                  <c:v>2.1283893836290171E-2</c:v>
                </c:pt>
                <c:pt idx="23">
                  <c:v>2.2612291285249195E-2</c:v>
                </c:pt>
                <c:pt idx="24">
                  <c:v>2.394068873420822E-2</c:v>
                </c:pt>
                <c:pt idx="25">
                  <c:v>2.3657321682647472E-2</c:v>
                </c:pt>
                <c:pt idx="26">
                  <c:v>2.2273287342190445E-2</c:v>
                </c:pt>
                <c:pt idx="27">
                  <c:v>2.0853212374510335E-2</c:v>
                </c:pt>
                <c:pt idx="28">
                  <c:v>1.9419976720247718E-2</c:v>
                </c:pt>
                <c:pt idx="29">
                  <c:v>1.7843771941335157E-2</c:v>
                </c:pt>
                <c:pt idx="30">
                  <c:v>1.6507162966414458E-2</c:v>
                </c:pt>
                <c:pt idx="31">
                  <c:v>1.4845779443344562E-2</c:v>
                </c:pt>
                <c:pt idx="32">
                  <c:v>1.3179617217659284E-2</c:v>
                </c:pt>
                <c:pt idx="33">
                  <c:v>1.1526610243652334E-2</c:v>
                </c:pt>
                <c:pt idx="34">
                  <c:v>9.904692475617408E-3</c:v>
                </c:pt>
                <c:pt idx="35">
                  <c:v>8.3317978678482084E-3</c:v>
                </c:pt>
                <c:pt idx="36">
                  <c:v>8.1857216075293619E-3</c:v>
                </c:pt>
                <c:pt idx="37">
                  <c:v>8.0351939290956003E-3</c:v>
                </c:pt>
                <c:pt idx="38">
                  <c:v>7.8802148325469203E-3</c:v>
                </c:pt>
                <c:pt idx="39">
                  <c:v>7.7207843178833235E-3</c:v>
                </c:pt>
                <c:pt idx="40">
                  <c:v>7.5613538032197258E-3</c:v>
                </c:pt>
                <c:pt idx="41">
                  <c:v>7.401923288556129E-3</c:v>
                </c:pt>
                <c:pt idx="42">
                  <c:v>7.2424927738925322E-3</c:v>
                </c:pt>
                <c:pt idx="43">
                  <c:v>7.0830622592289345E-3</c:v>
                </c:pt>
                <c:pt idx="44">
                  <c:v>6.9236317445653377E-3</c:v>
                </c:pt>
                <c:pt idx="45">
                  <c:v>6.7642012299017401E-3</c:v>
                </c:pt>
              </c:numCache>
            </c:numRef>
          </c:val>
          <c:extLst>
            <c:ext xmlns:c16="http://schemas.microsoft.com/office/drawing/2014/chart" uri="{C3380CC4-5D6E-409C-BE32-E72D297353CC}">
              <c16:uniqueId val="{00000000-8970-4407-9885-876668AFFA09}"/>
            </c:ext>
          </c:extLst>
        </c:ser>
        <c:ser>
          <c:idx val="1"/>
          <c:order val="1"/>
          <c:tx>
            <c:strRef>
              <c:f>NC論文参考値!$A$99</c:f>
              <c:strCache>
                <c:ptCount val="1"/>
                <c:pt idx="0">
                  <c:v>NCA</c:v>
                </c:pt>
              </c:strCache>
            </c:strRef>
          </c:tx>
          <c:spPr>
            <a:solidFill>
              <a:schemeClr val="accent2"/>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NC論文参考値!$B$99:$AU$99</c:f>
              <c:numCache>
                <c:formatCode>0%</c:formatCode>
                <c:ptCount val="46"/>
                <c:pt idx="0">
                  <c:v>0.19189105540080365</c:v>
                </c:pt>
                <c:pt idx="1">
                  <c:v>0.19189105540080365</c:v>
                </c:pt>
                <c:pt idx="2">
                  <c:v>0.19189105540080365</c:v>
                </c:pt>
                <c:pt idx="3">
                  <c:v>0.19189105540080365</c:v>
                </c:pt>
                <c:pt idx="4">
                  <c:v>0.19189105540080365</c:v>
                </c:pt>
                <c:pt idx="5">
                  <c:v>0.11299435028248529</c:v>
                </c:pt>
                <c:pt idx="6">
                  <c:v>0.16136468418625807</c:v>
                </c:pt>
                <c:pt idx="7">
                  <c:v>0.21973631642029548</c:v>
                </c:pt>
                <c:pt idx="8">
                  <c:v>0.22935779816513932</c:v>
                </c:pt>
                <c:pt idx="9">
                  <c:v>0.22016222479722017</c:v>
                </c:pt>
                <c:pt idx="10">
                  <c:v>0.16571792401695173</c:v>
                </c:pt>
                <c:pt idx="11">
                  <c:v>0.16944873967056734</c:v>
                </c:pt>
                <c:pt idx="12">
                  <c:v>0.15178447845441967</c:v>
                </c:pt>
                <c:pt idx="13">
                  <c:v>0.12597627081641158</c:v>
                </c:pt>
                <c:pt idx="14">
                  <c:v>0.25250083694312486</c:v>
                </c:pt>
                <c:pt idx="15">
                  <c:v>0.37902540306983817</c:v>
                </c:pt>
                <c:pt idx="16">
                  <c:v>0.39345742046979038</c:v>
                </c:pt>
                <c:pt idx="17">
                  <c:v>0.40788943786974258</c:v>
                </c:pt>
                <c:pt idx="18">
                  <c:v>0.42232145526969478</c:v>
                </c:pt>
                <c:pt idx="19">
                  <c:v>0.43675347266964698</c:v>
                </c:pt>
                <c:pt idx="20">
                  <c:v>0.45118549006959918</c:v>
                </c:pt>
                <c:pt idx="21">
                  <c:v>0.43881467084295922</c:v>
                </c:pt>
                <c:pt idx="22">
                  <c:v>0.42644385161631926</c:v>
                </c:pt>
                <c:pt idx="23">
                  <c:v>0.4140730323896793</c:v>
                </c:pt>
                <c:pt idx="24">
                  <c:v>0.40170221316303933</c:v>
                </c:pt>
                <c:pt idx="25">
                  <c:v>0.36449826324318974</c:v>
                </c:pt>
                <c:pt idx="26">
                  <c:v>0.3431738665032345</c:v>
                </c:pt>
                <c:pt idx="27">
                  <c:v>0.32129417672524091</c:v>
                </c:pt>
                <c:pt idx="28">
                  <c:v>0.2992117147371568</c:v>
                </c:pt>
                <c:pt idx="29">
                  <c:v>0.27492646756775074</c:v>
                </c:pt>
                <c:pt idx="30">
                  <c:v>0.25433277329714321</c:v>
                </c:pt>
                <c:pt idx="31">
                  <c:v>0.22873514154223445</c:v>
                </c:pt>
                <c:pt idx="32">
                  <c:v>0.20306388231473058</c:v>
                </c:pt>
                <c:pt idx="33">
                  <c:v>0.17759531155947225</c:v>
                </c:pt>
                <c:pt idx="34">
                  <c:v>0.15260574522129994</c:v>
                </c:pt>
                <c:pt idx="35">
                  <c:v>0.12837149924505417</c:v>
                </c:pt>
                <c:pt idx="36">
                  <c:v>0.12612084112316144</c:v>
                </c:pt>
                <c:pt idx="37">
                  <c:v>0.12380159813804446</c:v>
                </c:pt>
                <c:pt idx="38">
                  <c:v>0.12141377028970322</c:v>
                </c:pt>
                <c:pt idx="39">
                  <c:v>0.11895735757813776</c:v>
                </c:pt>
                <c:pt idx="40">
                  <c:v>0.11650094486657227</c:v>
                </c:pt>
                <c:pt idx="41">
                  <c:v>0.11404453215500678</c:v>
                </c:pt>
                <c:pt idx="42">
                  <c:v>0.11158811944344128</c:v>
                </c:pt>
                <c:pt idx="43">
                  <c:v>0.10913170673187582</c:v>
                </c:pt>
                <c:pt idx="44">
                  <c:v>0.10667529402031033</c:v>
                </c:pt>
                <c:pt idx="45">
                  <c:v>0.10421888130874483</c:v>
                </c:pt>
              </c:numCache>
            </c:numRef>
          </c:val>
          <c:extLst>
            <c:ext xmlns:c16="http://schemas.microsoft.com/office/drawing/2014/chart" uri="{C3380CC4-5D6E-409C-BE32-E72D297353CC}">
              <c16:uniqueId val="{00000001-8970-4407-9885-876668AFFA09}"/>
            </c:ext>
          </c:extLst>
        </c:ser>
        <c:ser>
          <c:idx val="2"/>
          <c:order val="2"/>
          <c:tx>
            <c:strRef>
              <c:f>NC論文参考値!$A$100</c:f>
              <c:strCache>
                <c:ptCount val="1"/>
                <c:pt idx="0">
                  <c:v>NCM111</c:v>
                </c:pt>
              </c:strCache>
            </c:strRef>
          </c:tx>
          <c:spPr>
            <a:solidFill>
              <a:schemeClr val="accent3"/>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NC論文参考値!$B$100:$AU$100</c:f>
              <c:numCache>
                <c:formatCode>0%</c:formatCode>
                <c:ptCount val="46"/>
                <c:pt idx="0">
                  <c:v>0.5682451253481875</c:v>
                </c:pt>
                <c:pt idx="1">
                  <c:v>0.5682451253481875</c:v>
                </c:pt>
                <c:pt idx="2">
                  <c:v>0.5682451253481875</c:v>
                </c:pt>
                <c:pt idx="3">
                  <c:v>0.5682451253481875</c:v>
                </c:pt>
                <c:pt idx="4">
                  <c:v>0.5682451253481875</c:v>
                </c:pt>
                <c:pt idx="5">
                  <c:v>0.33460907599781198</c:v>
                </c:pt>
                <c:pt idx="6">
                  <c:v>0.30274394324722287</c:v>
                </c:pt>
                <c:pt idx="7">
                  <c:v>0.25775263232508011</c:v>
                </c:pt>
                <c:pt idx="8">
                  <c:v>0.23355176933158647</c:v>
                </c:pt>
                <c:pt idx="9">
                  <c:v>0.21240982319739979</c:v>
                </c:pt>
                <c:pt idx="10">
                  <c:v>0.28826175203340143</c:v>
                </c:pt>
                <c:pt idx="11">
                  <c:v>0.22715019072053286</c:v>
                </c:pt>
                <c:pt idx="12">
                  <c:v>0.20326940900056809</c:v>
                </c:pt>
                <c:pt idx="13">
                  <c:v>0.17944720593102306</c:v>
                </c:pt>
                <c:pt idx="14">
                  <c:v>9.8194297012569418E-2</c:v>
                </c:pt>
                <c:pt idx="15">
                  <c:v>4.1224573184643558E-2</c:v>
                </c:pt>
                <c:pt idx="16">
                  <c:v>4.3139112417600406E-2</c:v>
                </c:pt>
                <c:pt idx="17">
                  <c:v>4.386092919502823E-2</c:v>
                </c:pt>
                <c:pt idx="18">
                  <c:v>4.3390023516926869E-2</c:v>
                </c:pt>
                <c:pt idx="19">
                  <c:v>4.1726395383296463E-2</c:v>
                </c:pt>
                <c:pt idx="20">
                  <c:v>3.8870044794137026E-2</c:v>
                </c:pt>
                <c:pt idx="21">
                  <c:v>3.5235490579142367E-2</c:v>
                </c:pt>
                <c:pt idx="22">
                  <c:v>3.1419594540232777E-2</c:v>
                </c:pt>
                <c:pt idx="23">
                  <c:v>2.7422356677408128E-2</c:v>
                </c:pt>
                <c:pt idx="24">
                  <c:v>2.3243776990668548E-2</c:v>
                </c:pt>
                <c:pt idx="25">
                  <c:v>1.767936681449557E-2</c:v>
                </c:pt>
                <c:pt idx="26">
                  <c:v>1.6645063307233122E-2</c:v>
                </c:pt>
                <c:pt idx="27">
                  <c:v>1.5583826257896524E-2</c:v>
                </c:pt>
                <c:pt idx="28">
                  <c:v>1.4512754088221957E-2</c:v>
                </c:pt>
                <c:pt idx="29">
                  <c:v>1.3334839578922461E-2</c:v>
                </c:pt>
                <c:pt idx="30">
                  <c:v>1.2335977549138981E-2</c:v>
                </c:pt>
                <c:pt idx="31">
                  <c:v>1.1094408063043857E-2</c:v>
                </c:pt>
                <c:pt idx="32">
                  <c:v>9.8492674019202142E-3</c:v>
                </c:pt>
                <c:pt idx="33">
                  <c:v>8.6139577995731336E-3</c:v>
                </c:pt>
                <c:pt idx="34">
                  <c:v>7.4018814898076874E-3</c:v>
                </c:pt>
                <c:pt idx="35">
                  <c:v>6.2264407064289559E-3</c:v>
                </c:pt>
                <c:pt idx="36">
                  <c:v>6.1172763714416652E-3</c:v>
                </c:pt>
                <c:pt idx="37">
                  <c:v>6.0047854445960903E-3</c:v>
                </c:pt>
                <c:pt idx="38">
                  <c:v>5.8889679258922311E-3</c:v>
                </c:pt>
                <c:pt idx="39">
                  <c:v>5.7698238153300876E-3</c:v>
                </c:pt>
                <c:pt idx="40">
                  <c:v>5.6506797047679433E-3</c:v>
                </c:pt>
                <c:pt idx="41">
                  <c:v>5.5315355942057998E-3</c:v>
                </c:pt>
                <c:pt idx="42">
                  <c:v>5.4123914836436563E-3</c:v>
                </c:pt>
                <c:pt idx="43">
                  <c:v>5.2932473730815128E-3</c:v>
                </c:pt>
                <c:pt idx="44">
                  <c:v>5.1741032625193693E-3</c:v>
                </c:pt>
                <c:pt idx="45">
                  <c:v>5.0549591519572258E-3</c:v>
                </c:pt>
              </c:numCache>
            </c:numRef>
          </c:val>
          <c:extLst>
            <c:ext xmlns:c16="http://schemas.microsoft.com/office/drawing/2014/chart" uri="{C3380CC4-5D6E-409C-BE32-E72D297353CC}">
              <c16:uniqueId val="{00000002-8970-4407-9885-876668AFFA09}"/>
            </c:ext>
          </c:extLst>
        </c:ser>
        <c:ser>
          <c:idx val="3"/>
          <c:order val="3"/>
          <c:tx>
            <c:strRef>
              <c:f>NC論文参考値!$A$101</c:f>
              <c:strCache>
                <c:ptCount val="1"/>
                <c:pt idx="0">
                  <c:v>NCM523</c:v>
                </c:pt>
              </c:strCache>
            </c:strRef>
          </c:tx>
          <c:spPr>
            <a:solidFill>
              <a:schemeClr val="accent4"/>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NC論文参考値!$B$101:$AU$101</c:f>
              <c:numCache>
                <c:formatCode>0%</c:formatCode>
                <c:ptCount val="46"/>
                <c:pt idx="0">
                  <c:v>0</c:v>
                </c:pt>
                <c:pt idx="1">
                  <c:v>0</c:v>
                </c:pt>
                <c:pt idx="2">
                  <c:v>0</c:v>
                </c:pt>
                <c:pt idx="3">
                  <c:v>0</c:v>
                </c:pt>
                <c:pt idx="4">
                  <c:v>0</c:v>
                </c:pt>
                <c:pt idx="5">
                  <c:v>0.41115363586659348</c:v>
                </c:pt>
                <c:pt idx="6">
                  <c:v>0.35147459063936187</c:v>
                </c:pt>
                <c:pt idx="7">
                  <c:v>0.28279870606884605</c:v>
                </c:pt>
                <c:pt idx="8">
                  <c:v>0.24220183486238639</c:v>
                </c:pt>
                <c:pt idx="9">
                  <c:v>0.2082159010204481</c:v>
                </c:pt>
                <c:pt idx="10">
                  <c:v>0.21497486592321519</c:v>
                </c:pt>
                <c:pt idx="11">
                  <c:v>0.2129849227023265</c:v>
                </c:pt>
                <c:pt idx="12">
                  <c:v>0.24702494935763938</c:v>
                </c:pt>
                <c:pt idx="13">
                  <c:v>0.29656011927548137</c:v>
                </c:pt>
                <c:pt idx="14">
                  <c:v>0.19293104835568267</c:v>
                </c:pt>
                <c:pt idx="15">
                  <c:v>0.10700846656439408</c:v>
                </c:pt>
                <c:pt idx="16">
                  <c:v>0.10653132925660957</c:v>
                </c:pt>
                <c:pt idx="17">
                  <c:v>0.10150016075498669</c:v>
                </c:pt>
                <c:pt idx="18">
                  <c:v>9.1914961059525416E-2</c:v>
                </c:pt>
                <c:pt idx="19">
                  <c:v>7.7775730170225751E-2</c:v>
                </c:pt>
                <c:pt idx="20">
                  <c:v>5.9082468087087718E-2</c:v>
                </c:pt>
                <c:pt idx="21">
                  <c:v>5.49165754071314E-2</c:v>
                </c:pt>
                <c:pt idx="22">
                  <c:v>5.0530481940992591E-2</c:v>
                </c:pt>
                <c:pt idx="23">
                  <c:v>4.5924187688671292E-2</c:v>
                </c:pt>
                <c:pt idx="24">
                  <c:v>4.1097692650167501E-2</c:v>
                </c:pt>
                <c:pt idx="25">
                  <c:v>3.3751518464036998E-2</c:v>
                </c:pt>
                <c:pt idx="26">
                  <c:v>3.177693904108142E-2</c:v>
                </c:pt>
                <c:pt idx="27">
                  <c:v>2.9750941037802455E-2</c:v>
                </c:pt>
                <c:pt idx="28">
                  <c:v>2.7706166895696466E-2</c:v>
                </c:pt>
                <c:pt idx="29">
                  <c:v>2.5457421014306515E-2</c:v>
                </c:pt>
                <c:pt idx="30">
                  <c:v>2.3550502593810783E-2</c:v>
                </c:pt>
                <c:pt idx="31">
                  <c:v>2.118023357490191E-2</c:v>
                </c:pt>
                <c:pt idx="32">
                  <c:v>1.8803146858211321E-2</c:v>
                </c:pt>
                <c:pt idx="33">
                  <c:v>1.6444828526457799E-2</c:v>
                </c:pt>
                <c:pt idx="34">
                  <c:v>1.413086466236013E-2</c:v>
                </c:pt>
                <c:pt idx="35">
                  <c:v>1.1886841348637099E-2</c:v>
                </c:pt>
                <c:pt idx="36">
                  <c:v>1.1678436709115905E-2</c:v>
                </c:pt>
                <c:pt idx="37">
                  <c:v>1.146368130331981E-2</c:v>
                </c:pt>
                <c:pt idx="38">
                  <c:v>1.1242575131248806E-2</c:v>
                </c:pt>
                <c:pt idx="39">
                  <c:v>1.1015118192902894E-2</c:v>
                </c:pt>
                <c:pt idx="40">
                  <c:v>1.0787661254556984E-2</c:v>
                </c:pt>
                <c:pt idx="41">
                  <c:v>1.0560204316211073E-2</c:v>
                </c:pt>
                <c:pt idx="42">
                  <c:v>1.0332747377865163E-2</c:v>
                </c:pt>
                <c:pt idx="43">
                  <c:v>1.0105290439519252E-2</c:v>
                </c:pt>
                <c:pt idx="44">
                  <c:v>9.8778335011733415E-3</c:v>
                </c:pt>
                <c:pt idx="45">
                  <c:v>9.6503765628274309E-3</c:v>
                </c:pt>
              </c:numCache>
            </c:numRef>
          </c:val>
          <c:extLst>
            <c:ext xmlns:c16="http://schemas.microsoft.com/office/drawing/2014/chart" uri="{C3380CC4-5D6E-409C-BE32-E72D297353CC}">
              <c16:uniqueId val="{00000003-8970-4407-9885-876668AFFA09}"/>
            </c:ext>
          </c:extLst>
        </c:ser>
        <c:ser>
          <c:idx val="4"/>
          <c:order val="4"/>
          <c:tx>
            <c:strRef>
              <c:f>NC論文参考値!$A$102</c:f>
              <c:strCache>
                <c:ptCount val="1"/>
                <c:pt idx="0">
                  <c:v>NCM622</c:v>
                </c:pt>
              </c:strCache>
            </c:strRef>
          </c:tx>
          <c:spPr>
            <a:solidFill>
              <a:schemeClr val="accent5"/>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NC論文参考値!$B$102:$AU$102</c:f>
              <c:numCache>
                <c:formatCode>0%</c:formatCode>
                <c:ptCount val="46"/>
                <c:pt idx="0">
                  <c:v>0</c:v>
                </c:pt>
                <c:pt idx="1">
                  <c:v>0</c:v>
                </c:pt>
                <c:pt idx="2">
                  <c:v>0</c:v>
                </c:pt>
                <c:pt idx="3">
                  <c:v>0</c:v>
                </c:pt>
                <c:pt idx="4">
                  <c:v>0</c:v>
                </c:pt>
                <c:pt idx="5">
                  <c:v>0</c:v>
                </c:pt>
                <c:pt idx="6">
                  <c:v>0</c:v>
                </c:pt>
                <c:pt idx="7">
                  <c:v>0</c:v>
                </c:pt>
                <c:pt idx="8">
                  <c:v>0</c:v>
                </c:pt>
                <c:pt idx="9">
                  <c:v>0</c:v>
                </c:pt>
                <c:pt idx="10">
                  <c:v>2.1171767098498322E-2</c:v>
                </c:pt>
                <c:pt idx="11">
                  <c:v>3.3389560328630691E-2</c:v>
                </c:pt>
                <c:pt idx="12">
                  <c:v>5.1509686749462928E-2</c:v>
                </c:pt>
                <c:pt idx="13">
                  <c:v>7.5556718286746954E-2</c:v>
                </c:pt>
                <c:pt idx="14">
                  <c:v>7.5720250161101343E-2</c:v>
                </c:pt>
                <c:pt idx="15">
                  <c:v>6.0959741198568833E-2</c:v>
                </c:pt>
                <c:pt idx="16">
                  <c:v>7.3012441439178385E-2</c:v>
                </c:pt>
                <c:pt idx="17">
                  <c:v>8.5769932221691506E-2</c:v>
                </c:pt>
                <c:pt idx="18">
                  <c:v>9.9232213546108186E-2</c:v>
                </c:pt>
                <c:pt idx="19">
                  <c:v>0.11339928541242844</c:v>
                </c:pt>
                <c:pt idx="20">
                  <c:v>0.12827114782065224</c:v>
                </c:pt>
                <c:pt idx="21">
                  <c:v>0.13046654619844625</c:v>
                </c:pt>
                <c:pt idx="22">
                  <c:v>0.13264251509510652</c:v>
                </c:pt>
                <c:pt idx="23">
                  <c:v>0.13479905451063304</c:v>
                </c:pt>
                <c:pt idx="24">
                  <c:v>0.13693616444502579</c:v>
                </c:pt>
                <c:pt idx="25">
                  <c:v>0.13018442836128566</c:v>
                </c:pt>
                <c:pt idx="26">
                  <c:v>0.12256819344417129</c:v>
                </c:pt>
                <c:pt idx="27">
                  <c:v>0.11475362971723814</c:v>
                </c:pt>
                <c:pt idx="28">
                  <c:v>0.1068666437405436</c:v>
                </c:pt>
                <c:pt idx="29">
                  <c:v>9.8192909626610925E-2</c:v>
                </c:pt>
                <c:pt idx="30">
                  <c:v>9.0837652861841658E-2</c:v>
                </c:pt>
                <c:pt idx="31">
                  <c:v>8.16951866460503E-2</c:v>
                </c:pt>
                <c:pt idx="32">
                  <c:v>7.2526423595957998E-2</c:v>
                </c:pt>
                <c:pt idx="33">
                  <c:v>6.3430052887765848E-2</c:v>
                </c:pt>
                <c:pt idx="34">
                  <c:v>5.4504763697674839E-2</c:v>
                </c:pt>
                <c:pt idx="35">
                  <c:v>4.5849245201885984E-2</c:v>
                </c:pt>
                <c:pt idx="36">
                  <c:v>4.5045398735161384E-2</c:v>
                </c:pt>
                <c:pt idx="37">
                  <c:v>4.4217056455662158E-2</c:v>
                </c:pt>
                <c:pt idx="38">
                  <c:v>4.3364218363388281E-2</c:v>
                </c:pt>
                <c:pt idx="39">
                  <c:v>4.2486884458339771E-2</c:v>
                </c:pt>
                <c:pt idx="40">
                  <c:v>4.1609550553291255E-2</c:v>
                </c:pt>
                <c:pt idx="41">
                  <c:v>4.0732216648242746E-2</c:v>
                </c:pt>
                <c:pt idx="42">
                  <c:v>3.9854882743194237E-2</c:v>
                </c:pt>
                <c:pt idx="43">
                  <c:v>3.897754883814572E-2</c:v>
                </c:pt>
                <c:pt idx="44">
                  <c:v>3.8100214933097204E-2</c:v>
                </c:pt>
                <c:pt idx="45">
                  <c:v>3.7222881028048688E-2</c:v>
                </c:pt>
              </c:numCache>
            </c:numRef>
          </c:val>
          <c:extLst>
            <c:ext xmlns:c16="http://schemas.microsoft.com/office/drawing/2014/chart" uri="{C3380CC4-5D6E-409C-BE32-E72D297353CC}">
              <c16:uniqueId val="{00000004-8970-4407-9885-876668AFFA09}"/>
            </c:ext>
          </c:extLst>
        </c:ser>
        <c:ser>
          <c:idx val="5"/>
          <c:order val="5"/>
          <c:tx>
            <c:strRef>
              <c:f>NC論文参考値!$A$103</c:f>
              <c:strCache>
                <c:ptCount val="1"/>
                <c:pt idx="0">
                  <c:v>NCM622-Graphite (Si)</c:v>
                </c:pt>
              </c:strCache>
            </c:strRef>
          </c:tx>
          <c:spPr>
            <a:solidFill>
              <a:schemeClr val="accent6"/>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NC論文参考値!$B$103:$AU$103</c:f>
              <c:numCache>
                <c:formatCode>0%</c:formatCode>
                <c:ptCount val="46"/>
                <c:pt idx="0">
                  <c:v>0</c:v>
                </c:pt>
                <c:pt idx="1">
                  <c:v>0</c:v>
                </c:pt>
                <c:pt idx="2">
                  <c:v>0</c:v>
                </c:pt>
                <c:pt idx="3">
                  <c:v>0</c:v>
                </c:pt>
                <c:pt idx="4">
                  <c:v>0</c:v>
                </c:pt>
                <c:pt idx="5">
                  <c:v>0</c:v>
                </c:pt>
                <c:pt idx="6">
                  <c:v>0</c:v>
                </c:pt>
                <c:pt idx="7">
                  <c:v>0</c:v>
                </c:pt>
                <c:pt idx="8">
                  <c:v>0</c:v>
                </c:pt>
                <c:pt idx="9">
                  <c:v>0</c:v>
                </c:pt>
                <c:pt idx="10">
                  <c:v>2.1171767098498322E-2</c:v>
                </c:pt>
                <c:pt idx="11">
                  <c:v>3.3389560328630691E-2</c:v>
                </c:pt>
                <c:pt idx="12">
                  <c:v>5.1509686749462928E-2</c:v>
                </c:pt>
                <c:pt idx="13">
                  <c:v>7.5556718286746954E-2</c:v>
                </c:pt>
                <c:pt idx="14">
                  <c:v>7.5720250161101343E-2</c:v>
                </c:pt>
                <c:pt idx="15">
                  <c:v>6.0959741198568833E-2</c:v>
                </c:pt>
                <c:pt idx="16">
                  <c:v>7.3012441439178385E-2</c:v>
                </c:pt>
                <c:pt idx="17">
                  <c:v>8.5769932221691506E-2</c:v>
                </c:pt>
                <c:pt idx="18">
                  <c:v>9.9232213546108186E-2</c:v>
                </c:pt>
                <c:pt idx="19">
                  <c:v>0.11339928541242844</c:v>
                </c:pt>
                <c:pt idx="20">
                  <c:v>0.12827114782065224</c:v>
                </c:pt>
                <c:pt idx="21">
                  <c:v>0.13046654619844625</c:v>
                </c:pt>
                <c:pt idx="22">
                  <c:v>0.13264251509510652</c:v>
                </c:pt>
                <c:pt idx="23">
                  <c:v>0.13479905451063304</c:v>
                </c:pt>
                <c:pt idx="24">
                  <c:v>0.13693616444502579</c:v>
                </c:pt>
                <c:pt idx="25">
                  <c:v>0.13018442836128566</c:v>
                </c:pt>
                <c:pt idx="26">
                  <c:v>0.12256819344417129</c:v>
                </c:pt>
                <c:pt idx="27">
                  <c:v>0.11475362971723814</c:v>
                </c:pt>
                <c:pt idx="28">
                  <c:v>0.1068666437405436</c:v>
                </c:pt>
                <c:pt idx="29">
                  <c:v>9.8192909626610925E-2</c:v>
                </c:pt>
                <c:pt idx="30">
                  <c:v>9.0837652861841658E-2</c:v>
                </c:pt>
                <c:pt idx="31">
                  <c:v>8.16951866460503E-2</c:v>
                </c:pt>
                <c:pt idx="32">
                  <c:v>7.2526423595957998E-2</c:v>
                </c:pt>
                <c:pt idx="33">
                  <c:v>6.3430052887765848E-2</c:v>
                </c:pt>
                <c:pt idx="34">
                  <c:v>5.4504763697674839E-2</c:v>
                </c:pt>
                <c:pt idx="35">
                  <c:v>4.5849245201885984E-2</c:v>
                </c:pt>
                <c:pt idx="36">
                  <c:v>4.5045398735161384E-2</c:v>
                </c:pt>
                <c:pt idx="37">
                  <c:v>4.4217056455662158E-2</c:v>
                </c:pt>
                <c:pt idx="38">
                  <c:v>4.3364218363388281E-2</c:v>
                </c:pt>
                <c:pt idx="39">
                  <c:v>4.2486884458339771E-2</c:v>
                </c:pt>
                <c:pt idx="40">
                  <c:v>4.1609550553291255E-2</c:v>
                </c:pt>
                <c:pt idx="41">
                  <c:v>4.0732216648242746E-2</c:v>
                </c:pt>
                <c:pt idx="42">
                  <c:v>3.9854882743194237E-2</c:v>
                </c:pt>
                <c:pt idx="43">
                  <c:v>3.897754883814572E-2</c:v>
                </c:pt>
                <c:pt idx="44">
                  <c:v>3.8100214933097204E-2</c:v>
                </c:pt>
                <c:pt idx="45">
                  <c:v>3.7222881028048688E-2</c:v>
                </c:pt>
              </c:numCache>
            </c:numRef>
          </c:val>
          <c:extLst>
            <c:ext xmlns:c16="http://schemas.microsoft.com/office/drawing/2014/chart" uri="{C3380CC4-5D6E-409C-BE32-E72D297353CC}">
              <c16:uniqueId val="{00000005-8970-4407-9885-876668AFFA09}"/>
            </c:ext>
          </c:extLst>
        </c:ser>
        <c:ser>
          <c:idx val="6"/>
          <c:order val="6"/>
          <c:tx>
            <c:strRef>
              <c:f>NC論文参考値!$A$104</c:f>
              <c:strCache>
                <c:ptCount val="1"/>
                <c:pt idx="0">
                  <c:v>NCM811-Graphite (Si)</c:v>
                </c:pt>
              </c:strCache>
            </c:strRef>
          </c:tx>
          <c:spPr>
            <a:solidFill>
              <a:schemeClr val="accent1">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NC論文参考値!$B$104:$AU$104</c:f>
              <c:numCache>
                <c:formatCode>0%</c:formatCode>
                <c:ptCount val="46"/>
                <c:pt idx="0">
                  <c:v>0</c:v>
                </c:pt>
                <c:pt idx="1">
                  <c:v>0</c:v>
                </c:pt>
                <c:pt idx="2">
                  <c:v>0</c:v>
                </c:pt>
                <c:pt idx="3">
                  <c:v>0</c:v>
                </c:pt>
                <c:pt idx="4">
                  <c:v>0</c:v>
                </c:pt>
                <c:pt idx="5">
                  <c:v>0</c:v>
                </c:pt>
                <c:pt idx="6">
                  <c:v>0</c:v>
                </c:pt>
                <c:pt idx="7">
                  <c:v>0</c:v>
                </c:pt>
                <c:pt idx="8">
                  <c:v>0</c:v>
                </c:pt>
                <c:pt idx="9">
                  <c:v>0</c:v>
                </c:pt>
                <c:pt idx="10">
                  <c:v>9.7715848146918225E-3</c:v>
                </c:pt>
                <c:pt idx="11">
                  <c:v>1.0623951013655411E-2</c:v>
                </c:pt>
                <c:pt idx="12">
                  <c:v>1.3292822386958317E-2</c:v>
                </c:pt>
                <c:pt idx="13">
                  <c:v>1.7000261614518158E-2</c:v>
                </c:pt>
                <c:pt idx="14">
                  <c:v>2.9043383623436374E-2</c:v>
                </c:pt>
                <c:pt idx="15">
                  <c:v>2.8944913087090515E-2</c:v>
                </c:pt>
                <c:pt idx="16">
                  <c:v>4.9620105832451605E-2</c:v>
                </c:pt>
                <c:pt idx="17">
                  <c:v>7.4632471143373041E-2</c:v>
                </c:pt>
                <c:pt idx="18">
                  <c:v>0.10398200901985483</c:v>
                </c:pt>
                <c:pt idx="19">
                  <c:v>0.13766871946189696</c:v>
                </c:pt>
                <c:pt idx="20">
                  <c:v>0.17569260246949941</c:v>
                </c:pt>
                <c:pt idx="21">
                  <c:v>0.19014467438654331</c:v>
                </c:pt>
                <c:pt idx="22">
                  <c:v>0.2050371478759522</c:v>
                </c:pt>
                <c:pt idx="23">
                  <c:v>0.22037002293772609</c:v>
                </c:pt>
                <c:pt idx="24">
                  <c:v>0.23614329957186497</c:v>
                </c:pt>
                <c:pt idx="25">
                  <c:v>0.2362606292482593</c:v>
                </c:pt>
                <c:pt idx="26">
                  <c:v>0.22243857328757025</c:v>
                </c:pt>
                <c:pt idx="27">
                  <c:v>0.20825658726461746</c:v>
                </c:pt>
                <c:pt idx="28">
                  <c:v>0.19394316826987551</c:v>
                </c:pt>
                <c:pt idx="29">
                  <c:v>0.17820194710014586</c:v>
                </c:pt>
                <c:pt idx="30">
                  <c:v>0.1648535181566757</c:v>
                </c:pt>
                <c:pt idx="31">
                  <c:v>0.14826163502431358</c:v>
                </c:pt>
                <c:pt idx="32">
                  <c:v>0.13162202800747941</c:v>
                </c:pt>
                <c:pt idx="33">
                  <c:v>0.11511379968520476</c:v>
                </c:pt>
                <c:pt idx="34">
                  <c:v>9.8916052636521049E-2</c:v>
                </c:pt>
                <c:pt idx="35">
                  <c:v>8.3207889440459801E-2</c:v>
                </c:pt>
                <c:pt idx="36">
                  <c:v>8.1749056963811462E-2</c:v>
                </c:pt>
                <c:pt idx="37">
                  <c:v>8.0245769123238775E-2</c:v>
                </c:pt>
                <c:pt idx="38">
                  <c:v>7.8698025918741754E-2</c:v>
                </c:pt>
                <c:pt idx="39">
                  <c:v>7.7105827350320372E-2</c:v>
                </c:pt>
                <c:pt idx="40">
                  <c:v>7.5513628781898989E-2</c:v>
                </c:pt>
                <c:pt idx="41">
                  <c:v>7.3921430213477621E-2</c:v>
                </c:pt>
                <c:pt idx="42">
                  <c:v>7.2329231645056238E-2</c:v>
                </c:pt>
                <c:pt idx="43">
                  <c:v>7.073703307663487E-2</c:v>
                </c:pt>
                <c:pt idx="44">
                  <c:v>6.9144834508213487E-2</c:v>
                </c:pt>
                <c:pt idx="45">
                  <c:v>6.7552635939792105E-2</c:v>
                </c:pt>
              </c:numCache>
            </c:numRef>
          </c:val>
          <c:extLst>
            <c:ext xmlns:c16="http://schemas.microsoft.com/office/drawing/2014/chart" uri="{C3380CC4-5D6E-409C-BE32-E72D297353CC}">
              <c16:uniqueId val="{00000006-8970-4407-9885-876668AFFA09}"/>
            </c:ext>
          </c:extLst>
        </c:ser>
        <c:ser>
          <c:idx val="7"/>
          <c:order val="7"/>
          <c:tx>
            <c:strRef>
              <c:f>NC論文参考値!$A$105</c:f>
              <c:strCache>
                <c:ptCount val="1"/>
                <c:pt idx="0">
                  <c:v>NCM955-Graphite (Si)</c:v>
                </c:pt>
              </c:strCache>
            </c:strRef>
          </c:tx>
          <c:spPr>
            <a:solidFill>
              <a:schemeClr val="accent2">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NC論文参考値!$B$105:$AU$105</c:f>
              <c:numCache>
                <c:formatCode>0%</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9.238589279344997E-3</c:v>
                </c:pt>
                <c:pt idx="26">
                  <c:v>9.4649745394384567E-3</c:v>
                </c:pt>
                <c:pt idx="27">
                  <c:v>1.1117633269092412E-2</c:v>
                </c:pt>
                <c:pt idx="28">
                  <c:v>1.3291113625896012E-2</c:v>
                </c:pt>
                <c:pt idx="29">
                  <c:v>2.1122460817044636E-2</c:v>
                </c:pt>
                <c:pt idx="30">
                  <c:v>1.9472032440406351E-2</c:v>
                </c:pt>
                <c:pt idx="31">
                  <c:v>3.0674247241879175E-2</c:v>
                </c:pt>
                <c:pt idx="32">
                  <c:v>4.2065574644446616E-2</c:v>
                </c:pt>
                <c:pt idx="33">
                  <c:v>5.2936295501017E-2</c:v>
                </c:pt>
                <c:pt idx="34">
                  <c:v>6.2576690664498613E-2</c:v>
                </c:pt>
                <c:pt idx="35">
                  <c:v>7.0277040987799758E-2</c:v>
                </c:pt>
                <c:pt idx="36">
                  <c:v>7.6057869754617313E-2</c:v>
                </c:pt>
                <c:pt idx="37">
                  <c:v>8.201485915038087E-2</c:v>
                </c:pt>
                <c:pt idx="38">
                  <c:v>8.8148009175090428E-2</c:v>
                </c:pt>
                <c:pt idx="39">
                  <c:v>9.4457319828745986E-2</c:v>
                </c:pt>
                <c:pt idx="40">
                  <c:v>0.10076663048240152</c:v>
                </c:pt>
                <c:pt idx="41">
                  <c:v>0.10707594113605706</c:v>
                </c:pt>
                <c:pt idx="42">
                  <c:v>0.11338525178971261</c:v>
                </c:pt>
                <c:pt idx="43">
                  <c:v>0.11969456244336815</c:v>
                </c:pt>
                <c:pt idx="44">
                  <c:v>0.12600387309702368</c:v>
                </c:pt>
                <c:pt idx="45">
                  <c:v>0.13231318375067924</c:v>
                </c:pt>
              </c:numCache>
            </c:numRef>
          </c:val>
          <c:extLst>
            <c:ext xmlns:c16="http://schemas.microsoft.com/office/drawing/2014/chart" uri="{C3380CC4-5D6E-409C-BE32-E72D297353CC}">
              <c16:uniqueId val="{00000007-8970-4407-9885-876668AFFA09}"/>
            </c:ext>
          </c:extLst>
        </c:ser>
        <c:ser>
          <c:idx val="8"/>
          <c:order val="8"/>
          <c:tx>
            <c:strRef>
              <c:f>NC論文参考値!$A$106</c:f>
              <c:strCache>
                <c:ptCount val="1"/>
                <c:pt idx="0">
                  <c:v>Li-Sulphur</c:v>
                </c:pt>
              </c:strCache>
            </c:strRef>
          </c:tx>
          <c:spPr>
            <a:solidFill>
              <a:schemeClr val="accent3">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NC論文参考値!$B$106:$AU$106</c:f>
              <c:numCache>
                <c:formatCode>0%</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2.7272727272727271E-2</c:v>
                </c:pt>
                <c:pt idx="26">
                  <c:v>5.4545454545454543E-2</c:v>
                </c:pt>
                <c:pt idx="27">
                  <c:v>8.1818181818181818E-2</c:v>
                </c:pt>
                <c:pt idx="28">
                  <c:v>0.10909090909090909</c:v>
                </c:pt>
                <c:pt idx="29">
                  <c:v>0.13636363636363635</c:v>
                </c:pt>
                <c:pt idx="30">
                  <c:v>0.16363636363636364</c:v>
                </c:pt>
                <c:pt idx="31">
                  <c:v>0.19090909090909092</c:v>
                </c:pt>
                <c:pt idx="32">
                  <c:v>0.2181818181818182</c:v>
                </c:pt>
                <c:pt idx="33">
                  <c:v>0.24545454545454548</c:v>
                </c:pt>
                <c:pt idx="34">
                  <c:v>0.27272727272727276</c:v>
                </c:pt>
                <c:pt idx="35">
                  <c:v>0.3</c:v>
                </c:pt>
                <c:pt idx="36">
                  <c:v>0.3</c:v>
                </c:pt>
                <c:pt idx="37">
                  <c:v>0.3</c:v>
                </c:pt>
                <c:pt idx="38">
                  <c:v>0.3</c:v>
                </c:pt>
                <c:pt idx="39">
                  <c:v>0.3</c:v>
                </c:pt>
                <c:pt idx="40">
                  <c:v>0.3</c:v>
                </c:pt>
                <c:pt idx="41">
                  <c:v>0.3</c:v>
                </c:pt>
                <c:pt idx="42">
                  <c:v>0.3</c:v>
                </c:pt>
                <c:pt idx="43">
                  <c:v>0.3</c:v>
                </c:pt>
                <c:pt idx="44">
                  <c:v>0.3</c:v>
                </c:pt>
                <c:pt idx="45">
                  <c:v>0.3</c:v>
                </c:pt>
              </c:numCache>
            </c:numRef>
          </c:val>
          <c:extLst>
            <c:ext xmlns:c16="http://schemas.microsoft.com/office/drawing/2014/chart" uri="{C3380CC4-5D6E-409C-BE32-E72D297353CC}">
              <c16:uniqueId val="{00000008-8970-4407-9885-876668AFFA09}"/>
            </c:ext>
          </c:extLst>
        </c:ser>
        <c:ser>
          <c:idx val="9"/>
          <c:order val="9"/>
          <c:tx>
            <c:strRef>
              <c:f>NC論文参考値!$A$107</c:f>
              <c:strCache>
                <c:ptCount val="1"/>
                <c:pt idx="0">
                  <c:v>Li-Air</c:v>
                </c:pt>
              </c:strCache>
            </c:strRef>
          </c:tx>
          <c:spPr>
            <a:solidFill>
              <a:schemeClr val="accent4">
                <a:lumMod val="60000"/>
              </a:schemeClr>
            </a:solidFill>
            <a:ln>
              <a:noFill/>
            </a:ln>
            <a:effectLst/>
          </c:spPr>
          <c:cat>
            <c:numRef>
              <c:f>NC論文参考値!$B$71:$AU$71</c:f>
              <c:numCache>
                <c:formatCode>General</c:formatCode>
                <c:ptCount val="4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pt idx="26">
                  <c:v>2031</c:v>
                </c:pt>
                <c:pt idx="27">
                  <c:v>2032</c:v>
                </c:pt>
                <c:pt idx="28">
                  <c:v>2033</c:v>
                </c:pt>
                <c:pt idx="29">
                  <c:v>2034</c:v>
                </c:pt>
                <c:pt idx="30">
                  <c:v>2035</c:v>
                </c:pt>
                <c:pt idx="31">
                  <c:v>2036</c:v>
                </c:pt>
                <c:pt idx="32">
                  <c:v>2037</c:v>
                </c:pt>
                <c:pt idx="33">
                  <c:v>2038</c:v>
                </c:pt>
                <c:pt idx="34">
                  <c:v>2039</c:v>
                </c:pt>
                <c:pt idx="35">
                  <c:v>2040</c:v>
                </c:pt>
                <c:pt idx="36">
                  <c:v>2041</c:v>
                </c:pt>
                <c:pt idx="37">
                  <c:v>2042</c:v>
                </c:pt>
                <c:pt idx="38">
                  <c:v>2043</c:v>
                </c:pt>
                <c:pt idx="39">
                  <c:v>2044</c:v>
                </c:pt>
                <c:pt idx="40">
                  <c:v>2045</c:v>
                </c:pt>
                <c:pt idx="41">
                  <c:v>2046</c:v>
                </c:pt>
                <c:pt idx="42">
                  <c:v>2047</c:v>
                </c:pt>
                <c:pt idx="43">
                  <c:v>2048</c:v>
                </c:pt>
                <c:pt idx="44">
                  <c:v>2049</c:v>
                </c:pt>
                <c:pt idx="45">
                  <c:v>2050</c:v>
                </c:pt>
              </c:numCache>
            </c:numRef>
          </c:cat>
          <c:val>
            <c:numRef>
              <c:f>NC論文参考値!$B$107:$AU$107</c:f>
              <c:numCache>
                <c:formatCode>0%</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2.7272727272727271E-2</c:v>
                </c:pt>
                <c:pt idx="26">
                  <c:v>5.4545454545454543E-2</c:v>
                </c:pt>
                <c:pt idx="27">
                  <c:v>8.1818181818181818E-2</c:v>
                </c:pt>
                <c:pt idx="28">
                  <c:v>0.10909090909090909</c:v>
                </c:pt>
                <c:pt idx="29">
                  <c:v>0.13636363636363635</c:v>
                </c:pt>
                <c:pt idx="30">
                  <c:v>0.16363636363636364</c:v>
                </c:pt>
                <c:pt idx="31">
                  <c:v>0.19090909090909092</c:v>
                </c:pt>
                <c:pt idx="32">
                  <c:v>0.2181818181818182</c:v>
                </c:pt>
                <c:pt idx="33">
                  <c:v>0.24545454545454548</c:v>
                </c:pt>
                <c:pt idx="34">
                  <c:v>0.27272727272727276</c:v>
                </c:pt>
                <c:pt idx="35">
                  <c:v>0.3</c:v>
                </c:pt>
                <c:pt idx="36">
                  <c:v>0.3</c:v>
                </c:pt>
                <c:pt idx="37">
                  <c:v>0.3</c:v>
                </c:pt>
                <c:pt idx="38">
                  <c:v>0.3</c:v>
                </c:pt>
                <c:pt idx="39">
                  <c:v>0.3</c:v>
                </c:pt>
                <c:pt idx="40">
                  <c:v>0.3</c:v>
                </c:pt>
                <c:pt idx="41">
                  <c:v>0.3</c:v>
                </c:pt>
                <c:pt idx="42">
                  <c:v>0.3</c:v>
                </c:pt>
                <c:pt idx="43">
                  <c:v>0.3</c:v>
                </c:pt>
                <c:pt idx="44">
                  <c:v>0.3</c:v>
                </c:pt>
                <c:pt idx="45">
                  <c:v>0.3</c:v>
                </c:pt>
              </c:numCache>
            </c:numRef>
          </c:val>
          <c:extLst>
            <c:ext xmlns:c16="http://schemas.microsoft.com/office/drawing/2014/chart" uri="{C3380CC4-5D6E-409C-BE32-E72D297353CC}">
              <c16:uniqueId val="{00000009-8970-4407-9885-876668AFFA09}"/>
            </c:ext>
          </c:extLst>
        </c:ser>
        <c:dLbls>
          <c:showLegendKey val="0"/>
          <c:showVal val="0"/>
          <c:showCatName val="0"/>
          <c:showSerName val="0"/>
          <c:showPercent val="0"/>
          <c:showBubbleSize val="0"/>
        </c:dLbls>
        <c:axId val="1652289151"/>
        <c:axId val="1652275231"/>
      </c:areaChart>
      <c:catAx>
        <c:axId val="16522891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275231"/>
        <c:crosses val="autoZero"/>
        <c:auto val="1"/>
        <c:lblAlgn val="ctr"/>
        <c:lblOffset val="100"/>
        <c:tickLblSkip val="5"/>
        <c:tickMarkSkip val="1"/>
        <c:noMultiLvlLbl val="0"/>
      </c:catAx>
      <c:valAx>
        <c:axId val="16522752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crossAx val="165228915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chart>
  <c:spPr>
    <a:solidFill>
      <a:schemeClr val="bg1"/>
    </a:solidFill>
    <a:ln w="9525" cap="flat" cmpd="sng" algn="ctr">
      <a:noFill/>
      <a:round/>
    </a:ln>
    <a:effectLst/>
  </c:spPr>
  <c:txPr>
    <a:bodyPr/>
    <a:lstStyle/>
    <a:p>
      <a:pPr>
        <a:defRPr sz="1000">
          <a:solidFill>
            <a:schemeClr val="tx1"/>
          </a:solidFill>
          <a:latin typeface="Aptos" panose="020B0004020202020204" pitchFamily="34" charset="0"/>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strRef>
              <c:f>'3中古車海外輸出'!$B$24</c:f>
              <c:strCache>
                <c:ptCount val="1"/>
                <c:pt idx="0">
                  <c:v>ICEVs</c:v>
                </c:pt>
              </c:strCache>
            </c:strRef>
          </c:tx>
          <c:spPr>
            <a:solidFill>
              <a:schemeClr val="accent2"/>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'3中古車海外輸出'!$N$24:$AU$24</c:f>
              <c:numCache>
                <c:formatCode>0</c:formatCode>
                <c:ptCount val="34"/>
                <c:pt idx="0">
                  <c:v>929678</c:v>
                </c:pt>
                <c:pt idx="1">
                  <c:v>938958</c:v>
                </c:pt>
                <c:pt idx="2">
                  <c:v>931079</c:v>
                </c:pt>
                <c:pt idx="3">
                  <c:v>739905</c:v>
                </c:pt>
                <c:pt idx="4">
                  <c:v>825621</c:v>
                </c:pt>
                <c:pt idx="5">
                  <c:v>806615</c:v>
                </c:pt>
                <c:pt idx="6">
                  <c:v>989797</c:v>
                </c:pt>
                <c:pt idx="7">
                  <c:v>941654.00575687736</c:v>
                </c:pt>
                <c:pt idx="8">
                  <c:v>919139.70475294255</c:v>
                </c:pt>
                <c:pt idx="9">
                  <c:v>894814.74507474527</c:v>
                </c:pt>
                <c:pt idx="10">
                  <c:v>868763.71799071878</c:v>
                </c:pt>
                <c:pt idx="11">
                  <c:v>841082.96675605141</c:v>
                </c:pt>
                <c:pt idx="12">
                  <c:v>811870.72400855273</c:v>
                </c:pt>
                <c:pt idx="13">
                  <c:v>781223.36143569741</c:v>
                </c:pt>
                <c:pt idx="14">
                  <c:v>749233.66408858541</c:v>
                </c:pt>
                <c:pt idx="15">
                  <c:v>715990.23466154002</c:v>
                </c:pt>
                <c:pt idx="16">
                  <c:v>681577.64436343405</c:v>
                </c:pt>
                <c:pt idx="17">
                  <c:v>646077.09741129074</c:v>
                </c:pt>
                <c:pt idx="18">
                  <c:v>609567.38678208552</c:v>
                </c:pt>
                <c:pt idx="19">
                  <c:v>572125.94489993341</c:v>
                </c:pt>
                <c:pt idx="20">
                  <c:v>534037.80702601466</c:v>
                </c:pt>
                <c:pt idx="21">
                  <c:v>495750.16420535417</c:v>
                </c:pt>
                <c:pt idx="22">
                  <c:v>457671.84606783884</c:v>
                </c:pt>
                <c:pt idx="23">
                  <c:v>420176.63060207805</c:v>
                </c:pt>
                <c:pt idx="24">
                  <c:v>383600.97866311576</c:v>
                </c:pt>
                <c:pt idx="25">
                  <c:v>348241.27965490799</c:v>
                </c:pt>
                <c:pt idx="26">
                  <c:v>314351.5792617579</c:v>
                </c:pt>
                <c:pt idx="27">
                  <c:v>282142.14470725064</c:v>
                </c:pt>
                <c:pt idx="28">
                  <c:v>251779.01275426638</c:v>
                </c:pt>
                <c:pt idx="29">
                  <c:v>223384.55693730875</c:v>
                </c:pt>
                <c:pt idx="30">
                  <c:v>197039.03855628101</c:v>
                </c:pt>
                <c:pt idx="31">
                  <c:v>172783.05301137432</c:v>
                </c:pt>
                <c:pt idx="32">
                  <c:v>150620.74383062951</c:v>
                </c:pt>
                <c:pt idx="33">
                  <c:v>130523.6296107861</c:v>
                </c:pt>
              </c:numCache>
            </c:numRef>
          </c:val>
          <c:extLst>
            <c:ext xmlns:c16="http://schemas.microsoft.com/office/drawing/2014/chart" uri="{C3380CC4-5D6E-409C-BE32-E72D297353CC}">
              <c16:uniqueId val="{00000000-2002-48A4-B04C-E5B1B3DBAC5D}"/>
            </c:ext>
          </c:extLst>
        </c:ser>
        <c:ser>
          <c:idx val="5"/>
          <c:order val="1"/>
          <c:tx>
            <c:strRef>
              <c:f>'3中古車海外輸出'!$B$28</c:f>
              <c:strCache>
                <c:ptCount val="1"/>
                <c:pt idx="0">
                  <c:v>HEVs</c:v>
                </c:pt>
              </c:strCache>
            </c:strRef>
          </c:tx>
          <c:spPr>
            <a:solidFill>
              <a:schemeClr val="accent4"/>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'3中古車海外輸出'!$N$28:$AU$28</c:f>
              <c:numCache>
                <c:formatCode>General</c:formatCode>
                <c:ptCount val="34"/>
                <c:pt idx="0">
                  <c:v>122982</c:v>
                </c:pt>
                <c:pt idx="1">
                  <c:v>160435</c:v>
                </c:pt>
                <c:pt idx="2">
                  <c:v>147136</c:v>
                </c:pt>
                <c:pt idx="3" formatCode="0">
                  <c:v>138725</c:v>
                </c:pt>
                <c:pt idx="4" formatCode="0">
                  <c:v>186672</c:v>
                </c:pt>
                <c:pt idx="5" formatCode="0">
                  <c:v>226826</c:v>
                </c:pt>
                <c:pt idx="6" formatCode="0">
                  <c:v>323428</c:v>
                </c:pt>
                <c:pt idx="7" formatCode="0">
                  <c:v>147810.62956215022</c:v>
                </c:pt>
                <c:pt idx="8" formatCode="0">
                  <c:v>165813.96638803603</c:v>
                </c:pt>
                <c:pt idx="9" formatCode="0">
                  <c:v>184095.94707999798</c:v>
                </c:pt>
                <c:pt idx="10" formatCode="0">
                  <c:v>202466.72299217479</c:v>
                </c:pt>
                <c:pt idx="11" formatCode="0">
                  <c:v>220758.2628051145</c:v>
                </c:pt>
                <c:pt idx="12" formatCode="0">
                  <c:v>238821.96598098613</c:v>
                </c:pt>
                <c:pt idx="13" formatCode="0">
                  <c:v>256528.83073756471</c:v>
                </c:pt>
                <c:pt idx="14" formatCode="0">
                  <c:v>273769.64314122591</c:v>
                </c:pt>
                <c:pt idx="15" formatCode="0">
                  <c:v>290454.77197980881</c:v>
                </c:pt>
                <c:pt idx="16" formatCode="0">
                  <c:v>306513.50259362906</c:v>
                </c:pt>
                <c:pt idx="17" formatCode="0">
                  <c:v>321893.01403173152</c:v>
                </c:pt>
                <c:pt idx="18" formatCode="0">
                  <c:v>336557.06429316662</c:v>
                </c:pt>
                <c:pt idx="19" formatCode="0">
                  <c:v>350484.4063049024</c:v>
                </c:pt>
                <c:pt idx="20" formatCode="0">
                  <c:v>363477.71129972115</c:v>
                </c:pt>
                <c:pt idx="21" formatCode="0">
                  <c:v>375203.90556532424</c:v>
                </c:pt>
                <c:pt idx="22" formatCode="0">
                  <c:v>385375.46972619649</c:v>
                </c:pt>
                <c:pt idx="23" formatCode="0">
                  <c:v>393745.96952163056</c:v>
                </c:pt>
                <c:pt idx="24" formatCode="0">
                  <c:v>400110.35653654858</c:v>
                </c:pt>
                <c:pt idx="25" formatCode="0">
                  <c:v>404305.81250970159</c:v>
                </c:pt>
                <c:pt idx="26" formatCode="0">
                  <c:v>406212.20267423056</c:v>
                </c:pt>
                <c:pt idx="27" formatCode="0">
                  <c:v>405751.59594296478</c:v>
                </c:pt>
                <c:pt idx="28" formatCode="0">
                  <c:v>402886.9526877543</c:v>
                </c:pt>
                <c:pt idx="29" formatCode="0">
                  <c:v>397619.9998014411</c:v>
                </c:pt>
                <c:pt idx="30" formatCode="0">
                  <c:v>389988.37571557425</c:v>
                </c:pt>
                <c:pt idx="31" formatCode="0">
                  <c:v>380062.15829372499</c:v>
                </c:pt>
                <c:pt idx="32" formatCode="0">
                  <c:v>367939.91320683854</c:v>
                </c:pt>
                <c:pt idx="33" formatCode="0">
                  <c:v>353744.41621176153</c:v>
                </c:pt>
              </c:numCache>
            </c:numRef>
          </c:val>
          <c:extLst>
            <c:ext xmlns:c16="http://schemas.microsoft.com/office/drawing/2014/chart" uri="{C3380CC4-5D6E-409C-BE32-E72D297353CC}">
              <c16:uniqueId val="{00000001-2002-48A4-B04C-E5B1B3DBAC5D}"/>
            </c:ext>
          </c:extLst>
        </c:ser>
        <c:ser>
          <c:idx val="2"/>
          <c:order val="2"/>
          <c:tx>
            <c:strRef>
              <c:f>'3中古車海外輸出'!$B$25</c:f>
              <c:strCache>
                <c:ptCount val="1"/>
                <c:pt idx="0">
                  <c:v>BEVs</c:v>
                </c:pt>
              </c:strCache>
            </c:strRef>
          </c:tx>
          <c:spPr>
            <a:solidFill>
              <a:schemeClr val="accent5"/>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'3中古車海外輸出'!$N$25:$AU$25</c:f>
              <c:numCache>
                <c:formatCode>General</c:formatCode>
                <c:ptCount val="34"/>
                <c:pt idx="0">
                  <c:v>4029</c:v>
                </c:pt>
                <c:pt idx="1">
                  <c:v>7703</c:v>
                </c:pt>
                <c:pt idx="2">
                  <c:v>7728</c:v>
                </c:pt>
                <c:pt idx="3" formatCode="0">
                  <c:v>7818</c:v>
                </c:pt>
                <c:pt idx="4" formatCode="0">
                  <c:v>10875</c:v>
                </c:pt>
                <c:pt idx="5" formatCode="0">
                  <c:v>15606</c:v>
                </c:pt>
                <c:pt idx="6" formatCode="0">
                  <c:v>20128</c:v>
                </c:pt>
                <c:pt idx="7" formatCode="0">
                  <c:v>2326.0352015252429</c:v>
                </c:pt>
                <c:pt idx="8" formatCode="0">
                  <c:v>3282.7459040332469</c:v>
                </c:pt>
                <c:pt idx="9" formatCode="0">
                  <c:v>4920.696505942964</c:v>
                </c:pt>
                <c:pt idx="10" formatCode="0">
                  <c:v>7427.3453604066744</c:v>
                </c:pt>
                <c:pt idx="11" formatCode="0">
                  <c:v>10965.201585909352</c:v>
                </c:pt>
                <c:pt idx="12" formatCode="0">
                  <c:v>15669.535313553177</c:v>
                </c:pt>
                <c:pt idx="13" formatCode="0">
                  <c:v>21646.978655280778</c:v>
                </c:pt>
                <c:pt idx="14" formatCode="0">
                  <c:v>28974.954199075233</c:v>
                </c:pt>
                <c:pt idx="15" formatCode="0">
                  <c:v>37701.908353686333</c:v>
                </c:pt>
                <c:pt idx="16" formatCode="0">
                  <c:v>47848.288410171168</c:v>
                </c:pt>
                <c:pt idx="17" formatCode="0">
                  <c:v>59408.217444017762</c:v>
                </c:pt>
                <c:pt idx="18" formatCode="0">
                  <c:v>72351.760271393228</c:v>
                </c:pt>
                <c:pt idx="19" formatCode="0">
                  <c:v>86627.621262724511</c:v>
                </c:pt>
                <c:pt idx="20" formatCode="0">
                  <c:v>102207.94510423392</c:v>
                </c:pt>
                <c:pt idx="21" formatCode="0">
                  <c:v>119082.19666807353</c:v>
                </c:pt>
                <c:pt idx="22" formatCode="0">
                  <c:v>137219.96888655238</c:v>
                </c:pt>
                <c:pt idx="23" formatCode="0">
                  <c:v>156574.74605307216</c:v>
                </c:pt>
                <c:pt idx="24" formatCode="0">
                  <c:v>177086.18916668976</c:v>
                </c:pt>
                <c:pt idx="25" formatCode="0">
                  <c:v>198682.40920789074</c:v>
                </c:pt>
                <c:pt idx="26" formatCode="0">
                  <c:v>221282.27528865449</c:v>
                </c:pt>
                <c:pt idx="27" formatCode="0">
                  <c:v>244797.36409961525</c:v>
                </c:pt>
                <c:pt idx="28" formatCode="0">
                  <c:v>269133.75585015025</c:v>
                </c:pt>
                <c:pt idx="29" formatCode="0">
                  <c:v>294193.66499342024</c:v>
                </c:pt>
                <c:pt idx="30" formatCode="0">
                  <c:v>319876.91442826297</c:v>
                </c:pt>
                <c:pt idx="31" formatCode="0">
                  <c:v>346082.24720001128</c:v>
                </c:pt>
                <c:pt idx="32" formatCode="0">
                  <c:v>372708.47047929931</c:v>
                </c:pt>
                <c:pt idx="33" formatCode="0">
                  <c:v>399655.4458587477</c:v>
                </c:pt>
              </c:numCache>
            </c:numRef>
          </c:val>
          <c:extLst>
            <c:ext xmlns:c16="http://schemas.microsoft.com/office/drawing/2014/chart" uri="{C3380CC4-5D6E-409C-BE32-E72D297353CC}">
              <c16:uniqueId val="{00000002-2002-48A4-B04C-E5B1B3DBAC5D}"/>
            </c:ext>
          </c:extLst>
        </c:ser>
        <c:ser>
          <c:idx val="3"/>
          <c:order val="3"/>
          <c:tx>
            <c:strRef>
              <c:f>'3中古車海外輸出'!$B$26</c:f>
              <c:strCache>
                <c:ptCount val="1"/>
                <c:pt idx="0">
                  <c:v>PHEVs</c:v>
                </c:pt>
              </c:strCache>
            </c:strRef>
          </c:tx>
          <c:spPr>
            <a:solidFill>
              <a:schemeClr val="tx1">
                <a:lumMod val="50000"/>
                <a:lumOff val="50000"/>
              </a:schemeClr>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'3中古車海外輸出'!$N$26:$AU$26</c:f>
              <c:numCache>
                <c:formatCode>General</c:formatCode>
                <c:ptCount val="34"/>
                <c:pt idx="0">
                  <c:v>757</c:v>
                </c:pt>
                <c:pt idx="1">
                  <c:v>1216</c:v>
                </c:pt>
                <c:pt idx="2">
                  <c:v>1724</c:v>
                </c:pt>
                <c:pt idx="3" formatCode="0">
                  <c:v>1571</c:v>
                </c:pt>
                <c:pt idx="4" formatCode="0">
                  <c:v>2325</c:v>
                </c:pt>
                <c:pt idx="5" formatCode="0">
                  <c:v>4744</c:v>
                </c:pt>
                <c:pt idx="6" formatCode="0">
                  <c:v>5129</c:v>
                </c:pt>
                <c:pt idx="7" formatCode="0">
                  <c:v>2018.5796904628805</c:v>
                </c:pt>
                <c:pt idx="8" formatCode="0">
                  <c:v>2527.4431554845505</c:v>
                </c:pt>
                <c:pt idx="9" formatCode="0">
                  <c:v>3250.3880021595833</c:v>
                </c:pt>
                <c:pt idx="10" formatCode="0">
                  <c:v>4237.9084102752677</c:v>
                </c:pt>
                <c:pt idx="11" formatCode="0">
                  <c:v>5533.4167423663603</c:v>
                </c:pt>
                <c:pt idx="12" formatCode="0">
                  <c:v>7172.5775299211382</c:v>
                </c:pt>
                <c:pt idx="13" formatCode="0">
                  <c:v>9182.9483133084723</c:v>
                </c:pt>
                <c:pt idx="14" formatCode="0">
                  <c:v>11583.864147166139</c:v>
                </c:pt>
                <c:pt idx="15" formatCode="0">
                  <c:v>14386.548926850664</c:v>
                </c:pt>
                <c:pt idx="16" formatCode="0">
                  <c:v>17594.432136054616</c:v>
                </c:pt>
                <c:pt idx="17" formatCode="0">
                  <c:v>21203.657338221208</c:v>
                </c:pt>
                <c:pt idx="18" formatCode="0">
                  <c:v>25203.751177663798</c:v>
                </c:pt>
                <c:pt idx="19" formatCode="0">
                  <c:v>29578.406426068861</c:v>
                </c:pt>
                <c:pt idx="20" formatCode="0">
                  <c:v>34233.644271290977</c:v>
                </c:pt>
                <c:pt idx="21" formatCode="0">
                  <c:v>39014.915296994383</c:v>
                </c:pt>
                <c:pt idx="22" formatCode="0">
                  <c:v>43778.346051223343</c:v>
                </c:pt>
                <c:pt idx="23" formatCode="0">
                  <c:v>48390.612461455865</c:v>
                </c:pt>
                <c:pt idx="24" formatCode="0">
                  <c:v>52730.583331072354</c:v>
                </c:pt>
                <c:pt idx="25" formatCode="0">
                  <c:v>56691.022381497198</c:v>
                </c:pt>
                <c:pt idx="26" formatCode="0">
                  <c:v>60179.979724670295</c:v>
                </c:pt>
                <c:pt idx="27" formatCode="0">
                  <c:v>63121.688930292032</c:v>
                </c:pt>
                <c:pt idx="28" formatCode="0">
                  <c:v>65456.973877364304</c:v>
                </c:pt>
                <c:pt idx="29" formatCode="0">
                  <c:v>67143.171951377648</c:v>
                </c:pt>
                <c:pt idx="30" formatCode="0">
                  <c:v>68153.609822349739</c:v>
                </c:pt>
                <c:pt idx="31" formatCode="0">
                  <c:v>68476.685867355787</c:v>
                </c:pt>
                <c:pt idx="32" formatCode="0">
                  <c:v>68114.626522898441</c:v>
                </c:pt>
                <c:pt idx="33" formatCode="0">
                  <c:v>67081.992093058303</c:v>
                </c:pt>
              </c:numCache>
            </c:numRef>
          </c:val>
          <c:extLst>
            <c:ext xmlns:c16="http://schemas.microsoft.com/office/drawing/2014/chart" uri="{C3380CC4-5D6E-409C-BE32-E72D297353CC}">
              <c16:uniqueId val="{00000003-2002-48A4-B04C-E5B1B3DBAC5D}"/>
            </c:ext>
          </c:extLst>
        </c:ser>
        <c:ser>
          <c:idx val="4"/>
          <c:order val="4"/>
          <c:tx>
            <c:strRef>
              <c:f>'3中古車海外輸出'!$B$27</c:f>
              <c:strCache>
                <c:ptCount val="1"/>
                <c:pt idx="0">
                  <c:v>FCVs</c:v>
                </c:pt>
              </c:strCache>
            </c:strRef>
          </c:tx>
          <c:spPr>
            <a:solidFill>
              <a:schemeClr val="accent1"/>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'3中古車海外輸出'!$N$27:$AU$27</c:f>
              <c:numCache>
                <c:formatCode>General</c:formatCode>
                <c:ptCount val="34"/>
                <c:pt idx="7" formatCode="0">
                  <c:v>78.025454636604991</c:v>
                </c:pt>
                <c:pt idx="8" formatCode="0">
                  <c:v>159.98334810251617</c:v>
                </c:pt>
                <c:pt idx="9" formatCode="0">
                  <c:v>324.62876377708744</c:v>
                </c:pt>
                <c:pt idx="10" formatCode="0">
                  <c:v>598.73016859417112</c:v>
                </c:pt>
                <c:pt idx="11" formatCode="0">
                  <c:v>1005.7210971488021</c:v>
                </c:pt>
                <c:pt idx="12" formatCode="0">
                  <c:v>1565.3883825334779</c:v>
                </c:pt>
                <c:pt idx="13" formatCode="0">
                  <c:v>2293.6558236788114</c:v>
                </c:pt>
                <c:pt idx="14" formatCode="0">
                  <c:v>3202.4737977402983</c:v>
                </c:pt>
                <c:pt idx="15" formatCode="0">
                  <c:v>4299.8174781198322</c:v>
                </c:pt>
                <c:pt idx="16" formatCode="0">
                  <c:v>5589.7882205841015</c:v>
                </c:pt>
                <c:pt idx="17" formatCode="0">
                  <c:v>7072.8133549280465</c:v>
                </c:pt>
                <c:pt idx="18" formatCode="0">
                  <c:v>8745.9310292887967</c:v>
                </c:pt>
                <c:pt idx="19" formatCode="0">
                  <c:v>10603.139386844065</c:v>
                </c:pt>
                <c:pt idx="20" formatCode="0">
                  <c:v>12635.062666876358</c:v>
                </c:pt>
                <c:pt idx="21" formatCode="0">
                  <c:v>14829.54162648035</c:v>
                </c:pt>
                <c:pt idx="22" formatCode="0">
                  <c:v>17172.780653466005</c:v>
                </c:pt>
                <c:pt idx="23" formatCode="0">
                  <c:v>19649.774049132713</c:v>
                </c:pt>
                <c:pt idx="24" formatCode="0">
                  <c:v>22244.703272302984</c:v>
                </c:pt>
                <c:pt idx="25" formatCode="0">
                  <c:v>24941.339438158553</c:v>
                </c:pt>
                <c:pt idx="26" formatCode="0">
                  <c:v>27723.428062282619</c:v>
                </c:pt>
                <c:pt idx="27" formatCode="0">
                  <c:v>30574.998271199293</c:v>
                </c:pt>
                <c:pt idx="28" formatCode="0">
                  <c:v>33480.618182929815</c:v>
                </c:pt>
                <c:pt idx="29" formatCode="0">
                  <c:v>36425.594802669249</c:v>
                </c:pt>
                <c:pt idx="30" formatCode="0">
                  <c:v>39396.121399162919</c:v>
                </c:pt>
                <c:pt idx="31" formatCode="0">
                  <c:v>42379.37521433318</c:v>
                </c:pt>
                <c:pt idx="32" formatCode="0">
                  <c:v>45363.569596854039</c:v>
                </c:pt>
                <c:pt idx="33" formatCode="0">
                  <c:v>48337.967558262637</c:v>
                </c:pt>
              </c:numCache>
            </c:numRef>
          </c:val>
          <c:extLst>
            <c:ext xmlns:c16="http://schemas.microsoft.com/office/drawing/2014/chart" uri="{C3380CC4-5D6E-409C-BE32-E72D297353CC}">
              <c16:uniqueId val="{00000004-2002-48A4-B04C-E5B1B3DBAC5D}"/>
            </c:ext>
          </c:extLst>
        </c:ser>
        <c:ser>
          <c:idx val="6"/>
          <c:order val="5"/>
          <c:tx>
            <c:strRef>
              <c:f>'3中古車海外輸出'!$B$29</c:f>
              <c:strCache>
                <c:ptCount val="1"/>
                <c:pt idx="0">
                  <c:v>Others</c:v>
                </c:pt>
              </c:strCache>
            </c:strRef>
          </c:tx>
          <c:spPr>
            <a:solidFill>
              <a:schemeClr val="accent6"/>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'3中古車海外輸出'!$N$29:$AU$29</c:f>
              <c:numCache>
                <c:formatCode>General</c:formatCode>
                <c:ptCount val="34"/>
                <c:pt idx="7" formatCode="0">
                  <c:v>13729.173598804453</c:v>
                </c:pt>
                <c:pt idx="8" formatCode="0">
                  <c:v>15647.126182108361</c:v>
                </c:pt>
                <c:pt idx="9" formatCode="0">
                  <c:v>17496.849810621759</c:v>
                </c:pt>
                <c:pt idx="10" formatCode="0">
                  <c:v>19229.34423896583</c:v>
                </c:pt>
                <c:pt idx="11" formatCode="0">
                  <c:v>20801.904117149883</c:v>
                </c:pt>
                <c:pt idx="12" formatCode="0">
                  <c:v>22178.28660689824</c:v>
                </c:pt>
                <c:pt idx="13" formatCode="0">
                  <c:v>23328.956113733177</c:v>
                </c:pt>
                <c:pt idx="14" formatCode="0">
                  <c:v>24231.169473106915</c:v>
                </c:pt>
                <c:pt idx="15" formatCode="0">
                  <c:v>24868.872046094388</c:v>
                </c:pt>
                <c:pt idx="16" formatCode="0">
                  <c:v>25232.415260701324</c:v>
                </c:pt>
                <c:pt idx="17" formatCode="0">
                  <c:v>25318.121486483782</c:v>
                </c:pt>
                <c:pt idx="18" formatCode="0">
                  <c:v>25127.725982645818</c:v>
                </c:pt>
                <c:pt idx="19" formatCode="0">
                  <c:v>24667.727777221124</c:v>
                </c:pt>
                <c:pt idx="20" formatCode="0">
                  <c:v>23961.697838175489</c:v>
                </c:pt>
                <c:pt idx="21" formatCode="0">
                  <c:v>23046.648848609737</c:v>
                </c:pt>
                <c:pt idx="22" formatCode="0">
                  <c:v>21959.716935086733</c:v>
                </c:pt>
                <c:pt idx="23" formatCode="0">
                  <c:v>20737.643755554716</c:v>
                </c:pt>
                <c:pt idx="24" formatCode="0">
                  <c:v>19415.974311790662</c:v>
                </c:pt>
                <c:pt idx="25" formatCode="0">
                  <c:v>18028.30302663357</c:v>
                </c:pt>
                <c:pt idx="26" formatCode="0">
                  <c:v>16605.637039055029</c:v>
                </c:pt>
                <c:pt idx="27" formatCode="0">
                  <c:v>15175.901813790057</c:v>
                </c:pt>
                <c:pt idx="28" formatCode="0">
                  <c:v>13763.596511301977</c:v>
                </c:pt>
                <c:pt idx="29" formatCode="0">
                  <c:v>12389.596207788607</c:v>
                </c:pt>
                <c:pt idx="30" formatCode="0">
                  <c:v>11071.090953666018</c:v>
                </c:pt>
                <c:pt idx="31" formatCode="0">
                  <c:v>9821.646654845179</c:v>
                </c:pt>
                <c:pt idx="32" formatCode="0">
                  <c:v>8651.3694303911179</c:v>
                </c:pt>
                <c:pt idx="33" formatCode="0">
                  <c:v>7567.1532184894095</c:v>
                </c:pt>
              </c:numCache>
            </c:numRef>
          </c:val>
          <c:extLst>
            <c:ext xmlns:c16="http://schemas.microsoft.com/office/drawing/2014/chart" uri="{C3380CC4-5D6E-409C-BE32-E72D297353CC}">
              <c16:uniqueId val="{00000005-2002-48A4-B04C-E5B1B3DBAC5D}"/>
            </c:ext>
          </c:extLst>
        </c:ser>
        <c:dLbls>
          <c:showLegendKey val="0"/>
          <c:showVal val="0"/>
          <c:showCatName val="0"/>
          <c:showSerName val="0"/>
          <c:showPercent val="0"/>
          <c:showBubbleSize val="0"/>
        </c:dLbls>
        <c:axId val="1276223839"/>
        <c:axId val="1272280639"/>
      </c:areaChart>
      <c:catAx>
        <c:axId val="12762238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ptos" panose="020B0004020202020204" pitchFamily="34" charset="0"/>
                <a:ea typeface="+mn-ea"/>
                <a:cs typeface="+mn-cs"/>
              </a:defRPr>
            </a:pPr>
            <a:endParaRPr lang="ja-JP"/>
          </a:p>
        </c:txPr>
        <c:crossAx val="1272280639"/>
        <c:crosses val="autoZero"/>
        <c:auto val="1"/>
        <c:lblAlgn val="ctr"/>
        <c:lblOffset val="100"/>
        <c:tickLblSkip val="1"/>
        <c:noMultiLvlLbl val="0"/>
      </c:catAx>
      <c:valAx>
        <c:axId val="12722806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ptos" panose="020B0004020202020204" pitchFamily="34" charset="0"/>
                <a:ea typeface="+mn-ea"/>
                <a:cs typeface="+mn-cs"/>
              </a:defRPr>
            </a:pPr>
            <a:endParaRPr lang="ja-JP"/>
          </a:p>
        </c:txPr>
        <c:crossAx val="1276223839"/>
        <c:crosses val="autoZero"/>
        <c:crossBetween val="midCat"/>
        <c:dispUnits>
          <c:builtInUnit val="thousands"/>
          <c:dispUnitsLbl>
            <c:tx>
              <c:rich>
                <a:bodyPr rot="-5400000" spcFirstLastPara="1" vertOverflow="ellipsis" vert="horz" wrap="square" anchor="ctr" anchorCtr="1"/>
                <a:lstStyle/>
                <a:p>
                  <a:pPr>
                    <a:defRPr sz="1100" b="0" i="0" u="none" strike="noStrike" kern="1200" baseline="0">
                      <a:solidFill>
                        <a:schemeClr val="tx1"/>
                      </a:solidFill>
                      <a:latin typeface="Aptos" panose="020B0004020202020204" pitchFamily="34" charset="0"/>
                      <a:ea typeface="+mn-ea"/>
                      <a:cs typeface="+mn-cs"/>
                    </a:defRPr>
                  </a:pPr>
                  <a:r>
                    <a:rPr lang="en-US" altLang="ja-JP"/>
                    <a:t>thousand vehicles</a:t>
                  </a:r>
                  <a:endParaRPr lang="ja-JP" altLang="en-US"/>
                </a:p>
              </c:rich>
            </c:tx>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ptos" panose="020B0004020202020204" pitchFamily="34" charset="0"/>
                    <a:ea typeface="+mn-ea"/>
                    <a:cs typeface="+mn-cs"/>
                  </a:defRPr>
                </a:pPr>
                <a:endParaRPr lang="ja-JP" alt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Aptos" panose="020B0004020202020204" pitchFamily="34" charset="0"/>
        </a:defRPr>
      </a:pPr>
      <a:endParaRPr lang="ja-JP"/>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1"/>
          <c:order val="0"/>
          <c:tx>
            <c:strRef>
              <c:f>'3中古車海外輸出'!$B$24</c:f>
              <c:strCache>
                <c:ptCount val="1"/>
                <c:pt idx="0">
                  <c:v>ICEVs</c:v>
                </c:pt>
              </c:strCache>
            </c:strRef>
          </c:tx>
          <c:spPr>
            <a:solidFill>
              <a:schemeClr val="accent2"/>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'3中古車海外輸出'!$N$24:$AU$24</c:f>
              <c:numCache>
                <c:formatCode>0</c:formatCode>
                <c:ptCount val="34"/>
                <c:pt idx="0">
                  <c:v>929678</c:v>
                </c:pt>
                <c:pt idx="1">
                  <c:v>938958</c:v>
                </c:pt>
                <c:pt idx="2">
                  <c:v>931079</c:v>
                </c:pt>
                <c:pt idx="3">
                  <c:v>739905</c:v>
                </c:pt>
                <c:pt idx="4">
                  <c:v>825621</c:v>
                </c:pt>
                <c:pt idx="5">
                  <c:v>806615</c:v>
                </c:pt>
                <c:pt idx="6">
                  <c:v>989797</c:v>
                </c:pt>
                <c:pt idx="7">
                  <c:v>941654.00575687736</c:v>
                </c:pt>
                <c:pt idx="8">
                  <c:v>919021.06869034469</c:v>
                </c:pt>
                <c:pt idx="9">
                  <c:v>894370.01168304309</c:v>
                </c:pt>
                <c:pt idx="10">
                  <c:v>867815.19643009827</c:v>
                </c:pt>
                <c:pt idx="11">
                  <c:v>839482.35578669421</c:v>
                </c:pt>
                <c:pt idx="12">
                  <c:v>809501.24042018689</c:v>
                </c:pt>
                <c:pt idx="13">
                  <c:v>778001.79296480119</c:v>
                </c:pt>
                <c:pt idx="14">
                  <c:v>745112.13924942911</c:v>
                </c:pt>
                <c:pt idx="15">
                  <c:v>710957.53453818057</c:v>
                </c:pt>
                <c:pt idx="16">
                  <c:v>675659.95168992225</c:v>
                </c:pt>
                <c:pt idx="17">
                  <c:v>639338.20454566553</c:v>
                </c:pt>
                <c:pt idx="18">
                  <c:v>602108.36832017358</c:v>
                </c:pt>
                <c:pt idx="19">
                  <c:v>564084.25360036828</c:v>
                </c:pt>
                <c:pt idx="20">
                  <c:v>525566.11368117202</c:v>
                </c:pt>
                <c:pt idx="21">
                  <c:v>486996.92070517503</c:v>
                </c:pt>
                <c:pt idx="22">
                  <c:v>448778.76894302201</c:v>
                </c:pt>
                <c:pt idx="23">
                  <c:v>411275.94598656055</c:v>
                </c:pt>
                <c:pt idx="24">
                  <c:v>374813.0238905088</c:v>
                </c:pt>
                <c:pt idx="25">
                  <c:v>339672.62062744377</c:v>
                </c:pt>
                <c:pt idx="26">
                  <c:v>306093.70393926301</c:v>
                </c:pt>
                <c:pt idx="27">
                  <c:v>274270.7421150934</c:v>
                </c:pt>
                <c:pt idx="28">
                  <c:v>244353.81216699514</c:v>
                </c:pt>
                <c:pt idx="29">
                  <c:v>216449.67634995049</c:v>
                </c:pt>
                <c:pt idx="30">
                  <c:v>190623.77323250379</c:v>
                </c:pt>
                <c:pt idx="31">
                  <c:v>166903.02303677902</c:v>
                </c:pt>
                <c:pt idx="32">
                  <c:v>145279.31365032459</c:v>
                </c:pt>
                <c:pt idx="33">
                  <c:v>125713.51186317916</c:v>
                </c:pt>
              </c:numCache>
            </c:numRef>
          </c:val>
          <c:extLst>
            <c:ext xmlns:c16="http://schemas.microsoft.com/office/drawing/2014/chart" uri="{C3380CC4-5D6E-409C-BE32-E72D297353CC}">
              <c16:uniqueId val="{00000000-BD78-45BD-AE1C-E05BEE9CB579}"/>
            </c:ext>
          </c:extLst>
        </c:ser>
        <c:ser>
          <c:idx val="5"/>
          <c:order val="1"/>
          <c:tx>
            <c:strRef>
              <c:f>'3中古車海外輸出'!$B$28</c:f>
              <c:strCache>
                <c:ptCount val="1"/>
                <c:pt idx="0">
                  <c:v>HEVs</c:v>
                </c:pt>
              </c:strCache>
            </c:strRef>
          </c:tx>
          <c:spPr>
            <a:solidFill>
              <a:schemeClr val="accent4"/>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'3中古車海外輸出'!$N$28:$AU$28</c:f>
              <c:numCache>
                <c:formatCode>General</c:formatCode>
                <c:ptCount val="34"/>
                <c:pt idx="0">
                  <c:v>122982</c:v>
                </c:pt>
                <c:pt idx="1">
                  <c:v>160435</c:v>
                </c:pt>
                <c:pt idx="2">
                  <c:v>147136</c:v>
                </c:pt>
                <c:pt idx="3" formatCode="0">
                  <c:v>138725</c:v>
                </c:pt>
                <c:pt idx="4" formatCode="0">
                  <c:v>186672</c:v>
                </c:pt>
                <c:pt idx="5" formatCode="0">
                  <c:v>226826</c:v>
                </c:pt>
                <c:pt idx="6" formatCode="0">
                  <c:v>323428</c:v>
                </c:pt>
                <c:pt idx="7" formatCode="0">
                  <c:v>147810.62956215022</c:v>
                </c:pt>
                <c:pt idx="8" formatCode="0">
                  <c:v>165719.22718086885</c:v>
                </c:pt>
                <c:pt idx="9" formatCode="0">
                  <c:v>183729.61827098764</c:v>
                </c:pt>
                <c:pt idx="10" formatCode="0">
                  <c:v>201654.60983207962</c:v>
                </c:pt>
                <c:pt idx="11" formatCode="0">
                  <c:v>219328.34801459406</c:v>
                </c:pt>
                <c:pt idx="12" formatCode="0">
                  <c:v>236605.74022249784</c:v>
                </c:pt>
                <c:pt idx="13" formatCode="0">
                  <c:v>253362.54777374119</c:v>
                </c:pt>
                <c:pt idx="14" formatCode="0">
                  <c:v>269495.43124604877</c:v>
                </c:pt>
                <c:pt idx="15" formatCode="0">
                  <c:v>284921.49973271601</c:v>
                </c:pt>
                <c:pt idx="16" formatCode="0">
                  <c:v>299577.28936839197</c:v>
                </c:pt>
                <c:pt idx="17" formatCode="0">
                  <c:v>313417.51547834743</c:v>
                </c:pt>
                <c:pt idx="18" formatCode="0">
                  <c:v>326413.66108316462</c:v>
                </c:pt>
                <c:pt idx="19" formatCode="0">
                  <c:v>338552.24795148894</c:v>
                </c:pt>
                <c:pt idx="20" formatCode="0">
                  <c:v>349661.57091296278</c:v>
                </c:pt>
                <c:pt idx="21" formatCode="0">
                  <c:v>359449.92384922598</c:v>
                </c:pt>
                <c:pt idx="22" formatCode="0">
                  <c:v>367671.02649382316</c:v>
                </c:pt>
                <c:pt idx="23" formatCode="0">
                  <c:v>374119.39501713309</c:v>
                </c:pt>
                <c:pt idx="24" formatCode="0">
                  <c:v>378629.58417689148</c:v>
                </c:pt>
                <c:pt idx="25" formatCode="0">
                  <c:v>381076.5633950904</c:v>
                </c:pt>
                <c:pt idx="26" formatCode="0">
                  <c:v>381376.03799903765</c:v>
                </c:pt>
                <c:pt idx="27" formatCode="0">
                  <c:v>379483.36094377283</c:v>
                </c:pt>
                <c:pt idx="28" formatCode="0">
                  <c:v>375391.70713719353</c:v>
                </c:pt>
                <c:pt idx="29" formatCode="0">
                  <c:v>369129.54682271276</c:v>
                </c:pt>
                <c:pt idx="30" formatCode="0">
                  <c:v>360757.52680849191</c:v>
                </c:pt>
                <c:pt idx="31" formatCode="0">
                  <c:v>350364.8686264283</c:v>
                </c:pt>
                <c:pt idx="32" formatCode="0">
                  <c:v>338065.41249571927</c:v>
                </c:pt>
                <c:pt idx="33" formatCode="0">
                  <c:v>323993.45430536568</c:v>
                </c:pt>
              </c:numCache>
            </c:numRef>
          </c:val>
          <c:extLst>
            <c:ext xmlns:c16="http://schemas.microsoft.com/office/drawing/2014/chart" uri="{C3380CC4-5D6E-409C-BE32-E72D297353CC}">
              <c16:uniqueId val="{00000001-BD78-45BD-AE1C-E05BEE9CB579}"/>
            </c:ext>
          </c:extLst>
        </c:ser>
        <c:ser>
          <c:idx val="2"/>
          <c:order val="2"/>
          <c:tx>
            <c:strRef>
              <c:f>'3中古車海外輸出'!$B$25</c:f>
              <c:strCache>
                <c:ptCount val="1"/>
                <c:pt idx="0">
                  <c:v>BEVs</c:v>
                </c:pt>
              </c:strCache>
            </c:strRef>
          </c:tx>
          <c:spPr>
            <a:solidFill>
              <a:schemeClr val="accent5"/>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'3中古車海外輸出'!$N$25:$AU$25</c:f>
              <c:numCache>
                <c:formatCode>General</c:formatCode>
                <c:ptCount val="34"/>
                <c:pt idx="0">
                  <c:v>4029</c:v>
                </c:pt>
                <c:pt idx="1">
                  <c:v>7703</c:v>
                </c:pt>
                <c:pt idx="2">
                  <c:v>7728</c:v>
                </c:pt>
                <c:pt idx="3" formatCode="0">
                  <c:v>7818</c:v>
                </c:pt>
                <c:pt idx="4" formatCode="0">
                  <c:v>10875</c:v>
                </c:pt>
                <c:pt idx="5" formatCode="0">
                  <c:v>15606</c:v>
                </c:pt>
                <c:pt idx="6" formatCode="0">
                  <c:v>20128</c:v>
                </c:pt>
                <c:pt idx="7" formatCode="0">
                  <c:v>2326.0352015252429</c:v>
                </c:pt>
                <c:pt idx="8" formatCode="0">
                  <c:v>3265.9802819192701</c:v>
                </c:pt>
                <c:pt idx="9" formatCode="0">
                  <c:v>4849.2989689273527</c:v>
                </c:pt>
                <c:pt idx="10" formatCode="0">
                  <c:v>7251.5076107288478</c:v>
                </c:pt>
                <c:pt idx="11" formatCode="0">
                  <c:v>10622.986398754525</c:v>
                </c:pt>
                <c:pt idx="12" formatCode="0">
                  <c:v>15086.89497525862</c:v>
                </c:pt>
                <c:pt idx="13" formatCode="0">
                  <c:v>20737.751250682515</c:v>
                </c:pt>
                <c:pt idx="14" formatCode="0">
                  <c:v>27640.882841425715</c:v>
                </c:pt>
                <c:pt idx="15" formatCode="0">
                  <c:v>35832.68757103011</c:v>
                </c:pt>
                <c:pt idx="16" formatCode="0">
                  <c:v>45321.602937333519</c:v>
                </c:pt>
                <c:pt idx="17" formatCode="0">
                  <c:v>56089.862919371575</c:v>
                </c:pt>
                <c:pt idx="18" formatCode="0">
                  <c:v>68095.941230707802</c:v>
                </c:pt>
                <c:pt idx="19" formatCode="0">
                  <c:v>81277.408977576066</c:v>
                </c:pt>
                <c:pt idx="20" formatCode="0">
                  <c:v>95591.94856970571</c:v>
                </c:pt>
                <c:pt idx="21" formatCode="0">
                  <c:v>111011.87854120089</c:v>
                </c:pt>
                <c:pt idx="22" formatCode="0">
                  <c:v>127490.64668484638</c:v>
                </c:pt>
                <c:pt idx="23" formatCode="0">
                  <c:v>144966.81046105642</c:v>
                </c:pt>
                <c:pt idx="24" formatCode="0">
                  <c:v>163365.86043513799</c:v>
                </c:pt>
                <c:pt idx="25" formatCode="0">
                  <c:v>182602.87732690945</c:v>
                </c:pt>
                <c:pt idx="26" formatCode="0">
                  <c:v>202585.77387136873</c:v>
                </c:pt>
                <c:pt idx="27" formatCode="0">
                  <c:v>223217.42970266473</c:v>
                </c:pt>
                <c:pt idx="28" formatCode="0">
                  <c:v>244397.56453312933</c:v>
                </c:pt>
                <c:pt idx="29" formatCode="0">
                  <c:v>266024.32249045465</c:v>
                </c:pt>
                <c:pt idx="30" formatCode="0">
                  <c:v>287995.62351753563</c:v>
                </c:pt>
                <c:pt idx="31" formatCode="0">
                  <c:v>310210.27461744286</c:v>
                </c:pt>
                <c:pt idx="32" formatCode="0">
                  <c:v>332568.83189901803</c:v>
                </c:pt>
                <c:pt idx="33" formatCode="0">
                  <c:v>354974.27457528934</c:v>
                </c:pt>
              </c:numCache>
            </c:numRef>
          </c:val>
          <c:extLst>
            <c:ext xmlns:c16="http://schemas.microsoft.com/office/drawing/2014/chart" uri="{C3380CC4-5D6E-409C-BE32-E72D297353CC}">
              <c16:uniqueId val="{00000002-BD78-45BD-AE1C-E05BEE9CB579}"/>
            </c:ext>
          </c:extLst>
        </c:ser>
        <c:ser>
          <c:idx val="3"/>
          <c:order val="3"/>
          <c:tx>
            <c:strRef>
              <c:f>'3中古車海外輸出'!$B$26</c:f>
              <c:strCache>
                <c:ptCount val="1"/>
                <c:pt idx="0">
                  <c:v>PHEVs</c:v>
                </c:pt>
              </c:strCache>
            </c:strRef>
          </c:tx>
          <c:spPr>
            <a:solidFill>
              <a:schemeClr val="tx1">
                <a:lumMod val="50000"/>
                <a:lumOff val="50000"/>
              </a:schemeClr>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'3中古車海外輸出'!$N$26:$AU$26</c:f>
              <c:numCache>
                <c:formatCode>General</c:formatCode>
                <c:ptCount val="34"/>
                <c:pt idx="0">
                  <c:v>757</c:v>
                </c:pt>
                <c:pt idx="1">
                  <c:v>1216</c:v>
                </c:pt>
                <c:pt idx="2">
                  <c:v>1724</c:v>
                </c:pt>
                <c:pt idx="3" formatCode="0">
                  <c:v>1571</c:v>
                </c:pt>
                <c:pt idx="4" formatCode="0">
                  <c:v>2325</c:v>
                </c:pt>
                <c:pt idx="5" formatCode="0">
                  <c:v>4744</c:v>
                </c:pt>
                <c:pt idx="6" formatCode="0">
                  <c:v>5129</c:v>
                </c:pt>
                <c:pt idx="7" formatCode="0">
                  <c:v>2018.5796904628805</c:v>
                </c:pt>
                <c:pt idx="8" formatCode="0">
                  <c:v>2521.2133595541818</c:v>
                </c:pt>
                <c:pt idx="9" formatCode="0">
                  <c:v>3224.4041140484915</c:v>
                </c:pt>
                <c:pt idx="10" formatCode="0">
                  <c:v>4175.2404623172188</c:v>
                </c:pt>
                <c:pt idx="11" formatCode="0">
                  <c:v>5413.6681425789429</c:v>
                </c:pt>
                <c:pt idx="12" formatCode="0">
                  <c:v>6971.9099524955673</c:v>
                </c:pt>
                <c:pt idx="13" formatCode="0">
                  <c:v>8874.0990916620358</c:v>
                </c:pt>
                <c:pt idx="14" formatCode="0">
                  <c:v>11136.168170316843</c:v>
                </c:pt>
                <c:pt idx="15" formatCode="0">
                  <c:v>13765.964756073139</c:v>
                </c:pt>
                <c:pt idx="16" formatCode="0">
                  <c:v>16763.560704183299</c:v>
                </c:pt>
                <c:pt idx="17" formatCode="0">
                  <c:v>20121.780964876059</c:v>
                </c:pt>
                <c:pt idx="18" formatCode="0">
                  <c:v>23826.922303755535</c:v>
                </c:pt>
                <c:pt idx="19" formatCode="0">
                  <c:v>27859.580324430717</c:v>
                </c:pt>
                <c:pt idx="20" formatCode="0">
                  <c:v>32129.744972227607</c:v>
                </c:pt>
                <c:pt idx="21" formatCode="0">
                  <c:v>36493.171566927573</c:v>
                </c:pt>
                <c:pt idx="22" formatCode="0">
                  <c:v>40816.601856528781</c:v>
                </c:pt>
                <c:pt idx="23" formatCode="0">
                  <c:v>44977.632040531491</c:v>
                </c:pt>
                <c:pt idx="24" formatCode="0">
                  <c:v>48866.058905094629</c:v>
                </c:pt>
                <c:pt idx="25" formatCode="0">
                  <c:v>52385.40186419501</c:v>
                </c:pt>
                <c:pt idx="26" formatCode="0">
                  <c:v>55454.185350700282</c:v>
                </c:pt>
                <c:pt idx="27" formatCode="0">
                  <c:v>58006.613444209797</c:v>
                </c:pt>
                <c:pt idx="28" formatCode="0">
                  <c:v>59992.780069327564</c:v>
                </c:pt>
                <c:pt idx="29" formatCode="0">
                  <c:v>61378.428729132633</c:v>
                </c:pt>
                <c:pt idx="30" formatCode="0">
                  <c:v>62144.306634649052</c:v>
                </c:pt>
                <c:pt idx="31" formatCode="0">
                  <c:v>62285.167997020995</c:v>
                </c:pt>
                <c:pt idx="32" formatCode="0">
                  <c:v>61808.492518667481</c:v>
                </c:pt>
                <c:pt idx="33" formatCode="0">
                  <c:v>60732.993239300558</c:v>
                </c:pt>
              </c:numCache>
            </c:numRef>
          </c:val>
          <c:extLst>
            <c:ext xmlns:c16="http://schemas.microsoft.com/office/drawing/2014/chart" uri="{C3380CC4-5D6E-409C-BE32-E72D297353CC}">
              <c16:uniqueId val="{00000003-BD78-45BD-AE1C-E05BEE9CB579}"/>
            </c:ext>
          </c:extLst>
        </c:ser>
        <c:ser>
          <c:idx val="4"/>
          <c:order val="4"/>
          <c:tx>
            <c:strRef>
              <c:f>'3中古車海外輸出'!$B$27</c:f>
              <c:strCache>
                <c:ptCount val="1"/>
                <c:pt idx="0">
                  <c:v>FCVs</c:v>
                </c:pt>
              </c:strCache>
            </c:strRef>
          </c:tx>
          <c:spPr>
            <a:solidFill>
              <a:schemeClr val="accent1"/>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'3中古車海外輸出'!$N$27:$AU$27</c:f>
              <c:numCache>
                <c:formatCode>General</c:formatCode>
                <c:ptCount val="34"/>
                <c:pt idx="7" formatCode="0">
                  <c:v>78.025454636604991</c:v>
                </c:pt>
                <c:pt idx="8" formatCode="0">
                  <c:v>158.13892495722212</c:v>
                </c:pt>
                <c:pt idx="9" formatCode="0">
                  <c:v>316.59673372695761</c:v>
                </c:pt>
                <c:pt idx="10" formatCode="0">
                  <c:v>578.51837317437457</c:v>
                </c:pt>
                <c:pt idx="11" formatCode="0">
                  <c:v>965.66507664092933</c:v>
                </c:pt>
                <c:pt idx="12" formatCode="0">
                  <c:v>1496.1475436282053</c:v>
                </c:pt>
                <c:pt idx="13" formatCode="0">
                  <c:v>2184.2069319936127</c:v>
                </c:pt>
                <c:pt idx="14" formatCode="0">
                  <c:v>3040.1083009187132</c:v>
                </c:pt>
                <c:pt idx="15" formatCode="0">
                  <c:v>4070.1437237607606</c:v>
                </c:pt>
                <c:pt idx="16" formatCode="0">
                  <c:v>5276.7343317049963</c:v>
                </c:pt>
                <c:pt idx="17" formatCode="0">
                  <c:v>6658.642403322825</c:v>
                </c:pt>
                <c:pt idx="18" formatCode="0">
                  <c:v>8211.2809643007058</c:v>
                </c:pt>
                <c:pt idx="19" formatCode="0">
                  <c:v>9927.0855585355894</c:v>
                </c:pt>
                <c:pt idx="20" formatCode="0">
                  <c:v>11795.273646582616</c:v>
                </c:pt>
                <c:pt idx="21" formatCode="0">
                  <c:v>13802.454004273983</c:v>
                </c:pt>
                <c:pt idx="22" formatCode="0">
                  <c:v>15933.738950941712</c:v>
                </c:pt>
                <c:pt idx="23" formatCode="0">
                  <c:v>18173.195248296135</c:v>
                </c:pt>
                <c:pt idx="24" formatCode="0">
                  <c:v>20504.169771487417</c:v>
                </c:pt>
                <c:pt idx="25" formatCode="0">
                  <c:v>22909.721338933683</c:v>
                </c:pt>
                <c:pt idx="26" formatCode="0">
                  <c:v>25373.100210595177</c:v>
                </c:pt>
                <c:pt idx="27" formatCode="0">
                  <c:v>27878.061635899125</c:v>
                </c:pt>
                <c:pt idx="28" formatCode="0">
                  <c:v>30409.115286096698</c:v>
                </c:pt>
                <c:pt idx="29" formatCode="0">
                  <c:v>32951.707764510415</c:v>
                </c:pt>
                <c:pt idx="30" formatCode="0">
                  <c:v>35492.34702148498</c:v>
                </c:pt>
                <c:pt idx="31" formatCode="0">
                  <c:v>38018.671475391719</c:v>
                </c:pt>
                <c:pt idx="32" formatCode="0">
                  <c:v>40519.467446676106</c:v>
                </c:pt>
                <c:pt idx="33" formatCode="0">
                  <c:v>42984.647052972112</c:v>
                </c:pt>
              </c:numCache>
            </c:numRef>
          </c:val>
          <c:extLst>
            <c:ext xmlns:c16="http://schemas.microsoft.com/office/drawing/2014/chart" uri="{C3380CC4-5D6E-409C-BE32-E72D297353CC}">
              <c16:uniqueId val="{00000004-BD78-45BD-AE1C-E05BEE9CB579}"/>
            </c:ext>
          </c:extLst>
        </c:ser>
        <c:ser>
          <c:idx val="6"/>
          <c:order val="5"/>
          <c:tx>
            <c:strRef>
              <c:f>'3中古車海外輸出'!$B$29</c:f>
              <c:strCache>
                <c:ptCount val="1"/>
                <c:pt idx="0">
                  <c:v>Others</c:v>
                </c:pt>
              </c:strCache>
            </c:strRef>
          </c:tx>
          <c:spPr>
            <a:solidFill>
              <a:schemeClr val="accent6"/>
            </a:solidFill>
            <a:ln>
              <a:noFill/>
            </a:ln>
            <a:effectLst/>
          </c:spPr>
          <c:cat>
            <c:numRef>
              <c:f>'3中古車海外輸出'!$N$23:$AU$23</c:f>
              <c:numCache>
                <c:formatCode>General</c:formatCode>
                <c:ptCount val="3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pt idx="25">
                  <c:v>2042</c:v>
                </c:pt>
                <c:pt idx="26">
                  <c:v>2043</c:v>
                </c:pt>
                <c:pt idx="27">
                  <c:v>2044</c:v>
                </c:pt>
                <c:pt idx="28">
                  <c:v>2045</c:v>
                </c:pt>
                <c:pt idx="29">
                  <c:v>2046</c:v>
                </c:pt>
                <c:pt idx="30">
                  <c:v>2047</c:v>
                </c:pt>
                <c:pt idx="31">
                  <c:v>2048</c:v>
                </c:pt>
                <c:pt idx="32">
                  <c:v>2049</c:v>
                </c:pt>
                <c:pt idx="33">
                  <c:v>2050</c:v>
                </c:pt>
              </c:numCache>
            </c:numRef>
          </c:cat>
          <c:val>
            <c:numRef>
              <c:f>'3中古車海外輸出'!$N$29:$AU$29</c:f>
              <c:numCache>
                <c:formatCode>General</c:formatCode>
                <c:ptCount val="34"/>
                <c:pt idx="7" formatCode="0">
                  <c:v>13729.173598804453</c:v>
                </c:pt>
                <c:pt idx="8" formatCode="0">
                  <c:v>15639.701438996068</c:v>
                </c:pt>
                <c:pt idx="9" formatCode="0">
                  <c:v>17469.016526926076</c:v>
                </c:pt>
                <c:pt idx="10" formatCode="0">
                  <c:v>19169.981775564898</c:v>
                </c:pt>
                <c:pt idx="11" formatCode="0">
                  <c:v>20701.731159535877</c:v>
                </c:pt>
                <c:pt idx="12" formatCode="0">
                  <c:v>22029.994371240493</c:v>
                </c:pt>
                <c:pt idx="13" formatCode="0">
                  <c:v>23127.336827058578</c:v>
                </c:pt>
                <c:pt idx="14" formatCode="0">
                  <c:v>23973.227136760601</c:v>
                </c:pt>
                <c:pt idx="15" formatCode="0">
                  <c:v>24553.904533193388</c:v>
                </c:pt>
                <c:pt idx="16" formatCode="0">
                  <c:v>24862.06119671918</c:v>
                </c:pt>
                <c:pt idx="17" formatCode="0">
                  <c:v>24896.373265138071</c:v>
                </c:pt>
                <c:pt idx="18" formatCode="0">
                  <c:v>24660.909276693594</c:v>
                </c:pt>
                <c:pt idx="19" formatCode="0">
                  <c:v>24164.444957649626</c:v>
                </c:pt>
                <c:pt idx="20" formatCode="0">
                  <c:v>23431.503684444411</c:v>
                </c:pt>
                <c:pt idx="21" formatCode="0">
                  <c:v>22498.834103544243</c:v>
                </c:pt>
                <c:pt idx="22" formatCode="0">
                  <c:v>21403.150814438908</c:v>
                </c:pt>
                <c:pt idx="23" formatCode="0">
                  <c:v>20180.601526184706</c:v>
                </c:pt>
                <c:pt idx="24" formatCode="0">
                  <c:v>18865.987189496547</c:v>
                </c:pt>
                <c:pt idx="25" formatCode="0">
                  <c:v>17492.040353192831</c:v>
                </c:pt>
                <c:pt idx="26" formatCode="0">
                  <c:v>16088.82451527653</c:v>
                </c:pt>
                <c:pt idx="27" formatCode="0">
                  <c:v>14683.276376802853</c:v>
                </c:pt>
                <c:pt idx="28" formatCode="0">
                  <c:v>13298.896269992212</c:v>
                </c:pt>
                <c:pt idx="29" formatCode="0">
                  <c:v>11955.582251596745</c:v>
                </c:pt>
                <c:pt idx="30" formatCode="0">
                  <c:v>10669.596703243136</c:v>
                </c:pt>
                <c:pt idx="31" formatCode="0">
                  <c:v>9453.6496807584408</c:v>
                </c:pt>
                <c:pt idx="32" formatCode="0">
                  <c:v>8317.0802937471672</c:v>
                </c:pt>
                <c:pt idx="33" formatCode="0">
                  <c:v>7266.1158455902405</c:v>
                </c:pt>
              </c:numCache>
            </c:numRef>
          </c:val>
          <c:extLst>
            <c:ext xmlns:c16="http://schemas.microsoft.com/office/drawing/2014/chart" uri="{C3380CC4-5D6E-409C-BE32-E72D297353CC}">
              <c16:uniqueId val="{00000005-BD78-45BD-AE1C-E05BEE9CB579}"/>
            </c:ext>
          </c:extLst>
        </c:ser>
        <c:dLbls>
          <c:showLegendKey val="0"/>
          <c:showVal val="0"/>
          <c:showCatName val="0"/>
          <c:showSerName val="0"/>
          <c:showPercent val="0"/>
          <c:showBubbleSize val="0"/>
        </c:dLbls>
        <c:axId val="1276223839"/>
        <c:axId val="1272280639"/>
      </c:areaChart>
      <c:catAx>
        <c:axId val="12762238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ptos" panose="020B0004020202020204" pitchFamily="34" charset="0"/>
                <a:ea typeface="+mn-ea"/>
                <a:cs typeface="+mn-cs"/>
              </a:defRPr>
            </a:pPr>
            <a:endParaRPr lang="ja-JP"/>
          </a:p>
        </c:txPr>
        <c:crossAx val="1272280639"/>
        <c:crosses val="autoZero"/>
        <c:auto val="1"/>
        <c:lblAlgn val="ctr"/>
        <c:lblOffset val="100"/>
        <c:tickLblSkip val="1"/>
        <c:noMultiLvlLbl val="0"/>
      </c:catAx>
      <c:valAx>
        <c:axId val="12722806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ptos" panose="020B0004020202020204" pitchFamily="34" charset="0"/>
                <a:ea typeface="+mn-ea"/>
                <a:cs typeface="+mn-cs"/>
              </a:defRPr>
            </a:pPr>
            <a:endParaRPr lang="ja-JP"/>
          </a:p>
        </c:txPr>
        <c:crossAx val="1276223839"/>
        <c:crosses val="autoZero"/>
        <c:crossBetween val="midCat"/>
        <c:dispUnits>
          <c:builtInUnit val="thousands"/>
          <c:dispUnitsLbl>
            <c:tx>
              <c:rich>
                <a:bodyPr rot="-5400000" spcFirstLastPara="1" vertOverflow="ellipsis" vert="horz" wrap="square" anchor="ctr" anchorCtr="1"/>
                <a:lstStyle/>
                <a:p>
                  <a:pPr>
                    <a:defRPr sz="1100" b="0" i="0" u="none" strike="noStrike" kern="1200" baseline="0">
                      <a:solidFill>
                        <a:schemeClr val="tx1"/>
                      </a:solidFill>
                      <a:latin typeface="Aptos" panose="020B0004020202020204" pitchFamily="34" charset="0"/>
                      <a:ea typeface="+mn-ea"/>
                      <a:cs typeface="+mn-cs"/>
                    </a:defRPr>
                  </a:pPr>
                  <a:r>
                    <a:rPr lang="en-US" altLang="ja-JP"/>
                    <a:t>thousand vehicles</a:t>
                  </a:r>
                  <a:endParaRPr lang="ja-JP" altLang="en-US"/>
                </a:p>
              </c:rich>
            </c:tx>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ptos" panose="020B0004020202020204" pitchFamily="34" charset="0"/>
                    <a:ea typeface="+mn-ea"/>
                    <a:cs typeface="+mn-cs"/>
                  </a:defRPr>
                </a:pPr>
                <a:endParaRPr lang="ja-JP" alt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ptos" panose="020B0004020202020204" pitchFamily="34" charset="0"/>
              <a:ea typeface="+mn-ea"/>
              <a:cs typeface="+mn-cs"/>
            </a:defRPr>
          </a:pPr>
          <a:endParaRPr lang="ja-JP"/>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Aptos" panose="020B0004020202020204" pitchFamily="34" charset="0"/>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Actual result</c:v>
          </c:tx>
          <c:spPr>
            <a:ln w="28575" cap="rnd">
              <a:solidFill>
                <a:schemeClr val="accent1"/>
              </a:solidFill>
              <a:round/>
            </a:ln>
            <a:effectLst/>
          </c:spPr>
          <c:marker>
            <c:symbol val="none"/>
          </c:marker>
          <c:xVal>
            <c:numRef>
              <c:f>Supplementary!$C$1:$AU$1</c:f>
              <c:numCache>
                <c:formatCode>General</c:formatCode>
                <c:ptCount val="4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xVal>
          <c:yVal>
            <c:numRef>
              <c:f>Supplementary!$C$16:$AU$16</c:f>
              <c:numCache>
                <c:formatCode>General</c:formatCode>
                <c:ptCount val="45"/>
                <c:pt idx="7" formatCode="0.00%">
                  <c:v>1.1606975142445682E-5</c:v>
                </c:pt>
                <c:pt idx="8" formatCode="0.00%">
                  <c:v>1.2632655770477208E-4</c:v>
                </c:pt>
                <c:pt idx="9" formatCode="0.00%">
                  <c:v>5.3593532397025849E-3</c:v>
                </c:pt>
                <c:pt idx="10" formatCode="0.00%">
                  <c:v>6.6611042017600481E-3</c:v>
                </c:pt>
                <c:pt idx="11" formatCode="0.00%">
                  <c:v>8.5560239207683637E-3</c:v>
                </c:pt>
                <c:pt idx="12" formatCode="0.00%">
                  <c:v>1.0420547696628769E-2</c:v>
                </c:pt>
                <c:pt idx="13" formatCode="0.00%">
                  <c:v>1.285305203271305E-2</c:v>
                </c:pt>
                <c:pt idx="14" formatCode="0.00%">
                  <c:v>1.6223907218619694E-2</c:v>
                </c:pt>
                <c:pt idx="15" formatCode="0.00%">
                  <c:v>1.7889404152921867E-2</c:v>
                </c:pt>
                <c:pt idx="16" formatCode="0.00%">
                  <c:v>2.10979135153305E-2</c:v>
                </c:pt>
                <c:pt idx="17" formatCode="0.00%">
                  <c:v>2.5187660399520511E-2</c:v>
                </c:pt>
              </c:numCache>
            </c:numRef>
          </c:yVal>
          <c:smooth val="1"/>
          <c:extLst>
            <c:ext xmlns:c16="http://schemas.microsoft.com/office/drawing/2014/chart" uri="{C3380CC4-5D6E-409C-BE32-E72D297353CC}">
              <c16:uniqueId val="{00000000-5088-44D8-974D-743A945B9778}"/>
            </c:ext>
          </c:extLst>
        </c:ser>
        <c:ser>
          <c:idx val="1"/>
          <c:order val="1"/>
          <c:tx>
            <c:v>Prediction (polynomial approximation)</c:v>
          </c:tx>
          <c:spPr>
            <a:ln w="28575" cap="rnd">
              <a:solidFill>
                <a:schemeClr val="accent2"/>
              </a:solidFill>
              <a:round/>
            </a:ln>
            <a:effectLst/>
          </c:spPr>
          <c:marker>
            <c:symbol val="none"/>
          </c:marker>
          <c:xVal>
            <c:numRef>
              <c:f>Supplementary!$C$1:$AU$1</c:f>
              <c:numCache>
                <c:formatCode>General</c:formatCode>
                <c:ptCount val="4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xVal>
          <c:yVal>
            <c:numRef>
              <c:f>Supplementary!$C$17:$AU$17</c:f>
              <c:numCache>
                <c:formatCode>General</c:formatCode>
                <c:ptCount val="45"/>
                <c:pt idx="18" formatCode="0.00%">
                  <c:v>2.8237000000000002E-2</c:v>
                </c:pt>
                <c:pt idx="19" formatCode="0.00%">
                  <c:v>3.1969999999999998E-2</c:v>
                </c:pt>
                <c:pt idx="20" formatCode="0.00%">
                  <c:v>3.5933E-2</c:v>
                </c:pt>
                <c:pt idx="21" formatCode="0.00%">
                  <c:v>4.0126000000000002E-2</c:v>
                </c:pt>
                <c:pt idx="22" formatCode="0.00%">
                  <c:v>4.4549000000000012E-2</c:v>
                </c:pt>
                <c:pt idx="23" formatCode="0.00%">
                  <c:v>4.9202000000000003E-2</c:v>
                </c:pt>
                <c:pt idx="24" formatCode="0.00%">
                  <c:v>5.4085000000000001E-2</c:v>
                </c:pt>
                <c:pt idx="25" formatCode="0.00%">
                  <c:v>5.9198000000000001E-2</c:v>
                </c:pt>
                <c:pt idx="26" formatCode="0.00%">
                  <c:v>6.4541000000000001E-2</c:v>
                </c:pt>
                <c:pt idx="27" formatCode="0.00%">
                  <c:v>7.011400000000001E-2</c:v>
                </c:pt>
                <c:pt idx="28" formatCode="0.00%">
                  <c:v>7.5916999999999998E-2</c:v>
                </c:pt>
                <c:pt idx="29" formatCode="0.00%">
                  <c:v>8.1950000000000009E-2</c:v>
                </c:pt>
                <c:pt idx="30" formatCode="0.00%">
                  <c:v>8.8212999999999986E-2</c:v>
                </c:pt>
                <c:pt idx="31" formatCode="0.00%">
                  <c:v>9.4705999999999999E-2</c:v>
                </c:pt>
                <c:pt idx="32" formatCode="0.00%">
                  <c:v>0.10142899999999999</c:v>
                </c:pt>
                <c:pt idx="33" formatCode="0.00%">
                  <c:v>0.10838199999999999</c:v>
                </c:pt>
                <c:pt idx="34" formatCode="0.00%">
                  <c:v>0.11556499999999997</c:v>
                </c:pt>
                <c:pt idx="35" formatCode="0.00%">
                  <c:v>0.12297799999999999</c:v>
                </c:pt>
                <c:pt idx="36" formatCode="0.00%">
                  <c:v>0.13062099999999999</c:v>
                </c:pt>
                <c:pt idx="37" formatCode="0.00%">
                  <c:v>0.13849400000000001</c:v>
                </c:pt>
                <c:pt idx="38" formatCode="0.00%">
                  <c:v>0.14659699999999998</c:v>
                </c:pt>
                <c:pt idx="39" formatCode="0.00%">
                  <c:v>0.15493000000000001</c:v>
                </c:pt>
                <c:pt idx="40" formatCode="0.00%">
                  <c:v>0.163493</c:v>
                </c:pt>
                <c:pt idx="41" formatCode="0.00%">
                  <c:v>0.17228600000000005</c:v>
                </c:pt>
                <c:pt idx="42" formatCode="0.00%">
                  <c:v>0.18130900000000005</c:v>
                </c:pt>
                <c:pt idx="43" formatCode="0.00%">
                  <c:v>0.19056200000000001</c:v>
                </c:pt>
                <c:pt idx="44" formatCode="0.00%">
                  <c:v>0.200045</c:v>
                </c:pt>
              </c:numCache>
            </c:numRef>
          </c:yVal>
          <c:smooth val="1"/>
          <c:extLst>
            <c:ext xmlns:c16="http://schemas.microsoft.com/office/drawing/2014/chart" uri="{C3380CC4-5D6E-409C-BE32-E72D297353CC}">
              <c16:uniqueId val="{00000001-5088-44D8-974D-743A945B9778}"/>
            </c:ext>
          </c:extLst>
        </c:ser>
        <c:dLbls>
          <c:showLegendKey val="0"/>
          <c:showVal val="0"/>
          <c:showCatName val="0"/>
          <c:showSerName val="0"/>
          <c:showPercent val="0"/>
          <c:showBubbleSize val="0"/>
        </c:dLbls>
        <c:axId val="1652386111"/>
        <c:axId val="1652373151"/>
      </c:scatterChart>
      <c:valAx>
        <c:axId val="1652386111"/>
        <c:scaling>
          <c:orientation val="minMax"/>
          <c:max val="2060"/>
          <c:min val="2000"/>
        </c:scaling>
        <c:delete val="0"/>
        <c:axPos val="b"/>
        <c:title>
          <c:tx>
            <c:rich>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zh-CN"/>
                  <a:t>Year</a:t>
                </a:r>
                <a:endParaRPr lang="ja-JP" altLang="en-US"/>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73151"/>
        <c:crosses val="autoZero"/>
        <c:crossBetween val="midCat"/>
        <c:majorUnit val="10"/>
      </c:valAx>
      <c:valAx>
        <c:axId val="165237315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sz="1050" b="0" i="0" u="none" strike="noStrike" baseline="0">
                    <a:effectLst/>
                  </a:rPr>
                  <a:t>The proportion of registered car-sharing users relative to the total population</a:t>
                </a:r>
                <a:endParaRPr lang="ja-JP" altLang="en-US"/>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8611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Statistic data</c:v>
          </c:tx>
          <c:spPr>
            <a:ln w="28575" cap="rnd">
              <a:solidFill>
                <a:schemeClr val="accent1"/>
              </a:solidFill>
              <a:round/>
            </a:ln>
            <a:effectLst/>
          </c:spPr>
          <c:marker>
            <c:symbol val="none"/>
          </c:marker>
          <c:xVal>
            <c:numRef>
              <c:f>Supplementary!$C$1:$AU$1</c:f>
              <c:numCache>
                <c:formatCode>General</c:formatCode>
                <c:ptCount val="4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xVal>
          <c:yVal>
            <c:numRef>
              <c:f>Supplementary!$C$10:$AU$10</c:f>
              <c:numCache>
                <c:formatCode>General</c:formatCode>
                <c:ptCount val="45"/>
                <c:pt idx="4">
                  <c:v>771747</c:v>
                </c:pt>
                <c:pt idx="5">
                  <c:v>840777</c:v>
                </c:pt>
                <c:pt idx="6">
                  <c:v>892929</c:v>
                </c:pt>
                <c:pt idx="7">
                  <c:v>942406.15099999995</c:v>
                </c:pt>
                <c:pt idx="8">
                  <c:v>973233.46100000001</c:v>
                </c:pt>
                <c:pt idx="9">
                  <c:v>997744.527</c:v>
                </c:pt>
                <c:pt idx="10">
                  <c:v>1002488.996</c:v>
                </c:pt>
                <c:pt idx="11">
                  <c:v>1005710.849</c:v>
                </c:pt>
                <c:pt idx="12">
                  <c:v>1008728.2439999999</c:v>
                </c:pt>
                <c:pt idx="13">
                  <c:v>1014373.782</c:v>
                </c:pt>
                <c:pt idx="14">
                  <c:v>1017066.057</c:v>
                </c:pt>
                <c:pt idx="15" formatCode="#,##0">
                  <c:v>1019536.47</c:v>
                </c:pt>
                <c:pt idx="16" formatCode="#,##0">
                  <c:v>1019536.47</c:v>
                </c:pt>
                <c:pt idx="17" formatCode="#,##0">
                  <c:v>1019536.47</c:v>
                </c:pt>
              </c:numCache>
            </c:numRef>
          </c:yVal>
          <c:smooth val="1"/>
          <c:extLst>
            <c:ext xmlns:c16="http://schemas.microsoft.com/office/drawing/2014/chart" uri="{C3380CC4-5D6E-409C-BE32-E72D297353CC}">
              <c16:uniqueId val="{00000000-C411-4A9D-BAB0-1FDBE85F8575}"/>
            </c:ext>
          </c:extLst>
        </c:ser>
        <c:ser>
          <c:idx val="1"/>
          <c:order val="1"/>
          <c:tx>
            <c:v>Prediction (no change from 2024)</c:v>
          </c:tx>
          <c:spPr>
            <a:ln w="28575" cap="rnd">
              <a:solidFill>
                <a:schemeClr val="accent2"/>
              </a:solidFill>
              <a:round/>
            </a:ln>
            <a:effectLst/>
          </c:spPr>
          <c:marker>
            <c:symbol val="none"/>
          </c:marker>
          <c:xVal>
            <c:numRef>
              <c:f>Supplementary!$C$1:$AU$1</c:f>
              <c:numCache>
                <c:formatCode>General</c:formatCode>
                <c:ptCount val="4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xVal>
          <c:yVal>
            <c:numRef>
              <c:f>Supplementary!$C$11:$AU$11</c:f>
              <c:numCache>
                <c:formatCode>General</c:formatCode>
                <c:ptCount val="45"/>
                <c:pt idx="18" formatCode="#,##0">
                  <c:v>1019536.47</c:v>
                </c:pt>
                <c:pt idx="19" formatCode="#,##0">
                  <c:v>1019536.47</c:v>
                </c:pt>
                <c:pt idx="20" formatCode="#,##0">
                  <c:v>1019536.47</c:v>
                </c:pt>
                <c:pt idx="21" formatCode="#,##0">
                  <c:v>1019536.47</c:v>
                </c:pt>
                <c:pt idx="22" formatCode="#,##0">
                  <c:v>1019536.47</c:v>
                </c:pt>
                <c:pt idx="23" formatCode="#,##0">
                  <c:v>1019536.47</c:v>
                </c:pt>
                <c:pt idx="24" formatCode="#,##0">
                  <c:v>1019536.47</c:v>
                </c:pt>
                <c:pt idx="25" formatCode="#,##0">
                  <c:v>1019536.47</c:v>
                </c:pt>
                <c:pt idx="26" formatCode="#,##0">
                  <c:v>1019536.47</c:v>
                </c:pt>
                <c:pt idx="27" formatCode="#,##0">
                  <c:v>1019536.47</c:v>
                </c:pt>
                <c:pt idx="28" formatCode="#,##0">
                  <c:v>1019536.47</c:v>
                </c:pt>
                <c:pt idx="29" formatCode="#,##0">
                  <c:v>1019536.47</c:v>
                </c:pt>
                <c:pt idx="30" formatCode="#,##0">
                  <c:v>1019536.47</c:v>
                </c:pt>
                <c:pt idx="31" formatCode="#,##0">
                  <c:v>1019536.47</c:v>
                </c:pt>
                <c:pt idx="32" formatCode="#,##0">
                  <c:v>1019536.47</c:v>
                </c:pt>
                <c:pt idx="33" formatCode="#,##0">
                  <c:v>1019536.47</c:v>
                </c:pt>
                <c:pt idx="34" formatCode="#,##0">
                  <c:v>1019536.47</c:v>
                </c:pt>
                <c:pt idx="35" formatCode="#,##0">
                  <c:v>1019536.47</c:v>
                </c:pt>
                <c:pt idx="36" formatCode="#,##0">
                  <c:v>1019536.47</c:v>
                </c:pt>
                <c:pt idx="37" formatCode="#,##0">
                  <c:v>1019536.47</c:v>
                </c:pt>
                <c:pt idx="38" formatCode="#,##0">
                  <c:v>1019536.47</c:v>
                </c:pt>
                <c:pt idx="39" formatCode="#,##0">
                  <c:v>1019536.47</c:v>
                </c:pt>
                <c:pt idx="40" formatCode="#,##0">
                  <c:v>1019536.47</c:v>
                </c:pt>
                <c:pt idx="41" formatCode="#,##0">
                  <c:v>1019536.47</c:v>
                </c:pt>
                <c:pt idx="42" formatCode="#,##0">
                  <c:v>1019536.47</c:v>
                </c:pt>
                <c:pt idx="43" formatCode="#,##0">
                  <c:v>1019536.47</c:v>
                </c:pt>
                <c:pt idx="44" formatCode="#,##0">
                  <c:v>1019536.47</c:v>
                </c:pt>
              </c:numCache>
            </c:numRef>
          </c:yVal>
          <c:smooth val="1"/>
          <c:extLst>
            <c:ext xmlns:c16="http://schemas.microsoft.com/office/drawing/2014/chart" uri="{C3380CC4-5D6E-409C-BE32-E72D297353CC}">
              <c16:uniqueId val="{00000001-C411-4A9D-BAB0-1FDBE85F8575}"/>
            </c:ext>
          </c:extLst>
        </c:ser>
        <c:ser>
          <c:idx val="2"/>
          <c:order val="2"/>
          <c:tx>
            <c:v>Prediction (decrease in proportion to population from 2024)</c:v>
          </c:tx>
          <c:spPr>
            <a:ln w="28575" cap="rnd">
              <a:solidFill>
                <a:schemeClr val="accent3"/>
              </a:solidFill>
              <a:round/>
            </a:ln>
            <a:effectLst/>
          </c:spPr>
          <c:marker>
            <c:symbol val="none"/>
          </c:marker>
          <c:xVal>
            <c:numRef>
              <c:f>Supplementary!$C$1:$AU$1</c:f>
              <c:numCache>
                <c:formatCode>General</c:formatCode>
                <c:ptCount val="4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xVal>
          <c:yVal>
            <c:numRef>
              <c:f>Supplementary!$C$12:$AU$12</c:f>
              <c:numCache>
                <c:formatCode>General</c:formatCode>
                <c:ptCount val="45"/>
                <c:pt idx="18">
                  <c:v>1015836.6821675255</c:v>
                </c:pt>
                <c:pt idx="19">
                  <c:v>1012026.1489789446</c:v>
                </c:pt>
                <c:pt idx="20">
                  <c:v>1008083.8975243485</c:v>
                </c:pt>
                <c:pt idx="21">
                  <c:v>1004038.020619917</c:v>
                </c:pt>
                <c:pt idx="22">
                  <c:v>999906.49504557205</c:v>
                </c:pt>
                <c:pt idx="23">
                  <c:v>995692.65129154059</c:v>
                </c:pt>
                <c:pt idx="24">
                  <c:v>991396.3320118268</c:v>
                </c:pt>
                <c:pt idx="25">
                  <c:v>987016.35711146949</c:v>
                </c:pt>
                <c:pt idx="26">
                  <c:v>982550.2811714632</c:v>
                </c:pt>
                <c:pt idx="27">
                  <c:v>977992.95766655705</c:v>
                </c:pt>
                <c:pt idx="28">
                  <c:v>973343.02948754479</c:v>
                </c:pt>
                <c:pt idx="29">
                  <c:v>968601.63739288982</c:v>
                </c:pt>
                <c:pt idx="30">
                  <c:v>963771.29236242746</c:v>
                </c:pt>
                <c:pt idx="31">
                  <c:v>958856.55087392847</c:v>
                </c:pt>
                <c:pt idx="32">
                  <c:v>953863.89689360082</c:v>
                </c:pt>
                <c:pt idx="33">
                  <c:v>948801.40095976868</c:v>
                </c:pt>
                <c:pt idx="34">
                  <c:v>943678.70051462203</c:v>
                </c:pt>
                <c:pt idx="35">
                  <c:v>938482.78828924545</c:v>
                </c:pt>
                <c:pt idx="36">
                  <c:v>933226.12084157218</c:v>
                </c:pt>
                <c:pt idx="37">
                  <c:v>927921.63332360308</c:v>
                </c:pt>
                <c:pt idx="38">
                  <c:v>922581.95930751506</c:v>
                </c:pt>
                <c:pt idx="39">
                  <c:v>917217.91633046046</c:v>
                </c:pt>
                <c:pt idx="40">
                  <c:v>911837.98796399962</c:v>
                </c:pt>
                <c:pt idx="41">
                  <c:v>906448.33692626818</c:v>
                </c:pt>
                <c:pt idx="42">
                  <c:v>901052.32648790826</c:v>
                </c:pt>
                <c:pt idx="43">
                  <c:v>895650.28445307491</c:v>
                </c:pt>
                <c:pt idx="44">
                  <c:v>890239.92274875951</c:v>
                </c:pt>
              </c:numCache>
            </c:numRef>
          </c:yVal>
          <c:smooth val="1"/>
          <c:extLst>
            <c:ext xmlns:c16="http://schemas.microsoft.com/office/drawing/2014/chart" uri="{C3380CC4-5D6E-409C-BE32-E72D297353CC}">
              <c16:uniqueId val="{00000002-C411-4A9D-BAB0-1FDBE85F8575}"/>
            </c:ext>
          </c:extLst>
        </c:ser>
        <c:dLbls>
          <c:showLegendKey val="0"/>
          <c:showVal val="0"/>
          <c:showCatName val="0"/>
          <c:showSerName val="0"/>
          <c:showPercent val="0"/>
          <c:showBubbleSize val="0"/>
        </c:dLbls>
        <c:axId val="1652386111"/>
        <c:axId val="1652373151"/>
      </c:scatterChart>
      <c:valAx>
        <c:axId val="1652386111"/>
        <c:scaling>
          <c:orientation val="minMax"/>
          <c:max val="2050"/>
          <c:min val="1990"/>
        </c:scaling>
        <c:delete val="0"/>
        <c:axPos val="b"/>
        <c:title>
          <c:tx>
            <c:rich>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zh-CN"/>
                  <a:t>Year</a:t>
                </a:r>
                <a:endParaRPr lang="ja-JP" altLang="en-US"/>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73151"/>
        <c:crosses val="autoZero"/>
        <c:crossBetween val="midCat"/>
      </c:valAx>
      <c:valAx>
        <c:axId val="165237315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de-DE" altLang="ja-JP"/>
                  <a:t>Total actual length of paved roads (km)</a:t>
                </a:r>
                <a:endParaRPr lang="ja-JP" altLang="en-US"/>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8611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Statistic data</c:v>
          </c:tx>
          <c:spPr>
            <a:ln w="28575" cap="rnd">
              <a:solidFill>
                <a:schemeClr val="accent1"/>
              </a:solidFill>
              <a:round/>
            </a:ln>
            <a:effectLst/>
          </c:spPr>
          <c:marker>
            <c:symbol val="none"/>
          </c:marker>
          <c:xVal>
            <c:numRef>
              <c:f>Supplementary!$C$1:$AU$1</c:f>
              <c:numCache>
                <c:formatCode>General</c:formatCode>
                <c:ptCount val="4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xVal>
          <c:yVal>
            <c:numRef>
              <c:f>Supplementary!$C$13:$AU$13</c:f>
              <c:numCache>
                <c:formatCode>General</c:formatCode>
                <c:ptCount val="45"/>
                <c:pt idx="0">
                  <c:v>8690</c:v>
                </c:pt>
                <c:pt idx="1">
                  <c:v>7712</c:v>
                </c:pt>
                <c:pt idx="2">
                  <c:v>6983</c:v>
                </c:pt>
                <c:pt idx="3">
                  <c:v>6938</c:v>
                </c:pt>
                <c:pt idx="4">
                  <c:v>6661</c:v>
                </c:pt>
                <c:pt idx="5">
                  <c:v>6627</c:v>
                </c:pt>
                <c:pt idx="6">
                  <c:v>6647</c:v>
                </c:pt>
                <c:pt idx="7">
                  <c:v>6714</c:v>
                </c:pt>
                <c:pt idx="8">
                  <c:v>6758</c:v>
                </c:pt>
                <c:pt idx="9">
                  <c:v>6794</c:v>
                </c:pt>
                <c:pt idx="10">
                  <c:v>6767.8</c:v>
                </c:pt>
                <c:pt idx="11">
                  <c:v>6741.6</c:v>
                </c:pt>
                <c:pt idx="12">
                  <c:v>6715.4</c:v>
                </c:pt>
                <c:pt idx="13">
                  <c:v>6689.2</c:v>
                </c:pt>
                <c:pt idx="14">
                  <c:v>6663</c:v>
                </c:pt>
                <c:pt idx="15" formatCode="#,##0">
                  <c:v>6663</c:v>
                </c:pt>
                <c:pt idx="16">
                  <c:v>6663</c:v>
                </c:pt>
                <c:pt idx="17">
                  <c:v>6663</c:v>
                </c:pt>
              </c:numCache>
            </c:numRef>
          </c:yVal>
          <c:smooth val="1"/>
          <c:extLst>
            <c:ext xmlns:c16="http://schemas.microsoft.com/office/drawing/2014/chart" uri="{C3380CC4-5D6E-409C-BE32-E72D297353CC}">
              <c16:uniqueId val="{00000000-57EF-4FD6-99F9-513308353F78}"/>
            </c:ext>
          </c:extLst>
        </c:ser>
        <c:ser>
          <c:idx val="1"/>
          <c:order val="1"/>
          <c:tx>
            <c:v>Prediction (decrease due to depopulation from 2024)</c:v>
          </c:tx>
          <c:spPr>
            <a:ln w="28575" cap="rnd">
              <a:solidFill>
                <a:schemeClr val="accent2"/>
              </a:solidFill>
              <a:round/>
            </a:ln>
            <a:effectLst/>
          </c:spPr>
          <c:marker>
            <c:symbol val="none"/>
          </c:marker>
          <c:xVal>
            <c:numRef>
              <c:f>Supplementary!$C$1:$AU$1</c:f>
              <c:numCache>
                <c:formatCode>General</c:formatCode>
                <c:ptCount val="4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xVal>
          <c:yVal>
            <c:numRef>
              <c:f>Supplementary!$C$14:$AU$14</c:f>
              <c:numCache>
                <c:formatCode>General</c:formatCode>
                <c:ptCount val="45"/>
                <c:pt idx="18">
                  <c:v>6632.7758649970392</c:v>
                </c:pt>
                <c:pt idx="19">
                  <c:v>6601.6470341721924</c:v>
                </c:pt>
                <c:pt idx="20">
                  <c:v>6569.4421766034693</c:v>
                </c:pt>
                <c:pt idx="21">
                  <c:v>6536.3907868206343</c:v>
                </c:pt>
                <c:pt idx="22">
                  <c:v>6502.6397198996801</c:v>
                </c:pt>
                <c:pt idx="23">
                  <c:v>6468.2161831267467</c:v>
                </c:pt>
                <c:pt idx="24">
                  <c:v>6433.118891118238</c:v>
                </c:pt>
                <c:pt idx="25">
                  <c:v>6397.3382034971737</c:v>
                </c:pt>
                <c:pt idx="26">
                  <c:v>6360.8541432601451</c:v>
                </c:pt>
                <c:pt idx="27">
                  <c:v>6323.6246676519941</c:v>
                </c:pt>
                <c:pt idx="28">
                  <c:v>6285.6386902391914</c:v>
                </c:pt>
                <c:pt idx="29">
                  <c:v>6246.9055300528189</c:v>
                </c:pt>
                <c:pt idx="30">
                  <c:v>6207.4456996727813</c:v>
                </c:pt>
                <c:pt idx="31">
                  <c:v>6167.296421665752</c:v>
                </c:pt>
                <c:pt idx="32">
                  <c:v>6126.5106645474671</c:v>
                </c:pt>
                <c:pt idx="33">
                  <c:v>6085.1543577849388</c:v>
                </c:pt>
                <c:pt idx="34">
                  <c:v>6043.3062311234999</c:v>
                </c:pt>
                <c:pt idx="35">
                  <c:v>6000.8600261857755</c:v>
                </c:pt>
                <c:pt idx="36">
                  <c:v>5957.9175025065497</c:v>
                </c:pt>
                <c:pt idx="37">
                  <c:v>5914.5843293290518</c:v>
                </c:pt>
                <c:pt idx="38">
                  <c:v>5870.9637122446102</c:v>
                </c:pt>
                <c:pt idx="39">
                  <c:v>5827.1440213755395</c:v>
                </c:pt>
                <c:pt idx="40">
                  <c:v>5783.1945603207914</c:v>
                </c:pt>
                <c:pt idx="41">
                  <c:v>5739.1656732712618</c:v>
                </c:pt>
                <c:pt idx="42">
                  <c:v>5695.0848353013453</c:v>
                </c:pt>
                <c:pt idx="43">
                  <c:v>5650.9547242935287</c:v>
                </c:pt>
                <c:pt idx="44">
                  <c:v>5606.7566486280084</c:v>
                </c:pt>
              </c:numCache>
            </c:numRef>
          </c:yVal>
          <c:smooth val="1"/>
          <c:extLst>
            <c:ext xmlns:c16="http://schemas.microsoft.com/office/drawing/2014/chart" uri="{C3380CC4-5D6E-409C-BE32-E72D297353CC}">
              <c16:uniqueId val="{00000001-57EF-4FD6-99F9-513308353F78}"/>
            </c:ext>
          </c:extLst>
        </c:ser>
        <c:ser>
          <c:idx val="2"/>
          <c:order val="2"/>
          <c:tx>
            <c:v>Prediction (keep the same level by compact land use)</c:v>
          </c:tx>
          <c:spPr>
            <a:ln w="28575" cap="rnd">
              <a:solidFill>
                <a:schemeClr val="accent3"/>
              </a:solidFill>
              <a:round/>
            </a:ln>
            <a:effectLst/>
          </c:spPr>
          <c:marker>
            <c:symbol val="none"/>
          </c:marker>
          <c:xVal>
            <c:numRef>
              <c:f>Supplementary!$C$1:$AU$1</c:f>
              <c:numCache>
                <c:formatCode>General</c:formatCode>
                <c:ptCount val="45"/>
                <c:pt idx="0">
                  <c:v>1970</c:v>
                </c:pt>
                <c:pt idx="1">
                  <c:v>1975</c:v>
                </c:pt>
                <c:pt idx="2">
                  <c:v>1980</c:v>
                </c:pt>
                <c:pt idx="3">
                  <c:v>1985</c:v>
                </c:pt>
                <c:pt idx="4">
                  <c:v>1990</c:v>
                </c:pt>
                <c:pt idx="5">
                  <c:v>1995</c:v>
                </c:pt>
                <c:pt idx="6">
                  <c:v>2000</c:v>
                </c:pt>
                <c:pt idx="7">
                  <c:v>2005</c:v>
                </c:pt>
                <c:pt idx="8">
                  <c:v>2010</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pt idx="35">
                  <c:v>2041</c:v>
                </c:pt>
                <c:pt idx="36">
                  <c:v>2042</c:v>
                </c:pt>
                <c:pt idx="37">
                  <c:v>2043</c:v>
                </c:pt>
                <c:pt idx="38">
                  <c:v>2044</c:v>
                </c:pt>
                <c:pt idx="39">
                  <c:v>2045</c:v>
                </c:pt>
                <c:pt idx="40">
                  <c:v>2046</c:v>
                </c:pt>
                <c:pt idx="41">
                  <c:v>2047</c:v>
                </c:pt>
                <c:pt idx="42">
                  <c:v>2048</c:v>
                </c:pt>
                <c:pt idx="43">
                  <c:v>2049</c:v>
                </c:pt>
                <c:pt idx="44">
                  <c:v>2050</c:v>
                </c:pt>
              </c:numCache>
            </c:numRef>
          </c:xVal>
          <c:yVal>
            <c:numRef>
              <c:f>Supplementary!$C$15:$AU$15</c:f>
              <c:numCache>
                <c:formatCode>General</c:formatCode>
                <c:ptCount val="45"/>
                <c:pt idx="18">
                  <c:v>6663</c:v>
                </c:pt>
                <c:pt idx="19">
                  <c:v>6663</c:v>
                </c:pt>
                <c:pt idx="20">
                  <c:v>6663</c:v>
                </c:pt>
                <c:pt idx="21">
                  <c:v>6663</c:v>
                </c:pt>
                <c:pt idx="22">
                  <c:v>6663</c:v>
                </c:pt>
                <c:pt idx="23">
                  <c:v>6663</c:v>
                </c:pt>
                <c:pt idx="24">
                  <c:v>6663</c:v>
                </c:pt>
                <c:pt idx="25">
                  <c:v>6663</c:v>
                </c:pt>
                <c:pt idx="26">
                  <c:v>6663</c:v>
                </c:pt>
                <c:pt idx="27">
                  <c:v>6663</c:v>
                </c:pt>
                <c:pt idx="28">
                  <c:v>6663</c:v>
                </c:pt>
                <c:pt idx="29">
                  <c:v>6663</c:v>
                </c:pt>
                <c:pt idx="30">
                  <c:v>6663</c:v>
                </c:pt>
                <c:pt idx="31">
                  <c:v>6663</c:v>
                </c:pt>
                <c:pt idx="32">
                  <c:v>6663</c:v>
                </c:pt>
                <c:pt idx="33">
                  <c:v>6663</c:v>
                </c:pt>
                <c:pt idx="34">
                  <c:v>6663</c:v>
                </c:pt>
                <c:pt idx="35">
                  <c:v>6663</c:v>
                </c:pt>
                <c:pt idx="36">
                  <c:v>6663</c:v>
                </c:pt>
                <c:pt idx="37">
                  <c:v>6663</c:v>
                </c:pt>
                <c:pt idx="38">
                  <c:v>6663</c:v>
                </c:pt>
                <c:pt idx="39">
                  <c:v>6663</c:v>
                </c:pt>
                <c:pt idx="40">
                  <c:v>6663</c:v>
                </c:pt>
                <c:pt idx="41">
                  <c:v>6663</c:v>
                </c:pt>
                <c:pt idx="42">
                  <c:v>6663</c:v>
                </c:pt>
                <c:pt idx="43">
                  <c:v>6663</c:v>
                </c:pt>
                <c:pt idx="44">
                  <c:v>6663</c:v>
                </c:pt>
              </c:numCache>
            </c:numRef>
          </c:yVal>
          <c:smooth val="1"/>
          <c:extLst>
            <c:ext xmlns:c16="http://schemas.microsoft.com/office/drawing/2014/chart" uri="{C3380CC4-5D6E-409C-BE32-E72D297353CC}">
              <c16:uniqueId val="{00000002-57EF-4FD6-99F9-513308353F78}"/>
            </c:ext>
          </c:extLst>
        </c:ser>
        <c:dLbls>
          <c:showLegendKey val="0"/>
          <c:showVal val="0"/>
          <c:showCatName val="0"/>
          <c:showSerName val="0"/>
          <c:showPercent val="0"/>
          <c:showBubbleSize val="0"/>
        </c:dLbls>
        <c:axId val="1652386111"/>
        <c:axId val="1652373151"/>
      </c:scatterChart>
      <c:valAx>
        <c:axId val="1652386111"/>
        <c:scaling>
          <c:orientation val="minMax"/>
          <c:max val="2050"/>
          <c:min val="1970"/>
        </c:scaling>
        <c:delete val="0"/>
        <c:axPos val="b"/>
        <c:title>
          <c:tx>
            <c:rich>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zh-CN"/>
                  <a:t>Year</a:t>
                </a:r>
                <a:endParaRPr lang="ja-JP" altLang="en-US"/>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73151"/>
        <c:crosses val="autoZero"/>
        <c:crossBetween val="midCat"/>
        <c:majorUnit val="10"/>
      </c:valAx>
      <c:valAx>
        <c:axId val="165237315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de-DE" altLang="ja-JP"/>
                  <a:t>Density of densely inhabited district (persons/km2)</a:t>
                </a:r>
                <a:endParaRPr lang="ja-JP" altLang="en-US"/>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86111"/>
        <c:crosses val="autoZero"/>
        <c:crossBetween val="midCat"/>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Statistic data</c:v>
          </c:tx>
          <c:spPr>
            <a:ln w="19050" cap="rnd">
              <a:solidFill>
                <a:schemeClr val="accent1"/>
              </a:solidFill>
              <a:round/>
            </a:ln>
            <a:effectLst/>
          </c:spPr>
          <c:marker>
            <c:symbol val="none"/>
          </c:marker>
          <c:xVal>
            <c:numRef>
              <c:f>Supplementary!$B$24:$CH$24</c:f>
              <c:numCache>
                <c:formatCode>General</c:formatCode>
                <c:ptCount val="8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pt idx="55">
                  <c:v>2021</c:v>
                </c:pt>
                <c:pt idx="56">
                  <c:v>2022</c:v>
                </c:pt>
                <c:pt idx="57">
                  <c:v>2023</c:v>
                </c:pt>
                <c:pt idx="58">
                  <c:v>2024</c:v>
                </c:pt>
                <c:pt idx="59">
                  <c:v>2025</c:v>
                </c:pt>
                <c:pt idx="60">
                  <c:v>2026</c:v>
                </c:pt>
                <c:pt idx="61">
                  <c:v>2027</c:v>
                </c:pt>
                <c:pt idx="62">
                  <c:v>2028</c:v>
                </c:pt>
                <c:pt idx="63">
                  <c:v>2029</c:v>
                </c:pt>
                <c:pt idx="64">
                  <c:v>2030</c:v>
                </c:pt>
                <c:pt idx="65">
                  <c:v>2031</c:v>
                </c:pt>
                <c:pt idx="66">
                  <c:v>2032</c:v>
                </c:pt>
                <c:pt idx="67">
                  <c:v>2033</c:v>
                </c:pt>
                <c:pt idx="68">
                  <c:v>2034</c:v>
                </c:pt>
                <c:pt idx="69">
                  <c:v>2035</c:v>
                </c:pt>
                <c:pt idx="70">
                  <c:v>2036</c:v>
                </c:pt>
                <c:pt idx="71">
                  <c:v>2037</c:v>
                </c:pt>
                <c:pt idx="72">
                  <c:v>2038</c:v>
                </c:pt>
                <c:pt idx="73">
                  <c:v>2039</c:v>
                </c:pt>
                <c:pt idx="74">
                  <c:v>2040</c:v>
                </c:pt>
                <c:pt idx="75">
                  <c:v>2041</c:v>
                </c:pt>
                <c:pt idx="76">
                  <c:v>2042</c:v>
                </c:pt>
                <c:pt idx="77">
                  <c:v>2043</c:v>
                </c:pt>
                <c:pt idx="78">
                  <c:v>2044</c:v>
                </c:pt>
                <c:pt idx="79">
                  <c:v>2045</c:v>
                </c:pt>
                <c:pt idx="80">
                  <c:v>2046</c:v>
                </c:pt>
                <c:pt idx="81">
                  <c:v>2047</c:v>
                </c:pt>
                <c:pt idx="82">
                  <c:v>2048</c:v>
                </c:pt>
                <c:pt idx="83">
                  <c:v>2049</c:v>
                </c:pt>
                <c:pt idx="84">
                  <c:v>2050</c:v>
                </c:pt>
              </c:numCache>
            </c:numRef>
          </c:xVal>
          <c:yVal>
            <c:numRef>
              <c:f>Supplementary!$B$25:$CH$25</c:f>
              <c:numCache>
                <c:formatCode>General</c:formatCode>
                <c:ptCount val="85"/>
                <c:pt idx="0">
                  <c:v>2289665</c:v>
                </c:pt>
                <c:pt idx="1">
                  <c:v>2996254</c:v>
                </c:pt>
                <c:pt idx="2">
                  <c:v>4091752</c:v>
                </c:pt>
                <c:pt idx="3">
                  <c:v>5514190</c:v>
                </c:pt>
                <c:pt idx="4">
                  <c:v>7270573</c:v>
                </c:pt>
                <c:pt idx="5">
                  <c:v>9104593</c:v>
                </c:pt>
                <c:pt idx="6">
                  <c:v>10915284</c:v>
                </c:pt>
                <c:pt idx="7">
                  <c:v>12964298</c:v>
                </c:pt>
                <c:pt idx="8">
                  <c:v>14551868</c:v>
                </c:pt>
                <c:pt idx="9">
                  <c:v>16044338</c:v>
                </c:pt>
                <c:pt idx="10">
                  <c:v>17377551</c:v>
                </c:pt>
                <c:pt idx="11">
                  <c:v>18618213</c:v>
                </c:pt>
                <c:pt idx="12">
                  <c:v>19942495</c:v>
                </c:pt>
                <c:pt idx="13">
                  <c:v>21409307</c:v>
                </c:pt>
                <c:pt idx="14">
                  <c:v>22751052</c:v>
                </c:pt>
                <c:pt idx="15">
                  <c:v>23646119</c:v>
                </c:pt>
                <c:pt idx="16">
                  <c:v>24578524</c:v>
                </c:pt>
                <c:pt idx="17">
                  <c:v>25435492</c:v>
                </c:pt>
                <c:pt idx="18">
                  <c:v>26320361</c:v>
                </c:pt>
                <c:pt idx="19">
                  <c:v>27038220</c:v>
                </c:pt>
                <c:pt idx="20">
                  <c:v>27790194</c:v>
                </c:pt>
                <c:pt idx="21">
                  <c:v>28538497</c:v>
                </c:pt>
                <c:pt idx="22">
                  <c:v>29601092</c:v>
                </c:pt>
                <c:pt idx="23">
                  <c:v>30712558</c:v>
                </c:pt>
                <c:pt idx="24">
                  <c:v>32937813</c:v>
                </c:pt>
                <c:pt idx="25">
                  <c:v>35151831</c:v>
                </c:pt>
                <c:pt idx="26">
                  <c:v>37310632</c:v>
                </c:pt>
                <c:pt idx="27">
                  <c:v>39164550</c:v>
                </c:pt>
                <c:pt idx="28">
                  <c:v>41060611</c:v>
                </c:pt>
                <c:pt idx="29">
                  <c:v>42956339</c:v>
                </c:pt>
                <c:pt idx="30">
                  <c:v>45068530</c:v>
                </c:pt>
                <c:pt idx="31">
                  <c:v>47214826</c:v>
                </c:pt>
                <c:pt idx="32">
                  <c:v>48684206</c:v>
                </c:pt>
                <c:pt idx="33">
                  <c:v>49968149</c:v>
                </c:pt>
                <c:pt idx="34">
                  <c:v>51222129</c:v>
                </c:pt>
                <c:pt idx="35">
                  <c:v>52449354</c:v>
                </c:pt>
                <c:pt idx="36">
                  <c:v>53487293</c:v>
                </c:pt>
                <c:pt idx="37">
                  <c:v>54471376</c:v>
                </c:pt>
                <c:pt idx="38">
                  <c:v>55288124</c:v>
                </c:pt>
                <c:pt idx="39">
                  <c:v>56288256</c:v>
                </c:pt>
                <c:pt idx="40">
                  <c:v>57097670</c:v>
                </c:pt>
                <c:pt idx="41">
                  <c:v>57510360</c:v>
                </c:pt>
                <c:pt idx="42">
                  <c:v>57551248</c:v>
                </c:pt>
                <c:pt idx="43">
                  <c:v>57682475</c:v>
                </c:pt>
                <c:pt idx="44">
                  <c:v>57902835</c:v>
                </c:pt>
                <c:pt idx="45">
                  <c:v>58139471</c:v>
                </c:pt>
                <c:pt idx="46">
                  <c:v>58729343</c:v>
                </c:pt>
                <c:pt idx="47">
                  <c:v>59357223</c:v>
                </c:pt>
                <c:pt idx="48">
                  <c:v>60051338</c:v>
                </c:pt>
                <c:pt idx="49">
                  <c:v>60517249</c:v>
                </c:pt>
                <c:pt idx="50">
                  <c:v>60831892</c:v>
                </c:pt>
                <c:pt idx="51">
                  <c:v>61253300</c:v>
                </c:pt>
                <c:pt idx="52">
                  <c:v>61584906</c:v>
                </c:pt>
                <c:pt idx="53">
                  <c:v>61770573</c:v>
                </c:pt>
                <c:pt idx="54">
                  <c:v>61808586</c:v>
                </c:pt>
                <c:pt idx="55">
                  <c:v>61917112</c:v>
                </c:pt>
                <c:pt idx="56">
                  <c:v>61867152</c:v>
                </c:pt>
                <c:pt idx="57">
                  <c:v>61953135</c:v>
                </c:pt>
              </c:numCache>
            </c:numRef>
          </c:yVal>
          <c:smooth val="1"/>
          <c:extLst>
            <c:ext xmlns:c16="http://schemas.microsoft.com/office/drawing/2014/chart" uri="{C3380CC4-5D6E-409C-BE32-E72D297353CC}">
              <c16:uniqueId val="{00000000-DF0A-4302-A544-8D2F1563D9D1}"/>
            </c:ext>
          </c:extLst>
        </c:ser>
        <c:ser>
          <c:idx val="1"/>
          <c:order val="1"/>
          <c:tx>
            <c:v>Prediction (business as usual)</c:v>
          </c:tx>
          <c:spPr>
            <a:ln w="19050" cap="rnd">
              <a:solidFill>
                <a:schemeClr val="accent2"/>
              </a:solidFill>
              <a:round/>
            </a:ln>
            <a:effectLst/>
          </c:spPr>
          <c:marker>
            <c:symbol val="none"/>
          </c:marker>
          <c:xVal>
            <c:numRef>
              <c:f>Supplementary!$B$24:$CH$24</c:f>
              <c:numCache>
                <c:formatCode>General</c:formatCode>
                <c:ptCount val="8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pt idx="55">
                  <c:v>2021</c:v>
                </c:pt>
                <c:pt idx="56">
                  <c:v>2022</c:v>
                </c:pt>
                <c:pt idx="57">
                  <c:v>2023</c:v>
                </c:pt>
                <c:pt idx="58">
                  <c:v>2024</c:v>
                </c:pt>
                <c:pt idx="59">
                  <c:v>2025</c:v>
                </c:pt>
                <c:pt idx="60">
                  <c:v>2026</c:v>
                </c:pt>
                <c:pt idx="61">
                  <c:v>2027</c:v>
                </c:pt>
                <c:pt idx="62">
                  <c:v>2028</c:v>
                </c:pt>
                <c:pt idx="63">
                  <c:v>2029</c:v>
                </c:pt>
                <c:pt idx="64">
                  <c:v>2030</c:v>
                </c:pt>
                <c:pt idx="65">
                  <c:v>2031</c:v>
                </c:pt>
                <c:pt idx="66">
                  <c:v>2032</c:v>
                </c:pt>
                <c:pt idx="67">
                  <c:v>2033</c:v>
                </c:pt>
                <c:pt idx="68">
                  <c:v>2034</c:v>
                </c:pt>
                <c:pt idx="69">
                  <c:v>2035</c:v>
                </c:pt>
                <c:pt idx="70">
                  <c:v>2036</c:v>
                </c:pt>
                <c:pt idx="71">
                  <c:v>2037</c:v>
                </c:pt>
                <c:pt idx="72">
                  <c:v>2038</c:v>
                </c:pt>
                <c:pt idx="73">
                  <c:v>2039</c:v>
                </c:pt>
                <c:pt idx="74">
                  <c:v>2040</c:v>
                </c:pt>
                <c:pt idx="75">
                  <c:v>2041</c:v>
                </c:pt>
                <c:pt idx="76">
                  <c:v>2042</c:v>
                </c:pt>
                <c:pt idx="77">
                  <c:v>2043</c:v>
                </c:pt>
                <c:pt idx="78">
                  <c:v>2044</c:v>
                </c:pt>
                <c:pt idx="79">
                  <c:v>2045</c:v>
                </c:pt>
                <c:pt idx="80">
                  <c:v>2046</c:v>
                </c:pt>
                <c:pt idx="81">
                  <c:v>2047</c:v>
                </c:pt>
                <c:pt idx="82">
                  <c:v>2048</c:v>
                </c:pt>
                <c:pt idx="83">
                  <c:v>2049</c:v>
                </c:pt>
                <c:pt idx="84">
                  <c:v>2050</c:v>
                </c:pt>
              </c:numCache>
            </c:numRef>
          </c:xVal>
          <c:yVal>
            <c:numRef>
              <c:f>Supplementary!$B$26:$CH$26</c:f>
              <c:numCache>
                <c:formatCode>General</c:formatCode>
                <c:ptCount val="85"/>
                <c:pt idx="58">
                  <c:v>60907975.362092026</c:v>
                </c:pt>
                <c:pt idx="59">
                  <c:v>60800438.153793231</c:v>
                </c:pt>
                <c:pt idx="60">
                  <c:v>60672813.985888496</c:v>
                </c:pt>
                <c:pt idx="61">
                  <c:v>60526402.449850209</c:v>
                </c:pt>
                <c:pt idx="62">
                  <c:v>60362260.900069512</c:v>
                </c:pt>
                <c:pt idx="63">
                  <c:v>60181136.893812262</c:v>
                </c:pt>
                <c:pt idx="64">
                  <c:v>59983654.928490706</c:v>
                </c:pt>
                <c:pt idx="65">
                  <c:v>59770363.108914271</c:v>
                </c:pt>
                <c:pt idx="66">
                  <c:v>59541735.343993843</c:v>
                </c:pt>
                <c:pt idx="67">
                  <c:v>59298153.305651926</c:v>
                </c:pt>
                <c:pt idx="68">
                  <c:v>59040017.739042565</c:v>
                </c:pt>
                <c:pt idx="69">
                  <c:v>58767732.308130942</c:v>
                </c:pt>
                <c:pt idx="70">
                  <c:v>58481689.374046952</c:v>
                </c:pt>
                <c:pt idx="71">
                  <c:v>58182284.865174823</c:v>
                </c:pt>
                <c:pt idx="72">
                  <c:v>57869919.714213595</c:v>
                </c:pt>
                <c:pt idx="73">
                  <c:v>57544997.20195704</c:v>
                </c:pt>
                <c:pt idx="74">
                  <c:v>57207925.222513944</c:v>
                </c:pt>
                <c:pt idx="75">
                  <c:v>56858717.502896868</c:v>
                </c:pt>
                <c:pt idx="76">
                  <c:v>56497791.486905083</c:v>
                </c:pt>
                <c:pt idx="77">
                  <c:v>56125557.390587628</c:v>
                </c:pt>
                <c:pt idx="78">
                  <c:v>55742406.666340008</c:v>
                </c:pt>
                <c:pt idx="79">
                  <c:v>55348688.024347417</c:v>
                </c:pt>
                <c:pt idx="80">
                  <c:v>54944699.793835446</c:v>
                </c:pt>
                <c:pt idx="81">
                  <c:v>54530691.007150188</c:v>
                </c:pt>
                <c:pt idx="82">
                  <c:v>54106854.269207999</c:v>
                </c:pt>
                <c:pt idx="83">
                  <c:v>53673322.64176698</c:v>
                </c:pt>
                <c:pt idx="84">
                  <c:v>53230177.433041126</c:v>
                </c:pt>
              </c:numCache>
            </c:numRef>
          </c:yVal>
          <c:smooth val="1"/>
          <c:extLst>
            <c:ext xmlns:c16="http://schemas.microsoft.com/office/drawing/2014/chart" uri="{C3380CC4-5D6E-409C-BE32-E72D297353CC}">
              <c16:uniqueId val="{00000001-DF0A-4302-A544-8D2F1563D9D1}"/>
            </c:ext>
          </c:extLst>
        </c:ser>
        <c:ser>
          <c:idx val="2"/>
          <c:order val="2"/>
          <c:tx>
            <c:v>Prediction (car sharing &amp; compact city)</c:v>
          </c:tx>
          <c:spPr>
            <a:ln w="19050" cap="rnd">
              <a:solidFill>
                <a:schemeClr val="accent3"/>
              </a:solidFill>
              <a:round/>
            </a:ln>
            <a:effectLst/>
          </c:spPr>
          <c:marker>
            <c:symbol val="none"/>
          </c:marker>
          <c:xVal>
            <c:numRef>
              <c:f>Supplementary!$B$24:$CH$24</c:f>
              <c:numCache>
                <c:formatCode>General</c:formatCode>
                <c:ptCount val="8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pt idx="55">
                  <c:v>2021</c:v>
                </c:pt>
                <c:pt idx="56">
                  <c:v>2022</c:v>
                </c:pt>
                <c:pt idx="57">
                  <c:v>2023</c:v>
                </c:pt>
                <c:pt idx="58">
                  <c:v>2024</c:v>
                </c:pt>
                <c:pt idx="59">
                  <c:v>2025</c:v>
                </c:pt>
                <c:pt idx="60">
                  <c:v>2026</c:v>
                </c:pt>
                <c:pt idx="61">
                  <c:v>2027</c:v>
                </c:pt>
                <c:pt idx="62">
                  <c:v>2028</c:v>
                </c:pt>
                <c:pt idx="63">
                  <c:v>2029</c:v>
                </c:pt>
                <c:pt idx="64">
                  <c:v>2030</c:v>
                </c:pt>
                <c:pt idx="65">
                  <c:v>2031</c:v>
                </c:pt>
                <c:pt idx="66">
                  <c:v>2032</c:v>
                </c:pt>
                <c:pt idx="67">
                  <c:v>2033</c:v>
                </c:pt>
                <c:pt idx="68">
                  <c:v>2034</c:v>
                </c:pt>
                <c:pt idx="69">
                  <c:v>2035</c:v>
                </c:pt>
                <c:pt idx="70">
                  <c:v>2036</c:v>
                </c:pt>
                <c:pt idx="71">
                  <c:v>2037</c:v>
                </c:pt>
                <c:pt idx="72">
                  <c:v>2038</c:v>
                </c:pt>
                <c:pt idx="73">
                  <c:v>2039</c:v>
                </c:pt>
                <c:pt idx="74">
                  <c:v>2040</c:v>
                </c:pt>
                <c:pt idx="75">
                  <c:v>2041</c:v>
                </c:pt>
                <c:pt idx="76">
                  <c:v>2042</c:v>
                </c:pt>
                <c:pt idx="77">
                  <c:v>2043</c:v>
                </c:pt>
                <c:pt idx="78">
                  <c:v>2044</c:v>
                </c:pt>
                <c:pt idx="79">
                  <c:v>2045</c:v>
                </c:pt>
                <c:pt idx="80">
                  <c:v>2046</c:v>
                </c:pt>
                <c:pt idx="81">
                  <c:v>2047</c:v>
                </c:pt>
                <c:pt idx="82">
                  <c:v>2048</c:v>
                </c:pt>
                <c:pt idx="83">
                  <c:v>2049</c:v>
                </c:pt>
                <c:pt idx="84">
                  <c:v>2050</c:v>
                </c:pt>
              </c:numCache>
            </c:numRef>
          </c:xVal>
          <c:yVal>
            <c:numRef>
              <c:f>Supplementary!$B$27:$CH$27</c:f>
              <c:numCache>
                <c:formatCode>General</c:formatCode>
                <c:ptCount val="85"/>
                <c:pt idx="58">
                  <c:v>60707241.975042015</c:v>
                </c:pt>
                <c:pt idx="59">
                  <c:v>60393483.690502837</c:v>
                </c:pt>
                <c:pt idx="60">
                  <c:v>60053233.331778876</c:v>
                </c:pt>
                <c:pt idx="61">
                  <c:v>59689527.79622671</c:v>
                </c:pt>
                <c:pt idx="62">
                  <c:v>59304603.93729037</c:v>
                </c:pt>
                <c:pt idx="63">
                  <c:v>58899592.697190046</c:v>
                </c:pt>
                <c:pt idx="64">
                  <c:v>58475312.589686148</c:v>
                </c:pt>
                <c:pt idx="65">
                  <c:v>58032450.985074423</c:v>
                </c:pt>
                <c:pt idx="66">
                  <c:v>57571555.075797878</c:v>
                </c:pt>
                <c:pt idx="67">
                  <c:v>57092940.116252683</c:v>
                </c:pt>
                <c:pt idx="68">
                  <c:v>56597145.592653044</c:v>
                </c:pt>
                <c:pt idx="69">
                  <c:v>56084847.870797925</c:v>
                </c:pt>
                <c:pt idx="70">
                  <c:v>55556784.527217403</c:v>
                </c:pt>
                <c:pt idx="71">
                  <c:v>55013802.405001819</c:v>
                </c:pt>
                <c:pt idx="72">
                  <c:v>54456849.979918085</c:v>
                </c:pt>
                <c:pt idx="73">
                  <c:v>53886954.059852436</c:v>
                </c:pt>
                <c:pt idx="74">
                  <c:v>53305218.037679724</c:v>
                </c:pt>
                <c:pt idx="75">
                  <c:v>52711196.422548249</c:v>
                </c:pt>
                <c:pt idx="76">
                  <c:v>52106144.415818751</c:v>
                </c:pt>
                <c:pt idx="77">
                  <c:v>51491319.247085713</c:v>
                </c:pt>
                <c:pt idx="78">
                  <c:v>50867927.972966142</c:v>
                </c:pt>
                <c:pt idx="79">
                  <c:v>50237028.420330591</c:v>
                </c:pt>
                <c:pt idx="80">
                  <c:v>49599498.544050194</c:v>
                </c:pt>
                <c:pt idx="81">
                  <c:v>48956041.690031931</c:v>
                </c:pt>
                <c:pt idx="82">
                  <c:v>48307160.367119774</c:v>
                </c:pt>
                <c:pt idx="83">
                  <c:v>47653147.063504338</c:v>
                </c:pt>
                <c:pt idx="84">
                  <c:v>46994117.869083181</c:v>
                </c:pt>
              </c:numCache>
            </c:numRef>
          </c:yVal>
          <c:smooth val="1"/>
          <c:extLst>
            <c:ext xmlns:c16="http://schemas.microsoft.com/office/drawing/2014/chart" uri="{C3380CC4-5D6E-409C-BE32-E72D297353CC}">
              <c16:uniqueId val="{00000002-DF0A-4302-A544-8D2F1563D9D1}"/>
            </c:ext>
          </c:extLst>
        </c:ser>
        <c:dLbls>
          <c:showLegendKey val="0"/>
          <c:showVal val="0"/>
          <c:showCatName val="0"/>
          <c:showSerName val="0"/>
          <c:showPercent val="0"/>
          <c:showBubbleSize val="0"/>
        </c:dLbls>
        <c:axId val="1652299711"/>
        <c:axId val="1652300191"/>
      </c:scatterChart>
      <c:valAx>
        <c:axId val="1652299711"/>
        <c:scaling>
          <c:orientation val="minMax"/>
          <c:max val="20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300191"/>
        <c:crosses val="autoZero"/>
        <c:crossBetween val="midCat"/>
      </c:valAx>
      <c:valAx>
        <c:axId val="1652300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652299711"/>
        <c:crosses val="autoZero"/>
        <c:crossBetween val="midCat"/>
        <c:dispUnits>
          <c:builtInUnit val="millions"/>
          <c:dispUnitsLbl>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ltLang="ja-JP"/>
                    <a:t>Ownership of passenger cars (million)</a:t>
                  </a:r>
                  <a:endParaRPr lang="ja-JP" altLang="en-US"/>
                </a:p>
              </c:rich>
            </c:tx>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lt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[自動車保有台数推移.xlsx]保有台数推移!$C$2</c:f>
              <c:strCache>
                <c:ptCount val="1"/>
                <c:pt idx="0">
                  <c:v>Passenger car</c:v>
                </c:pt>
              </c:strCache>
            </c:strRef>
          </c:tx>
          <c:spPr>
            <a:solidFill>
              <a:schemeClr val="accent5">
                <a:lumMod val="40000"/>
                <a:lumOff val="60000"/>
              </a:schemeClr>
            </a:solidFill>
            <a:ln w="9525" cap="flat" cmpd="sng" algn="ctr">
              <a:solidFill>
                <a:schemeClr val="accent1">
                  <a:shade val="95000"/>
                </a:schemeClr>
              </a:solidFill>
              <a:round/>
            </a:ln>
            <a:effectLst/>
          </c:spPr>
          <c:cat>
            <c:numRef>
              <c:f>[自動車保有台数推移.xlsx]保有台数推移!$B$3:$B$57</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[自動車保有台数推移.xlsx]保有台数推移!$C$3:$C$57</c:f>
              <c:numCache>
                <c:formatCode>General</c:formatCode>
                <c:ptCount val="55"/>
                <c:pt idx="0">
                  <c:v>2289665</c:v>
                </c:pt>
                <c:pt idx="1">
                  <c:v>2996254</c:v>
                </c:pt>
                <c:pt idx="2">
                  <c:v>4091752</c:v>
                </c:pt>
                <c:pt idx="3">
                  <c:v>5514190</c:v>
                </c:pt>
                <c:pt idx="4">
                  <c:v>7270573</c:v>
                </c:pt>
                <c:pt idx="5">
                  <c:v>9104593</c:v>
                </c:pt>
                <c:pt idx="6">
                  <c:v>10915284</c:v>
                </c:pt>
                <c:pt idx="7">
                  <c:v>12964298</c:v>
                </c:pt>
                <c:pt idx="8">
                  <c:v>14551868</c:v>
                </c:pt>
                <c:pt idx="9">
                  <c:v>16044338</c:v>
                </c:pt>
                <c:pt idx="10">
                  <c:v>17377551</c:v>
                </c:pt>
                <c:pt idx="11">
                  <c:v>18618213</c:v>
                </c:pt>
                <c:pt idx="12">
                  <c:v>19942495</c:v>
                </c:pt>
                <c:pt idx="13">
                  <c:v>21409307</c:v>
                </c:pt>
                <c:pt idx="14">
                  <c:v>22751052</c:v>
                </c:pt>
                <c:pt idx="15">
                  <c:v>23646119</c:v>
                </c:pt>
                <c:pt idx="16">
                  <c:v>24578524</c:v>
                </c:pt>
                <c:pt idx="17">
                  <c:v>25435492</c:v>
                </c:pt>
                <c:pt idx="18">
                  <c:v>26320361</c:v>
                </c:pt>
                <c:pt idx="19">
                  <c:v>27038220</c:v>
                </c:pt>
                <c:pt idx="20">
                  <c:v>27790194</c:v>
                </c:pt>
                <c:pt idx="21">
                  <c:v>28538497</c:v>
                </c:pt>
                <c:pt idx="22">
                  <c:v>29601092</c:v>
                </c:pt>
                <c:pt idx="23">
                  <c:v>30712558</c:v>
                </c:pt>
                <c:pt idx="24">
                  <c:v>32937813</c:v>
                </c:pt>
                <c:pt idx="25">
                  <c:v>35151831</c:v>
                </c:pt>
                <c:pt idx="26">
                  <c:v>37310632</c:v>
                </c:pt>
                <c:pt idx="27">
                  <c:v>39164550</c:v>
                </c:pt>
                <c:pt idx="28">
                  <c:v>41060611</c:v>
                </c:pt>
                <c:pt idx="29">
                  <c:v>42956339</c:v>
                </c:pt>
                <c:pt idx="30">
                  <c:v>45068530</c:v>
                </c:pt>
                <c:pt idx="31">
                  <c:v>47214826</c:v>
                </c:pt>
                <c:pt idx="32">
                  <c:v>48684206</c:v>
                </c:pt>
                <c:pt idx="33">
                  <c:v>49968149</c:v>
                </c:pt>
                <c:pt idx="34">
                  <c:v>51222129</c:v>
                </c:pt>
                <c:pt idx="35">
                  <c:v>52449354</c:v>
                </c:pt>
                <c:pt idx="36">
                  <c:v>53487293</c:v>
                </c:pt>
                <c:pt idx="37">
                  <c:v>54471376</c:v>
                </c:pt>
                <c:pt idx="38">
                  <c:v>55288124</c:v>
                </c:pt>
                <c:pt idx="39">
                  <c:v>56288256</c:v>
                </c:pt>
                <c:pt idx="40">
                  <c:v>57097670</c:v>
                </c:pt>
                <c:pt idx="41">
                  <c:v>57510360</c:v>
                </c:pt>
                <c:pt idx="42">
                  <c:v>57551248</c:v>
                </c:pt>
                <c:pt idx="43">
                  <c:v>57682475</c:v>
                </c:pt>
                <c:pt idx="44">
                  <c:v>57902835</c:v>
                </c:pt>
                <c:pt idx="45">
                  <c:v>58139471</c:v>
                </c:pt>
                <c:pt idx="46">
                  <c:v>58729343</c:v>
                </c:pt>
                <c:pt idx="47">
                  <c:v>59357223</c:v>
                </c:pt>
                <c:pt idx="48">
                  <c:v>60051338</c:v>
                </c:pt>
                <c:pt idx="49">
                  <c:v>60517249</c:v>
                </c:pt>
                <c:pt idx="50">
                  <c:v>60831892</c:v>
                </c:pt>
                <c:pt idx="51">
                  <c:v>61253300</c:v>
                </c:pt>
                <c:pt idx="52">
                  <c:v>61584906</c:v>
                </c:pt>
                <c:pt idx="53">
                  <c:v>61770573</c:v>
                </c:pt>
                <c:pt idx="54">
                  <c:v>61808586</c:v>
                </c:pt>
              </c:numCache>
            </c:numRef>
          </c:val>
          <c:extLst>
            <c:ext xmlns:c16="http://schemas.microsoft.com/office/drawing/2014/chart" uri="{C3380CC4-5D6E-409C-BE32-E72D297353CC}">
              <c16:uniqueId val="{00000000-4057-4820-BC27-2304BBE0389B}"/>
            </c:ext>
          </c:extLst>
        </c:ser>
        <c:ser>
          <c:idx val="1"/>
          <c:order val="1"/>
          <c:tx>
            <c:strRef>
              <c:f>[自動車保有台数推移.xlsx]保有台数推移!$D$2</c:f>
              <c:strCache>
                <c:ptCount val="1"/>
                <c:pt idx="0">
                  <c:v>Cargo vehicle</c:v>
                </c:pt>
              </c:strCache>
            </c:strRef>
          </c:tx>
          <c:spPr>
            <a:solidFill>
              <a:schemeClr val="accent2">
                <a:lumMod val="40000"/>
                <a:lumOff val="60000"/>
              </a:schemeClr>
            </a:solidFill>
            <a:ln w="9525" cap="flat" cmpd="sng" algn="ctr">
              <a:solidFill>
                <a:schemeClr val="accent2">
                  <a:shade val="95000"/>
                </a:schemeClr>
              </a:solidFill>
              <a:round/>
            </a:ln>
            <a:effectLst/>
          </c:spPr>
          <c:cat>
            <c:numRef>
              <c:f>[自動車保有台数推移.xlsx]保有台数推移!$B$3:$B$57</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[自動車保有台数推移.xlsx]保有台数推移!$D$3:$D$57</c:f>
              <c:numCache>
                <c:formatCode>General</c:formatCode>
                <c:ptCount val="55"/>
                <c:pt idx="0">
                  <c:v>4689368</c:v>
                </c:pt>
                <c:pt idx="1">
                  <c:v>5536873</c:v>
                </c:pt>
                <c:pt idx="2">
                  <c:v>6504352</c:v>
                </c:pt>
                <c:pt idx="3">
                  <c:v>7406256</c:v>
                </c:pt>
                <c:pt idx="4">
                  <c:v>8083108</c:v>
                </c:pt>
                <c:pt idx="5">
                  <c:v>8542360</c:v>
                </c:pt>
                <c:pt idx="6">
                  <c:v>8942967</c:v>
                </c:pt>
                <c:pt idx="7">
                  <c:v>9484449</c:v>
                </c:pt>
                <c:pt idx="8">
                  <c:v>9919327</c:v>
                </c:pt>
                <c:pt idx="9">
                  <c:v>10281006</c:v>
                </c:pt>
                <c:pt idx="10">
                  <c:v>10212704</c:v>
                </c:pt>
                <c:pt idx="11">
                  <c:v>10829223</c:v>
                </c:pt>
                <c:pt idx="12">
                  <c:v>11369639</c:v>
                </c:pt>
                <c:pt idx="13">
                  <c:v>12020005</c:v>
                </c:pt>
                <c:pt idx="14">
                  <c:v>12697756</c:v>
                </c:pt>
                <c:pt idx="15">
                  <c:v>13303204</c:v>
                </c:pt>
                <c:pt idx="16">
                  <c:v>14025229</c:v>
                </c:pt>
                <c:pt idx="17">
                  <c:v>14784146</c:v>
                </c:pt>
                <c:pt idx="18">
                  <c:v>15520919</c:v>
                </c:pt>
                <c:pt idx="19">
                  <c:v>16359708</c:v>
                </c:pt>
                <c:pt idx="20">
                  <c:v>17251695</c:v>
                </c:pt>
                <c:pt idx="21">
                  <c:v>18252347</c:v>
                </c:pt>
                <c:pt idx="22">
                  <c:v>19345276</c:v>
                </c:pt>
                <c:pt idx="23">
                  <c:v>20488809</c:v>
                </c:pt>
                <c:pt idx="24">
                  <c:v>20943844</c:v>
                </c:pt>
                <c:pt idx="25">
                  <c:v>21146204</c:v>
                </c:pt>
                <c:pt idx="26">
                  <c:v>21066331</c:v>
                </c:pt>
                <c:pt idx="27">
                  <c:v>20881259</c:v>
                </c:pt>
                <c:pt idx="28">
                  <c:v>20652331</c:v>
                </c:pt>
                <c:pt idx="29">
                  <c:v>20472087</c:v>
                </c:pt>
                <c:pt idx="30">
                  <c:v>20235051</c:v>
                </c:pt>
                <c:pt idx="31">
                  <c:v>19857346</c:v>
                </c:pt>
                <c:pt idx="32">
                  <c:v>19402235</c:v>
                </c:pt>
                <c:pt idx="33">
                  <c:v>18861350</c:v>
                </c:pt>
                <c:pt idx="34">
                  <c:v>18424997</c:v>
                </c:pt>
                <c:pt idx="35">
                  <c:v>18064744</c:v>
                </c:pt>
                <c:pt idx="36">
                  <c:v>17726154</c:v>
                </c:pt>
                <c:pt idx="37">
                  <c:v>17343079</c:v>
                </c:pt>
                <c:pt idx="38">
                  <c:v>17015253</c:v>
                </c:pt>
                <c:pt idx="39">
                  <c:v>16860783</c:v>
                </c:pt>
                <c:pt idx="40">
                  <c:v>16707445</c:v>
                </c:pt>
                <c:pt idx="41">
                  <c:v>16490944</c:v>
                </c:pt>
                <c:pt idx="42">
                  <c:v>16264921</c:v>
                </c:pt>
                <c:pt idx="43">
                  <c:v>15858749</c:v>
                </c:pt>
                <c:pt idx="44">
                  <c:v>15533270</c:v>
                </c:pt>
                <c:pt idx="45">
                  <c:v>15137641</c:v>
                </c:pt>
                <c:pt idx="46">
                  <c:v>15008821</c:v>
                </c:pt>
                <c:pt idx="47">
                  <c:v>14851666</c:v>
                </c:pt>
                <c:pt idx="48">
                  <c:v>14749266</c:v>
                </c:pt>
                <c:pt idx="49">
                  <c:v>14652701</c:v>
                </c:pt>
                <c:pt idx="50">
                  <c:v>14539289</c:v>
                </c:pt>
                <c:pt idx="51">
                  <c:v>14451394</c:v>
                </c:pt>
                <c:pt idx="52">
                  <c:v>14382846</c:v>
                </c:pt>
                <c:pt idx="53">
                  <c:v>14384930</c:v>
                </c:pt>
                <c:pt idx="54">
                  <c:v>14367134</c:v>
                </c:pt>
              </c:numCache>
            </c:numRef>
          </c:val>
          <c:extLst>
            <c:ext xmlns:c16="http://schemas.microsoft.com/office/drawing/2014/chart" uri="{C3380CC4-5D6E-409C-BE32-E72D297353CC}">
              <c16:uniqueId val="{00000001-4057-4820-BC27-2304BBE0389B}"/>
            </c:ext>
          </c:extLst>
        </c:ser>
        <c:ser>
          <c:idx val="2"/>
          <c:order val="2"/>
          <c:tx>
            <c:strRef>
              <c:f>[自動車保有台数推移.xlsx]保有台数推移!$E$2</c:f>
              <c:strCache>
                <c:ptCount val="1"/>
                <c:pt idx="0">
                  <c:v>Shared-ride car</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cat>
            <c:numRef>
              <c:f>[自動車保有台数推移.xlsx]保有台数推移!$B$3:$B$57</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[自動車保有台数推移.xlsx]保有台数推移!$E$3:$E$57</c:f>
              <c:numCache>
                <c:formatCode>General</c:formatCode>
                <c:ptCount val="55"/>
                <c:pt idx="0">
                  <c:v>105386</c:v>
                </c:pt>
                <c:pt idx="1">
                  <c:v>117261</c:v>
                </c:pt>
                <c:pt idx="2">
                  <c:v>133485</c:v>
                </c:pt>
                <c:pt idx="3">
                  <c:v>153348</c:v>
                </c:pt>
                <c:pt idx="4">
                  <c:v>175724</c:v>
                </c:pt>
                <c:pt idx="5">
                  <c:v>190066</c:v>
                </c:pt>
                <c:pt idx="6">
                  <c:v>196853</c:v>
                </c:pt>
                <c:pt idx="7">
                  <c:v>205857</c:v>
                </c:pt>
                <c:pt idx="8">
                  <c:v>213788</c:v>
                </c:pt>
                <c:pt idx="9">
                  <c:v>218689</c:v>
                </c:pt>
                <c:pt idx="10">
                  <c:v>219945</c:v>
                </c:pt>
                <c:pt idx="11">
                  <c:v>222312</c:v>
                </c:pt>
                <c:pt idx="12">
                  <c:v>224094</c:v>
                </c:pt>
                <c:pt idx="13">
                  <c:v>226674</c:v>
                </c:pt>
                <c:pt idx="14">
                  <c:v>228396</c:v>
                </c:pt>
                <c:pt idx="15">
                  <c:v>229429</c:v>
                </c:pt>
                <c:pt idx="16">
                  <c:v>229625</c:v>
                </c:pt>
                <c:pt idx="17">
                  <c:v>229717</c:v>
                </c:pt>
                <c:pt idx="18">
                  <c:v>229569</c:v>
                </c:pt>
                <c:pt idx="19">
                  <c:v>230084</c:v>
                </c:pt>
                <c:pt idx="20">
                  <c:v>230783</c:v>
                </c:pt>
                <c:pt idx="21">
                  <c:v>232011</c:v>
                </c:pt>
                <c:pt idx="22">
                  <c:v>234648</c:v>
                </c:pt>
                <c:pt idx="23">
                  <c:v>239053</c:v>
                </c:pt>
                <c:pt idx="24">
                  <c:v>242295</c:v>
                </c:pt>
                <c:pt idx="25">
                  <c:v>245844</c:v>
                </c:pt>
                <c:pt idx="26">
                  <c:v>247968</c:v>
                </c:pt>
                <c:pt idx="27">
                  <c:v>248412</c:v>
                </c:pt>
                <c:pt idx="28">
                  <c:v>247119</c:v>
                </c:pt>
                <c:pt idx="29">
                  <c:v>244611</c:v>
                </c:pt>
                <c:pt idx="30">
                  <c:v>242907</c:v>
                </c:pt>
                <c:pt idx="31">
                  <c:v>241844</c:v>
                </c:pt>
                <c:pt idx="32">
                  <c:v>239866</c:v>
                </c:pt>
                <c:pt idx="33">
                  <c:v>237146</c:v>
                </c:pt>
                <c:pt idx="34">
                  <c:v>235725</c:v>
                </c:pt>
                <c:pt idx="35">
                  <c:v>235550</c:v>
                </c:pt>
                <c:pt idx="36">
                  <c:v>234244</c:v>
                </c:pt>
                <c:pt idx="37">
                  <c:v>233180</c:v>
                </c:pt>
                <c:pt idx="38">
                  <c:v>231984</c:v>
                </c:pt>
                <c:pt idx="39">
                  <c:v>232000</c:v>
                </c:pt>
                <c:pt idx="40">
                  <c:v>231696</c:v>
                </c:pt>
                <c:pt idx="41">
                  <c:v>231758</c:v>
                </c:pt>
                <c:pt idx="42">
                  <c:v>230981</c:v>
                </c:pt>
                <c:pt idx="43">
                  <c:v>229804</c:v>
                </c:pt>
                <c:pt idx="44">
                  <c:v>228295</c:v>
                </c:pt>
                <c:pt idx="45">
                  <c:v>226839</c:v>
                </c:pt>
                <c:pt idx="46">
                  <c:v>226270</c:v>
                </c:pt>
                <c:pt idx="47">
                  <c:v>226047</c:v>
                </c:pt>
                <c:pt idx="48">
                  <c:v>226542</c:v>
                </c:pt>
                <c:pt idx="49">
                  <c:v>227579</c:v>
                </c:pt>
                <c:pt idx="50">
                  <c:v>230603</c:v>
                </c:pt>
                <c:pt idx="51">
                  <c:v>232793</c:v>
                </c:pt>
                <c:pt idx="52">
                  <c:v>233542</c:v>
                </c:pt>
                <c:pt idx="53">
                  <c:v>232992</c:v>
                </c:pt>
                <c:pt idx="54">
                  <c:v>231051</c:v>
                </c:pt>
              </c:numCache>
            </c:numRef>
          </c:val>
          <c:extLst>
            <c:ext xmlns:c16="http://schemas.microsoft.com/office/drawing/2014/chart" uri="{C3380CC4-5D6E-409C-BE32-E72D297353CC}">
              <c16:uniqueId val="{00000002-4057-4820-BC27-2304BBE0389B}"/>
            </c:ext>
          </c:extLst>
        </c:ser>
        <c:ser>
          <c:idx val="3"/>
          <c:order val="3"/>
          <c:tx>
            <c:strRef>
              <c:f>[自動車保有台数推移.xlsx]保有台数推移!$F$2</c:f>
              <c:strCache>
                <c:ptCount val="1"/>
                <c:pt idx="0">
                  <c:v>Car in special use</c:v>
                </c:pt>
              </c:strCache>
            </c:strRef>
          </c:tx>
          <c:spPr>
            <a:solidFill>
              <a:schemeClr val="accent4">
                <a:lumMod val="40000"/>
                <a:lumOff val="60000"/>
              </a:schemeClr>
            </a:solidFill>
            <a:ln w="9525" cap="flat" cmpd="sng" algn="ctr">
              <a:solidFill>
                <a:schemeClr val="accent4">
                  <a:shade val="95000"/>
                </a:schemeClr>
              </a:solidFill>
              <a:round/>
            </a:ln>
            <a:effectLst/>
          </c:spPr>
          <c:cat>
            <c:numRef>
              <c:f>[自動車保有台数推移.xlsx]保有台数推移!$B$3:$B$57</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[自動車保有台数推移.xlsx]保有台数推移!$F$3:$F$57</c:f>
              <c:numCache>
                <c:formatCode>General</c:formatCode>
                <c:ptCount val="55"/>
                <c:pt idx="0">
                  <c:v>163608</c:v>
                </c:pt>
                <c:pt idx="1">
                  <c:v>189148</c:v>
                </c:pt>
                <c:pt idx="2">
                  <c:v>223531</c:v>
                </c:pt>
                <c:pt idx="3">
                  <c:v>262593</c:v>
                </c:pt>
                <c:pt idx="4">
                  <c:v>306029</c:v>
                </c:pt>
                <c:pt idx="5">
                  <c:v>351661</c:v>
                </c:pt>
                <c:pt idx="6">
                  <c:v>404216</c:v>
                </c:pt>
                <c:pt idx="7">
                  <c:v>460515</c:v>
                </c:pt>
                <c:pt idx="8">
                  <c:v>514938</c:v>
                </c:pt>
                <c:pt idx="9">
                  <c:v>557420</c:v>
                </c:pt>
                <c:pt idx="10">
                  <c:v>595798</c:v>
                </c:pt>
                <c:pt idx="11">
                  <c:v>631029</c:v>
                </c:pt>
                <c:pt idx="12">
                  <c:v>670799</c:v>
                </c:pt>
                <c:pt idx="13">
                  <c:v>720064</c:v>
                </c:pt>
                <c:pt idx="14">
                  <c:v>765840</c:v>
                </c:pt>
                <c:pt idx="15">
                  <c:v>794025</c:v>
                </c:pt>
                <c:pt idx="16">
                  <c:v>823300</c:v>
                </c:pt>
                <c:pt idx="17">
                  <c:v>851726</c:v>
                </c:pt>
                <c:pt idx="18">
                  <c:v>879629</c:v>
                </c:pt>
                <c:pt idx="19">
                  <c:v>911809</c:v>
                </c:pt>
                <c:pt idx="20">
                  <c:v>943801</c:v>
                </c:pt>
                <c:pt idx="21">
                  <c:v>987559</c:v>
                </c:pt>
                <c:pt idx="22">
                  <c:v>1037272</c:v>
                </c:pt>
                <c:pt idx="23">
                  <c:v>1097223</c:v>
                </c:pt>
                <c:pt idx="24">
                  <c:v>1154624</c:v>
                </c:pt>
                <c:pt idx="25">
                  <c:v>1213569</c:v>
                </c:pt>
                <c:pt idx="26">
                  <c:v>1271636</c:v>
                </c:pt>
                <c:pt idx="27">
                  <c:v>1319277</c:v>
                </c:pt>
                <c:pt idx="28">
                  <c:v>1367742</c:v>
                </c:pt>
                <c:pt idx="29">
                  <c:v>1429984</c:v>
                </c:pt>
                <c:pt idx="30">
                  <c:v>1524405</c:v>
                </c:pt>
                <c:pt idx="31">
                  <c:v>1429599</c:v>
                </c:pt>
                <c:pt idx="32">
                  <c:v>1521329</c:v>
                </c:pt>
                <c:pt idx="33">
                  <c:v>1625112</c:v>
                </c:pt>
                <c:pt idx="34">
                  <c:v>1706840</c:v>
                </c:pt>
                <c:pt idx="35">
                  <c:v>1754311</c:v>
                </c:pt>
                <c:pt idx="36">
                  <c:v>1754373</c:v>
                </c:pt>
                <c:pt idx="37">
                  <c:v>1720138</c:v>
                </c:pt>
                <c:pt idx="38">
                  <c:v>1673959</c:v>
                </c:pt>
                <c:pt idx="39">
                  <c:v>1643010</c:v>
                </c:pt>
                <c:pt idx="40">
                  <c:v>1618698</c:v>
                </c:pt>
                <c:pt idx="41">
                  <c:v>1599628</c:v>
                </c:pt>
                <c:pt idx="42">
                  <c:v>1578059</c:v>
                </c:pt>
                <c:pt idx="43">
                  <c:v>1527899</c:v>
                </c:pt>
                <c:pt idx="44">
                  <c:v>1511980</c:v>
                </c:pt>
                <c:pt idx="45">
                  <c:v>1646018</c:v>
                </c:pt>
                <c:pt idx="46">
                  <c:v>1645449</c:v>
                </c:pt>
                <c:pt idx="47">
                  <c:v>1654739</c:v>
                </c:pt>
                <c:pt idx="48">
                  <c:v>1669679</c:v>
                </c:pt>
                <c:pt idx="49">
                  <c:v>1683313</c:v>
                </c:pt>
                <c:pt idx="50">
                  <c:v>1700014</c:v>
                </c:pt>
                <c:pt idx="51">
                  <c:v>1720030</c:v>
                </c:pt>
                <c:pt idx="52">
                  <c:v>1737221</c:v>
                </c:pt>
                <c:pt idx="53">
                  <c:v>1751502</c:v>
                </c:pt>
                <c:pt idx="54">
                  <c:v>1766102</c:v>
                </c:pt>
              </c:numCache>
            </c:numRef>
          </c:val>
          <c:extLst>
            <c:ext xmlns:c16="http://schemas.microsoft.com/office/drawing/2014/chart" uri="{C3380CC4-5D6E-409C-BE32-E72D297353CC}">
              <c16:uniqueId val="{00000003-4057-4820-BC27-2304BBE0389B}"/>
            </c:ext>
          </c:extLst>
        </c:ser>
        <c:ser>
          <c:idx val="4"/>
          <c:order val="4"/>
          <c:tx>
            <c:strRef>
              <c:f>[自動車保有台数推移.xlsx]保有台数推移!$G$2</c:f>
              <c:strCache>
                <c:ptCount val="1"/>
                <c:pt idx="0">
                  <c:v>Motorcycle</c:v>
                </c:pt>
              </c:strCache>
            </c:strRef>
          </c:tx>
          <c:spPr>
            <a:solidFill>
              <a:schemeClr val="accent6">
                <a:lumMod val="40000"/>
                <a:lumOff val="60000"/>
              </a:schemeClr>
            </a:solidFill>
            <a:ln w="9525" cap="flat" cmpd="sng" algn="ctr">
              <a:solidFill>
                <a:schemeClr val="accent5">
                  <a:shade val="95000"/>
                </a:schemeClr>
              </a:solidFill>
              <a:round/>
            </a:ln>
            <a:effectLst/>
          </c:spPr>
          <c:cat>
            <c:numRef>
              <c:f>[自動車保有台数推移.xlsx]保有台数推移!$B$3:$B$57</c:f>
              <c:numCache>
                <c:formatCode>General</c:formatCode>
                <c:ptCount val="55"/>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pt idx="49">
                  <c:v>2015</c:v>
                </c:pt>
                <c:pt idx="50">
                  <c:v>2016</c:v>
                </c:pt>
                <c:pt idx="51">
                  <c:v>2017</c:v>
                </c:pt>
                <c:pt idx="52">
                  <c:v>2018</c:v>
                </c:pt>
                <c:pt idx="53">
                  <c:v>2019</c:v>
                </c:pt>
                <c:pt idx="54">
                  <c:v>2020</c:v>
                </c:pt>
              </c:numCache>
            </c:numRef>
          </c:cat>
          <c:val>
            <c:numRef>
              <c:f>[自動車保有台数推移.xlsx]保有台数推移!$G$3:$G$57</c:f>
              <c:numCache>
                <c:formatCode>General</c:formatCode>
                <c:ptCount val="55"/>
                <c:pt idx="0">
                  <c:v>875069</c:v>
                </c:pt>
                <c:pt idx="1">
                  <c:v>799855</c:v>
                </c:pt>
                <c:pt idx="2">
                  <c:v>737635</c:v>
                </c:pt>
                <c:pt idx="3">
                  <c:v>685583</c:v>
                </c:pt>
                <c:pt idx="4">
                  <c:v>693087</c:v>
                </c:pt>
                <c:pt idx="5">
                  <c:v>730340</c:v>
                </c:pt>
                <c:pt idx="6">
                  <c:v>763395</c:v>
                </c:pt>
                <c:pt idx="7">
                  <c:v>754079</c:v>
                </c:pt>
                <c:pt idx="8">
                  <c:v>762949</c:v>
                </c:pt>
                <c:pt idx="9">
                  <c:v>769022</c:v>
                </c:pt>
                <c:pt idx="10">
                  <c:v>737447</c:v>
                </c:pt>
                <c:pt idx="11">
                  <c:v>747358</c:v>
                </c:pt>
                <c:pt idx="12">
                  <c:v>758057</c:v>
                </c:pt>
                <c:pt idx="13">
                  <c:v>803451</c:v>
                </c:pt>
                <c:pt idx="14">
                  <c:v>890206</c:v>
                </c:pt>
                <c:pt idx="15">
                  <c:v>1019246</c:v>
                </c:pt>
                <c:pt idx="16">
                  <c:v>1177363</c:v>
                </c:pt>
                <c:pt idx="17">
                  <c:v>1386354</c:v>
                </c:pt>
                <c:pt idx="18">
                  <c:v>1608357</c:v>
                </c:pt>
                <c:pt idx="19">
                  <c:v>1823053</c:v>
                </c:pt>
                <c:pt idx="20">
                  <c:v>2024082</c:v>
                </c:pt>
                <c:pt idx="21">
                  <c:v>2213025</c:v>
                </c:pt>
                <c:pt idx="22">
                  <c:v>2427388</c:v>
                </c:pt>
                <c:pt idx="23">
                  <c:v>2599000</c:v>
                </c:pt>
                <c:pt idx="24">
                  <c:v>2715290</c:v>
                </c:pt>
                <c:pt idx="25">
                  <c:v>2741402</c:v>
                </c:pt>
                <c:pt idx="26">
                  <c:v>2816887</c:v>
                </c:pt>
                <c:pt idx="27">
                  <c:v>2884781</c:v>
                </c:pt>
                <c:pt idx="28">
                  <c:v>2951033</c:v>
                </c:pt>
                <c:pt idx="29">
                  <c:v>3000675</c:v>
                </c:pt>
                <c:pt idx="30">
                  <c:v>3035643</c:v>
                </c:pt>
                <c:pt idx="31">
                  <c:v>3032032</c:v>
                </c:pt>
                <c:pt idx="32">
                  <c:v>3008947</c:v>
                </c:pt>
                <c:pt idx="33">
                  <c:v>2996632</c:v>
                </c:pt>
                <c:pt idx="34">
                  <c:v>2992921</c:v>
                </c:pt>
                <c:pt idx="35">
                  <c:v>3021014</c:v>
                </c:pt>
                <c:pt idx="36">
                  <c:v>3068749</c:v>
                </c:pt>
                <c:pt idx="37">
                  <c:v>3124744</c:v>
                </c:pt>
                <c:pt idx="38">
                  <c:v>3180925</c:v>
                </c:pt>
                <c:pt idx="39">
                  <c:v>3254831</c:v>
                </c:pt>
                <c:pt idx="40">
                  <c:v>3336551</c:v>
                </c:pt>
                <c:pt idx="41">
                  <c:v>3403405</c:v>
                </c:pt>
                <c:pt idx="42">
                  <c:v>3455553</c:v>
                </c:pt>
                <c:pt idx="43">
                  <c:v>3501615</c:v>
                </c:pt>
                <c:pt idx="44">
                  <c:v>3517115</c:v>
                </c:pt>
                <c:pt idx="45">
                  <c:v>3510804</c:v>
                </c:pt>
                <c:pt idx="46">
                  <c:v>3502701</c:v>
                </c:pt>
                <c:pt idx="47">
                  <c:v>3535528</c:v>
                </c:pt>
                <c:pt idx="48">
                  <c:v>3575746</c:v>
                </c:pt>
                <c:pt idx="49">
                  <c:v>3589551</c:v>
                </c:pt>
                <c:pt idx="50">
                  <c:v>3598932</c:v>
                </c:pt>
                <c:pt idx="51">
                  <c:v>3602689</c:v>
                </c:pt>
                <c:pt idx="52">
                  <c:v>3624586</c:v>
                </c:pt>
                <c:pt idx="53">
                  <c:v>3649321</c:v>
                </c:pt>
                <c:pt idx="54">
                  <c:v>3676909</c:v>
                </c:pt>
              </c:numCache>
            </c:numRef>
          </c:val>
          <c:extLst>
            <c:ext xmlns:c16="http://schemas.microsoft.com/office/drawing/2014/chart" uri="{C3380CC4-5D6E-409C-BE32-E72D297353CC}">
              <c16:uniqueId val="{00000004-4057-4820-BC27-2304BBE0389B}"/>
            </c:ext>
          </c:extLst>
        </c:ser>
        <c:dLbls>
          <c:showLegendKey val="0"/>
          <c:showVal val="0"/>
          <c:showCatName val="0"/>
          <c:showSerName val="0"/>
          <c:showPercent val="0"/>
          <c:showBubbleSize val="0"/>
        </c:dLbls>
        <c:axId val="767945232"/>
        <c:axId val="1075425808"/>
      </c:areaChart>
      <c:catAx>
        <c:axId val="767945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ja-JP"/>
          </a:p>
        </c:txPr>
        <c:crossAx val="1075425808"/>
        <c:crosses val="autoZero"/>
        <c:auto val="1"/>
        <c:lblAlgn val="ctr"/>
        <c:lblOffset val="100"/>
        <c:tickLblSkip val="3"/>
        <c:noMultiLvlLbl val="0"/>
      </c:catAx>
      <c:valAx>
        <c:axId val="1075425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ja-JP"/>
          </a:p>
        </c:txPr>
        <c:crossAx val="767945232"/>
        <c:crosses val="autoZero"/>
        <c:crossBetween val="midCat"/>
        <c:dispUnits>
          <c:builtInUnit val="millions"/>
          <c:dispUnitsLbl>
            <c:tx>
              <c:rich>
                <a:bodyPr rot="-54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en-US" cap="none" baseline="0"/>
                    <a:t>million vehicles</a:t>
                  </a:r>
                  <a:endParaRPr lang="ja-JP" cap="none" baseline="0"/>
                </a:p>
              </c:rich>
            </c:tx>
            <c:spPr>
              <a:noFill/>
              <a:ln>
                <a:noFill/>
              </a:ln>
              <a:effectLst/>
            </c:spPr>
            <c:txPr>
              <a:bodyPr rot="-54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ja-JP"/>
              </a:p>
            </c:txPr>
          </c:dispUnitsLbl>
        </c:dispUnits>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ja-JP"/>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2049166729651"/>
          <c:y val="7.4326825053156909E-2"/>
          <c:w val="0.77952525527653904"/>
          <c:h val="0.65047642164334885"/>
        </c:manualLayout>
      </c:layout>
      <c:lineChart>
        <c:grouping val="standard"/>
        <c:varyColors val="0"/>
        <c:ser>
          <c:idx val="0"/>
          <c:order val="0"/>
          <c:tx>
            <c:strRef>
              <c:f>'[乗用車残存率曲線（Weibull係数推定）Dou210127.xlsx]ケース1-2019現況-乗用車計'!$A$12</c:f>
              <c:strCache>
                <c:ptCount val="1"/>
                <c:pt idx="0">
                  <c:v>Estimated rate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'[乗用車残存率曲線（Weibull係数推定）Dou210127.xlsx]ケース1-2019現況-乗用車計'!$C$2:$AZ$2</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extLst/>
            </c:numRef>
          </c:cat>
          <c:val>
            <c:numRef>
              <c:f>'[乗用車残存率曲線（Weibull係数推定）Dou210127.xlsx]ケース1-2019現況-乗用車計'!$B$12:$AY$12</c:f>
              <c:numCache>
                <c:formatCode>0%</c:formatCode>
                <c:ptCount val="30"/>
                <c:pt idx="0">
                  <c:v>0.9953176060754988</c:v>
                </c:pt>
                <c:pt idx="1">
                  <c:v>0.98223922014282372</c:v>
                </c:pt>
                <c:pt idx="2">
                  <c:v>0.96152118675628018</c:v>
                </c:pt>
                <c:pt idx="3">
                  <c:v>0.93386443050831069</c:v>
                </c:pt>
                <c:pt idx="4">
                  <c:v>0.90003319585545061</c:v>
                </c:pt>
                <c:pt idx="5">
                  <c:v>0.86086129484174423</c:v>
                </c:pt>
                <c:pt idx="6">
                  <c:v>0.81723726887748205</c:v>
                </c:pt>
                <c:pt idx="7">
                  <c:v>0.77008233145910054</c:v>
                </c:pt>
                <c:pt idx="8">
                  <c:v>0.72032590867032065</c:v>
                </c:pt>
                <c:pt idx="9">
                  <c:v>0.6688812529168886</c:v>
                </c:pt>
                <c:pt idx="10">
                  <c:v>0.61662270655513474</c:v>
                </c:pt>
                <c:pt idx="11">
                  <c:v>0.56436570347283666</c:v>
                </c:pt>
                <c:pt idx="12">
                  <c:v>0.51285024573536231</c:v>
                </c:pt>
                <c:pt idx="13">
                  <c:v>0.4627282979670162</c:v>
                </c:pt>
                <c:pt idx="14">
                  <c:v>0.41455528168324607</c:v>
                </c:pt>
                <c:pt idx="15">
                  <c:v>0.36878562252005886</c:v>
                </c:pt>
                <c:pt idx="16">
                  <c:v>0.32577210860275696</c:v>
                </c:pt>
                <c:pt idx="17">
                  <c:v>0.28576866239363508</c:v>
                </c:pt>
                <c:pt idx="18">
                  <c:v>0.24893601412262245</c:v>
                </c:pt>
                <c:pt idx="19">
                  <c:v>0.21534969297201922</c:v>
                </c:pt>
                <c:pt idx="20">
                  <c:v>0.18500972080692379</c:v>
                </c:pt>
                <c:pt idx="21">
                  <c:v>0.15785139851981667</c:v>
                </c:pt>
                <c:pt idx="22">
                  <c:v>0.13375661140894435</c:v>
                </c:pt>
                <c:pt idx="23">
                  <c:v>0.11256514074063673</c:v>
                </c:pt>
                <c:pt idx="24">
                  <c:v>9.4085546545975451E-2</c:v>
                </c:pt>
                <c:pt idx="25">
                  <c:v>7.8105274609116426E-2</c:v>
                </c:pt>
                <c:pt idx="26">
                  <c:v>6.4399731878882482E-2</c:v>
                </c:pt>
                <c:pt idx="27">
                  <c:v>5.2740163427890008E-2</c:v>
                </c:pt>
                <c:pt idx="28">
                  <c:v>4.2900245976709273E-2</c:v>
                </c:pt>
                <c:pt idx="29">
                  <c:v>3.4661384525325634E-2</c:v>
                </c:pt>
              </c:numCache>
              <c:extLst/>
            </c:numRef>
          </c:val>
          <c:smooth val="1"/>
          <c:extLst>
            <c:ext xmlns:c16="http://schemas.microsoft.com/office/drawing/2014/chart" uri="{C3380CC4-5D6E-409C-BE32-E72D297353CC}">
              <c16:uniqueId val="{00000000-4317-4081-AB0C-ABFB0A8E01C5}"/>
            </c:ext>
          </c:extLst>
        </c:ser>
        <c:ser>
          <c:idx val="3"/>
          <c:order val="1"/>
          <c:tx>
            <c:strRef>
              <c:f>'[乗用車残存率曲線（Weibull係数推定）Dou210127.xlsx]ケース1-2019現況-乗用車計'!$A$3</c:f>
              <c:strCache>
                <c:ptCount val="1"/>
                <c:pt idx="0">
                  <c:v>Actural rate (2019)</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cat>
            <c:numRef>
              <c:f>'[乗用車残存率曲線（Weibull係数推定）Dou210127.xlsx]ケース1-2019現況-乗用車計'!$C$2:$AZ$2</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extLst/>
            </c:numRef>
          </c:cat>
          <c:val>
            <c:numRef>
              <c:f>'[乗用車残存率曲線（Weibull係数推定）Dou210127.xlsx]ケース1-2019現況-乗用車計'!$C$3:$AE$3</c:f>
              <c:numCache>
                <c:formatCode>0.00%</c:formatCode>
                <c:ptCount val="29"/>
                <c:pt idx="0">
                  <c:v>0.98750000000000004</c:v>
                </c:pt>
                <c:pt idx="1">
                  <c:v>0.98229999999999995</c:v>
                </c:pt>
                <c:pt idx="2">
                  <c:v>0.96579999999999999</c:v>
                </c:pt>
                <c:pt idx="3">
                  <c:v>0.92930000000000001</c:v>
                </c:pt>
                <c:pt idx="4">
                  <c:v>0.91569999999999996</c:v>
                </c:pt>
                <c:pt idx="5">
                  <c:v>0.89159999999999995</c:v>
                </c:pt>
                <c:pt idx="6">
                  <c:v>0.88400000000000001</c:v>
                </c:pt>
                <c:pt idx="7">
                  <c:v>0.83589999999999998</c:v>
                </c:pt>
                <c:pt idx="8">
                  <c:v>0.80769999999999997</c:v>
                </c:pt>
                <c:pt idx="9">
                  <c:v>0.77549999999999997</c:v>
                </c:pt>
                <c:pt idx="10">
                  <c:v>0.70309999999999995</c:v>
                </c:pt>
                <c:pt idx="11">
                  <c:v>0.61899999999999999</c:v>
                </c:pt>
                <c:pt idx="12">
                  <c:v>0.57540000000000002</c:v>
                </c:pt>
                <c:pt idx="13">
                  <c:v>0.47539999999999999</c:v>
                </c:pt>
                <c:pt idx="14">
                  <c:v>0.41099999999999998</c:v>
                </c:pt>
                <c:pt idx="15">
                  <c:v>0.30780000000000002</c:v>
                </c:pt>
                <c:pt idx="16">
                  <c:v>0.24740000000000001</c:v>
                </c:pt>
                <c:pt idx="17">
                  <c:v>0.17050000000000001</c:v>
                </c:pt>
                <c:pt idx="18">
                  <c:v>0.14549999999999999</c:v>
                </c:pt>
                <c:pt idx="19">
                  <c:v>0.1104</c:v>
                </c:pt>
                <c:pt idx="20">
                  <c:v>9.0499999999999997E-2</c:v>
                </c:pt>
                <c:pt idx="21">
                  <c:v>7.17E-2</c:v>
                </c:pt>
                <c:pt idx="22">
                  <c:v>6.1899999999999997E-2</c:v>
                </c:pt>
                <c:pt idx="23">
                  <c:v>5.2200000000000003E-2</c:v>
                </c:pt>
                <c:pt idx="24">
                  <c:v>4.5600000000000002E-2</c:v>
                </c:pt>
                <c:pt idx="25">
                  <c:v>4.2799999999999998E-2</c:v>
                </c:pt>
                <c:pt idx="26">
                  <c:v>3.61E-2</c:v>
                </c:pt>
                <c:pt idx="27">
                  <c:v>3.6600000000000001E-2</c:v>
                </c:pt>
                <c:pt idx="28">
                  <c:v>2.93E-2</c:v>
                </c:pt>
              </c:numCache>
              <c:extLst/>
            </c:numRef>
          </c:val>
          <c:smooth val="0"/>
          <c:extLst>
            <c:ext xmlns:c16="http://schemas.microsoft.com/office/drawing/2014/chart" uri="{C3380CC4-5D6E-409C-BE32-E72D297353CC}">
              <c16:uniqueId val="{00000001-4317-4081-AB0C-ABFB0A8E01C5}"/>
            </c:ext>
          </c:extLst>
        </c:ser>
        <c:dLbls>
          <c:showLegendKey val="0"/>
          <c:showVal val="0"/>
          <c:showCatName val="0"/>
          <c:showSerName val="0"/>
          <c:showPercent val="0"/>
          <c:showBubbleSize val="0"/>
        </c:dLbls>
        <c:marker val="1"/>
        <c:smooth val="0"/>
        <c:axId val="431601328"/>
        <c:axId val="714495840"/>
      </c:lineChart>
      <c:catAx>
        <c:axId val="431601328"/>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Times New Roman" panose="02020603050405020304" pitchFamily="18" charset="0"/>
                  </a:defRPr>
                </a:pPr>
                <a:r>
                  <a:rPr lang="en-US"/>
                  <a:t>Year in service</a:t>
                </a:r>
                <a:endParaRPr lang="ja-JP"/>
              </a:p>
            </c:rich>
          </c:tx>
          <c:layout>
            <c:manualLayout>
              <c:xMode val="edge"/>
              <c:yMode val="edge"/>
              <c:x val="0.82953930196287573"/>
              <c:y val="0.8046858921538857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Times New Roman" panose="02020603050405020304" pitchFamily="18" charset="0"/>
              </a:defRPr>
            </a:pPr>
            <a:endParaRPr lang="ja-JP"/>
          </a:p>
        </c:txPr>
        <c:crossAx val="714495840"/>
        <c:crosses val="autoZero"/>
        <c:auto val="1"/>
        <c:lblAlgn val="ctr"/>
        <c:lblOffset val="100"/>
        <c:tickLblSkip val="2"/>
        <c:tickMarkSkip val="1"/>
        <c:noMultiLvlLbl val="0"/>
      </c:catAx>
      <c:valAx>
        <c:axId val="714495840"/>
        <c:scaling>
          <c:orientation val="minMax"/>
          <c:max val="1"/>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Times New Roman" panose="02020603050405020304" pitchFamily="18" charset="0"/>
                  </a:defRPr>
                </a:pPr>
                <a:r>
                  <a:rPr lang="en-US"/>
                  <a:t>"Survival rate" of vehicle</a:t>
                </a:r>
                <a:endParaRPr lang="ja-JP"/>
              </a:p>
            </c:rich>
          </c:tx>
          <c:layout>
            <c:manualLayout>
              <c:xMode val="edge"/>
              <c:yMode val="edge"/>
              <c:x val="1.509246332293736E-2"/>
              <c:y val="0.15053070328378237"/>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Times New Roman" panose="02020603050405020304" pitchFamily="18" charset="0"/>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Times New Roman" panose="02020603050405020304" pitchFamily="18" charset="0"/>
              </a:defRPr>
            </a:pPr>
            <a:endParaRPr lang="ja-JP"/>
          </a:p>
        </c:txPr>
        <c:crossAx val="431601328"/>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cs typeface="Times New Roman" panose="02020603050405020304" pitchFamily="18" charset="0"/>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4930166277692"/>
          <c:y val="4.7383685977800259E-2"/>
          <c:w val="0.77760813139354812"/>
          <c:h val="0.5828715963577179"/>
        </c:manualLayout>
      </c:layout>
      <c:scatterChart>
        <c:scatterStyle val="smoothMarker"/>
        <c:varyColors val="0"/>
        <c:ser>
          <c:idx val="0"/>
          <c:order val="0"/>
          <c:tx>
            <c:strRef>
              <c:f>'[【MFA-LCA統合】LIB正極材（高度分解選別）二次利用なし_25%_回収率100％.xlsx]4全車種Weibull'!$E$7</c:f>
              <c:strCache>
                <c:ptCount val="1"/>
                <c:pt idx="0">
                  <c:v>Actual passenger car ownership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'[【MFA-LCA統合】LIB正極材（高度分解選別）二次利用なし_25%_回収率100％.xlsx]4全車種Weibull'!$F$5:$AF$5</c:f>
              <c:numCache>
                <c:formatCode>General</c:formatCod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numCache>
            </c:numRef>
          </c:xVal>
          <c:yVal>
            <c:numRef>
              <c:f>'[【MFA-LCA統合】LIB正極材（高度分解選別）二次利用なし_25%_回収率100％.xlsx]4全車種Weibull'!$F$7:$AF$7</c:f>
              <c:numCache>
                <c:formatCode>General</c:formatCode>
                <c:ptCount val="27"/>
                <c:pt idx="0">
                  <c:v>39164550</c:v>
                </c:pt>
                <c:pt idx="1">
                  <c:v>41060611</c:v>
                </c:pt>
                <c:pt idx="2">
                  <c:v>42956339</c:v>
                </c:pt>
                <c:pt idx="3">
                  <c:v>45068530</c:v>
                </c:pt>
                <c:pt idx="4">
                  <c:v>47214826</c:v>
                </c:pt>
                <c:pt idx="5">
                  <c:v>48684206</c:v>
                </c:pt>
                <c:pt idx="6">
                  <c:v>49968149</c:v>
                </c:pt>
                <c:pt idx="7">
                  <c:v>51222129</c:v>
                </c:pt>
                <c:pt idx="8">
                  <c:v>52449354</c:v>
                </c:pt>
                <c:pt idx="9">
                  <c:v>53487293</c:v>
                </c:pt>
                <c:pt idx="10">
                  <c:v>54471376</c:v>
                </c:pt>
                <c:pt idx="11">
                  <c:v>55288124</c:v>
                </c:pt>
                <c:pt idx="12">
                  <c:v>56288256</c:v>
                </c:pt>
                <c:pt idx="13">
                  <c:v>57097670</c:v>
                </c:pt>
                <c:pt idx="14">
                  <c:v>57510360</c:v>
                </c:pt>
                <c:pt idx="15">
                  <c:v>57551248</c:v>
                </c:pt>
                <c:pt idx="16">
                  <c:v>57682475</c:v>
                </c:pt>
                <c:pt idx="17">
                  <c:v>57902835</c:v>
                </c:pt>
                <c:pt idx="18">
                  <c:v>58139471</c:v>
                </c:pt>
                <c:pt idx="19">
                  <c:v>58729343</c:v>
                </c:pt>
                <c:pt idx="20">
                  <c:v>59357223</c:v>
                </c:pt>
                <c:pt idx="21">
                  <c:v>60051338</c:v>
                </c:pt>
                <c:pt idx="22">
                  <c:v>60517249</c:v>
                </c:pt>
                <c:pt idx="23">
                  <c:v>60831892</c:v>
                </c:pt>
                <c:pt idx="24">
                  <c:v>61253300</c:v>
                </c:pt>
                <c:pt idx="25">
                  <c:v>61584906</c:v>
                </c:pt>
                <c:pt idx="26">
                  <c:v>61770573</c:v>
                </c:pt>
              </c:numCache>
            </c:numRef>
          </c:yVal>
          <c:smooth val="1"/>
          <c:extLst>
            <c:ext xmlns:c16="http://schemas.microsoft.com/office/drawing/2014/chart" uri="{C3380CC4-5D6E-409C-BE32-E72D297353CC}">
              <c16:uniqueId val="{00000000-4075-418A-82E6-B0F5B139221F}"/>
            </c:ext>
          </c:extLst>
        </c:ser>
        <c:ser>
          <c:idx val="1"/>
          <c:order val="1"/>
          <c:tx>
            <c:strRef>
              <c:f>'[【MFA-LCA統合】LIB正極材（高度分解選別）二次利用なし_25%_回収率100％.xlsx]4全車種Weibull'!$E$16</c:f>
              <c:strCache>
                <c:ptCount val="1"/>
                <c:pt idx="0">
                  <c:v>Predicted passenger car ownership (Calculate backwards from 2019 by Weibull distribution)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'[【MFA-LCA統合】LIB正極材（高度分解選別）二次利用なし_25%_回収率100％.xlsx]4全車種Weibull'!$F$5:$AF$5</c:f>
              <c:numCache>
                <c:formatCode>General</c:formatCod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numCache>
            </c:numRef>
          </c:xVal>
          <c:yVal>
            <c:numRef>
              <c:f>'[【MFA-LCA統合】LIB正極材（高度分解選別）二次利用なし_25%_回収率100％.xlsx]4全車種Weibull'!$F$95:$AF$95</c:f>
              <c:numCache>
                <c:formatCode>0</c:formatCode>
                <c:ptCount val="27"/>
                <c:pt idx="0">
                  <c:v>40219068.361914724</c:v>
                </c:pt>
                <c:pt idx="1">
                  <c:v>41294165.350829929</c:v>
                </c:pt>
                <c:pt idx="2">
                  <c:v>41986561.890934005</c:v>
                </c:pt>
                <c:pt idx="3">
                  <c:v>42453276.657187112</c:v>
                </c:pt>
                <c:pt idx="4">
                  <c:v>42991636.26338581</c:v>
                </c:pt>
                <c:pt idx="5">
                  <c:v>43008065.776925318</c:v>
                </c:pt>
                <c:pt idx="6">
                  <c:v>42845410.818536103</c:v>
                </c:pt>
                <c:pt idx="7">
                  <c:v>42582424.916781984</c:v>
                </c:pt>
                <c:pt idx="8">
                  <c:v>42687534.732610635</c:v>
                </c:pt>
                <c:pt idx="9">
                  <c:v>42721848.607592687</c:v>
                </c:pt>
                <c:pt idx="10">
                  <c:v>43598934.486816347</c:v>
                </c:pt>
                <c:pt idx="11">
                  <c:v>44664210.362735294</c:v>
                </c:pt>
                <c:pt idx="12">
                  <c:v>46453663.749300346</c:v>
                </c:pt>
                <c:pt idx="13">
                  <c:v>48318396.179931968</c:v>
                </c:pt>
                <c:pt idx="14">
                  <c:v>50130722.153700665</c:v>
                </c:pt>
                <c:pt idx="15">
                  <c:v>51707508.135908954</c:v>
                </c:pt>
                <c:pt idx="16">
                  <c:v>52709925.279865697</c:v>
                </c:pt>
                <c:pt idx="17">
                  <c:v>54379303.319894738</c:v>
                </c:pt>
                <c:pt idx="18">
                  <c:v>55486698.786555812</c:v>
                </c:pt>
                <c:pt idx="19">
                  <c:v>56508181.515572615</c:v>
                </c:pt>
                <c:pt idx="20">
                  <c:v>57683953.504898168</c:v>
                </c:pt>
                <c:pt idx="21">
                  <c:v>58849270.7813325</c:v>
                </c:pt>
                <c:pt idx="22">
                  <c:v>59395309.408671744</c:v>
                </c:pt>
                <c:pt idx="23">
                  <c:v>59795698.260798611</c:v>
                </c:pt>
                <c:pt idx="24">
                  <c:v>60527492.235571384</c:v>
                </c:pt>
                <c:pt idx="25">
                  <c:v>61192977.39632374</c:v>
                </c:pt>
                <c:pt idx="26">
                  <c:v>61770573.000000007</c:v>
                </c:pt>
              </c:numCache>
            </c:numRef>
          </c:yVal>
          <c:smooth val="1"/>
          <c:extLst>
            <c:ext xmlns:c16="http://schemas.microsoft.com/office/drawing/2014/chart" uri="{C3380CC4-5D6E-409C-BE32-E72D297353CC}">
              <c16:uniqueId val="{00000001-4075-418A-82E6-B0F5B139221F}"/>
            </c:ext>
          </c:extLst>
        </c:ser>
        <c:dLbls>
          <c:showLegendKey val="0"/>
          <c:showVal val="0"/>
          <c:showCatName val="0"/>
          <c:showSerName val="0"/>
          <c:showPercent val="0"/>
          <c:showBubbleSize val="0"/>
        </c:dLbls>
        <c:axId val="992367520"/>
        <c:axId val="1104090048"/>
        <c:extLst>
          <c:ext xmlns:c15="http://schemas.microsoft.com/office/drawing/2012/chart" uri="{02D57815-91ED-43cb-92C2-25804820EDAC}">
            <c15:filteredScatterSeries>
              <c15:ser>
                <c:idx val="2"/>
                <c:order val="2"/>
                <c:tx>
                  <c:strRef>
                    <c:extLst>
                      <c:ext uri="{02D57815-91ED-43cb-92C2-25804820EDAC}">
                        <c15:formulaRef>
                          <c15:sqref>'[【MFA-LCA統合】LIB正極材（高度分解選別）二次利用なし_25%_回収率100％.xlsx]4全車種Weibull'!$E$173</c15:sqref>
                        </c15:formulaRef>
                      </c:ext>
                    </c:extLst>
                    <c:strCache>
                      <c:ptCount val="1"/>
                      <c:pt idx="0">
                        <c:v>保有台数（Weibull近似）</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c:ext uri="{02D57815-91ED-43cb-92C2-25804820EDAC}">
                        <c15:formulaRef>
                          <c15:sqref>'[【MFA-LCA統合】LIB正極材（高度分解選別）二次利用なし_25%_回収率100％.xlsx]4全車種Weibull'!$F$100:$AF$100</c15:sqref>
                        </c15:formulaRef>
                      </c:ext>
                    </c:extLst>
                    <c:numCache>
                      <c:formatCode>General</c:formatCode>
                      <c:ptCount val="27"/>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numCache>
                  </c:numRef>
                </c:xVal>
                <c:yVal>
                  <c:numRef>
                    <c:extLst>
                      <c:ext uri="{02D57815-91ED-43cb-92C2-25804820EDAC}">
                        <c15:formulaRef>
                          <c15:sqref>'[【MFA-LCA統合】LIB正極材（高度分解選別）二次利用なし_25%_回収率100％.xlsx]4全車種Weibull'!$F$173:$AF$173</c15:sqref>
                        </c15:formulaRef>
                      </c:ext>
                    </c:extLst>
                    <c:numCache>
                      <c:formatCode>0</c:formatCode>
                      <c:ptCount val="27"/>
                      <c:pt idx="0">
                        <c:v>39164550</c:v>
                      </c:pt>
                      <c:pt idx="1">
                        <c:v>41060611</c:v>
                      </c:pt>
                      <c:pt idx="2">
                        <c:v>42956338.999999993</c:v>
                      </c:pt>
                      <c:pt idx="3">
                        <c:v>45068530</c:v>
                      </c:pt>
                      <c:pt idx="4">
                        <c:v>47214826</c:v>
                      </c:pt>
                      <c:pt idx="5">
                        <c:v>48684206.000000022</c:v>
                      </c:pt>
                      <c:pt idx="6">
                        <c:v>49968149.000000015</c:v>
                      </c:pt>
                      <c:pt idx="7">
                        <c:v>51222128.999999993</c:v>
                      </c:pt>
                      <c:pt idx="8">
                        <c:v>52449353.999999993</c:v>
                      </c:pt>
                      <c:pt idx="9">
                        <c:v>53487293</c:v>
                      </c:pt>
                      <c:pt idx="10">
                        <c:v>54471375.999999963</c:v>
                      </c:pt>
                      <c:pt idx="11">
                        <c:v>55288124.000000015</c:v>
                      </c:pt>
                      <c:pt idx="12">
                        <c:v>56288255.999999993</c:v>
                      </c:pt>
                      <c:pt idx="13">
                        <c:v>57097669.999999993</c:v>
                      </c:pt>
                      <c:pt idx="14">
                        <c:v>57510359.99999997</c:v>
                      </c:pt>
                      <c:pt idx="15">
                        <c:v>57551248.000000007</c:v>
                      </c:pt>
                      <c:pt idx="16">
                        <c:v>57682474.999999978</c:v>
                      </c:pt>
                      <c:pt idx="17">
                        <c:v>57902835</c:v>
                      </c:pt>
                      <c:pt idx="18">
                        <c:v>58139470.999999993</c:v>
                      </c:pt>
                      <c:pt idx="19">
                        <c:v>58729343.000000022</c:v>
                      </c:pt>
                      <c:pt idx="20">
                        <c:v>59357223.000000022</c:v>
                      </c:pt>
                      <c:pt idx="21">
                        <c:v>60051338.00000003</c:v>
                      </c:pt>
                      <c:pt idx="22">
                        <c:v>60517249</c:v>
                      </c:pt>
                      <c:pt idx="23">
                        <c:v>60831892</c:v>
                      </c:pt>
                      <c:pt idx="24">
                        <c:v>61253300</c:v>
                      </c:pt>
                      <c:pt idx="25">
                        <c:v>61584905.99999997</c:v>
                      </c:pt>
                      <c:pt idx="26">
                        <c:v>61770573.000000007</c:v>
                      </c:pt>
                    </c:numCache>
                  </c:numRef>
                </c:yVal>
                <c:smooth val="1"/>
                <c:extLst>
                  <c:ext xmlns:c16="http://schemas.microsoft.com/office/drawing/2014/chart" uri="{C3380CC4-5D6E-409C-BE32-E72D297353CC}">
                    <c16:uniqueId val="{00000002-4075-418A-82E6-B0F5B139221F}"/>
                  </c:ext>
                </c:extLst>
              </c15:ser>
            </c15:filteredScatterSeries>
          </c:ext>
        </c:extLst>
      </c:scatterChart>
      <c:valAx>
        <c:axId val="992367520"/>
        <c:scaling>
          <c:orientation val="minMax"/>
          <c:max val="2020"/>
          <c:min val="199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1104090048"/>
        <c:crosses val="autoZero"/>
        <c:crossBetween val="midCat"/>
      </c:valAx>
      <c:valAx>
        <c:axId val="110409004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crossAx val="992367520"/>
        <c:crosses val="autoZero"/>
        <c:crossBetween val="midCat"/>
        <c:dispUnits>
          <c:builtInUnit val="millions"/>
          <c:dispUnitsLbl>
            <c:tx>
              <c:rich>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r>
                    <a:rPr lang="en-US"/>
                    <a:t>million vehicles</a:t>
                  </a:r>
                  <a:endParaRPr lang="ja-JP"/>
                </a:p>
              </c:rich>
            </c:tx>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dispUnitsLbl>
        </c:dispUnits>
      </c:valAx>
      <c:spPr>
        <a:noFill/>
        <a:ln>
          <a:solidFill>
            <a:schemeClr val="tx1"/>
          </a:solidFill>
        </a:ln>
        <a:effectLst/>
      </c:spPr>
    </c:plotArea>
    <c:legend>
      <c:legendPos val="b"/>
      <c:layout>
        <c:manualLayout>
          <c:xMode val="edge"/>
          <c:yMode val="edge"/>
          <c:x val="7.502137025115628E-2"/>
          <c:y val="0.71956221091224104"/>
          <c:w val="0.84995705176742109"/>
          <c:h val="0.2568621505808826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ptos" panose="020B0004020202020204" pitchFamily="34" charset="0"/>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Aptos" panose="020B0004020202020204" pitchFamily="34" charset="0"/>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25E0A-D6D1-462B-BDD4-3D1F6EAC8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16860</TotalTime>
  <Pages>58</Pages>
  <Words>18229</Words>
  <Characters>103909</Characters>
  <Application>Microsoft Office Word</Application>
  <DocSecurity>0</DocSecurity>
  <Lines>865</Lines>
  <Paragraphs>243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 YI</dc:creator>
  <cp:keywords/>
  <dc:description/>
  <cp:lastModifiedBy>Yi Dou</cp:lastModifiedBy>
  <cp:revision>2773</cp:revision>
  <dcterms:created xsi:type="dcterms:W3CDTF">2022-10-19T05:27:00Z</dcterms:created>
  <dcterms:modified xsi:type="dcterms:W3CDTF">2025-10-23T14:34:00Z</dcterms:modified>
</cp:coreProperties>
</file>