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A14427" w14:textId="129A37CE" w:rsidR="00C12A89" w:rsidRPr="00C12A89" w:rsidRDefault="00333B4D" w:rsidP="00383B0C">
      <w:pPr>
        <w:jc w:val="both"/>
        <w:rPr>
          <w:rStyle w:val="normaltextrun"/>
          <w:rFonts w:ascii="Calibri" w:hAnsi="Calibri" w:cs="Calibri"/>
          <w:b/>
          <w:color w:val="000000"/>
          <w:sz w:val="20"/>
          <w:szCs w:val="20"/>
          <w:shd w:val="clear" w:color="auto" w:fill="FFFFFF"/>
          <w:lang w:val="en-GB"/>
        </w:rPr>
      </w:pPr>
      <w:r w:rsidRPr="00C12A89">
        <w:rPr>
          <w:rFonts w:cstheme="minorHAnsi"/>
          <w:b/>
          <w:sz w:val="34"/>
          <w:szCs w:val="34"/>
        </w:rPr>
        <w:t>Supplementary Document for “</w:t>
      </w:r>
      <w:r w:rsidR="000E4133" w:rsidRPr="000E4133">
        <w:rPr>
          <w:rFonts w:cstheme="minorHAnsi"/>
          <w:b/>
          <w:sz w:val="34"/>
          <w:szCs w:val="34"/>
        </w:rPr>
        <w:t>Explainable Ensemble-Based Unsupervised Anomaly Detection in Urban Air Pollution Time Series</w:t>
      </w:r>
      <w:r w:rsidRPr="00C12A89">
        <w:rPr>
          <w:rFonts w:cstheme="minorHAnsi"/>
          <w:b/>
          <w:sz w:val="34"/>
          <w:szCs w:val="34"/>
        </w:rPr>
        <w:t>”</w:t>
      </w:r>
      <w:r w:rsidR="00C12A89" w:rsidRPr="00C12A89">
        <w:rPr>
          <w:rStyle w:val="normaltextrun"/>
          <w:rFonts w:ascii="Calibri" w:hAnsi="Calibri" w:cs="Calibri"/>
          <w:b/>
          <w:color w:val="000000"/>
          <w:sz w:val="20"/>
          <w:szCs w:val="20"/>
          <w:shd w:val="clear" w:color="auto" w:fill="FFFFFF"/>
          <w:lang w:val="en-GB"/>
        </w:rPr>
        <w:t xml:space="preserve"> </w:t>
      </w:r>
    </w:p>
    <w:p w14:paraId="7A8E7588" w14:textId="77777777" w:rsidR="000E4133" w:rsidRPr="00FE7998" w:rsidRDefault="000E4133" w:rsidP="000E4133">
      <w:pPr>
        <w:pStyle w:val="Textoindependiente"/>
        <w:tabs>
          <w:tab w:val="left" w:pos="8789"/>
        </w:tabs>
        <w:spacing w:after="120"/>
        <w:ind w:right="54"/>
        <w:jc w:val="center"/>
        <w:rPr>
          <w:rFonts w:asciiTheme="minorHAnsi" w:hAnsiTheme="minorHAnsi" w:cstheme="minorHAnsi"/>
          <w:lang w:eastAsia="en-GB"/>
        </w:rPr>
      </w:pPr>
      <w:r w:rsidRPr="00FE7998">
        <w:rPr>
          <w:rFonts w:ascii="Arial" w:hAnsi="Arial" w:cs="Arial"/>
          <w:noProof/>
          <w:sz w:val="22"/>
          <w:szCs w:val="22"/>
          <w:bdr w:val="none" w:sz="0" w:space="0" w:color="auto" w:frame="1"/>
          <w:lang w:eastAsia="es-ES"/>
        </w:rPr>
        <w:drawing>
          <wp:inline distT="0" distB="0" distL="0" distR="0" wp14:anchorId="18D76F99" wp14:editId="28F246DF">
            <wp:extent cx="4906985" cy="2818907"/>
            <wp:effectExtent l="0" t="0" r="8255" b="635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043" b="40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6985" cy="2818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63FCE3A" w14:textId="3E539E72" w:rsidR="000E4133" w:rsidRPr="000E6ACA" w:rsidRDefault="000E4133" w:rsidP="000E4133">
      <w:pPr>
        <w:pStyle w:val="Textoindependiente"/>
        <w:tabs>
          <w:tab w:val="left" w:pos="8789"/>
        </w:tabs>
        <w:spacing w:after="240"/>
        <w:ind w:left="1276" w:right="1188"/>
        <w:jc w:val="both"/>
        <w:rPr>
          <w:rFonts w:asciiTheme="minorHAnsi" w:hAnsiTheme="minorHAnsi" w:cstheme="minorHAnsi"/>
          <w:sz w:val="20"/>
        </w:rPr>
      </w:pPr>
      <w:r w:rsidRPr="000E6ACA">
        <w:rPr>
          <w:rFonts w:asciiTheme="minorHAnsi" w:hAnsiTheme="minorHAnsi" w:cstheme="minorHAnsi"/>
          <w:sz w:val="20"/>
        </w:rPr>
        <w:t xml:space="preserve">Fig. S1: </w:t>
      </w:r>
      <w:r w:rsidR="000E6ACA" w:rsidRPr="000E6ACA">
        <w:rPr>
          <w:rFonts w:asciiTheme="minorHAnsi" w:hAnsiTheme="minorHAnsi" w:cstheme="minorHAnsi"/>
          <w:sz w:val="20"/>
        </w:rPr>
        <w:t>Scatter plot of predicted versus ground truth values on the test dataset, showing a strong alignment along the 1:1 line and indicating high predictive accuracy.</w:t>
      </w:r>
    </w:p>
    <w:p w14:paraId="431E2660" w14:textId="77777777" w:rsidR="000E6ACA" w:rsidRPr="000E6ACA" w:rsidRDefault="000E6ACA" w:rsidP="000E6ACA">
      <w:pPr>
        <w:pStyle w:val="Textoindependiente"/>
        <w:tabs>
          <w:tab w:val="left" w:pos="8789"/>
        </w:tabs>
        <w:spacing w:after="120"/>
        <w:ind w:right="54"/>
        <w:jc w:val="center"/>
        <w:rPr>
          <w:rFonts w:asciiTheme="minorHAnsi" w:hAnsiTheme="minorHAnsi" w:cstheme="minorHAnsi"/>
          <w:lang w:eastAsia="en-GB"/>
        </w:rPr>
      </w:pPr>
      <w:r w:rsidRPr="000E6ACA">
        <w:rPr>
          <w:rFonts w:ascii="Arial" w:hAnsi="Arial" w:cs="Arial"/>
          <w:noProof/>
          <w:sz w:val="22"/>
          <w:szCs w:val="22"/>
          <w:bdr w:val="none" w:sz="0" w:space="0" w:color="auto" w:frame="1"/>
          <w:lang w:eastAsia="es-ES"/>
        </w:rPr>
        <w:drawing>
          <wp:inline distT="0" distB="0" distL="0" distR="0" wp14:anchorId="4E2D5A76" wp14:editId="0203F1D7">
            <wp:extent cx="4906985" cy="2818907"/>
            <wp:effectExtent l="0" t="0" r="8255" b="635"/>
            <wp:docPr id="1536745827" name="Imagen 1536745827" descr="Gráfico, Histogram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6745827" name="Imagen 1536745827" descr="Gráfico, Histograma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043" b="40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6985" cy="2818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6B30E02" w14:textId="748964B6" w:rsidR="000E6ACA" w:rsidRPr="000E6ACA" w:rsidRDefault="000E6ACA" w:rsidP="000E6ACA">
      <w:pPr>
        <w:pStyle w:val="Textoindependiente"/>
        <w:tabs>
          <w:tab w:val="left" w:pos="8789"/>
        </w:tabs>
        <w:spacing w:after="240"/>
        <w:ind w:left="1276" w:right="1188"/>
        <w:jc w:val="both"/>
        <w:rPr>
          <w:rFonts w:asciiTheme="minorHAnsi" w:hAnsiTheme="minorHAnsi" w:cstheme="minorHAnsi"/>
          <w:sz w:val="20"/>
        </w:rPr>
      </w:pPr>
      <w:r w:rsidRPr="000E6ACA">
        <w:rPr>
          <w:rFonts w:asciiTheme="minorHAnsi" w:hAnsiTheme="minorHAnsi" w:cstheme="minorHAnsi"/>
          <w:sz w:val="20"/>
        </w:rPr>
        <w:t>Fig. S2: Distribution of prediction errors for training and test datasets, showing a narrow concentration around zero with slightly higher variance in the test set.</w:t>
      </w:r>
    </w:p>
    <w:p w14:paraId="436292D0" w14:textId="77777777" w:rsidR="005C7E06" w:rsidRPr="000E6ACA" w:rsidRDefault="005C7E06" w:rsidP="005C7E06">
      <w:pPr>
        <w:pStyle w:val="Textoindependiente"/>
        <w:tabs>
          <w:tab w:val="left" w:pos="8789"/>
        </w:tabs>
        <w:spacing w:after="120"/>
        <w:ind w:right="54"/>
        <w:jc w:val="center"/>
        <w:rPr>
          <w:rFonts w:asciiTheme="minorHAnsi" w:hAnsiTheme="minorHAnsi" w:cstheme="minorHAnsi"/>
          <w:lang w:eastAsia="en-GB"/>
        </w:rPr>
      </w:pPr>
      <w:r w:rsidRPr="000E6ACA">
        <w:rPr>
          <w:rFonts w:ascii="Arial" w:hAnsi="Arial" w:cs="Arial"/>
          <w:noProof/>
          <w:sz w:val="22"/>
          <w:szCs w:val="22"/>
          <w:bdr w:val="none" w:sz="0" w:space="0" w:color="auto" w:frame="1"/>
          <w:lang w:eastAsia="es-ES"/>
        </w:rPr>
        <w:lastRenderedPageBreak/>
        <w:drawing>
          <wp:inline distT="0" distB="0" distL="0" distR="0" wp14:anchorId="1C91306A" wp14:editId="650B972A">
            <wp:extent cx="4906985" cy="2818907"/>
            <wp:effectExtent l="0" t="0" r="8255" b="635"/>
            <wp:docPr id="1727512503" name="Imagen 17275125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7512503" name="Imagen 172751250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043" b="40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6985" cy="2818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7A6FEFE" w14:textId="7C621E16" w:rsidR="005C7E06" w:rsidRPr="00AC7A75" w:rsidRDefault="005C7E06" w:rsidP="005C7E06">
      <w:pPr>
        <w:pStyle w:val="Textoindependiente"/>
        <w:tabs>
          <w:tab w:val="left" w:pos="8789"/>
        </w:tabs>
        <w:spacing w:after="240"/>
        <w:ind w:left="1276" w:right="1188"/>
        <w:jc w:val="both"/>
        <w:rPr>
          <w:rFonts w:asciiTheme="minorHAnsi" w:hAnsiTheme="minorHAnsi" w:cstheme="minorHAnsi"/>
          <w:w w:val="105"/>
          <w:sz w:val="20"/>
        </w:rPr>
      </w:pPr>
      <w:r w:rsidRPr="000E6ACA">
        <w:rPr>
          <w:rFonts w:asciiTheme="minorHAnsi" w:hAnsiTheme="minorHAnsi" w:cstheme="minorHAnsi"/>
          <w:sz w:val="20"/>
        </w:rPr>
        <w:t>Fig. S</w:t>
      </w:r>
      <w:r w:rsidR="000E6ACA" w:rsidRPr="000E6ACA">
        <w:rPr>
          <w:rFonts w:asciiTheme="minorHAnsi" w:hAnsiTheme="minorHAnsi" w:cstheme="minorHAnsi"/>
          <w:sz w:val="20"/>
        </w:rPr>
        <w:t>3</w:t>
      </w:r>
      <w:r w:rsidRPr="000E6ACA">
        <w:rPr>
          <w:rFonts w:asciiTheme="minorHAnsi" w:hAnsiTheme="minorHAnsi" w:cstheme="minorHAnsi"/>
          <w:sz w:val="20"/>
        </w:rPr>
        <w:t xml:space="preserve">: </w:t>
      </w:r>
      <w:r w:rsidR="000E6ACA" w:rsidRPr="000E6ACA">
        <w:rPr>
          <w:rFonts w:asciiTheme="minorHAnsi" w:hAnsiTheme="minorHAnsi" w:cstheme="minorHAnsi"/>
          <w:sz w:val="20"/>
        </w:rPr>
        <w:t>Residuals of the test dataset plotted against predicted values, illustrating homoscedasticity with minor dispersion at higher prediction ranges.</w:t>
      </w:r>
    </w:p>
    <w:sectPr w:rsidR="005C7E06" w:rsidRPr="00AC7A7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7B75AD" w14:textId="77777777" w:rsidR="00BA1F04" w:rsidRDefault="00BA1F04" w:rsidP="00C12A89">
      <w:pPr>
        <w:spacing w:after="0" w:line="240" w:lineRule="auto"/>
      </w:pPr>
      <w:r>
        <w:separator/>
      </w:r>
    </w:p>
  </w:endnote>
  <w:endnote w:type="continuationSeparator" w:id="0">
    <w:p w14:paraId="11722B48" w14:textId="77777777" w:rsidR="00BA1F04" w:rsidRDefault="00BA1F04" w:rsidP="00C12A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1C0604" w14:textId="77777777" w:rsidR="00BA1F04" w:rsidRDefault="00BA1F04" w:rsidP="00C12A89">
      <w:pPr>
        <w:spacing w:after="0" w:line="240" w:lineRule="auto"/>
      </w:pPr>
      <w:r>
        <w:separator/>
      </w:r>
    </w:p>
  </w:footnote>
  <w:footnote w:type="continuationSeparator" w:id="0">
    <w:p w14:paraId="04B5B760" w14:textId="77777777" w:rsidR="00BA1F04" w:rsidRDefault="00BA1F04" w:rsidP="00C12A8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es-ES" w:vendorID="64" w:dllVersion="6" w:nlCheck="1" w:checkStyle="0"/>
  <w:activeWritingStyle w:appName="MSWord" w:lang="en-US" w:vendorID="64" w:dllVersion="6" w:nlCheck="1" w:checkStyle="1"/>
  <w:activeWritingStyle w:appName="MSWord" w:lang="en-GB" w:vendorID="64" w:dllVersion="6" w:nlCheck="1" w:checkStyle="1"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s-ES" w:vendorID="64" w:dllVersion="0" w:nlCheck="1" w:checkStyle="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6AFE"/>
    <w:rsid w:val="000327E0"/>
    <w:rsid w:val="000E4133"/>
    <w:rsid w:val="000E6ACA"/>
    <w:rsid w:val="00333B4D"/>
    <w:rsid w:val="00383B0C"/>
    <w:rsid w:val="0055294C"/>
    <w:rsid w:val="005C7E06"/>
    <w:rsid w:val="006A2B8E"/>
    <w:rsid w:val="00710EB1"/>
    <w:rsid w:val="0084236A"/>
    <w:rsid w:val="00893EBE"/>
    <w:rsid w:val="008F68C6"/>
    <w:rsid w:val="009D6AFE"/>
    <w:rsid w:val="00AD7263"/>
    <w:rsid w:val="00B24A2B"/>
    <w:rsid w:val="00B72490"/>
    <w:rsid w:val="00B752FD"/>
    <w:rsid w:val="00BA1F04"/>
    <w:rsid w:val="00C12A89"/>
    <w:rsid w:val="00CE6265"/>
    <w:rsid w:val="00FA3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95758D"/>
  <w15:chartTrackingRefBased/>
  <w15:docId w15:val="{273ABEEC-9AD8-448F-8812-7F655BD98C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6AFE"/>
    <w:pPr>
      <w:spacing w:after="200" w:line="276" w:lineRule="auto"/>
    </w:pPr>
    <w:rPr>
      <w:rFonts w:eastAsiaTheme="minorEastAsia"/>
      <w:lang w:val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9D6AF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D6AFE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table" w:styleId="Tablaconcuadrcula">
    <w:name w:val="Table Grid"/>
    <w:basedOn w:val="Tablanormal"/>
    <w:uiPriority w:val="59"/>
    <w:rsid w:val="009D6AFE"/>
    <w:pPr>
      <w:spacing w:after="0" w:line="240" w:lineRule="auto"/>
    </w:pPr>
    <w:rPr>
      <w:rFonts w:eastAsiaTheme="minorEastAsia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normal5">
    <w:name w:val="Plain Table 5"/>
    <w:basedOn w:val="Tablanormal"/>
    <w:uiPriority w:val="45"/>
    <w:rsid w:val="009D6AFE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normaltextrun">
    <w:name w:val="normaltextrun"/>
    <w:basedOn w:val="Fuentedeprrafopredeter"/>
    <w:rsid w:val="008F68C6"/>
  </w:style>
  <w:style w:type="character" w:customStyle="1" w:styleId="eop">
    <w:name w:val="eop"/>
    <w:basedOn w:val="Fuentedeprrafopredeter"/>
    <w:rsid w:val="008F68C6"/>
  </w:style>
  <w:style w:type="paragraph" w:styleId="Encabezado">
    <w:name w:val="header"/>
    <w:basedOn w:val="Normal"/>
    <w:link w:val="EncabezadoCar"/>
    <w:uiPriority w:val="99"/>
    <w:unhideWhenUsed/>
    <w:rsid w:val="00C12A8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12A89"/>
    <w:rPr>
      <w:rFonts w:eastAsiaTheme="minorEastAsia"/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C12A8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12A89"/>
    <w:rPr>
      <w:rFonts w:eastAsiaTheme="minorEastAsia"/>
      <w:lang w:val="en-US"/>
    </w:rPr>
  </w:style>
  <w:style w:type="paragraph" w:styleId="Textoindependiente">
    <w:name w:val="Body Text"/>
    <w:basedOn w:val="Normal"/>
    <w:link w:val="TextoindependienteCar"/>
    <w:uiPriority w:val="1"/>
    <w:qFormat/>
    <w:rsid w:val="000E4133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sz w:val="24"/>
      <w:szCs w:val="24"/>
      <w:lang w:val="en-GB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0E4133"/>
    <w:rPr>
      <w:rFonts w:ascii="Cambria" w:eastAsia="Cambria" w:hAnsi="Cambria" w:cs="Cambria"/>
      <w:sz w:val="24"/>
      <w:szCs w:val="24"/>
      <w:lang w:val="en-GB"/>
    </w:rPr>
  </w:style>
  <w:style w:type="character" w:styleId="Refdecomentario">
    <w:name w:val="annotation reference"/>
    <w:basedOn w:val="Fuentedeprrafopredeter"/>
    <w:uiPriority w:val="99"/>
    <w:semiHidden/>
    <w:unhideWhenUsed/>
    <w:rsid w:val="000E4133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0E4133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sz w:val="20"/>
      <w:szCs w:val="20"/>
      <w:lang w:val="en-GB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0E4133"/>
    <w:rPr>
      <w:rFonts w:ascii="Cambria" w:eastAsia="Cambria" w:hAnsi="Cambria" w:cs="Cambria"/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95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Pablo</dc:creator>
  <cp:keywords/>
  <dc:description/>
  <cp:lastModifiedBy>David Garcia Rodriguez</cp:lastModifiedBy>
  <cp:revision>4</cp:revision>
  <dcterms:created xsi:type="dcterms:W3CDTF">2025-08-25T07:09:00Z</dcterms:created>
  <dcterms:modified xsi:type="dcterms:W3CDTF">2025-08-25T10:24:00Z</dcterms:modified>
</cp:coreProperties>
</file>