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F1BD5" w14:textId="77777777" w:rsidR="00407377" w:rsidRPr="00CE550D" w:rsidRDefault="006B75A8" w:rsidP="00E52ECD">
      <w:pPr>
        <w:pStyle w:val="paragraph"/>
        <w:spacing w:before="0" w:beforeAutospacing="0" w:after="0" w:afterAutospacing="0" w:line="276" w:lineRule="auto"/>
        <w:jc w:val="center"/>
        <w:rPr>
          <w:b/>
          <w:bCs/>
          <w:sz w:val="32"/>
          <w:szCs w:val="32"/>
        </w:rPr>
      </w:pPr>
      <w:r w:rsidRPr="00CE550D">
        <w:rPr>
          <w:b/>
          <w:bCs/>
          <w:sz w:val="32"/>
          <w:szCs w:val="32"/>
        </w:rPr>
        <w:t>Supplement</w:t>
      </w:r>
      <w:r w:rsidR="00407377" w:rsidRPr="00CE550D">
        <w:rPr>
          <w:b/>
          <w:bCs/>
          <w:sz w:val="32"/>
          <w:szCs w:val="32"/>
        </w:rPr>
        <w:t>ary Information</w:t>
      </w:r>
    </w:p>
    <w:p w14:paraId="6F84575B" w14:textId="77777777" w:rsidR="00407377" w:rsidRPr="00CE550D" w:rsidRDefault="00407377" w:rsidP="00E52ECD">
      <w:pPr>
        <w:pStyle w:val="paragraph"/>
        <w:pBdr>
          <w:bottom w:val="single" w:sz="6" w:space="1" w:color="auto"/>
        </w:pBdr>
        <w:spacing w:before="0" w:beforeAutospacing="0" w:after="0" w:afterAutospacing="0" w:line="276" w:lineRule="auto"/>
        <w:jc w:val="center"/>
        <w:rPr>
          <w:sz w:val="32"/>
          <w:szCs w:val="32"/>
        </w:rPr>
      </w:pPr>
    </w:p>
    <w:p w14:paraId="2CF7CB13" w14:textId="77777777" w:rsidR="00407377" w:rsidRPr="00CE550D" w:rsidRDefault="00407377" w:rsidP="00E52ECD">
      <w:pPr>
        <w:pStyle w:val="paragraph"/>
        <w:spacing w:before="0" w:beforeAutospacing="0" w:after="0" w:afterAutospacing="0" w:line="276" w:lineRule="auto"/>
        <w:jc w:val="center"/>
        <w:rPr>
          <w:sz w:val="32"/>
          <w:szCs w:val="32"/>
        </w:rPr>
      </w:pPr>
    </w:p>
    <w:p w14:paraId="0EF8A209" w14:textId="7C3904DC" w:rsidR="00407377" w:rsidRPr="00D7775B" w:rsidRDefault="00E52ECD" w:rsidP="00407377">
      <w:pPr>
        <w:pStyle w:val="paragraph"/>
        <w:spacing w:before="0" w:beforeAutospacing="0" w:after="0" w:afterAutospacing="0" w:line="276" w:lineRule="auto"/>
        <w:rPr>
          <w:rStyle w:val="normaltextrun"/>
          <w:rFonts w:eastAsiaTheme="majorEastAsia"/>
          <w:bCs/>
          <w:sz w:val="28"/>
          <w:szCs w:val="28"/>
        </w:rPr>
      </w:pPr>
      <w:r w:rsidRPr="00D7775B">
        <w:rPr>
          <w:sz w:val="28"/>
          <w:szCs w:val="28"/>
        </w:rPr>
        <w:t xml:space="preserve">The Scalability </w:t>
      </w:r>
      <w:r w:rsidR="00D7775B" w:rsidRPr="00D7775B">
        <w:rPr>
          <w:sz w:val="28"/>
          <w:szCs w:val="28"/>
        </w:rPr>
        <w:t xml:space="preserve">and Carbon Removal Potential </w:t>
      </w:r>
      <w:r w:rsidRPr="00D7775B">
        <w:rPr>
          <w:sz w:val="28"/>
          <w:szCs w:val="28"/>
        </w:rPr>
        <w:t xml:space="preserve">of </w:t>
      </w:r>
      <w:r w:rsidRPr="00D7775B">
        <w:rPr>
          <w:rStyle w:val="normaltextrun"/>
          <w:rFonts w:eastAsiaTheme="majorEastAsia"/>
          <w:bCs/>
          <w:sz w:val="28"/>
          <w:szCs w:val="28"/>
        </w:rPr>
        <w:t>O</w:t>
      </w:r>
      <w:r w:rsidR="006B75A8" w:rsidRPr="00D7775B">
        <w:rPr>
          <w:rStyle w:val="normaltextrun"/>
          <w:rFonts w:eastAsiaTheme="majorEastAsia"/>
          <w:bCs/>
          <w:sz w:val="28"/>
          <w:szCs w:val="28"/>
        </w:rPr>
        <w:t xml:space="preserve">cean </w:t>
      </w:r>
      <w:r w:rsidRPr="00D7775B">
        <w:rPr>
          <w:rStyle w:val="normaltextrun"/>
          <w:rFonts w:eastAsiaTheme="majorEastAsia"/>
          <w:bCs/>
          <w:sz w:val="28"/>
          <w:szCs w:val="28"/>
        </w:rPr>
        <w:t>Al</w:t>
      </w:r>
      <w:r w:rsidR="006B75A8" w:rsidRPr="00D7775B">
        <w:rPr>
          <w:rStyle w:val="normaltextrun"/>
          <w:rFonts w:eastAsiaTheme="majorEastAsia"/>
          <w:bCs/>
          <w:sz w:val="28"/>
          <w:szCs w:val="28"/>
        </w:rPr>
        <w:t xml:space="preserve">kalinity </w:t>
      </w:r>
      <w:r w:rsidRPr="00D7775B">
        <w:rPr>
          <w:rStyle w:val="normaltextrun"/>
          <w:rFonts w:eastAsiaTheme="majorEastAsia"/>
          <w:bCs/>
          <w:sz w:val="28"/>
          <w:szCs w:val="28"/>
        </w:rPr>
        <w:t>E</w:t>
      </w:r>
      <w:r w:rsidR="006B75A8" w:rsidRPr="00D7775B">
        <w:rPr>
          <w:rStyle w:val="normaltextrun"/>
          <w:rFonts w:eastAsiaTheme="majorEastAsia"/>
          <w:bCs/>
          <w:sz w:val="28"/>
          <w:szCs w:val="28"/>
        </w:rPr>
        <w:t>nhancement</w:t>
      </w:r>
    </w:p>
    <w:p w14:paraId="1296893E" w14:textId="6456E669" w:rsidR="006217DC" w:rsidRPr="00D7775B" w:rsidRDefault="006217DC" w:rsidP="00407377">
      <w:pPr>
        <w:pStyle w:val="paragraph"/>
        <w:spacing w:before="0" w:beforeAutospacing="0" w:after="0" w:afterAutospacing="0" w:line="276" w:lineRule="auto"/>
        <w:rPr>
          <w:rStyle w:val="normaltextrun"/>
          <w:rFonts w:eastAsiaTheme="majorEastAsia"/>
          <w:bCs/>
          <w:sz w:val="28"/>
          <w:szCs w:val="28"/>
          <w:vertAlign w:val="superscript"/>
        </w:rPr>
      </w:pPr>
      <w:r w:rsidRPr="00D7775B">
        <w:rPr>
          <w:rStyle w:val="normaltextrun"/>
          <w:rFonts w:eastAsiaTheme="majorEastAsia"/>
          <w:bCs/>
          <w:sz w:val="22"/>
          <w:szCs w:val="22"/>
        </w:rPr>
        <w:t>Connor J. Mack</w:t>
      </w:r>
      <w:r w:rsidR="00C75B5F" w:rsidRPr="00D7775B">
        <w:rPr>
          <w:rStyle w:val="normaltextrun"/>
          <w:rFonts w:eastAsiaTheme="majorEastAsia"/>
          <w:bCs/>
          <w:sz w:val="22"/>
          <w:szCs w:val="22"/>
          <w:vertAlign w:val="superscript"/>
        </w:rPr>
        <w:t>1</w:t>
      </w:r>
      <w:r w:rsidR="00635FAF" w:rsidRPr="00D7775B">
        <w:rPr>
          <w:rStyle w:val="normaltextrun"/>
          <w:rFonts w:eastAsiaTheme="majorEastAsia"/>
          <w:bCs/>
          <w:sz w:val="22"/>
          <w:szCs w:val="22"/>
          <w:vertAlign w:val="superscript"/>
        </w:rPr>
        <w:t>*</w:t>
      </w:r>
      <w:r w:rsidRPr="00D7775B">
        <w:rPr>
          <w:rStyle w:val="normaltextrun"/>
          <w:rFonts w:eastAsiaTheme="majorEastAsia"/>
          <w:bCs/>
          <w:sz w:val="22"/>
          <w:szCs w:val="22"/>
        </w:rPr>
        <w:t>, Ryan Hanna</w:t>
      </w:r>
      <w:r w:rsidR="00C75B5F" w:rsidRPr="00D7775B">
        <w:rPr>
          <w:rStyle w:val="normaltextrun"/>
          <w:rFonts w:eastAsiaTheme="majorEastAsia"/>
          <w:bCs/>
          <w:sz w:val="22"/>
          <w:szCs w:val="22"/>
          <w:vertAlign w:val="superscript"/>
        </w:rPr>
        <w:t>2</w:t>
      </w:r>
      <w:r w:rsidR="00550043" w:rsidRPr="00D7775B">
        <w:rPr>
          <w:rStyle w:val="normaltextrun"/>
          <w:rFonts w:eastAsiaTheme="majorEastAsia"/>
          <w:bCs/>
          <w:sz w:val="22"/>
          <w:szCs w:val="22"/>
          <w:vertAlign w:val="superscript"/>
        </w:rPr>
        <w:t>,3</w:t>
      </w:r>
      <w:r w:rsidRPr="00D7775B">
        <w:rPr>
          <w:rStyle w:val="normaltextrun"/>
          <w:rFonts w:eastAsiaTheme="majorEastAsia"/>
          <w:bCs/>
          <w:sz w:val="22"/>
          <w:szCs w:val="22"/>
        </w:rPr>
        <w:t>, Dani</w:t>
      </w:r>
      <w:r w:rsidR="00B7163D">
        <w:rPr>
          <w:rStyle w:val="normaltextrun"/>
          <w:rFonts w:eastAsiaTheme="majorEastAsia"/>
          <w:bCs/>
          <w:sz w:val="22"/>
          <w:szCs w:val="22"/>
        </w:rPr>
        <w:t>ela</w:t>
      </w:r>
      <w:r w:rsidRPr="00D7775B">
        <w:rPr>
          <w:rStyle w:val="normaltextrun"/>
          <w:rFonts w:eastAsiaTheme="majorEastAsia"/>
          <w:bCs/>
          <w:sz w:val="22"/>
          <w:szCs w:val="22"/>
        </w:rPr>
        <w:t xml:space="preserve"> Faggiani-Dias</w:t>
      </w:r>
      <w:r w:rsidR="006D1356" w:rsidRPr="00D7775B">
        <w:rPr>
          <w:rStyle w:val="normaltextrun"/>
          <w:rFonts w:eastAsiaTheme="majorEastAsia"/>
          <w:bCs/>
          <w:sz w:val="22"/>
          <w:szCs w:val="22"/>
          <w:vertAlign w:val="superscript"/>
        </w:rPr>
        <w:t>1</w:t>
      </w:r>
      <w:r w:rsidRPr="00D7775B">
        <w:rPr>
          <w:rStyle w:val="normaltextrun"/>
          <w:rFonts w:eastAsiaTheme="majorEastAsia"/>
          <w:bCs/>
          <w:sz w:val="22"/>
          <w:szCs w:val="22"/>
        </w:rPr>
        <w:t>, David G. Victor</w:t>
      </w:r>
      <w:r w:rsidR="00635FAF" w:rsidRPr="00D7775B">
        <w:rPr>
          <w:rStyle w:val="normaltextrun"/>
          <w:rFonts w:eastAsiaTheme="majorEastAsia"/>
          <w:bCs/>
          <w:sz w:val="22"/>
          <w:szCs w:val="22"/>
          <w:vertAlign w:val="superscript"/>
        </w:rPr>
        <w:t>1,3,4</w:t>
      </w:r>
      <w:r w:rsidR="00550043" w:rsidRPr="00D7775B">
        <w:rPr>
          <w:rStyle w:val="normaltextrun"/>
          <w:rFonts w:eastAsiaTheme="majorEastAsia"/>
          <w:bCs/>
          <w:sz w:val="22"/>
          <w:szCs w:val="22"/>
          <w:vertAlign w:val="superscript"/>
        </w:rPr>
        <w:t>,5</w:t>
      </w:r>
    </w:p>
    <w:p w14:paraId="75EA2572" w14:textId="77777777" w:rsidR="006217DC" w:rsidRPr="00CE550D" w:rsidRDefault="006217DC" w:rsidP="00B965E1">
      <w:pPr>
        <w:pStyle w:val="paragraph"/>
        <w:spacing w:before="0" w:beforeAutospacing="0" w:after="0" w:afterAutospacing="0" w:line="276" w:lineRule="auto"/>
        <w:rPr>
          <w:rStyle w:val="normaltextrun"/>
          <w:rFonts w:eastAsiaTheme="majorEastAsia"/>
          <w:bCs/>
        </w:rPr>
      </w:pPr>
    </w:p>
    <w:p w14:paraId="42FA8475" w14:textId="1A6296E2" w:rsidR="00375F41" w:rsidRPr="00CE550D" w:rsidRDefault="00635FAF" w:rsidP="00635FAF">
      <w:pPr>
        <w:pStyle w:val="p1"/>
      </w:pPr>
      <w:r w:rsidRPr="00CE550D">
        <w:rPr>
          <w:rStyle w:val="s1"/>
          <w:rFonts w:eastAsiaTheme="majorEastAsia"/>
        </w:rPr>
        <w:t>1</w:t>
      </w:r>
      <w:r w:rsidR="00C75B5F" w:rsidRPr="00CE550D">
        <w:t xml:space="preserve"> Scripps Institution of Oceanography, University of California San Diego, La Jolla, CA 92093, USA</w:t>
      </w:r>
    </w:p>
    <w:p w14:paraId="6E9B6A72" w14:textId="534327B4" w:rsidR="00C75B5F" w:rsidRPr="00CE550D" w:rsidRDefault="00635FAF" w:rsidP="00C75B5F">
      <w:pPr>
        <w:pStyle w:val="p1"/>
      </w:pPr>
      <w:r w:rsidRPr="00CE550D">
        <w:rPr>
          <w:rStyle w:val="s1"/>
          <w:rFonts w:eastAsiaTheme="majorEastAsia"/>
        </w:rPr>
        <w:t xml:space="preserve">2 </w:t>
      </w:r>
      <w:r w:rsidR="00C75B5F" w:rsidRPr="00CE550D">
        <w:t>Center for Energy Research, University of California San Diego, La Jolla, CA 92093, USA</w:t>
      </w:r>
    </w:p>
    <w:p w14:paraId="5B4F7885" w14:textId="47F6A1DC" w:rsidR="00C75B5F" w:rsidRPr="00CE550D" w:rsidRDefault="00635FAF" w:rsidP="00C75B5F">
      <w:pPr>
        <w:pStyle w:val="p1"/>
      </w:pPr>
      <w:r w:rsidRPr="00CE550D">
        <w:rPr>
          <w:rStyle w:val="s1"/>
          <w:rFonts w:eastAsiaTheme="majorEastAsia"/>
        </w:rPr>
        <w:t>3</w:t>
      </w:r>
      <w:r w:rsidR="00C75B5F" w:rsidRPr="00CE550D">
        <w:t xml:space="preserve"> Deep Decarbonization Initiative, University of California San Diego, La Jolla, CA 92093, USA</w:t>
      </w:r>
    </w:p>
    <w:p w14:paraId="2700E41B" w14:textId="7E366AE9" w:rsidR="00C75B5F" w:rsidRPr="00CE550D" w:rsidRDefault="00635FAF" w:rsidP="00C75B5F">
      <w:pPr>
        <w:pStyle w:val="p1"/>
      </w:pPr>
      <w:r w:rsidRPr="00CE550D">
        <w:rPr>
          <w:rStyle w:val="s1"/>
          <w:rFonts w:eastAsiaTheme="majorEastAsia"/>
        </w:rPr>
        <w:t>4</w:t>
      </w:r>
      <w:r w:rsidR="00C75B5F" w:rsidRPr="00CE550D">
        <w:t xml:space="preserve"> School of Global Policy and Strategy, University of California San Diego, La Jolla, CA 92093, USA</w:t>
      </w:r>
    </w:p>
    <w:p w14:paraId="683BB693" w14:textId="73946F45" w:rsidR="00C75B5F" w:rsidRPr="00CE550D" w:rsidRDefault="00635FAF" w:rsidP="00C75B5F">
      <w:pPr>
        <w:pStyle w:val="p1"/>
      </w:pPr>
      <w:r w:rsidRPr="00CE550D">
        <w:rPr>
          <w:rStyle w:val="s1"/>
          <w:rFonts w:eastAsiaTheme="majorEastAsia"/>
        </w:rPr>
        <w:t>5</w:t>
      </w:r>
      <w:r w:rsidR="00C75B5F" w:rsidRPr="00CE550D">
        <w:t xml:space="preserve"> The Brookings Institution, Washington, D.C. 20036</w:t>
      </w:r>
    </w:p>
    <w:p w14:paraId="253A01E0" w14:textId="77777777" w:rsidR="00550043" w:rsidRPr="00CE550D" w:rsidRDefault="00550043" w:rsidP="00C75B5F">
      <w:pPr>
        <w:pStyle w:val="p1"/>
      </w:pPr>
    </w:p>
    <w:p w14:paraId="55D80C47" w14:textId="3694EFED" w:rsidR="00C75B5F" w:rsidRPr="00CE550D" w:rsidRDefault="00C75B5F" w:rsidP="00C75B5F">
      <w:pPr>
        <w:pStyle w:val="p1"/>
      </w:pPr>
      <w:r w:rsidRPr="00CE550D">
        <w:t xml:space="preserve">* Corresponding author e-mail address: </w:t>
      </w:r>
      <w:r w:rsidR="00635FAF" w:rsidRPr="00CE550D">
        <w:t>cjmack@ucsd.edu</w:t>
      </w:r>
      <w:r w:rsidRPr="00CE550D">
        <w:t xml:space="preserve"> (</w:t>
      </w:r>
      <w:r w:rsidR="00635FAF" w:rsidRPr="00CE550D">
        <w:t>C</w:t>
      </w:r>
      <w:r w:rsidRPr="00CE550D">
        <w:t>.</w:t>
      </w:r>
      <w:r w:rsidR="00635FAF" w:rsidRPr="00CE550D">
        <w:t>J. Mack</w:t>
      </w:r>
      <w:r w:rsidRPr="00CE550D">
        <w:t>)</w:t>
      </w:r>
    </w:p>
    <w:p w14:paraId="581BCB8C" w14:textId="77777777" w:rsidR="00B965E1" w:rsidRPr="00CE550D" w:rsidRDefault="00B965E1" w:rsidP="00C75B5F">
      <w:pPr>
        <w:pStyle w:val="p1"/>
      </w:pPr>
    </w:p>
    <w:p w14:paraId="234D6F31" w14:textId="77777777" w:rsidR="00B965E1" w:rsidRPr="00CE550D" w:rsidRDefault="00B965E1" w:rsidP="00C75B5F">
      <w:pPr>
        <w:pStyle w:val="p1"/>
        <w:pBdr>
          <w:bottom w:val="single" w:sz="6" w:space="1" w:color="auto"/>
        </w:pBdr>
      </w:pPr>
    </w:p>
    <w:p w14:paraId="66D6728C" w14:textId="77777777" w:rsidR="00B965E1" w:rsidRPr="00CE550D" w:rsidRDefault="00B965E1" w:rsidP="00C75B5F">
      <w:pPr>
        <w:pStyle w:val="p1"/>
      </w:pPr>
    </w:p>
    <w:p w14:paraId="331138AC" w14:textId="77777777" w:rsidR="0039764C" w:rsidRPr="00CE550D" w:rsidRDefault="0039764C" w:rsidP="00E52ECD">
      <w:pPr>
        <w:jc w:val="center"/>
        <w:rPr>
          <w:rFonts w:ascii="Times New Roman" w:hAnsi="Times New Roman" w:cs="Times New Roman"/>
        </w:rPr>
      </w:pPr>
    </w:p>
    <w:p w14:paraId="70B66FFC" w14:textId="77777777" w:rsidR="0039764C" w:rsidRPr="00CE550D" w:rsidRDefault="0039764C" w:rsidP="00E52ECD">
      <w:pPr>
        <w:jc w:val="center"/>
        <w:rPr>
          <w:rFonts w:ascii="Times New Roman" w:hAnsi="Times New Roman" w:cs="Times New Roman"/>
        </w:rPr>
      </w:pPr>
    </w:p>
    <w:p w14:paraId="03135413" w14:textId="77777777" w:rsidR="0039764C" w:rsidRPr="00CE550D" w:rsidRDefault="0039764C" w:rsidP="00E52ECD">
      <w:pPr>
        <w:jc w:val="center"/>
        <w:rPr>
          <w:rFonts w:ascii="Times New Roman" w:hAnsi="Times New Roman" w:cs="Times New Roman"/>
        </w:rPr>
      </w:pPr>
    </w:p>
    <w:p w14:paraId="1C4C6D4D" w14:textId="77777777" w:rsidR="0039764C" w:rsidRPr="00CE550D" w:rsidRDefault="0039764C" w:rsidP="00E52ECD">
      <w:pPr>
        <w:jc w:val="center"/>
        <w:rPr>
          <w:rFonts w:ascii="Times New Roman" w:hAnsi="Times New Roman" w:cs="Times New Roman"/>
        </w:rPr>
      </w:pPr>
    </w:p>
    <w:p w14:paraId="03638C3B" w14:textId="77777777" w:rsidR="0039764C" w:rsidRPr="00CE550D" w:rsidRDefault="0039764C" w:rsidP="00E52ECD">
      <w:pPr>
        <w:jc w:val="center"/>
        <w:rPr>
          <w:rFonts w:ascii="Times New Roman" w:hAnsi="Times New Roman" w:cs="Times New Roman"/>
        </w:rPr>
      </w:pPr>
    </w:p>
    <w:p w14:paraId="3DE762A1" w14:textId="77777777" w:rsidR="0039764C" w:rsidRPr="00CE550D" w:rsidRDefault="0039764C" w:rsidP="00E52ECD">
      <w:pPr>
        <w:jc w:val="center"/>
        <w:rPr>
          <w:rFonts w:ascii="Times New Roman" w:hAnsi="Times New Roman" w:cs="Times New Roman"/>
        </w:rPr>
      </w:pPr>
    </w:p>
    <w:p w14:paraId="01B86009" w14:textId="77777777" w:rsidR="0039764C" w:rsidRPr="00CE550D" w:rsidRDefault="0039764C" w:rsidP="00E52ECD">
      <w:pPr>
        <w:jc w:val="center"/>
        <w:rPr>
          <w:rFonts w:ascii="Times New Roman" w:hAnsi="Times New Roman" w:cs="Times New Roman"/>
        </w:rPr>
      </w:pPr>
    </w:p>
    <w:p w14:paraId="1D0E344E" w14:textId="77777777" w:rsidR="0039764C" w:rsidRPr="00CE550D" w:rsidRDefault="0039764C" w:rsidP="00E52ECD">
      <w:pPr>
        <w:jc w:val="center"/>
        <w:rPr>
          <w:rFonts w:ascii="Times New Roman" w:hAnsi="Times New Roman" w:cs="Times New Roman"/>
        </w:rPr>
      </w:pPr>
    </w:p>
    <w:p w14:paraId="7B3EF54C" w14:textId="77777777" w:rsidR="006B75A8" w:rsidRPr="00CE550D" w:rsidRDefault="006B75A8" w:rsidP="00E52ECD">
      <w:pPr>
        <w:jc w:val="center"/>
        <w:rPr>
          <w:rFonts w:ascii="Times New Roman" w:hAnsi="Times New Roman" w:cs="Times New Roman"/>
        </w:rPr>
      </w:pPr>
    </w:p>
    <w:p w14:paraId="2DBD0046" w14:textId="77777777" w:rsidR="0039764C" w:rsidRPr="00CE550D" w:rsidRDefault="0039764C" w:rsidP="00E52ECD">
      <w:pPr>
        <w:jc w:val="center"/>
        <w:rPr>
          <w:rFonts w:ascii="Times New Roman" w:hAnsi="Times New Roman" w:cs="Times New Roman"/>
        </w:rPr>
      </w:pPr>
    </w:p>
    <w:p w14:paraId="7F9A8674" w14:textId="77777777" w:rsidR="00FB0C66" w:rsidRPr="00CE550D" w:rsidRDefault="00FB0C66" w:rsidP="00E52ECD">
      <w:pPr>
        <w:jc w:val="center"/>
        <w:rPr>
          <w:rFonts w:ascii="Times New Roman" w:hAnsi="Times New Roman" w:cs="Times New Roman"/>
        </w:rPr>
      </w:pPr>
    </w:p>
    <w:p w14:paraId="36CE5345" w14:textId="77777777" w:rsidR="00FB0C66" w:rsidRPr="00CE550D" w:rsidRDefault="00FB0C66" w:rsidP="00E52ECD">
      <w:pPr>
        <w:jc w:val="center"/>
        <w:rPr>
          <w:rFonts w:ascii="Times New Roman" w:hAnsi="Times New Roman" w:cs="Times New Roman"/>
        </w:rPr>
      </w:pPr>
    </w:p>
    <w:p w14:paraId="28E5F4C7" w14:textId="77777777" w:rsidR="00FB0C66" w:rsidRPr="00CE550D" w:rsidRDefault="00FB0C66" w:rsidP="00E52ECD">
      <w:pPr>
        <w:jc w:val="center"/>
        <w:rPr>
          <w:rFonts w:ascii="Times New Roman" w:hAnsi="Times New Roman" w:cs="Times New Roman"/>
        </w:rPr>
      </w:pPr>
    </w:p>
    <w:p w14:paraId="3B526AF7" w14:textId="77777777" w:rsidR="00FB0C66" w:rsidRPr="00CE550D" w:rsidRDefault="00FB0C66" w:rsidP="00E52ECD">
      <w:pPr>
        <w:jc w:val="center"/>
        <w:rPr>
          <w:rFonts w:ascii="Times New Roman" w:hAnsi="Times New Roman" w:cs="Times New Roman"/>
        </w:rPr>
      </w:pPr>
    </w:p>
    <w:p w14:paraId="655E51B3" w14:textId="77777777" w:rsidR="00FB0C66" w:rsidRPr="00CE550D" w:rsidRDefault="00FB0C66" w:rsidP="00E52ECD">
      <w:pPr>
        <w:jc w:val="center"/>
        <w:rPr>
          <w:rFonts w:ascii="Times New Roman" w:hAnsi="Times New Roman" w:cs="Times New Roman"/>
        </w:rPr>
      </w:pPr>
    </w:p>
    <w:p w14:paraId="07C2DFBE" w14:textId="77777777" w:rsidR="00FB0C66" w:rsidRPr="00CE550D" w:rsidRDefault="00FB0C66" w:rsidP="00E52ECD">
      <w:pPr>
        <w:jc w:val="center"/>
        <w:rPr>
          <w:rFonts w:ascii="Times New Roman" w:hAnsi="Times New Roman" w:cs="Times New Roman"/>
        </w:rPr>
      </w:pPr>
    </w:p>
    <w:p w14:paraId="6C0AA123" w14:textId="77777777" w:rsidR="00FB0C66" w:rsidRPr="00CE550D" w:rsidRDefault="00FB0C66" w:rsidP="00E52ECD">
      <w:pPr>
        <w:jc w:val="center"/>
        <w:rPr>
          <w:rFonts w:ascii="Times New Roman" w:hAnsi="Times New Roman" w:cs="Times New Roman"/>
        </w:rPr>
      </w:pPr>
    </w:p>
    <w:p w14:paraId="2BC40A75" w14:textId="77777777" w:rsidR="00FB0C66" w:rsidRPr="00CE550D" w:rsidRDefault="00FB0C66" w:rsidP="00FB0C66">
      <w:pPr>
        <w:rPr>
          <w:rFonts w:ascii="Times New Roman" w:hAnsi="Times New Roman" w:cs="Times New Roman"/>
        </w:rPr>
      </w:pPr>
    </w:p>
    <w:p w14:paraId="4946F41F" w14:textId="3BBB59EF" w:rsidR="00FB0C66" w:rsidRPr="00CE550D" w:rsidRDefault="00F07D94" w:rsidP="00CF49A5">
      <w:pPr>
        <w:jc w:val="center"/>
        <w:rPr>
          <w:rFonts w:ascii="Times New Roman" w:hAnsi="Times New Roman" w:cs="Times New Roman"/>
          <w:b/>
          <w:bCs/>
        </w:rPr>
      </w:pPr>
      <w:r w:rsidRPr="00CE550D">
        <w:rPr>
          <w:rFonts w:ascii="Times New Roman" w:hAnsi="Times New Roman" w:cs="Times New Roman"/>
          <w:b/>
          <w:bCs/>
        </w:rPr>
        <w:lastRenderedPageBreak/>
        <w:t>Supplementary Figures</w:t>
      </w:r>
    </w:p>
    <w:tbl>
      <w:tblPr>
        <w:tblStyle w:val="TableGrid"/>
        <w:tblW w:w="0" w:type="auto"/>
        <w:tblLook w:val="04A0" w:firstRow="1" w:lastRow="0" w:firstColumn="1" w:lastColumn="0" w:noHBand="0" w:noVBand="1"/>
      </w:tblPr>
      <w:tblGrid>
        <w:gridCol w:w="1615"/>
        <w:gridCol w:w="6750"/>
        <w:gridCol w:w="985"/>
      </w:tblGrid>
      <w:tr w:rsidR="00F07D94" w:rsidRPr="00CE550D" w14:paraId="03930E33" w14:textId="77777777" w:rsidTr="00017A77">
        <w:tc>
          <w:tcPr>
            <w:tcW w:w="1615" w:type="dxa"/>
          </w:tcPr>
          <w:p w14:paraId="62EA20CF" w14:textId="273D4CF0" w:rsidR="00F07D94" w:rsidRPr="00CE550D" w:rsidRDefault="00017A77" w:rsidP="00017A77">
            <w:pPr>
              <w:jc w:val="center"/>
              <w:rPr>
                <w:rFonts w:ascii="Times New Roman" w:hAnsi="Times New Roman" w:cs="Times New Roman"/>
                <w:b/>
                <w:bCs/>
              </w:rPr>
            </w:pPr>
            <w:r w:rsidRPr="00CE550D">
              <w:rPr>
                <w:rFonts w:ascii="Times New Roman" w:hAnsi="Times New Roman" w:cs="Times New Roman"/>
                <w:b/>
                <w:bCs/>
              </w:rPr>
              <w:t>Figure #</w:t>
            </w:r>
          </w:p>
        </w:tc>
        <w:tc>
          <w:tcPr>
            <w:tcW w:w="6750" w:type="dxa"/>
          </w:tcPr>
          <w:p w14:paraId="4AF9A0FB" w14:textId="49A18CE7" w:rsidR="00F07D94" w:rsidRPr="006C38B0" w:rsidRDefault="00017A77" w:rsidP="00017A77">
            <w:pPr>
              <w:jc w:val="center"/>
              <w:rPr>
                <w:rFonts w:ascii="Times New Roman" w:hAnsi="Times New Roman" w:cs="Times New Roman"/>
                <w:b/>
                <w:bCs/>
              </w:rPr>
            </w:pPr>
            <w:r w:rsidRPr="006C38B0">
              <w:rPr>
                <w:rFonts w:ascii="Times New Roman" w:hAnsi="Times New Roman" w:cs="Times New Roman"/>
                <w:b/>
                <w:bCs/>
              </w:rPr>
              <w:t>Description</w:t>
            </w:r>
          </w:p>
        </w:tc>
        <w:tc>
          <w:tcPr>
            <w:tcW w:w="985" w:type="dxa"/>
          </w:tcPr>
          <w:p w14:paraId="65A199B8" w14:textId="51AFC2FC" w:rsidR="00F07D94" w:rsidRPr="00CE550D" w:rsidRDefault="00017A77" w:rsidP="00017A77">
            <w:pPr>
              <w:jc w:val="center"/>
              <w:rPr>
                <w:rFonts w:ascii="Times New Roman" w:hAnsi="Times New Roman" w:cs="Times New Roman"/>
                <w:b/>
                <w:bCs/>
              </w:rPr>
            </w:pPr>
            <w:r w:rsidRPr="00CE550D">
              <w:rPr>
                <w:rFonts w:ascii="Times New Roman" w:hAnsi="Times New Roman" w:cs="Times New Roman"/>
                <w:b/>
                <w:bCs/>
              </w:rPr>
              <w:t>Page #</w:t>
            </w:r>
          </w:p>
        </w:tc>
      </w:tr>
      <w:tr w:rsidR="00F07D94" w:rsidRPr="00CE550D" w14:paraId="79529630" w14:textId="77777777" w:rsidTr="00017A77">
        <w:tc>
          <w:tcPr>
            <w:tcW w:w="1615" w:type="dxa"/>
          </w:tcPr>
          <w:p w14:paraId="3B9472A6" w14:textId="00745AA1" w:rsidR="00F07D94" w:rsidRPr="00CE550D" w:rsidRDefault="00F07D94" w:rsidP="00FB0C66">
            <w:pPr>
              <w:rPr>
                <w:rFonts w:ascii="Times New Roman" w:hAnsi="Times New Roman" w:cs="Times New Roman"/>
              </w:rPr>
            </w:pPr>
            <w:r w:rsidRPr="00CE550D">
              <w:rPr>
                <w:rFonts w:ascii="Times New Roman" w:hAnsi="Times New Roman" w:cs="Times New Roman"/>
              </w:rPr>
              <w:t>Figure S</w:t>
            </w:r>
            <w:r w:rsidR="00CE550D">
              <w:rPr>
                <w:rFonts w:ascii="Times New Roman" w:hAnsi="Times New Roman" w:cs="Times New Roman"/>
              </w:rPr>
              <w:t>1</w:t>
            </w:r>
          </w:p>
        </w:tc>
        <w:tc>
          <w:tcPr>
            <w:tcW w:w="6750" w:type="dxa"/>
          </w:tcPr>
          <w:p w14:paraId="48FF2604" w14:textId="12E2A781" w:rsidR="00F07D94" w:rsidRPr="006C38B0" w:rsidRDefault="00CE550D" w:rsidP="00FB0C66">
            <w:pPr>
              <w:rPr>
                <w:rFonts w:ascii="Times New Roman" w:hAnsi="Times New Roman" w:cs="Times New Roman"/>
              </w:rPr>
            </w:pPr>
            <w:r w:rsidRPr="006C38B0">
              <w:rPr>
                <w:rFonts w:ascii="Times New Roman" w:hAnsi="Times New Roman" w:cs="Times New Roman"/>
              </w:rPr>
              <w:t>Detailed conceptual schematic of the modeling framework</w:t>
            </w:r>
          </w:p>
        </w:tc>
        <w:tc>
          <w:tcPr>
            <w:tcW w:w="985" w:type="dxa"/>
          </w:tcPr>
          <w:p w14:paraId="7F624DE0" w14:textId="66B1C938" w:rsidR="00F07D94" w:rsidRPr="00CE550D" w:rsidRDefault="00CE550D" w:rsidP="00CE550D">
            <w:pPr>
              <w:jc w:val="center"/>
              <w:rPr>
                <w:rFonts w:ascii="Times New Roman" w:hAnsi="Times New Roman" w:cs="Times New Roman"/>
              </w:rPr>
            </w:pPr>
            <w:r w:rsidRPr="00CE550D">
              <w:rPr>
                <w:rFonts w:ascii="Times New Roman" w:hAnsi="Times New Roman" w:cs="Times New Roman"/>
              </w:rPr>
              <w:t>3</w:t>
            </w:r>
          </w:p>
        </w:tc>
      </w:tr>
      <w:tr w:rsidR="00F07D94" w:rsidRPr="00CE550D" w14:paraId="50A4AD7B" w14:textId="77777777" w:rsidTr="00017A77">
        <w:tc>
          <w:tcPr>
            <w:tcW w:w="1615" w:type="dxa"/>
          </w:tcPr>
          <w:p w14:paraId="7058AD64" w14:textId="0D0DA69D" w:rsidR="00F07D94" w:rsidRPr="00CE550D" w:rsidRDefault="00F07D94" w:rsidP="00FB0C66">
            <w:pPr>
              <w:rPr>
                <w:rFonts w:ascii="Times New Roman" w:hAnsi="Times New Roman" w:cs="Times New Roman"/>
              </w:rPr>
            </w:pPr>
            <w:r w:rsidRPr="00CE550D">
              <w:rPr>
                <w:rFonts w:ascii="Times New Roman" w:hAnsi="Times New Roman" w:cs="Times New Roman"/>
              </w:rPr>
              <w:t>Figure S2</w:t>
            </w:r>
          </w:p>
        </w:tc>
        <w:tc>
          <w:tcPr>
            <w:tcW w:w="6750" w:type="dxa"/>
          </w:tcPr>
          <w:p w14:paraId="1500BC35" w14:textId="73280A49" w:rsidR="00F07D94" w:rsidRPr="00DD6591" w:rsidRDefault="00C13904" w:rsidP="00FB0C66">
            <w:pPr>
              <w:rPr>
                <w:rFonts w:ascii="Times New Roman" w:hAnsi="Times New Roman" w:cs="Times New Roman"/>
              </w:rPr>
            </w:pPr>
            <w:r>
              <w:rPr>
                <w:rFonts w:ascii="Times New Roman" w:hAnsi="Times New Roman" w:cs="Times New Roman"/>
              </w:rPr>
              <w:t>C</w:t>
            </w:r>
            <w:r w:rsidR="00DD6591" w:rsidRPr="00DD6591">
              <w:rPr>
                <w:rFonts w:ascii="Times New Roman" w:hAnsi="Times New Roman" w:cs="Times New Roman"/>
              </w:rPr>
              <w:t>onceptual schematic of net carbon removal calculations</w:t>
            </w:r>
          </w:p>
        </w:tc>
        <w:tc>
          <w:tcPr>
            <w:tcW w:w="985" w:type="dxa"/>
          </w:tcPr>
          <w:p w14:paraId="5840FFDD" w14:textId="410FEF7A" w:rsidR="00F07D94" w:rsidRPr="00CE550D" w:rsidRDefault="00157B45" w:rsidP="00D708FE">
            <w:pPr>
              <w:jc w:val="center"/>
              <w:rPr>
                <w:rFonts w:ascii="Times New Roman" w:hAnsi="Times New Roman" w:cs="Times New Roman"/>
              </w:rPr>
            </w:pPr>
            <w:r>
              <w:rPr>
                <w:rFonts w:ascii="Times New Roman" w:hAnsi="Times New Roman" w:cs="Times New Roman"/>
              </w:rPr>
              <w:t>7</w:t>
            </w:r>
          </w:p>
        </w:tc>
      </w:tr>
      <w:tr w:rsidR="00C13904" w:rsidRPr="00CE550D" w14:paraId="7D0EF139" w14:textId="77777777" w:rsidTr="00017A77">
        <w:tc>
          <w:tcPr>
            <w:tcW w:w="1615" w:type="dxa"/>
          </w:tcPr>
          <w:p w14:paraId="58A02C9C" w14:textId="40CBBA6A" w:rsidR="00C13904" w:rsidRPr="00CE550D" w:rsidRDefault="00C13904" w:rsidP="00C13904">
            <w:pPr>
              <w:rPr>
                <w:rFonts w:ascii="Times New Roman" w:hAnsi="Times New Roman" w:cs="Times New Roman"/>
              </w:rPr>
            </w:pPr>
            <w:r w:rsidRPr="00CE550D">
              <w:rPr>
                <w:rFonts w:ascii="Times New Roman" w:hAnsi="Times New Roman" w:cs="Times New Roman"/>
              </w:rPr>
              <w:t>Figure S</w:t>
            </w:r>
            <w:r>
              <w:rPr>
                <w:rFonts w:ascii="Times New Roman" w:hAnsi="Times New Roman" w:cs="Times New Roman"/>
              </w:rPr>
              <w:t>3</w:t>
            </w:r>
          </w:p>
        </w:tc>
        <w:tc>
          <w:tcPr>
            <w:tcW w:w="6750" w:type="dxa"/>
          </w:tcPr>
          <w:p w14:paraId="13DC5037" w14:textId="1991E17F" w:rsidR="00C13904" w:rsidRPr="006C38B0" w:rsidRDefault="00C13904" w:rsidP="00C13904">
            <w:pPr>
              <w:rPr>
                <w:rFonts w:ascii="Times New Roman" w:hAnsi="Times New Roman" w:cs="Times New Roman"/>
              </w:rPr>
            </w:pPr>
            <w:r>
              <w:rPr>
                <w:rFonts w:ascii="Times New Roman" w:hAnsi="Times New Roman" w:cs="Times New Roman"/>
              </w:rPr>
              <w:t>C</w:t>
            </w:r>
            <w:r w:rsidRPr="00DD6591">
              <w:rPr>
                <w:rFonts w:ascii="Times New Roman" w:hAnsi="Times New Roman" w:cs="Times New Roman"/>
              </w:rPr>
              <w:t xml:space="preserve">onceptual schematic of </w:t>
            </w:r>
            <w:r w:rsidR="00157B45">
              <w:rPr>
                <w:rFonts w:ascii="Times New Roman" w:hAnsi="Times New Roman" w:cs="Times New Roman"/>
              </w:rPr>
              <w:t>alkalinity distribution</w:t>
            </w:r>
          </w:p>
        </w:tc>
        <w:tc>
          <w:tcPr>
            <w:tcW w:w="985" w:type="dxa"/>
          </w:tcPr>
          <w:p w14:paraId="05FE04E8" w14:textId="3DF0FCBD" w:rsidR="00C13904" w:rsidRPr="00CE550D" w:rsidRDefault="00157B45" w:rsidP="00C13904">
            <w:pPr>
              <w:jc w:val="center"/>
              <w:rPr>
                <w:rFonts w:ascii="Times New Roman" w:hAnsi="Times New Roman" w:cs="Times New Roman"/>
              </w:rPr>
            </w:pPr>
            <w:r>
              <w:rPr>
                <w:rFonts w:ascii="Times New Roman" w:hAnsi="Times New Roman" w:cs="Times New Roman"/>
              </w:rPr>
              <w:t>8</w:t>
            </w:r>
          </w:p>
        </w:tc>
      </w:tr>
      <w:tr w:rsidR="0029263E" w:rsidRPr="00CE550D" w14:paraId="15C1A9E9" w14:textId="77777777" w:rsidTr="00017A77">
        <w:tc>
          <w:tcPr>
            <w:tcW w:w="1615" w:type="dxa"/>
          </w:tcPr>
          <w:p w14:paraId="414919B5" w14:textId="08D06A59" w:rsidR="0029263E" w:rsidRPr="00CE550D" w:rsidRDefault="0029263E" w:rsidP="0029263E">
            <w:pPr>
              <w:rPr>
                <w:rFonts w:ascii="Times New Roman" w:hAnsi="Times New Roman" w:cs="Times New Roman"/>
              </w:rPr>
            </w:pPr>
            <w:r w:rsidRPr="00CE550D">
              <w:rPr>
                <w:rFonts w:ascii="Times New Roman" w:hAnsi="Times New Roman" w:cs="Times New Roman"/>
              </w:rPr>
              <w:t>Figure S</w:t>
            </w:r>
            <w:r w:rsidR="008F3410">
              <w:rPr>
                <w:rFonts w:ascii="Times New Roman" w:hAnsi="Times New Roman" w:cs="Times New Roman"/>
              </w:rPr>
              <w:t>4</w:t>
            </w:r>
          </w:p>
        </w:tc>
        <w:tc>
          <w:tcPr>
            <w:tcW w:w="6750" w:type="dxa"/>
          </w:tcPr>
          <w:p w14:paraId="2C6C144A" w14:textId="64F1F3EC" w:rsidR="0029263E" w:rsidRPr="00CE550D" w:rsidRDefault="00422D90" w:rsidP="0029263E">
            <w:pPr>
              <w:rPr>
                <w:rFonts w:ascii="Times New Roman" w:hAnsi="Times New Roman" w:cs="Times New Roman"/>
              </w:rPr>
            </w:pPr>
            <w:r>
              <w:rPr>
                <w:rFonts w:ascii="Times New Roman" w:hAnsi="Times New Roman" w:cs="Times New Roman"/>
              </w:rPr>
              <w:t>The current size of the OAE industry</w:t>
            </w:r>
          </w:p>
        </w:tc>
        <w:tc>
          <w:tcPr>
            <w:tcW w:w="985" w:type="dxa"/>
          </w:tcPr>
          <w:p w14:paraId="49532510" w14:textId="616E43AE" w:rsidR="0029263E" w:rsidRPr="00CE550D" w:rsidRDefault="00487598" w:rsidP="006D36F6">
            <w:pPr>
              <w:jc w:val="center"/>
              <w:rPr>
                <w:rFonts w:ascii="Times New Roman" w:hAnsi="Times New Roman" w:cs="Times New Roman"/>
              </w:rPr>
            </w:pPr>
            <w:r>
              <w:rPr>
                <w:rFonts w:ascii="Times New Roman" w:hAnsi="Times New Roman" w:cs="Times New Roman"/>
              </w:rPr>
              <w:t>1</w:t>
            </w:r>
            <w:r w:rsidR="00AA23B6">
              <w:rPr>
                <w:rFonts w:ascii="Times New Roman" w:hAnsi="Times New Roman" w:cs="Times New Roman"/>
              </w:rPr>
              <w:t>0</w:t>
            </w:r>
          </w:p>
        </w:tc>
      </w:tr>
      <w:tr w:rsidR="0029263E" w:rsidRPr="00CE550D" w14:paraId="0D5D00D5" w14:textId="77777777" w:rsidTr="00017A77">
        <w:tc>
          <w:tcPr>
            <w:tcW w:w="1615" w:type="dxa"/>
          </w:tcPr>
          <w:p w14:paraId="41A013FB" w14:textId="648A169C" w:rsidR="0029263E" w:rsidRPr="00CE550D" w:rsidRDefault="0029263E" w:rsidP="0029263E">
            <w:pPr>
              <w:rPr>
                <w:rFonts w:ascii="Times New Roman" w:hAnsi="Times New Roman" w:cs="Times New Roman"/>
              </w:rPr>
            </w:pPr>
            <w:r w:rsidRPr="00CE550D">
              <w:rPr>
                <w:rFonts w:ascii="Times New Roman" w:hAnsi="Times New Roman" w:cs="Times New Roman"/>
              </w:rPr>
              <w:t>Figure S</w:t>
            </w:r>
            <w:r w:rsidR="00487598">
              <w:rPr>
                <w:rFonts w:ascii="Times New Roman" w:hAnsi="Times New Roman" w:cs="Times New Roman"/>
              </w:rPr>
              <w:t>5</w:t>
            </w:r>
          </w:p>
        </w:tc>
        <w:tc>
          <w:tcPr>
            <w:tcW w:w="6750" w:type="dxa"/>
          </w:tcPr>
          <w:p w14:paraId="352B50D6" w14:textId="6FA914E0" w:rsidR="0029263E" w:rsidRPr="00487598" w:rsidRDefault="00422D90" w:rsidP="0029263E">
            <w:pPr>
              <w:rPr>
                <w:rFonts w:ascii="Times New Roman" w:hAnsi="Times New Roman" w:cs="Times New Roman"/>
              </w:rPr>
            </w:pPr>
            <w:r>
              <w:rPr>
                <w:rFonts w:ascii="Times New Roman" w:hAnsi="Times New Roman" w:cs="Times New Roman"/>
              </w:rPr>
              <w:t>Three historical analogs for OAE and data</w:t>
            </w:r>
          </w:p>
        </w:tc>
        <w:tc>
          <w:tcPr>
            <w:tcW w:w="985" w:type="dxa"/>
          </w:tcPr>
          <w:p w14:paraId="59C8F49D" w14:textId="6DB34FDA" w:rsidR="0029263E" w:rsidRPr="00CE550D" w:rsidRDefault="00487598" w:rsidP="00487598">
            <w:pPr>
              <w:jc w:val="center"/>
              <w:rPr>
                <w:rFonts w:ascii="Times New Roman" w:hAnsi="Times New Roman" w:cs="Times New Roman"/>
              </w:rPr>
            </w:pPr>
            <w:r>
              <w:rPr>
                <w:rFonts w:ascii="Times New Roman" w:hAnsi="Times New Roman" w:cs="Times New Roman"/>
              </w:rPr>
              <w:t>1</w:t>
            </w:r>
            <w:r w:rsidR="009F42D2">
              <w:rPr>
                <w:rFonts w:ascii="Times New Roman" w:hAnsi="Times New Roman" w:cs="Times New Roman"/>
              </w:rPr>
              <w:t>1</w:t>
            </w:r>
          </w:p>
        </w:tc>
      </w:tr>
      <w:tr w:rsidR="0029263E" w:rsidRPr="00CE550D" w14:paraId="1C4DFBA6" w14:textId="77777777" w:rsidTr="00017A77">
        <w:tc>
          <w:tcPr>
            <w:tcW w:w="1615" w:type="dxa"/>
          </w:tcPr>
          <w:p w14:paraId="43F59E08" w14:textId="6F8E48BA" w:rsidR="0029263E" w:rsidRPr="00CE550D" w:rsidRDefault="0029263E" w:rsidP="0029263E">
            <w:pPr>
              <w:rPr>
                <w:rFonts w:ascii="Times New Roman" w:hAnsi="Times New Roman" w:cs="Times New Roman"/>
              </w:rPr>
            </w:pPr>
            <w:r w:rsidRPr="00CE550D">
              <w:rPr>
                <w:rFonts w:ascii="Times New Roman" w:hAnsi="Times New Roman" w:cs="Times New Roman"/>
              </w:rPr>
              <w:t>Figure S</w:t>
            </w:r>
            <w:r w:rsidR="00487598">
              <w:rPr>
                <w:rFonts w:ascii="Times New Roman" w:hAnsi="Times New Roman" w:cs="Times New Roman"/>
              </w:rPr>
              <w:t>6</w:t>
            </w:r>
          </w:p>
        </w:tc>
        <w:tc>
          <w:tcPr>
            <w:tcW w:w="6750" w:type="dxa"/>
          </w:tcPr>
          <w:p w14:paraId="40BC6AA7" w14:textId="72DBA67E" w:rsidR="0029263E" w:rsidRPr="00487598" w:rsidRDefault="0010119D" w:rsidP="0029263E">
            <w:pPr>
              <w:rPr>
                <w:rFonts w:ascii="Times New Roman" w:hAnsi="Times New Roman" w:cs="Times New Roman"/>
              </w:rPr>
            </w:pPr>
            <w:r>
              <w:rPr>
                <w:rFonts w:ascii="Times New Roman" w:hAnsi="Times New Roman" w:cs="Times New Roman"/>
              </w:rPr>
              <w:t>Carbon intensity of electricity by region</w:t>
            </w:r>
          </w:p>
        </w:tc>
        <w:tc>
          <w:tcPr>
            <w:tcW w:w="985" w:type="dxa"/>
          </w:tcPr>
          <w:p w14:paraId="17546907" w14:textId="5F62E92E" w:rsidR="0029263E" w:rsidRPr="00CE550D" w:rsidRDefault="0010119D" w:rsidP="00487598">
            <w:pPr>
              <w:jc w:val="center"/>
              <w:rPr>
                <w:rFonts w:ascii="Times New Roman" w:hAnsi="Times New Roman" w:cs="Times New Roman"/>
              </w:rPr>
            </w:pPr>
            <w:r>
              <w:rPr>
                <w:rFonts w:ascii="Times New Roman" w:hAnsi="Times New Roman" w:cs="Times New Roman"/>
              </w:rPr>
              <w:t>14</w:t>
            </w:r>
          </w:p>
        </w:tc>
      </w:tr>
      <w:tr w:rsidR="0029263E" w:rsidRPr="00CE550D" w14:paraId="7FF23C15" w14:textId="77777777" w:rsidTr="00017A77">
        <w:tc>
          <w:tcPr>
            <w:tcW w:w="1615" w:type="dxa"/>
          </w:tcPr>
          <w:p w14:paraId="76BBDB6E" w14:textId="0C501377" w:rsidR="0029263E" w:rsidRPr="00CE550D" w:rsidRDefault="0029263E" w:rsidP="0029263E">
            <w:pPr>
              <w:rPr>
                <w:rFonts w:ascii="Times New Roman" w:hAnsi="Times New Roman" w:cs="Times New Roman"/>
              </w:rPr>
            </w:pPr>
            <w:r w:rsidRPr="00CE550D">
              <w:rPr>
                <w:rFonts w:ascii="Times New Roman" w:hAnsi="Times New Roman" w:cs="Times New Roman"/>
              </w:rPr>
              <w:t>Figure S</w:t>
            </w:r>
            <w:r w:rsidR="002C5984">
              <w:rPr>
                <w:rFonts w:ascii="Times New Roman" w:hAnsi="Times New Roman" w:cs="Times New Roman"/>
              </w:rPr>
              <w:t>7</w:t>
            </w:r>
          </w:p>
        </w:tc>
        <w:tc>
          <w:tcPr>
            <w:tcW w:w="6750" w:type="dxa"/>
          </w:tcPr>
          <w:p w14:paraId="1FDDF9C8" w14:textId="1B3E55D2" w:rsidR="0029263E" w:rsidRPr="00CE550D" w:rsidRDefault="0010119D" w:rsidP="0029263E">
            <w:pPr>
              <w:rPr>
                <w:rFonts w:ascii="Times New Roman" w:hAnsi="Times New Roman" w:cs="Times New Roman"/>
              </w:rPr>
            </w:pPr>
            <w:r>
              <w:rPr>
                <w:rFonts w:ascii="Times New Roman" w:hAnsi="Times New Roman" w:cs="Times New Roman"/>
              </w:rPr>
              <w:t>Carbon intensity of electricity by country</w:t>
            </w:r>
          </w:p>
        </w:tc>
        <w:tc>
          <w:tcPr>
            <w:tcW w:w="985" w:type="dxa"/>
          </w:tcPr>
          <w:p w14:paraId="21C43A03" w14:textId="23241365" w:rsidR="0029263E" w:rsidRPr="00CE550D" w:rsidRDefault="002C5984" w:rsidP="002C5984">
            <w:pPr>
              <w:jc w:val="center"/>
              <w:rPr>
                <w:rFonts w:ascii="Times New Roman" w:hAnsi="Times New Roman" w:cs="Times New Roman"/>
              </w:rPr>
            </w:pPr>
            <w:r>
              <w:rPr>
                <w:rFonts w:ascii="Times New Roman" w:hAnsi="Times New Roman" w:cs="Times New Roman"/>
              </w:rPr>
              <w:t>1</w:t>
            </w:r>
            <w:r w:rsidR="0010119D">
              <w:rPr>
                <w:rFonts w:ascii="Times New Roman" w:hAnsi="Times New Roman" w:cs="Times New Roman"/>
              </w:rPr>
              <w:t>5</w:t>
            </w:r>
          </w:p>
        </w:tc>
      </w:tr>
      <w:tr w:rsidR="0010119D" w:rsidRPr="00CE550D" w14:paraId="20FB0DE5" w14:textId="77777777" w:rsidTr="00017A77">
        <w:tc>
          <w:tcPr>
            <w:tcW w:w="1615" w:type="dxa"/>
          </w:tcPr>
          <w:p w14:paraId="7BFB2E2C" w14:textId="7B1E9466" w:rsidR="0010119D" w:rsidRPr="00CE550D" w:rsidRDefault="00DB4E24" w:rsidP="0029263E">
            <w:pPr>
              <w:rPr>
                <w:rFonts w:ascii="Times New Roman" w:hAnsi="Times New Roman" w:cs="Times New Roman"/>
              </w:rPr>
            </w:pPr>
            <w:r>
              <w:rPr>
                <w:rFonts w:ascii="Times New Roman" w:hAnsi="Times New Roman" w:cs="Times New Roman"/>
              </w:rPr>
              <w:t>Figure S8</w:t>
            </w:r>
          </w:p>
        </w:tc>
        <w:tc>
          <w:tcPr>
            <w:tcW w:w="6750" w:type="dxa"/>
          </w:tcPr>
          <w:p w14:paraId="6E274C03" w14:textId="183BB25A" w:rsidR="0010119D" w:rsidRDefault="00DB4E24" w:rsidP="0029263E">
            <w:pPr>
              <w:rPr>
                <w:rFonts w:ascii="Times New Roman" w:hAnsi="Times New Roman" w:cs="Times New Roman"/>
              </w:rPr>
            </w:pPr>
            <w:r>
              <w:rPr>
                <w:rFonts w:ascii="Times New Roman" w:hAnsi="Times New Roman" w:cs="Times New Roman"/>
              </w:rPr>
              <w:t>Full climate modeling results</w:t>
            </w:r>
          </w:p>
        </w:tc>
        <w:tc>
          <w:tcPr>
            <w:tcW w:w="985" w:type="dxa"/>
          </w:tcPr>
          <w:p w14:paraId="749C0865" w14:textId="3D674283" w:rsidR="0010119D" w:rsidRDefault="00DB4E24" w:rsidP="002C5984">
            <w:pPr>
              <w:jc w:val="center"/>
              <w:rPr>
                <w:rFonts w:ascii="Times New Roman" w:hAnsi="Times New Roman" w:cs="Times New Roman"/>
              </w:rPr>
            </w:pPr>
            <w:r>
              <w:rPr>
                <w:rFonts w:ascii="Times New Roman" w:hAnsi="Times New Roman" w:cs="Times New Roman"/>
              </w:rPr>
              <w:t>19</w:t>
            </w:r>
          </w:p>
        </w:tc>
      </w:tr>
      <w:tr w:rsidR="0010119D" w:rsidRPr="00CE550D" w14:paraId="0E636318" w14:textId="77777777" w:rsidTr="00017A77">
        <w:tc>
          <w:tcPr>
            <w:tcW w:w="1615" w:type="dxa"/>
          </w:tcPr>
          <w:p w14:paraId="1355D921" w14:textId="263F49CA" w:rsidR="0010119D" w:rsidRPr="00CE550D" w:rsidRDefault="006239DB" w:rsidP="0029263E">
            <w:pPr>
              <w:rPr>
                <w:rFonts w:ascii="Times New Roman" w:hAnsi="Times New Roman" w:cs="Times New Roman"/>
              </w:rPr>
            </w:pPr>
            <w:r>
              <w:rPr>
                <w:rFonts w:ascii="Times New Roman" w:hAnsi="Times New Roman" w:cs="Times New Roman"/>
              </w:rPr>
              <w:t>Figure S9</w:t>
            </w:r>
          </w:p>
        </w:tc>
        <w:tc>
          <w:tcPr>
            <w:tcW w:w="6750" w:type="dxa"/>
          </w:tcPr>
          <w:p w14:paraId="5F777A9D" w14:textId="6746E636" w:rsidR="0010119D" w:rsidRDefault="006239DB" w:rsidP="0029263E">
            <w:pPr>
              <w:rPr>
                <w:rFonts w:ascii="Times New Roman" w:hAnsi="Times New Roman" w:cs="Times New Roman"/>
              </w:rPr>
            </w:pPr>
            <w:r>
              <w:rPr>
                <w:rFonts w:ascii="Times New Roman" w:hAnsi="Times New Roman" w:cs="Times New Roman"/>
              </w:rPr>
              <w:t>Tornado Sensitivity Plot</w:t>
            </w:r>
          </w:p>
        </w:tc>
        <w:tc>
          <w:tcPr>
            <w:tcW w:w="985" w:type="dxa"/>
          </w:tcPr>
          <w:p w14:paraId="05A7B8A6" w14:textId="0F92830D" w:rsidR="0010119D" w:rsidRDefault="00365E93" w:rsidP="002C5984">
            <w:pPr>
              <w:jc w:val="center"/>
              <w:rPr>
                <w:rFonts w:ascii="Times New Roman" w:hAnsi="Times New Roman" w:cs="Times New Roman"/>
              </w:rPr>
            </w:pPr>
            <w:r>
              <w:rPr>
                <w:rFonts w:ascii="Times New Roman" w:hAnsi="Times New Roman" w:cs="Times New Roman"/>
              </w:rPr>
              <w:t>20</w:t>
            </w:r>
          </w:p>
        </w:tc>
      </w:tr>
      <w:tr w:rsidR="002C5984" w:rsidRPr="00CE550D" w14:paraId="3E30F3C5" w14:textId="77777777" w:rsidTr="00017A77">
        <w:tc>
          <w:tcPr>
            <w:tcW w:w="1615" w:type="dxa"/>
          </w:tcPr>
          <w:p w14:paraId="778C90E1" w14:textId="4FE42D03" w:rsidR="002C5984" w:rsidRPr="00CE550D" w:rsidRDefault="002C5984" w:rsidP="0029263E">
            <w:pPr>
              <w:rPr>
                <w:rFonts w:ascii="Times New Roman" w:hAnsi="Times New Roman" w:cs="Times New Roman"/>
              </w:rPr>
            </w:pPr>
            <w:r>
              <w:rPr>
                <w:rFonts w:ascii="Times New Roman" w:hAnsi="Times New Roman" w:cs="Times New Roman"/>
              </w:rPr>
              <w:t>Figure S</w:t>
            </w:r>
            <w:r w:rsidR="006617D9">
              <w:rPr>
                <w:rFonts w:ascii="Times New Roman" w:hAnsi="Times New Roman" w:cs="Times New Roman"/>
              </w:rPr>
              <w:t>10</w:t>
            </w:r>
          </w:p>
        </w:tc>
        <w:tc>
          <w:tcPr>
            <w:tcW w:w="6750" w:type="dxa"/>
          </w:tcPr>
          <w:p w14:paraId="669F082A" w14:textId="3472FD83" w:rsidR="002C5984" w:rsidRPr="006617D9" w:rsidRDefault="006617D9" w:rsidP="0029263E">
            <w:pPr>
              <w:rPr>
                <w:rFonts w:ascii="Times New Roman" w:hAnsi="Times New Roman" w:cs="Times New Roman"/>
              </w:rPr>
            </w:pPr>
            <w:r>
              <w:rPr>
                <w:rFonts w:ascii="Times New Roman" w:hAnsi="Times New Roman" w:cs="Times New Roman"/>
              </w:rPr>
              <w:t>Net CO</w:t>
            </w:r>
            <w:r>
              <w:rPr>
                <w:rFonts w:ascii="Times New Roman" w:hAnsi="Times New Roman" w:cs="Times New Roman"/>
                <w:vertAlign w:val="subscript"/>
              </w:rPr>
              <w:t>2</w:t>
            </w:r>
            <w:r>
              <w:rPr>
                <w:rFonts w:ascii="Times New Roman" w:hAnsi="Times New Roman" w:cs="Times New Roman"/>
              </w:rPr>
              <w:t xml:space="preserve"> removals </w:t>
            </w:r>
            <w:r w:rsidR="002E329C">
              <w:rPr>
                <w:rFonts w:ascii="Times New Roman" w:hAnsi="Times New Roman" w:cs="Times New Roman"/>
              </w:rPr>
              <w:t>by</w:t>
            </w:r>
            <w:r>
              <w:rPr>
                <w:rFonts w:ascii="Times New Roman" w:hAnsi="Times New Roman" w:cs="Times New Roman"/>
              </w:rPr>
              <w:t xml:space="preserve"> historical analog</w:t>
            </w:r>
          </w:p>
        </w:tc>
        <w:tc>
          <w:tcPr>
            <w:tcW w:w="985" w:type="dxa"/>
          </w:tcPr>
          <w:p w14:paraId="7E0919D5" w14:textId="28DEA1F5" w:rsidR="002C5984" w:rsidRDefault="006617D9" w:rsidP="002C5984">
            <w:pPr>
              <w:jc w:val="center"/>
              <w:rPr>
                <w:rFonts w:ascii="Times New Roman" w:hAnsi="Times New Roman" w:cs="Times New Roman"/>
              </w:rPr>
            </w:pPr>
            <w:r>
              <w:rPr>
                <w:rFonts w:ascii="Times New Roman" w:hAnsi="Times New Roman" w:cs="Times New Roman"/>
              </w:rPr>
              <w:t>22</w:t>
            </w:r>
          </w:p>
        </w:tc>
      </w:tr>
      <w:tr w:rsidR="004D4B72" w:rsidRPr="00CE550D" w14:paraId="7D4919EA" w14:textId="77777777" w:rsidTr="00017A77">
        <w:tc>
          <w:tcPr>
            <w:tcW w:w="1615" w:type="dxa"/>
          </w:tcPr>
          <w:p w14:paraId="12402790" w14:textId="569C7BBA" w:rsidR="004D4B72" w:rsidRDefault="00222B42" w:rsidP="0029263E">
            <w:pPr>
              <w:rPr>
                <w:rFonts w:ascii="Times New Roman" w:hAnsi="Times New Roman" w:cs="Times New Roman"/>
              </w:rPr>
            </w:pPr>
            <w:r>
              <w:rPr>
                <w:rFonts w:ascii="Times New Roman" w:hAnsi="Times New Roman" w:cs="Times New Roman"/>
              </w:rPr>
              <w:t>Figure S11</w:t>
            </w:r>
          </w:p>
        </w:tc>
        <w:tc>
          <w:tcPr>
            <w:tcW w:w="6750" w:type="dxa"/>
          </w:tcPr>
          <w:p w14:paraId="423A7C14" w14:textId="5E0960DA" w:rsidR="004D4B72" w:rsidRPr="00222B42" w:rsidRDefault="00222B42" w:rsidP="0029263E">
            <w:pPr>
              <w:rPr>
                <w:rFonts w:ascii="Times New Roman" w:hAnsi="Times New Roman" w:cs="Times New Roman"/>
              </w:rPr>
            </w:pPr>
            <w:r>
              <w:rPr>
                <w:rFonts w:ascii="Times New Roman" w:hAnsi="Times New Roman" w:cs="Times New Roman"/>
              </w:rPr>
              <w:t>Net CO</w:t>
            </w:r>
            <w:r>
              <w:rPr>
                <w:rFonts w:ascii="Times New Roman" w:hAnsi="Times New Roman" w:cs="Times New Roman"/>
                <w:vertAlign w:val="subscript"/>
              </w:rPr>
              <w:t>2</w:t>
            </w:r>
            <w:r>
              <w:rPr>
                <w:rFonts w:ascii="Times New Roman" w:hAnsi="Times New Roman" w:cs="Times New Roman"/>
              </w:rPr>
              <w:t xml:space="preserve"> removals across </w:t>
            </w:r>
            <w:r w:rsidR="002E329C">
              <w:rPr>
                <w:rFonts w:ascii="Times New Roman" w:hAnsi="Times New Roman" w:cs="Times New Roman"/>
              </w:rPr>
              <w:t xml:space="preserve">by initial OAE </w:t>
            </w:r>
            <w:r>
              <w:rPr>
                <w:rFonts w:ascii="Times New Roman" w:hAnsi="Times New Roman" w:cs="Times New Roman"/>
              </w:rPr>
              <w:t xml:space="preserve">industry </w:t>
            </w:r>
            <w:r w:rsidR="002E329C">
              <w:rPr>
                <w:rFonts w:ascii="Times New Roman" w:hAnsi="Times New Roman" w:cs="Times New Roman"/>
              </w:rPr>
              <w:t>size</w:t>
            </w:r>
          </w:p>
        </w:tc>
        <w:tc>
          <w:tcPr>
            <w:tcW w:w="985" w:type="dxa"/>
          </w:tcPr>
          <w:p w14:paraId="58B6F104" w14:textId="53B82C2D" w:rsidR="004D4B72" w:rsidRDefault="00222B42" w:rsidP="002C5984">
            <w:pPr>
              <w:jc w:val="center"/>
              <w:rPr>
                <w:rFonts w:ascii="Times New Roman" w:hAnsi="Times New Roman" w:cs="Times New Roman"/>
              </w:rPr>
            </w:pPr>
            <w:r>
              <w:rPr>
                <w:rFonts w:ascii="Times New Roman" w:hAnsi="Times New Roman" w:cs="Times New Roman"/>
              </w:rPr>
              <w:t>23</w:t>
            </w:r>
          </w:p>
        </w:tc>
      </w:tr>
      <w:tr w:rsidR="004D4B72" w:rsidRPr="00CE550D" w14:paraId="1E1633A2" w14:textId="77777777" w:rsidTr="00017A77">
        <w:tc>
          <w:tcPr>
            <w:tcW w:w="1615" w:type="dxa"/>
          </w:tcPr>
          <w:p w14:paraId="59CE50FF" w14:textId="0AD64117" w:rsidR="004D4B72" w:rsidRDefault="00336C67" w:rsidP="0029263E">
            <w:pPr>
              <w:rPr>
                <w:rFonts w:ascii="Times New Roman" w:hAnsi="Times New Roman" w:cs="Times New Roman"/>
              </w:rPr>
            </w:pPr>
            <w:r>
              <w:rPr>
                <w:rFonts w:ascii="Times New Roman" w:hAnsi="Times New Roman" w:cs="Times New Roman"/>
              </w:rPr>
              <w:t>Figure S12</w:t>
            </w:r>
          </w:p>
        </w:tc>
        <w:tc>
          <w:tcPr>
            <w:tcW w:w="6750" w:type="dxa"/>
          </w:tcPr>
          <w:p w14:paraId="5B061A55" w14:textId="1DBEDA9B" w:rsidR="004D4B72" w:rsidRPr="00336C67" w:rsidRDefault="00336C67" w:rsidP="0029263E">
            <w:pPr>
              <w:rPr>
                <w:rFonts w:ascii="Times New Roman" w:hAnsi="Times New Roman" w:cs="Times New Roman"/>
                <w:vertAlign w:val="subscript"/>
              </w:rPr>
            </w:pPr>
            <w:r>
              <w:rPr>
                <w:rFonts w:ascii="Times New Roman" w:hAnsi="Times New Roman" w:cs="Times New Roman"/>
              </w:rPr>
              <w:t>Net CO</w:t>
            </w:r>
            <w:r>
              <w:rPr>
                <w:rFonts w:ascii="Times New Roman" w:hAnsi="Times New Roman" w:cs="Times New Roman"/>
                <w:vertAlign w:val="subscript"/>
              </w:rPr>
              <w:t>2</w:t>
            </w:r>
            <w:r>
              <w:rPr>
                <w:rFonts w:ascii="Times New Roman" w:hAnsi="Times New Roman" w:cs="Times New Roman"/>
              </w:rPr>
              <w:t xml:space="preserve"> removals across </w:t>
            </w:r>
            <w:r w:rsidR="002E329C">
              <w:rPr>
                <w:rFonts w:ascii="Times New Roman" w:hAnsi="Times New Roman" w:cs="Times New Roman"/>
              </w:rPr>
              <w:t xml:space="preserve">the </w:t>
            </w:r>
            <w:r>
              <w:rPr>
                <w:rFonts w:ascii="Times New Roman" w:hAnsi="Times New Roman" w:cs="Times New Roman"/>
              </w:rPr>
              <w:t>year of first deployment</w:t>
            </w:r>
          </w:p>
        </w:tc>
        <w:tc>
          <w:tcPr>
            <w:tcW w:w="985" w:type="dxa"/>
          </w:tcPr>
          <w:p w14:paraId="142D049A" w14:textId="31ADF0AD" w:rsidR="004D4B72" w:rsidRDefault="00336C67" w:rsidP="002C5984">
            <w:pPr>
              <w:jc w:val="center"/>
              <w:rPr>
                <w:rFonts w:ascii="Times New Roman" w:hAnsi="Times New Roman" w:cs="Times New Roman"/>
              </w:rPr>
            </w:pPr>
            <w:r>
              <w:rPr>
                <w:rFonts w:ascii="Times New Roman" w:hAnsi="Times New Roman" w:cs="Times New Roman"/>
              </w:rPr>
              <w:t>24</w:t>
            </w:r>
          </w:p>
        </w:tc>
      </w:tr>
      <w:tr w:rsidR="004D4B72" w:rsidRPr="00CE550D" w14:paraId="20018B28" w14:textId="77777777" w:rsidTr="00017A77">
        <w:tc>
          <w:tcPr>
            <w:tcW w:w="1615" w:type="dxa"/>
          </w:tcPr>
          <w:p w14:paraId="348BC77F" w14:textId="7067BBE5" w:rsidR="004D4B72" w:rsidRDefault="00770830" w:rsidP="0029263E">
            <w:pPr>
              <w:rPr>
                <w:rFonts w:ascii="Times New Roman" w:hAnsi="Times New Roman" w:cs="Times New Roman"/>
              </w:rPr>
            </w:pPr>
            <w:r>
              <w:rPr>
                <w:rFonts w:ascii="Times New Roman" w:hAnsi="Times New Roman" w:cs="Times New Roman"/>
              </w:rPr>
              <w:t>Figure S13</w:t>
            </w:r>
          </w:p>
        </w:tc>
        <w:tc>
          <w:tcPr>
            <w:tcW w:w="6750" w:type="dxa"/>
          </w:tcPr>
          <w:p w14:paraId="717119CB" w14:textId="411D4F42" w:rsidR="004D4B72" w:rsidRDefault="00770830" w:rsidP="0029263E">
            <w:pPr>
              <w:rPr>
                <w:rFonts w:ascii="Times New Roman" w:hAnsi="Times New Roman" w:cs="Times New Roman"/>
              </w:rPr>
            </w:pPr>
            <w:r>
              <w:rPr>
                <w:rFonts w:ascii="Times New Roman" w:hAnsi="Times New Roman" w:cs="Times New Roman"/>
              </w:rPr>
              <w:t>Technology attributes and ordering sensitivities</w:t>
            </w:r>
          </w:p>
        </w:tc>
        <w:tc>
          <w:tcPr>
            <w:tcW w:w="985" w:type="dxa"/>
          </w:tcPr>
          <w:p w14:paraId="1AF7659A" w14:textId="5D4ECECD" w:rsidR="004D4B72" w:rsidRDefault="00770830" w:rsidP="002C5984">
            <w:pPr>
              <w:jc w:val="center"/>
              <w:rPr>
                <w:rFonts w:ascii="Times New Roman" w:hAnsi="Times New Roman" w:cs="Times New Roman"/>
              </w:rPr>
            </w:pPr>
            <w:r>
              <w:rPr>
                <w:rFonts w:ascii="Times New Roman" w:hAnsi="Times New Roman" w:cs="Times New Roman"/>
              </w:rPr>
              <w:t>25</w:t>
            </w:r>
          </w:p>
        </w:tc>
      </w:tr>
    </w:tbl>
    <w:p w14:paraId="7F44F7F1" w14:textId="77777777" w:rsidR="00FB0C66" w:rsidRPr="00CE550D" w:rsidRDefault="00FB0C66" w:rsidP="00FB0C66">
      <w:pPr>
        <w:rPr>
          <w:rFonts w:ascii="Times New Roman" w:hAnsi="Times New Roman" w:cs="Times New Roman"/>
        </w:rPr>
      </w:pPr>
    </w:p>
    <w:p w14:paraId="533CCA29" w14:textId="77777777" w:rsidR="00CF49A5" w:rsidRPr="00CE550D" w:rsidRDefault="00CF49A5" w:rsidP="00FB0C66">
      <w:pPr>
        <w:rPr>
          <w:rFonts w:ascii="Times New Roman" w:hAnsi="Times New Roman" w:cs="Times New Roman"/>
        </w:rPr>
      </w:pPr>
    </w:p>
    <w:p w14:paraId="372C609D" w14:textId="77777777" w:rsidR="00CF49A5" w:rsidRPr="00CE550D" w:rsidRDefault="00CF49A5" w:rsidP="00FB0C66">
      <w:pPr>
        <w:rPr>
          <w:rFonts w:ascii="Times New Roman" w:hAnsi="Times New Roman" w:cs="Times New Roman"/>
        </w:rPr>
      </w:pPr>
    </w:p>
    <w:p w14:paraId="10151D4E" w14:textId="77777777" w:rsidR="00CF49A5" w:rsidRPr="00CE550D" w:rsidRDefault="00CF49A5" w:rsidP="00FB0C66">
      <w:pPr>
        <w:rPr>
          <w:rFonts w:ascii="Times New Roman" w:hAnsi="Times New Roman" w:cs="Times New Roman"/>
        </w:rPr>
      </w:pPr>
    </w:p>
    <w:p w14:paraId="6A88E6D0" w14:textId="77777777" w:rsidR="00CF49A5" w:rsidRPr="00CE550D" w:rsidRDefault="00CF49A5" w:rsidP="00FB0C66">
      <w:pPr>
        <w:rPr>
          <w:rFonts w:ascii="Times New Roman" w:hAnsi="Times New Roman" w:cs="Times New Roman"/>
        </w:rPr>
      </w:pPr>
    </w:p>
    <w:p w14:paraId="3A6F636F" w14:textId="182EC184" w:rsidR="00CF49A5" w:rsidRPr="00CE550D" w:rsidRDefault="00CF49A5" w:rsidP="00CF49A5">
      <w:pPr>
        <w:jc w:val="center"/>
        <w:rPr>
          <w:rFonts w:ascii="Times New Roman" w:hAnsi="Times New Roman" w:cs="Times New Roman"/>
          <w:b/>
          <w:bCs/>
        </w:rPr>
      </w:pPr>
      <w:r w:rsidRPr="00CE550D">
        <w:rPr>
          <w:rFonts w:ascii="Times New Roman" w:hAnsi="Times New Roman" w:cs="Times New Roman"/>
          <w:b/>
          <w:bCs/>
        </w:rPr>
        <w:t>Supplementary Tables</w:t>
      </w:r>
    </w:p>
    <w:tbl>
      <w:tblPr>
        <w:tblStyle w:val="TableGrid"/>
        <w:tblW w:w="0" w:type="auto"/>
        <w:tblLook w:val="04A0" w:firstRow="1" w:lastRow="0" w:firstColumn="1" w:lastColumn="0" w:noHBand="0" w:noVBand="1"/>
      </w:tblPr>
      <w:tblGrid>
        <w:gridCol w:w="1615"/>
        <w:gridCol w:w="6750"/>
        <w:gridCol w:w="985"/>
      </w:tblGrid>
      <w:tr w:rsidR="00CF49A5" w:rsidRPr="00CE550D" w14:paraId="040E1A01" w14:textId="77777777" w:rsidTr="00B34F19">
        <w:tc>
          <w:tcPr>
            <w:tcW w:w="1615" w:type="dxa"/>
          </w:tcPr>
          <w:p w14:paraId="5E4672A3" w14:textId="0DDE9802" w:rsidR="00CF49A5" w:rsidRPr="00CE550D" w:rsidRDefault="007F74C5" w:rsidP="00B34F19">
            <w:pPr>
              <w:jc w:val="center"/>
              <w:rPr>
                <w:rFonts w:ascii="Times New Roman" w:hAnsi="Times New Roman" w:cs="Times New Roman"/>
                <w:b/>
                <w:bCs/>
              </w:rPr>
            </w:pPr>
            <w:r>
              <w:rPr>
                <w:rFonts w:ascii="Times New Roman" w:hAnsi="Times New Roman" w:cs="Times New Roman"/>
                <w:b/>
                <w:bCs/>
              </w:rPr>
              <w:t>Table</w:t>
            </w:r>
            <w:r w:rsidR="00CF49A5" w:rsidRPr="00CE550D">
              <w:rPr>
                <w:rFonts w:ascii="Times New Roman" w:hAnsi="Times New Roman" w:cs="Times New Roman"/>
                <w:b/>
                <w:bCs/>
              </w:rPr>
              <w:t xml:space="preserve"> #</w:t>
            </w:r>
          </w:p>
        </w:tc>
        <w:tc>
          <w:tcPr>
            <w:tcW w:w="6750" w:type="dxa"/>
          </w:tcPr>
          <w:p w14:paraId="4FA8C4D6" w14:textId="77777777" w:rsidR="00CF49A5" w:rsidRPr="00CE550D" w:rsidRDefault="00CF49A5" w:rsidP="00B34F19">
            <w:pPr>
              <w:jc w:val="center"/>
              <w:rPr>
                <w:rFonts w:ascii="Times New Roman" w:hAnsi="Times New Roman" w:cs="Times New Roman"/>
                <w:b/>
                <w:bCs/>
              </w:rPr>
            </w:pPr>
            <w:r w:rsidRPr="00CE550D">
              <w:rPr>
                <w:rFonts w:ascii="Times New Roman" w:hAnsi="Times New Roman" w:cs="Times New Roman"/>
                <w:b/>
                <w:bCs/>
              </w:rPr>
              <w:t>Description</w:t>
            </w:r>
          </w:p>
        </w:tc>
        <w:tc>
          <w:tcPr>
            <w:tcW w:w="985" w:type="dxa"/>
          </w:tcPr>
          <w:p w14:paraId="1894159E" w14:textId="77777777" w:rsidR="00CF49A5" w:rsidRPr="00CE550D" w:rsidRDefault="00CF49A5" w:rsidP="00B34F19">
            <w:pPr>
              <w:jc w:val="center"/>
              <w:rPr>
                <w:rFonts w:ascii="Times New Roman" w:hAnsi="Times New Roman" w:cs="Times New Roman"/>
                <w:b/>
                <w:bCs/>
              </w:rPr>
            </w:pPr>
            <w:r w:rsidRPr="00CE550D">
              <w:rPr>
                <w:rFonts w:ascii="Times New Roman" w:hAnsi="Times New Roman" w:cs="Times New Roman"/>
                <w:b/>
                <w:bCs/>
              </w:rPr>
              <w:t>Page #</w:t>
            </w:r>
          </w:p>
        </w:tc>
      </w:tr>
      <w:tr w:rsidR="00CF49A5" w:rsidRPr="00CE550D" w14:paraId="14D3DB64" w14:textId="77777777" w:rsidTr="00B34F19">
        <w:tc>
          <w:tcPr>
            <w:tcW w:w="1615" w:type="dxa"/>
          </w:tcPr>
          <w:p w14:paraId="2C085668" w14:textId="6A6B20AC" w:rsidR="00CF49A5" w:rsidRPr="00CE550D" w:rsidRDefault="00CF49A5" w:rsidP="00B34F19">
            <w:pPr>
              <w:rPr>
                <w:rFonts w:ascii="Times New Roman" w:hAnsi="Times New Roman" w:cs="Times New Roman"/>
              </w:rPr>
            </w:pPr>
            <w:r w:rsidRPr="00CE550D">
              <w:rPr>
                <w:rFonts w:ascii="Times New Roman" w:hAnsi="Times New Roman" w:cs="Times New Roman"/>
              </w:rPr>
              <w:t>Table S1</w:t>
            </w:r>
          </w:p>
        </w:tc>
        <w:tc>
          <w:tcPr>
            <w:tcW w:w="6750" w:type="dxa"/>
          </w:tcPr>
          <w:p w14:paraId="56E7968B" w14:textId="7559854A" w:rsidR="00CF49A5" w:rsidRPr="00CE550D" w:rsidRDefault="00B37F4E" w:rsidP="00B34F19">
            <w:pPr>
              <w:rPr>
                <w:rFonts w:ascii="Times New Roman" w:hAnsi="Times New Roman" w:cs="Times New Roman"/>
              </w:rPr>
            </w:pPr>
            <w:r>
              <w:rPr>
                <w:rFonts w:ascii="Times New Roman" w:hAnsi="Times New Roman" w:cs="Times New Roman"/>
              </w:rPr>
              <w:t>Model parameters and variables</w:t>
            </w:r>
          </w:p>
        </w:tc>
        <w:tc>
          <w:tcPr>
            <w:tcW w:w="985" w:type="dxa"/>
          </w:tcPr>
          <w:p w14:paraId="0D872645" w14:textId="5246E7CC" w:rsidR="00CF49A5" w:rsidRPr="00CE550D" w:rsidRDefault="00C34CA7" w:rsidP="00C34CA7">
            <w:pPr>
              <w:jc w:val="center"/>
              <w:rPr>
                <w:rFonts w:ascii="Times New Roman" w:hAnsi="Times New Roman" w:cs="Times New Roman"/>
              </w:rPr>
            </w:pPr>
            <w:r>
              <w:rPr>
                <w:rFonts w:ascii="Times New Roman" w:hAnsi="Times New Roman" w:cs="Times New Roman"/>
              </w:rPr>
              <w:t>4</w:t>
            </w:r>
          </w:p>
        </w:tc>
      </w:tr>
      <w:tr w:rsidR="00CF49A5" w:rsidRPr="00CE550D" w14:paraId="3827FD33" w14:textId="77777777" w:rsidTr="00B34F19">
        <w:tc>
          <w:tcPr>
            <w:tcW w:w="1615" w:type="dxa"/>
          </w:tcPr>
          <w:p w14:paraId="1E945942" w14:textId="4C405606" w:rsidR="00CF49A5" w:rsidRPr="00CE550D" w:rsidRDefault="00CF49A5" w:rsidP="00B34F19">
            <w:pPr>
              <w:rPr>
                <w:rFonts w:ascii="Times New Roman" w:hAnsi="Times New Roman" w:cs="Times New Roman"/>
              </w:rPr>
            </w:pPr>
            <w:r w:rsidRPr="00CE550D">
              <w:rPr>
                <w:rFonts w:ascii="Times New Roman" w:hAnsi="Times New Roman" w:cs="Times New Roman"/>
              </w:rPr>
              <w:t>Table S</w:t>
            </w:r>
            <w:r w:rsidR="001722A0">
              <w:rPr>
                <w:rFonts w:ascii="Times New Roman" w:hAnsi="Times New Roman" w:cs="Times New Roman"/>
              </w:rPr>
              <w:t>2</w:t>
            </w:r>
          </w:p>
        </w:tc>
        <w:tc>
          <w:tcPr>
            <w:tcW w:w="6750" w:type="dxa"/>
          </w:tcPr>
          <w:p w14:paraId="3C30E8DB" w14:textId="230A337F" w:rsidR="00CF49A5" w:rsidRPr="00CE550D" w:rsidRDefault="00B61589" w:rsidP="00B34F19">
            <w:pPr>
              <w:rPr>
                <w:rFonts w:ascii="Times New Roman" w:hAnsi="Times New Roman" w:cs="Times New Roman"/>
              </w:rPr>
            </w:pPr>
            <w:r>
              <w:rPr>
                <w:rFonts w:ascii="Times New Roman" w:hAnsi="Times New Roman" w:cs="Times New Roman"/>
              </w:rPr>
              <w:t>Model Equations</w:t>
            </w:r>
          </w:p>
        </w:tc>
        <w:tc>
          <w:tcPr>
            <w:tcW w:w="985" w:type="dxa"/>
          </w:tcPr>
          <w:p w14:paraId="3B61F605" w14:textId="114E2C3B" w:rsidR="00CF49A5" w:rsidRPr="00CE550D" w:rsidRDefault="001722A0" w:rsidP="001722A0">
            <w:pPr>
              <w:jc w:val="center"/>
              <w:rPr>
                <w:rFonts w:ascii="Times New Roman" w:hAnsi="Times New Roman" w:cs="Times New Roman"/>
              </w:rPr>
            </w:pPr>
            <w:r>
              <w:rPr>
                <w:rFonts w:ascii="Times New Roman" w:hAnsi="Times New Roman" w:cs="Times New Roman"/>
              </w:rPr>
              <w:t>5</w:t>
            </w:r>
          </w:p>
        </w:tc>
      </w:tr>
      <w:tr w:rsidR="00F6290C" w:rsidRPr="00CE550D" w14:paraId="011B3809" w14:textId="77777777" w:rsidTr="00B34F19">
        <w:tc>
          <w:tcPr>
            <w:tcW w:w="1615" w:type="dxa"/>
          </w:tcPr>
          <w:p w14:paraId="71297021" w14:textId="238C1399" w:rsidR="00F6290C" w:rsidRPr="00CE550D" w:rsidRDefault="00F6290C" w:rsidP="00F6290C">
            <w:pPr>
              <w:rPr>
                <w:rFonts w:ascii="Times New Roman" w:hAnsi="Times New Roman" w:cs="Times New Roman"/>
              </w:rPr>
            </w:pPr>
            <w:r w:rsidRPr="00CE550D">
              <w:rPr>
                <w:rFonts w:ascii="Times New Roman" w:hAnsi="Times New Roman" w:cs="Times New Roman"/>
              </w:rPr>
              <w:t>Table S</w:t>
            </w:r>
            <w:r>
              <w:rPr>
                <w:rFonts w:ascii="Times New Roman" w:hAnsi="Times New Roman" w:cs="Times New Roman"/>
              </w:rPr>
              <w:t>3</w:t>
            </w:r>
          </w:p>
        </w:tc>
        <w:tc>
          <w:tcPr>
            <w:tcW w:w="6750" w:type="dxa"/>
          </w:tcPr>
          <w:p w14:paraId="5DBFA3B0" w14:textId="087DB771" w:rsidR="00F6290C" w:rsidRPr="00CE550D" w:rsidRDefault="005D1511" w:rsidP="00F6290C">
            <w:pPr>
              <w:rPr>
                <w:rFonts w:ascii="Times New Roman" w:hAnsi="Times New Roman" w:cs="Times New Roman"/>
              </w:rPr>
            </w:pPr>
            <w:r>
              <w:rPr>
                <w:rFonts w:ascii="Times New Roman" w:hAnsi="Times New Roman" w:cs="Times New Roman"/>
              </w:rPr>
              <w:t>Ordering of alkalinity injection across deployment zones</w:t>
            </w:r>
          </w:p>
        </w:tc>
        <w:tc>
          <w:tcPr>
            <w:tcW w:w="985" w:type="dxa"/>
          </w:tcPr>
          <w:p w14:paraId="1BF780F7" w14:textId="46D4CE46" w:rsidR="00F6290C" w:rsidRPr="00CE550D" w:rsidRDefault="00F6290C" w:rsidP="00F6290C">
            <w:pPr>
              <w:jc w:val="center"/>
              <w:rPr>
                <w:rFonts w:ascii="Times New Roman" w:hAnsi="Times New Roman" w:cs="Times New Roman"/>
              </w:rPr>
            </w:pPr>
            <w:r>
              <w:rPr>
                <w:rFonts w:ascii="Times New Roman" w:hAnsi="Times New Roman" w:cs="Times New Roman"/>
              </w:rPr>
              <w:t>6</w:t>
            </w:r>
          </w:p>
        </w:tc>
      </w:tr>
      <w:tr w:rsidR="00F6290C" w:rsidRPr="00CE550D" w14:paraId="3E853136" w14:textId="77777777" w:rsidTr="00B34F19">
        <w:tc>
          <w:tcPr>
            <w:tcW w:w="1615" w:type="dxa"/>
          </w:tcPr>
          <w:p w14:paraId="0C415C82" w14:textId="69DB380D" w:rsidR="00F6290C" w:rsidRPr="00CE550D" w:rsidRDefault="00F6290C" w:rsidP="00F6290C">
            <w:pPr>
              <w:rPr>
                <w:rFonts w:ascii="Times New Roman" w:hAnsi="Times New Roman" w:cs="Times New Roman"/>
              </w:rPr>
            </w:pPr>
            <w:r w:rsidRPr="00CE550D">
              <w:rPr>
                <w:rFonts w:ascii="Times New Roman" w:hAnsi="Times New Roman" w:cs="Times New Roman"/>
              </w:rPr>
              <w:t>Table S</w:t>
            </w:r>
            <w:r>
              <w:rPr>
                <w:rFonts w:ascii="Times New Roman" w:hAnsi="Times New Roman" w:cs="Times New Roman"/>
              </w:rPr>
              <w:t>4</w:t>
            </w:r>
          </w:p>
        </w:tc>
        <w:tc>
          <w:tcPr>
            <w:tcW w:w="6750" w:type="dxa"/>
          </w:tcPr>
          <w:p w14:paraId="42869349" w14:textId="359CB2E2" w:rsidR="00F6290C" w:rsidRPr="00CE550D" w:rsidRDefault="00FE5A92" w:rsidP="00F6290C">
            <w:pPr>
              <w:rPr>
                <w:rFonts w:ascii="Times New Roman" w:hAnsi="Times New Roman" w:cs="Times New Roman"/>
              </w:rPr>
            </w:pPr>
            <w:r>
              <w:rPr>
                <w:rFonts w:ascii="Times New Roman" w:hAnsi="Times New Roman" w:cs="Times New Roman"/>
              </w:rPr>
              <w:t>Climate Model Equations</w:t>
            </w:r>
          </w:p>
        </w:tc>
        <w:tc>
          <w:tcPr>
            <w:tcW w:w="985" w:type="dxa"/>
          </w:tcPr>
          <w:p w14:paraId="3FCD355E" w14:textId="5E168BF9" w:rsidR="00F6290C" w:rsidRPr="00CE550D" w:rsidRDefault="00FE5A92" w:rsidP="00F6290C">
            <w:pPr>
              <w:jc w:val="center"/>
              <w:rPr>
                <w:rFonts w:ascii="Times New Roman" w:hAnsi="Times New Roman" w:cs="Times New Roman"/>
              </w:rPr>
            </w:pPr>
            <w:r>
              <w:rPr>
                <w:rFonts w:ascii="Times New Roman" w:hAnsi="Times New Roman" w:cs="Times New Roman"/>
              </w:rPr>
              <w:t>9</w:t>
            </w:r>
          </w:p>
        </w:tc>
      </w:tr>
      <w:tr w:rsidR="00F6290C" w:rsidRPr="00CE550D" w14:paraId="2BC99E5B" w14:textId="77777777" w:rsidTr="00B34F19">
        <w:tc>
          <w:tcPr>
            <w:tcW w:w="1615" w:type="dxa"/>
          </w:tcPr>
          <w:p w14:paraId="16BDCB32" w14:textId="342E2CE4" w:rsidR="00F6290C" w:rsidRPr="00CE550D" w:rsidRDefault="00F6290C" w:rsidP="00F6290C">
            <w:pPr>
              <w:rPr>
                <w:rFonts w:ascii="Times New Roman" w:hAnsi="Times New Roman" w:cs="Times New Roman"/>
              </w:rPr>
            </w:pPr>
            <w:r w:rsidRPr="00CE550D">
              <w:rPr>
                <w:rFonts w:ascii="Times New Roman" w:hAnsi="Times New Roman" w:cs="Times New Roman"/>
              </w:rPr>
              <w:t>Table S</w:t>
            </w:r>
            <w:r>
              <w:rPr>
                <w:rFonts w:ascii="Times New Roman" w:hAnsi="Times New Roman" w:cs="Times New Roman"/>
              </w:rPr>
              <w:t>5</w:t>
            </w:r>
          </w:p>
        </w:tc>
        <w:tc>
          <w:tcPr>
            <w:tcW w:w="6750" w:type="dxa"/>
          </w:tcPr>
          <w:p w14:paraId="0A290A32" w14:textId="4370C757" w:rsidR="00F6290C" w:rsidRPr="00CE550D" w:rsidRDefault="00C50240" w:rsidP="00F6290C">
            <w:pPr>
              <w:rPr>
                <w:rFonts w:ascii="Times New Roman" w:hAnsi="Times New Roman" w:cs="Times New Roman"/>
              </w:rPr>
            </w:pPr>
            <w:r>
              <w:rPr>
                <w:rFonts w:ascii="Times New Roman" w:hAnsi="Times New Roman" w:cs="Times New Roman"/>
              </w:rPr>
              <w:t>Energy use and process emissions</w:t>
            </w:r>
          </w:p>
        </w:tc>
        <w:tc>
          <w:tcPr>
            <w:tcW w:w="985" w:type="dxa"/>
          </w:tcPr>
          <w:p w14:paraId="6378C926" w14:textId="7C60A98E" w:rsidR="00F6290C" w:rsidRPr="00CE550D" w:rsidRDefault="00C50240" w:rsidP="00F6290C">
            <w:pPr>
              <w:jc w:val="center"/>
              <w:rPr>
                <w:rFonts w:ascii="Times New Roman" w:hAnsi="Times New Roman" w:cs="Times New Roman"/>
              </w:rPr>
            </w:pPr>
            <w:r>
              <w:rPr>
                <w:rFonts w:ascii="Times New Roman" w:hAnsi="Times New Roman" w:cs="Times New Roman"/>
              </w:rPr>
              <w:t>12</w:t>
            </w:r>
          </w:p>
        </w:tc>
      </w:tr>
      <w:tr w:rsidR="00F6290C" w:rsidRPr="00CE550D" w14:paraId="152FBD02" w14:textId="77777777" w:rsidTr="00B34F19">
        <w:tc>
          <w:tcPr>
            <w:tcW w:w="1615" w:type="dxa"/>
          </w:tcPr>
          <w:p w14:paraId="70CCE3F2" w14:textId="4933D484" w:rsidR="00F6290C" w:rsidRPr="00CE550D" w:rsidRDefault="00F6290C" w:rsidP="00F6290C">
            <w:pPr>
              <w:rPr>
                <w:rFonts w:ascii="Times New Roman" w:hAnsi="Times New Roman" w:cs="Times New Roman"/>
              </w:rPr>
            </w:pPr>
            <w:r w:rsidRPr="00CE550D">
              <w:rPr>
                <w:rFonts w:ascii="Times New Roman" w:hAnsi="Times New Roman" w:cs="Times New Roman"/>
              </w:rPr>
              <w:t>Table S</w:t>
            </w:r>
            <w:r>
              <w:rPr>
                <w:rFonts w:ascii="Times New Roman" w:hAnsi="Times New Roman" w:cs="Times New Roman"/>
              </w:rPr>
              <w:t>6</w:t>
            </w:r>
          </w:p>
        </w:tc>
        <w:tc>
          <w:tcPr>
            <w:tcW w:w="6750" w:type="dxa"/>
          </w:tcPr>
          <w:p w14:paraId="7F51A16A" w14:textId="67928BC6" w:rsidR="00F6290C" w:rsidRPr="00487598" w:rsidRDefault="00C50240" w:rsidP="00F6290C">
            <w:pPr>
              <w:rPr>
                <w:rFonts w:ascii="Times New Roman" w:hAnsi="Times New Roman" w:cs="Times New Roman"/>
              </w:rPr>
            </w:pPr>
            <w:r>
              <w:rPr>
                <w:rFonts w:ascii="Times New Roman" w:hAnsi="Times New Roman" w:cs="Times New Roman"/>
              </w:rPr>
              <w:t>Alkalinity feedstock conversion factors</w:t>
            </w:r>
          </w:p>
        </w:tc>
        <w:tc>
          <w:tcPr>
            <w:tcW w:w="985" w:type="dxa"/>
          </w:tcPr>
          <w:p w14:paraId="79AA4BED" w14:textId="277C8272" w:rsidR="00F6290C" w:rsidRPr="00CE550D" w:rsidRDefault="00C50240" w:rsidP="00F6290C">
            <w:pPr>
              <w:jc w:val="center"/>
              <w:rPr>
                <w:rFonts w:ascii="Times New Roman" w:hAnsi="Times New Roman" w:cs="Times New Roman"/>
              </w:rPr>
            </w:pPr>
            <w:r>
              <w:rPr>
                <w:rFonts w:ascii="Times New Roman" w:hAnsi="Times New Roman" w:cs="Times New Roman"/>
              </w:rPr>
              <w:t>13</w:t>
            </w:r>
          </w:p>
        </w:tc>
      </w:tr>
      <w:tr w:rsidR="00F6290C" w:rsidRPr="00CE550D" w14:paraId="428C60C5" w14:textId="77777777" w:rsidTr="00B34F19">
        <w:tc>
          <w:tcPr>
            <w:tcW w:w="1615" w:type="dxa"/>
          </w:tcPr>
          <w:p w14:paraId="6372BD95" w14:textId="2254BB96" w:rsidR="00F6290C" w:rsidRPr="00CE550D" w:rsidRDefault="00F6290C" w:rsidP="00F6290C">
            <w:pPr>
              <w:rPr>
                <w:rFonts w:ascii="Times New Roman" w:hAnsi="Times New Roman" w:cs="Times New Roman"/>
              </w:rPr>
            </w:pPr>
            <w:r w:rsidRPr="00CE550D">
              <w:rPr>
                <w:rFonts w:ascii="Times New Roman" w:hAnsi="Times New Roman" w:cs="Times New Roman"/>
              </w:rPr>
              <w:t>Table S</w:t>
            </w:r>
            <w:r>
              <w:rPr>
                <w:rFonts w:ascii="Times New Roman" w:hAnsi="Times New Roman" w:cs="Times New Roman"/>
              </w:rPr>
              <w:t>7</w:t>
            </w:r>
          </w:p>
        </w:tc>
        <w:tc>
          <w:tcPr>
            <w:tcW w:w="6750" w:type="dxa"/>
          </w:tcPr>
          <w:p w14:paraId="43DFDE63" w14:textId="5DBCC54E" w:rsidR="00F6290C" w:rsidRPr="002C5984" w:rsidRDefault="00285E63" w:rsidP="00F6290C">
            <w:pPr>
              <w:rPr>
                <w:rFonts w:ascii="Times New Roman" w:hAnsi="Times New Roman" w:cs="Times New Roman"/>
              </w:rPr>
            </w:pPr>
            <w:r>
              <w:rPr>
                <w:rFonts w:ascii="Times New Roman" w:hAnsi="Times New Roman" w:cs="Times New Roman"/>
              </w:rPr>
              <w:t>Model parameter space</w:t>
            </w:r>
          </w:p>
        </w:tc>
        <w:tc>
          <w:tcPr>
            <w:tcW w:w="985" w:type="dxa"/>
          </w:tcPr>
          <w:p w14:paraId="7E634CF5" w14:textId="7E02D8A2" w:rsidR="00F6290C" w:rsidRPr="00CE550D" w:rsidRDefault="00285E63" w:rsidP="00F6290C">
            <w:pPr>
              <w:jc w:val="center"/>
              <w:rPr>
                <w:rFonts w:ascii="Times New Roman" w:hAnsi="Times New Roman" w:cs="Times New Roman"/>
              </w:rPr>
            </w:pPr>
            <w:r>
              <w:rPr>
                <w:rFonts w:ascii="Times New Roman" w:hAnsi="Times New Roman" w:cs="Times New Roman"/>
              </w:rPr>
              <w:t>1</w:t>
            </w:r>
            <w:r w:rsidR="0010119D">
              <w:rPr>
                <w:rFonts w:ascii="Times New Roman" w:hAnsi="Times New Roman" w:cs="Times New Roman"/>
              </w:rPr>
              <w:t>6</w:t>
            </w:r>
          </w:p>
        </w:tc>
      </w:tr>
      <w:tr w:rsidR="00F6290C" w:rsidRPr="00CE550D" w14:paraId="0A5EFD5B" w14:textId="77777777" w:rsidTr="00B34F19">
        <w:tc>
          <w:tcPr>
            <w:tcW w:w="1615" w:type="dxa"/>
          </w:tcPr>
          <w:p w14:paraId="2793E349" w14:textId="1EDFB8B4" w:rsidR="00F6290C" w:rsidRPr="00CE550D" w:rsidRDefault="00F6290C" w:rsidP="00F6290C">
            <w:pPr>
              <w:rPr>
                <w:rFonts w:ascii="Times New Roman" w:hAnsi="Times New Roman" w:cs="Times New Roman"/>
              </w:rPr>
            </w:pPr>
            <w:r>
              <w:rPr>
                <w:rFonts w:ascii="Times New Roman" w:hAnsi="Times New Roman" w:cs="Times New Roman"/>
              </w:rPr>
              <w:t>Table S8</w:t>
            </w:r>
          </w:p>
        </w:tc>
        <w:tc>
          <w:tcPr>
            <w:tcW w:w="6750" w:type="dxa"/>
          </w:tcPr>
          <w:p w14:paraId="6F83342B" w14:textId="3D329319" w:rsidR="00F6290C" w:rsidRPr="00A90E4D" w:rsidRDefault="002607D8" w:rsidP="00F6290C">
            <w:pPr>
              <w:rPr>
                <w:rFonts w:ascii="Times New Roman" w:hAnsi="Times New Roman" w:cs="Times New Roman"/>
              </w:rPr>
            </w:pPr>
            <w:r>
              <w:rPr>
                <w:rFonts w:ascii="Times New Roman" w:hAnsi="Times New Roman" w:cs="Times New Roman"/>
              </w:rPr>
              <w:t>Three modes of OAE deployment</w:t>
            </w:r>
          </w:p>
        </w:tc>
        <w:tc>
          <w:tcPr>
            <w:tcW w:w="985" w:type="dxa"/>
          </w:tcPr>
          <w:p w14:paraId="17754EDC" w14:textId="0437283A" w:rsidR="00F6290C" w:rsidRDefault="003049A5" w:rsidP="00F6290C">
            <w:pPr>
              <w:jc w:val="center"/>
              <w:rPr>
                <w:rFonts w:ascii="Times New Roman" w:hAnsi="Times New Roman" w:cs="Times New Roman"/>
              </w:rPr>
            </w:pPr>
            <w:r>
              <w:rPr>
                <w:rFonts w:ascii="Times New Roman" w:hAnsi="Times New Roman" w:cs="Times New Roman"/>
              </w:rPr>
              <w:t>17</w:t>
            </w:r>
          </w:p>
        </w:tc>
      </w:tr>
      <w:tr w:rsidR="00F6290C" w:rsidRPr="00CE550D" w14:paraId="41874AC2" w14:textId="77777777" w:rsidTr="00B34F19">
        <w:tc>
          <w:tcPr>
            <w:tcW w:w="1615" w:type="dxa"/>
          </w:tcPr>
          <w:p w14:paraId="5B49EEEA" w14:textId="604BC632" w:rsidR="00F6290C" w:rsidRPr="00CE550D" w:rsidRDefault="003049A5" w:rsidP="00F6290C">
            <w:pPr>
              <w:rPr>
                <w:rFonts w:ascii="Times New Roman" w:hAnsi="Times New Roman" w:cs="Times New Roman"/>
              </w:rPr>
            </w:pPr>
            <w:r>
              <w:rPr>
                <w:rFonts w:ascii="Times New Roman" w:hAnsi="Times New Roman" w:cs="Times New Roman"/>
              </w:rPr>
              <w:t>Table S9</w:t>
            </w:r>
          </w:p>
        </w:tc>
        <w:tc>
          <w:tcPr>
            <w:tcW w:w="6750" w:type="dxa"/>
          </w:tcPr>
          <w:p w14:paraId="3E5F7561" w14:textId="494E6715" w:rsidR="00F6290C" w:rsidRPr="002C5984" w:rsidRDefault="002607D8" w:rsidP="00F6290C">
            <w:pPr>
              <w:rPr>
                <w:rFonts w:ascii="Times New Roman" w:hAnsi="Times New Roman" w:cs="Times New Roman"/>
              </w:rPr>
            </w:pPr>
            <w:r>
              <w:rPr>
                <w:rFonts w:ascii="Times New Roman" w:hAnsi="Times New Roman" w:cs="Times New Roman"/>
              </w:rPr>
              <w:t>Full model sensitivities</w:t>
            </w:r>
          </w:p>
        </w:tc>
        <w:tc>
          <w:tcPr>
            <w:tcW w:w="985" w:type="dxa"/>
          </w:tcPr>
          <w:p w14:paraId="6F26E0B4" w14:textId="365259F5" w:rsidR="00F6290C" w:rsidRDefault="0049584E" w:rsidP="00F6290C">
            <w:pPr>
              <w:jc w:val="center"/>
              <w:rPr>
                <w:rFonts w:ascii="Times New Roman" w:hAnsi="Times New Roman" w:cs="Times New Roman"/>
              </w:rPr>
            </w:pPr>
            <w:r>
              <w:rPr>
                <w:rFonts w:ascii="Times New Roman" w:hAnsi="Times New Roman" w:cs="Times New Roman"/>
              </w:rPr>
              <w:t>20</w:t>
            </w:r>
          </w:p>
        </w:tc>
      </w:tr>
    </w:tbl>
    <w:p w14:paraId="4D158D24" w14:textId="77777777" w:rsidR="00F07D94" w:rsidRPr="00CE550D" w:rsidRDefault="00F07D94" w:rsidP="00FB0C66">
      <w:pPr>
        <w:rPr>
          <w:rFonts w:ascii="Times New Roman" w:hAnsi="Times New Roman" w:cs="Times New Roman"/>
        </w:rPr>
      </w:pPr>
    </w:p>
    <w:p w14:paraId="4A5C4946" w14:textId="77777777" w:rsidR="00F07D94" w:rsidRPr="00CE550D" w:rsidRDefault="00F07D94" w:rsidP="00FB0C66">
      <w:pPr>
        <w:rPr>
          <w:rFonts w:ascii="Times New Roman" w:hAnsi="Times New Roman" w:cs="Times New Roman"/>
        </w:rPr>
      </w:pPr>
    </w:p>
    <w:p w14:paraId="3792AE26" w14:textId="77777777" w:rsidR="00F07D94" w:rsidRPr="00CE550D" w:rsidRDefault="00F07D94" w:rsidP="00FB0C66">
      <w:pPr>
        <w:rPr>
          <w:rFonts w:ascii="Times New Roman" w:hAnsi="Times New Roman" w:cs="Times New Roman"/>
        </w:rPr>
      </w:pPr>
    </w:p>
    <w:p w14:paraId="4E2421B6" w14:textId="1199ED3C" w:rsidR="00323D14" w:rsidRDefault="00323D14">
      <w:pPr>
        <w:rPr>
          <w:rFonts w:ascii="Times New Roman" w:hAnsi="Times New Roman" w:cs="Times New Roman"/>
          <w:noProof/>
        </w:rPr>
      </w:pPr>
    </w:p>
    <w:p w14:paraId="23382D00" w14:textId="54835A18" w:rsidR="009A61B4" w:rsidRPr="00CE550D" w:rsidRDefault="009A61B4" w:rsidP="00E52ECD">
      <w:pPr>
        <w:jc w:val="center"/>
        <w:rPr>
          <w:rFonts w:ascii="Times New Roman" w:hAnsi="Times New Roman" w:cs="Times New Roman"/>
        </w:rPr>
      </w:pPr>
      <w:r w:rsidRPr="00CE550D">
        <w:rPr>
          <w:rFonts w:ascii="Times New Roman" w:hAnsi="Times New Roman" w:cs="Times New Roman"/>
          <w:noProof/>
        </w:rPr>
        <w:lastRenderedPageBreak/>
        <w:drawing>
          <wp:inline distT="0" distB="0" distL="0" distR="0" wp14:anchorId="19225B44" wp14:editId="5537931C">
            <wp:extent cx="4545367" cy="6908404"/>
            <wp:effectExtent l="0" t="0" r="1270" b="635"/>
            <wp:docPr id="94" name="Picture 93" descr="A diagram of a process&#10;&#10;AI-generated content may be incorrect.">
              <a:extLst xmlns:a="http://schemas.openxmlformats.org/drawingml/2006/main">
                <a:ext uri="{FF2B5EF4-FFF2-40B4-BE49-F238E27FC236}">
                  <a16:creationId xmlns:a16="http://schemas.microsoft.com/office/drawing/2014/main" id="{2D23BF9C-8EC9-D0FE-8F55-3424BD48F0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descr="A diagram of a process&#10;&#10;AI-generated content may be incorrect.">
                      <a:extLst>
                        <a:ext uri="{FF2B5EF4-FFF2-40B4-BE49-F238E27FC236}">
                          <a16:creationId xmlns:a16="http://schemas.microsoft.com/office/drawing/2014/main" id="{2D23BF9C-8EC9-D0FE-8F55-3424BD48F08B}"/>
                        </a:ext>
                      </a:extLst>
                    </pic:cNvPr>
                    <pic:cNvPicPr>
                      <a:picLocks noChangeAspect="1"/>
                    </pic:cNvPicPr>
                  </pic:nvPicPr>
                  <pic:blipFill>
                    <a:blip r:embed="rId6"/>
                    <a:stretch>
                      <a:fillRect/>
                    </a:stretch>
                  </pic:blipFill>
                  <pic:spPr>
                    <a:xfrm>
                      <a:off x="0" y="0"/>
                      <a:ext cx="4573350" cy="6950934"/>
                    </a:xfrm>
                    <a:prstGeom prst="rect">
                      <a:avLst/>
                    </a:prstGeom>
                  </pic:spPr>
                </pic:pic>
              </a:graphicData>
            </a:graphic>
          </wp:inline>
        </w:drawing>
      </w:r>
    </w:p>
    <w:p w14:paraId="50C2A2CD" w14:textId="46925A2F" w:rsidR="00503314" w:rsidRPr="00422F3B" w:rsidRDefault="002A07B9" w:rsidP="00503314">
      <w:pPr>
        <w:pStyle w:val="p1"/>
        <w:rPr>
          <w:sz w:val="20"/>
          <w:szCs w:val="20"/>
        </w:rPr>
      </w:pPr>
      <w:r w:rsidRPr="008B5125">
        <w:rPr>
          <w:b/>
          <w:bCs/>
          <w:sz w:val="20"/>
          <w:szCs w:val="20"/>
        </w:rPr>
        <w:t>Supplementary Figure 1 | Detailed conceptual schematic of the modeling framework.</w:t>
      </w:r>
      <w:r w:rsidRPr="008B5125">
        <w:rPr>
          <w:sz w:val="20"/>
          <w:szCs w:val="20"/>
        </w:rPr>
        <w:t xml:space="preserve"> </w:t>
      </w:r>
      <w:r w:rsidR="00503314" w:rsidRPr="008B5125">
        <w:rPr>
          <w:sz w:val="20"/>
          <w:szCs w:val="20"/>
        </w:rPr>
        <w:t>The model</w:t>
      </w:r>
      <w:r w:rsidR="00422F3B">
        <w:rPr>
          <w:sz w:val="20"/>
          <w:szCs w:val="20"/>
        </w:rPr>
        <w:t xml:space="preserve"> </w:t>
      </w:r>
      <w:r w:rsidR="00503314" w:rsidRPr="008B5125">
        <w:rPr>
          <w:sz w:val="20"/>
          <w:szCs w:val="20"/>
        </w:rPr>
        <w:t xml:space="preserve">calculates impacts on the climate system due to OAE by integrating modeling of </w:t>
      </w:r>
      <w:r w:rsidR="00503314" w:rsidRPr="008B5125">
        <w:rPr>
          <w:rFonts w:eastAsiaTheme="minorHAnsi"/>
          <w:b/>
          <w:bCs/>
          <w:color w:val="000000" w:themeColor="text1"/>
          <w:kern w:val="24"/>
          <w:sz w:val="20"/>
          <w:szCs w:val="20"/>
        </w:rPr>
        <w:t>a,</w:t>
      </w:r>
      <w:r w:rsidR="00503314" w:rsidRPr="008B5125">
        <w:rPr>
          <w:rFonts w:eastAsiaTheme="minorHAnsi"/>
          <w:color w:val="000000" w:themeColor="text1"/>
          <w:kern w:val="24"/>
          <w:sz w:val="20"/>
          <w:szCs w:val="20"/>
        </w:rPr>
        <w:t xml:space="preserve"> innovation and upscaling of OAE technologies; </w:t>
      </w:r>
      <w:r w:rsidR="00503314" w:rsidRPr="008B5125">
        <w:rPr>
          <w:rFonts w:eastAsiaTheme="minorHAnsi"/>
          <w:b/>
          <w:bCs/>
          <w:color w:val="000000" w:themeColor="text1"/>
          <w:kern w:val="24"/>
          <w:sz w:val="20"/>
          <w:szCs w:val="20"/>
        </w:rPr>
        <w:t>b,</w:t>
      </w:r>
      <w:r w:rsidR="00503314" w:rsidRPr="008B5125">
        <w:rPr>
          <w:rFonts w:eastAsiaTheme="minorHAnsi"/>
          <w:color w:val="000000" w:themeColor="text1"/>
          <w:kern w:val="24"/>
          <w:sz w:val="20"/>
          <w:szCs w:val="20"/>
        </w:rPr>
        <w:t xml:space="preserve"> alterations to the marine carbonate system due to OAE interventions, associated process emissions, gross and net CO</w:t>
      </w:r>
      <w:r w:rsidR="00503314" w:rsidRPr="008B5125">
        <w:rPr>
          <w:rFonts w:eastAsiaTheme="minorHAnsi"/>
          <w:color w:val="000000" w:themeColor="text1"/>
          <w:kern w:val="24"/>
          <w:sz w:val="20"/>
          <w:szCs w:val="20"/>
          <w:vertAlign w:val="subscript"/>
        </w:rPr>
        <w:t>2</w:t>
      </w:r>
      <w:r w:rsidR="00503314" w:rsidRPr="008B5125">
        <w:rPr>
          <w:rFonts w:eastAsiaTheme="minorHAnsi"/>
          <w:color w:val="000000" w:themeColor="text1"/>
          <w:kern w:val="24"/>
          <w:sz w:val="20"/>
          <w:szCs w:val="20"/>
        </w:rPr>
        <w:t xml:space="preserve"> removals; and </w:t>
      </w:r>
      <w:r w:rsidR="00503314" w:rsidRPr="008B5125">
        <w:rPr>
          <w:rFonts w:eastAsiaTheme="minorHAnsi"/>
          <w:b/>
          <w:bCs/>
          <w:color w:val="000000" w:themeColor="text1"/>
          <w:kern w:val="24"/>
          <w:sz w:val="20"/>
          <w:szCs w:val="20"/>
        </w:rPr>
        <w:t>c,</w:t>
      </w:r>
      <w:r w:rsidR="00503314" w:rsidRPr="008B5125">
        <w:rPr>
          <w:rFonts w:eastAsiaTheme="minorHAnsi"/>
          <w:color w:val="000000" w:themeColor="text1"/>
          <w:kern w:val="24"/>
          <w:sz w:val="20"/>
          <w:szCs w:val="20"/>
        </w:rPr>
        <w:t xml:space="preserve"> the impact of net </w:t>
      </w:r>
      <w:r w:rsidR="00AE447D">
        <w:rPr>
          <w:rFonts w:eastAsiaTheme="minorHAnsi"/>
          <w:color w:val="000000" w:themeColor="text1"/>
          <w:kern w:val="24"/>
          <w:sz w:val="20"/>
          <w:szCs w:val="20"/>
        </w:rPr>
        <w:t>CO</w:t>
      </w:r>
      <w:r w:rsidR="00AE447D">
        <w:rPr>
          <w:rFonts w:eastAsiaTheme="minorHAnsi"/>
          <w:color w:val="000000" w:themeColor="text1"/>
          <w:kern w:val="24"/>
          <w:sz w:val="20"/>
          <w:szCs w:val="20"/>
          <w:vertAlign w:val="subscript"/>
        </w:rPr>
        <w:t>2</w:t>
      </w:r>
      <w:r w:rsidR="00AE447D">
        <w:rPr>
          <w:rFonts w:eastAsiaTheme="minorHAnsi"/>
          <w:color w:val="000000" w:themeColor="text1"/>
          <w:kern w:val="24"/>
          <w:sz w:val="20"/>
          <w:szCs w:val="20"/>
        </w:rPr>
        <w:t xml:space="preserve"> </w:t>
      </w:r>
      <w:r w:rsidR="00503314" w:rsidRPr="008B5125">
        <w:rPr>
          <w:rFonts w:eastAsiaTheme="minorHAnsi"/>
          <w:color w:val="000000" w:themeColor="text1"/>
          <w:kern w:val="24"/>
          <w:sz w:val="20"/>
          <w:szCs w:val="20"/>
        </w:rPr>
        <w:t>removals from OAE on atmospheric CO</w:t>
      </w:r>
      <w:r w:rsidR="00503314" w:rsidRPr="008B5125">
        <w:rPr>
          <w:rFonts w:eastAsiaTheme="minorHAnsi"/>
          <w:color w:val="000000" w:themeColor="text1"/>
          <w:kern w:val="24"/>
          <w:sz w:val="20"/>
          <w:szCs w:val="20"/>
          <w:vertAlign w:val="subscript"/>
        </w:rPr>
        <w:t>2</w:t>
      </w:r>
      <w:r w:rsidR="00503314" w:rsidRPr="008B5125">
        <w:rPr>
          <w:rFonts w:eastAsiaTheme="minorHAnsi"/>
          <w:color w:val="000000" w:themeColor="text1"/>
          <w:kern w:val="24"/>
          <w:sz w:val="20"/>
          <w:szCs w:val="20"/>
        </w:rPr>
        <w:t xml:space="preserve"> concentration and global mean surface temperature, given background CO</w:t>
      </w:r>
      <w:r w:rsidR="00503314" w:rsidRPr="008B5125">
        <w:rPr>
          <w:rFonts w:eastAsiaTheme="minorHAnsi"/>
          <w:color w:val="000000" w:themeColor="text1"/>
          <w:kern w:val="24"/>
          <w:sz w:val="20"/>
          <w:szCs w:val="20"/>
          <w:vertAlign w:val="subscript"/>
        </w:rPr>
        <w:t>2</w:t>
      </w:r>
      <w:r w:rsidR="00503314" w:rsidRPr="008B5125">
        <w:rPr>
          <w:rFonts w:eastAsiaTheme="minorHAnsi"/>
          <w:color w:val="000000" w:themeColor="text1"/>
          <w:kern w:val="24"/>
          <w:sz w:val="20"/>
          <w:szCs w:val="20"/>
        </w:rPr>
        <w:t xml:space="preserve"> emissions from illustrative pathways (IPs) in the IPCC’s Sixth Assessment Report.</w:t>
      </w:r>
      <w:r w:rsidR="00503314" w:rsidRPr="008B5125">
        <w:rPr>
          <w:rFonts w:eastAsiaTheme="minorHAnsi"/>
          <w:color w:val="000000" w:themeColor="text1"/>
          <w:kern w:val="24"/>
          <w:sz w:val="20"/>
          <w:szCs w:val="20"/>
        </w:rPr>
        <w:fldChar w:fldCharType="begin"/>
      </w:r>
      <w:r w:rsidR="00503314" w:rsidRPr="008B5125">
        <w:rPr>
          <w:rFonts w:eastAsiaTheme="minorHAnsi"/>
          <w:color w:val="000000" w:themeColor="text1"/>
          <w:kern w:val="24"/>
          <w:sz w:val="20"/>
          <w:szCs w:val="20"/>
        </w:rPr>
        <w:instrText xml:space="preserve"> ADDIN ZOTERO_ITEM CSL_CITATION {"citationID":"RdgEQi3Q","properties":{"formattedCitation":"\\super 1\\nosupersub{}","plainCitation":"1","noteIndex":0},"citationItems":[{"id":800,"uris":["http://zotero.org/groups/5481195/items/M88YSJ4X"],"itemData":{"id":800,"type":"article-journal","abstract":"Abstract. While the Intergovernmental Panel on Climate Change (IPCC) physical science reports usually assess a handful of future scenarios, the Working Group III contribution on climate mitigation to the IPCC's Sixth Assessment Report (AR6 WGIII) assesses hundreds to thousands of future emissions scenarios. A key task in WGIII is to assess the global mean temperature outcomes of these scenarios in a consistent manner, given the challenge that the emissions scenarios from different integrated assessment models (IAMs) come with different sectoral and gas-to-gas coverage and cannot all be assessed consistently by complex Earth system models. In this work, we describe the “climate-assessment” workflow and its methods, including infilling of missing emissions and emissions harmonisation as applied to 1202 mitigation scenarios in AR6 WGIII. We evaluate the global mean temperature projections and effective radiative forcing (ERF) characteristics of climate emulators FaIRv1.6.2 and MAGICCv7.5.3 and use the CICERO simple climate model (CICERO-SCM) for sensitivity analysis. We discuss the implied overshoot severity of the mitigation pathways using overshoot degree years and look at emissions and temperature characteristics of scenarios compatible with one possible interpretation of the Paris Agreement. We find that the lowest class of emissions scenarios that limit global warming to “1.5 </w:instrText>
      </w:r>
      <w:r w:rsidR="00503314" w:rsidRPr="008B5125">
        <w:rPr>
          <w:rFonts w:ascii="Cambria Math" w:eastAsiaTheme="minorHAnsi" w:hAnsi="Cambria Math" w:cs="Cambria Math"/>
          <w:color w:val="000000" w:themeColor="text1"/>
          <w:kern w:val="24"/>
          <w:sz w:val="20"/>
          <w:szCs w:val="20"/>
        </w:rPr>
        <w:instrText>∘</w:instrText>
      </w:r>
      <w:r w:rsidR="00503314" w:rsidRPr="008B5125">
        <w:rPr>
          <w:rFonts w:eastAsiaTheme="minorHAnsi"/>
          <w:color w:val="000000" w:themeColor="text1"/>
          <w:kern w:val="24"/>
          <w:sz w:val="20"/>
          <w:szCs w:val="20"/>
        </w:rPr>
        <w:instrText>C (with a probability of greater than 50 %) with no or limited overshoot” includes 97 scenarios for MAGICCv7.5.3 and 203 for FaIRv1.6.2. For the MAGICCv7.5.3 results, “limited overshoot” typically implies exceedance of median temperature projections of up to about 0.1 </w:instrText>
      </w:r>
      <w:r w:rsidR="00503314" w:rsidRPr="008B5125">
        <w:rPr>
          <w:rFonts w:ascii="Cambria Math" w:eastAsiaTheme="minorHAnsi" w:hAnsi="Cambria Math" w:cs="Cambria Math"/>
          <w:color w:val="000000" w:themeColor="text1"/>
          <w:kern w:val="24"/>
          <w:sz w:val="20"/>
          <w:szCs w:val="20"/>
        </w:rPr>
        <w:instrText>∘</w:instrText>
      </w:r>
      <w:r w:rsidR="00503314" w:rsidRPr="008B5125">
        <w:rPr>
          <w:rFonts w:eastAsiaTheme="minorHAnsi"/>
          <w:color w:val="000000" w:themeColor="text1"/>
          <w:kern w:val="24"/>
          <w:sz w:val="20"/>
          <w:szCs w:val="20"/>
        </w:rPr>
        <w:instrText>C for up to a few decades before returning to below 1.5 </w:instrText>
      </w:r>
      <w:r w:rsidR="00503314" w:rsidRPr="008B5125">
        <w:rPr>
          <w:rFonts w:ascii="Cambria Math" w:eastAsiaTheme="minorHAnsi" w:hAnsi="Cambria Math" w:cs="Cambria Math"/>
          <w:color w:val="000000" w:themeColor="text1"/>
          <w:kern w:val="24"/>
          <w:sz w:val="20"/>
          <w:szCs w:val="20"/>
        </w:rPr>
        <w:instrText>∘</w:instrText>
      </w:r>
      <w:r w:rsidR="00503314" w:rsidRPr="008B5125">
        <w:rPr>
          <w:rFonts w:eastAsiaTheme="minorHAnsi"/>
          <w:color w:val="000000" w:themeColor="text1"/>
          <w:kern w:val="24"/>
          <w:sz w:val="20"/>
          <w:szCs w:val="20"/>
        </w:rPr>
        <w:instrText>C by or before the year 2100. For more than half of the scenarios in this category that comply with three criteria for being “Paris-compatible”, including net-zero or net-negative greenhouse gas (GHG) emissions, median temperatures decline by about 0.3–0.4 </w:instrText>
      </w:r>
      <w:r w:rsidR="00503314" w:rsidRPr="008B5125">
        <w:rPr>
          <w:rFonts w:ascii="Cambria Math" w:eastAsiaTheme="minorHAnsi" w:hAnsi="Cambria Math" w:cs="Cambria Math"/>
          <w:color w:val="000000" w:themeColor="text1"/>
          <w:kern w:val="24"/>
          <w:sz w:val="20"/>
          <w:szCs w:val="20"/>
        </w:rPr>
        <w:instrText>∘</w:instrText>
      </w:r>
      <w:r w:rsidR="00503314" w:rsidRPr="008B5125">
        <w:rPr>
          <w:rFonts w:eastAsiaTheme="minorHAnsi"/>
          <w:color w:val="000000" w:themeColor="text1"/>
          <w:kern w:val="24"/>
          <w:sz w:val="20"/>
          <w:szCs w:val="20"/>
        </w:rPr>
        <w:instrText>C after peaking at 1.5–1.6 </w:instrText>
      </w:r>
      <w:r w:rsidR="00503314" w:rsidRPr="008B5125">
        <w:rPr>
          <w:rFonts w:ascii="Cambria Math" w:eastAsiaTheme="minorHAnsi" w:hAnsi="Cambria Math" w:cs="Cambria Math"/>
          <w:color w:val="000000" w:themeColor="text1"/>
          <w:kern w:val="24"/>
          <w:sz w:val="20"/>
          <w:szCs w:val="20"/>
        </w:rPr>
        <w:instrText>∘</w:instrText>
      </w:r>
      <w:r w:rsidR="00503314" w:rsidRPr="008B5125">
        <w:rPr>
          <w:rFonts w:eastAsiaTheme="minorHAnsi"/>
          <w:color w:val="000000" w:themeColor="text1"/>
          <w:kern w:val="24"/>
          <w:sz w:val="20"/>
          <w:szCs w:val="20"/>
        </w:rPr>
        <w:instrText xml:space="preserve">C in 2035–2055. We compare the methods applied in AR6 with the methods used for SR1.5 and discuss their implications. This article also introduces a “climate-assessment” Python package which allows for fully reproducing the IPCC AR6 WGIII temperature assessment. This work provides a community tool for assessing the temperature outcomes of emissions pathways and provides a basis for further work such as extending the workflow to include downscaling of climate characteristics to a regional level and calculating impacts.","container-title":"Geoscientific Model Development","DOI":"10.5194/gmd-15-9075-2022","ISSN":"1991-9603","issue":"24","journalAbbreviation":"Geosci. Model Dev.","language":"en","license":"https://creativecommons.org/licenses/by/4.0/","page":"9075-9109","source":"DOI.org (Crossref)","title":"The IPCC Sixth Assessment Report WGIII climate assessment of mitigation pathways: from emissions to global temperatures","title-short":"The IPCC Sixth Assessment Report WGIII climate assessment of mitigation pathways","volume":"15","author":[{"family":"Kikstra","given":"Jarmo S."},{"family":"Nicholls","given":"Zebedee R. J."},{"family":"Smith","given":"Christopher J."},{"family":"Lewis","given":"Jared"},{"family":"Lamboll","given":"Robin D."},{"family":"Byers","given":"Edward"},{"family":"Sandstad","given":"Marit"},{"family":"Meinshausen","given":"Malte"},{"family":"Gidden","given":"Matthew J."},{"family":"Rogelj","given":"Joeri"},{"family":"Kriegler","given":"Elmar"},{"family":"Peters","given":"Glen P."},{"family":"Fuglestvedt","given":"Jan S."},{"family":"Skeie","given":"Ragnhild B."},{"family":"Samset","given":"Bjørn H."},{"family":"Wienpahl","given":"Laura"},{"family":"Van Vuuren","given":"Detlef P."},{"family":"Van Der Wijst","given":"Kaj-Ivar"},{"family":"Al Khourdajie","given":"Alaa"},{"family":"Forster","given":"Piers M."},{"family":"Reisinger","given":"Andy"},{"family":"Schaeffer","given":"Roberto"},{"family":"Riahi","given":"Keywan"}],"issued":{"date-parts":[["2022",12,20]]}}}],"schema":"https://github.com/citation-style-language/schema/raw/master/csl-citation.json"} </w:instrText>
      </w:r>
      <w:r w:rsidR="00503314" w:rsidRPr="008B5125">
        <w:rPr>
          <w:rFonts w:eastAsiaTheme="minorHAnsi"/>
          <w:color w:val="000000" w:themeColor="text1"/>
          <w:kern w:val="24"/>
          <w:sz w:val="20"/>
          <w:szCs w:val="20"/>
        </w:rPr>
        <w:fldChar w:fldCharType="separate"/>
      </w:r>
      <w:r w:rsidR="00503314" w:rsidRPr="008B5125">
        <w:rPr>
          <w:sz w:val="20"/>
          <w:szCs w:val="20"/>
          <w:vertAlign w:val="superscript"/>
        </w:rPr>
        <w:t>1</w:t>
      </w:r>
      <w:r w:rsidR="00503314" w:rsidRPr="008B5125">
        <w:rPr>
          <w:rFonts w:eastAsiaTheme="minorHAnsi"/>
          <w:color w:val="000000" w:themeColor="text1"/>
          <w:kern w:val="24"/>
          <w:sz w:val="20"/>
          <w:szCs w:val="20"/>
        </w:rPr>
        <w:fldChar w:fldCharType="end"/>
      </w:r>
      <w:r w:rsidR="00503314" w:rsidRPr="008B5125">
        <w:rPr>
          <w:rFonts w:eastAsiaTheme="minorHAnsi"/>
          <w:color w:val="000000" w:themeColor="text1"/>
          <w:kern w:val="24"/>
          <w:sz w:val="20"/>
          <w:szCs w:val="20"/>
          <w:vertAlign w:val="superscript"/>
        </w:rPr>
        <w:t>,</w:t>
      </w:r>
      <w:r w:rsidR="00503314" w:rsidRPr="008B5125">
        <w:rPr>
          <w:rFonts w:eastAsiaTheme="minorHAnsi"/>
          <w:color w:val="000000" w:themeColor="text1"/>
          <w:kern w:val="24"/>
          <w:sz w:val="20"/>
          <w:szCs w:val="20"/>
        </w:rPr>
        <w:fldChar w:fldCharType="begin"/>
      </w:r>
      <w:r w:rsidR="00503314" w:rsidRPr="008B5125">
        <w:rPr>
          <w:rFonts w:eastAsiaTheme="minorHAnsi"/>
          <w:color w:val="000000" w:themeColor="text1"/>
          <w:kern w:val="24"/>
          <w:sz w:val="20"/>
          <w:szCs w:val="20"/>
        </w:rPr>
        <w:instrText xml:space="preserve"> ADDIN ZOTERO_ITEM CSL_CITATION {"citationID":"yezQ4tcU","properties":{"formattedCitation":"\\super 2\\nosupersub{}","plainCitation":"2","noteIndex":0},"citationItems":[{"id":825,"uris":["http://zotero.org/groups/5481195/items/B753M7PU"],"itemData":{"id":825,"type":"software","abstract":"What's Changed\n\n\n\nRelease the upper ixmp4 pin by @meksor in https://github.com/iiasa/climate-assessment/pull/81\n\n\nNew Contributors\n\n\n\n@meksor made their first contribution in https://github.com/iiasa/climate-assessment/pull/81\n\n\nFull Changelog: https://github.com/iiasa/climate-assessment/compare/v0.1.5...v0.1.6","license":"MIT License","note":"DOI: 10.5281/ZENODO.6624519","publisher":"Zenodo","source":"DOI.org (Datacite)","title":"Climate assessment of long-term emissions pathways: IPCC AR6 WGIII version","title-short":"Climate assessment of long-term emissions pathways","URL":"https://zenodo.org/doi/10.5281/zenodo.6624519","version":"v0.1.6","author":[{"family":"Kikstra","given":"Jarmo S."},{"family":"Nicholls","given":"Zebedee R.J."},{"family":"Lewis","given":"Jared"},{"family":"Smith","given":"Christopher J."},{"family":"Lamboll","given":"Robin D."},{"family":"Byers","given":"Edward"},{"family":"Sandstad","given":"Marit"},{"family":"Wienpahl","given":"Laura"},{"family":"Hackstock","given":"Philip"}],"accessed":{"date-parts":[["2025",9,14]]},"issued":{"date-parts":[["2025",8,19]]}}}],"schema":"https://github.com/citation-style-language/schema/raw/master/csl-citation.json"} </w:instrText>
      </w:r>
      <w:r w:rsidR="00503314" w:rsidRPr="008B5125">
        <w:rPr>
          <w:rFonts w:eastAsiaTheme="minorHAnsi"/>
          <w:color w:val="000000" w:themeColor="text1"/>
          <w:kern w:val="24"/>
          <w:sz w:val="20"/>
          <w:szCs w:val="20"/>
        </w:rPr>
        <w:fldChar w:fldCharType="separate"/>
      </w:r>
      <w:r w:rsidR="00503314" w:rsidRPr="008B5125">
        <w:rPr>
          <w:sz w:val="20"/>
          <w:szCs w:val="20"/>
          <w:vertAlign w:val="superscript"/>
        </w:rPr>
        <w:t>2</w:t>
      </w:r>
      <w:r w:rsidR="00503314" w:rsidRPr="008B5125">
        <w:rPr>
          <w:rFonts w:eastAsiaTheme="minorHAnsi"/>
          <w:color w:val="000000" w:themeColor="text1"/>
          <w:kern w:val="24"/>
          <w:sz w:val="20"/>
          <w:szCs w:val="20"/>
        </w:rPr>
        <w:fldChar w:fldCharType="end"/>
      </w:r>
    </w:p>
    <w:p w14:paraId="234431F0" w14:textId="55EC6E2F" w:rsidR="00DD6C14" w:rsidRPr="00DD6C14" w:rsidRDefault="00DD6C14" w:rsidP="00503314">
      <w:pPr>
        <w:pStyle w:val="p1"/>
        <w:rPr>
          <w:rFonts w:eastAsiaTheme="minorHAnsi"/>
          <w:color w:val="000000" w:themeColor="text1"/>
          <w:kern w:val="24"/>
          <w:sz w:val="20"/>
          <w:szCs w:val="20"/>
        </w:rPr>
      </w:pPr>
    </w:p>
    <w:p w14:paraId="10399CB7" w14:textId="77777777" w:rsidR="00B7163D" w:rsidRDefault="00B7163D" w:rsidP="00DD6C14">
      <w:pPr>
        <w:pStyle w:val="p1"/>
        <w:rPr>
          <w:b/>
          <w:bCs/>
          <w:sz w:val="20"/>
          <w:szCs w:val="20"/>
        </w:rPr>
      </w:pPr>
    </w:p>
    <w:p w14:paraId="65025E8D" w14:textId="5C6ADD43" w:rsidR="00926BE9" w:rsidRDefault="00DD6C14" w:rsidP="00DD6C14">
      <w:pPr>
        <w:pStyle w:val="p1"/>
        <w:rPr>
          <w:sz w:val="20"/>
          <w:szCs w:val="20"/>
        </w:rPr>
      </w:pPr>
      <w:r w:rsidRPr="009F0A95">
        <w:rPr>
          <w:b/>
          <w:bCs/>
          <w:sz w:val="20"/>
          <w:szCs w:val="20"/>
        </w:rPr>
        <w:lastRenderedPageBreak/>
        <w:t xml:space="preserve">Supplementary Table 1 | Model parameters and variables. </w:t>
      </w:r>
      <w:r w:rsidRPr="009F0A95">
        <w:rPr>
          <w:sz w:val="20"/>
          <w:szCs w:val="20"/>
        </w:rPr>
        <w:t>Parameters, intermediate, and cumulative variables included in the OAE scaling projections and net CO</w:t>
      </w:r>
      <w:r w:rsidRPr="009F0A95">
        <w:rPr>
          <w:sz w:val="20"/>
          <w:szCs w:val="20"/>
          <w:vertAlign w:val="subscript"/>
        </w:rPr>
        <w:t xml:space="preserve">2 </w:t>
      </w:r>
      <w:r w:rsidRPr="009F0A95">
        <w:rPr>
          <w:sz w:val="20"/>
          <w:szCs w:val="20"/>
        </w:rPr>
        <w:t>removal modeling.</w:t>
      </w:r>
      <w:r w:rsidR="007E0F8B">
        <w:rPr>
          <w:sz w:val="20"/>
          <w:szCs w:val="20"/>
        </w:rPr>
        <w:t xml:space="preserve"> TA–total alkalinity; MPA–marine protected area</w:t>
      </w:r>
      <w:r w:rsidR="00FC76A4">
        <w:rPr>
          <w:sz w:val="20"/>
          <w:szCs w:val="20"/>
        </w:rPr>
        <w:t>; EEZ</w:t>
      </w:r>
      <w:r w:rsidR="00582C68">
        <w:rPr>
          <w:sz w:val="20"/>
          <w:szCs w:val="20"/>
        </w:rPr>
        <w:t>–</w:t>
      </w:r>
      <w:r w:rsidR="00FC76A4">
        <w:rPr>
          <w:sz w:val="20"/>
          <w:szCs w:val="20"/>
        </w:rPr>
        <w:t>exclusive economic zone</w:t>
      </w:r>
      <w:r w:rsidR="00CF3F9D">
        <w:rPr>
          <w:sz w:val="20"/>
          <w:szCs w:val="20"/>
        </w:rPr>
        <w:t>;</w:t>
      </w:r>
      <w:r w:rsidR="00582C68">
        <w:rPr>
          <w:sz w:val="20"/>
          <w:szCs w:val="20"/>
        </w:rPr>
        <w:t xml:space="preserve"> CESM2–Community Earth System Model; IAM–integrated assessment model</w:t>
      </w:r>
    </w:p>
    <w:p w14:paraId="1567E29A" w14:textId="196DF1A3" w:rsidR="00926BE9" w:rsidRDefault="00DD6C14" w:rsidP="00DD6C14">
      <w:pPr>
        <w:pStyle w:val="p1"/>
        <w:rPr>
          <w:sz w:val="20"/>
          <w:szCs w:val="20"/>
        </w:rPr>
      </w:pPr>
      <w:r w:rsidRPr="009F0A95">
        <w:rPr>
          <w:sz w:val="20"/>
          <w:szCs w:val="20"/>
        </w:rPr>
        <w:t xml:space="preserve"> </w:t>
      </w:r>
      <w:r w:rsidR="00250501">
        <w:rPr>
          <w:noProof/>
          <w:sz w:val="20"/>
          <w:szCs w:val="20"/>
          <w14:ligatures w14:val="standardContextual"/>
        </w:rPr>
        <w:drawing>
          <wp:inline distT="0" distB="0" distL="0" distR="0" wp14:anchorId="3447972F" wp14:editId="139923E4">
            <wp:extent cx="6400800" cy="6478905"/>
            <wp:effectExtent l="0" t="0" r="0" b="0"/>
            <wp:docPr id="360987498" name="Picture 7"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87498" name="Picture 7" descr="A document with text and imag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6478905"/>
                    </a:xfrm>
                    <a:prstGeom prst="rect">
                      <a:avLst/>
                    </a:prstGeom>
                  </pic:spPr>
                </pic:pic>
              </a:graphicData>
            </a:graphic>
          </wp:inline>
        </w:drawing>
      </w:r>
    </w:p>
    <w:p w14:paraId="086C8156" w14:textId="502D1BB1" w:rsidR="00B4774E" w:rsidRDefault="00B4774E" w:rsidP="00F27396">
      <w:pPr>
        <w:rPr>
          <w:rFonts w:ascii="Times New Roman" w:hAnsi="Times New Roman" w:cs="Times New Roman"/>
        </w:rPr>
      </w:pPr>
    </w:p>
    <w:p w14:paraId="6AED7D77" w14:textId="77777777" w:rsidR="008B4B5D" w:rsidRDefault="008B4B5D" w:rsidP="00DD6C14">
      <w:pPr>
        <w:spacing w:line="276" w:lineRule="auto"/>
        <w:rPr>
          <w:rFonts w:ascii="Times New Roman" w:hAnsi="Times New Roman" w:cs="Times New Roman"/>
          <w:sz w:val="20"/>
          <w:szCs w:val="20"/>
        </w:rPr>
      </w:pPr>
    </w:p>
    <w:p w14:paraId="652080F3" w14:textId="48137B08" w:rsidR="002A1479" w:rsidRPr="007E0F8B" w:rsidRDefault="00DD6C14" w:rsidP="007E0F8B">
      <w:pPr>
        <w:spacing w:line="276" w:lineRule="auto"/>
        <w:rPr>
          <w:rFonts w:ascii="Times New Roman" w:hAnsi="Times New Roman" w:cs="Times New Roman"/>
          <w:sz w:val="20"/>
          <w:szCs w:val="20"/>
        </w:rPr>
      </w:pPr>
      <w:r w:rsidRPr="00C80040">
        <w:rPr>
          <w:rFonts w:ascii="Times New Roman" w:hAnsi="Times New Roman" w:cs="Times New Roman"/>
          <w:b/>
          <w:bCs/>
          <w:sz w:val="20"/>
          <w:szCs w:val="20"/>
        </w:rPr>
        <w:lastRenderedPageBreak/>
        <w:t xml:space="preserve">Supplementary Table </w:t>
      </w:r>
      <w:r w:rsidR="00A22815">
        <w:rPr>
          <w:rFonts w:ascii="Times New Roman" w:hAnsi="Times New Roman" w:cs="Times New Roman"/>
          <w:b/>
          <w:bCs/>
          <w:sz w:val="20"/>
          <w:szCs w:val="20"/>
        </w:rPr>
        <w:t>2</w:t>
      </w:r>
      <w:r w:rsidRPr="00C80040">
        <w:rPr>
          <w:rFonts w:ascii="Times New Roman" w:hAnsi="Times New Roman" w:cs="Times New Roman"/>
          <w:b/>
          <w:bCs/>
          <w:sz w:val="20"/>
          <w:szCs w:val="20"/>
        </w:rPr>
        <w:t xml:space="preserve"> | </w:t>
      </w:r>
      <w:r>
        <w:rPr>
          <w:rFonts w:ascii="Times New Roman" w:hAnsi="Times New Roman" w:cs="Times New Roman"/>
          <w:b/>
          <w:bCs/>
          <w:sz w:val="20"/>
          <w:szCs w:val="20"/>
        </w:rPr>
        <w:t>Model equations</w:t>
      </w:r>
      <w:r w:rsidRPr="00C80040">
        <w:rPr>
          <w:rFonts w:ascii="Times New Roman" w:hAnsi="Times New Roman" w:cs="Times New Roman"/>
          <w:b/>
          <w:bCs/>
          <w:sz w:val="20"/>
          <w:szCs w:val="20"/>
        </w:rPr>
        <w:t xml:space="preserve">. </w:t>
      </w:r>
      <w:r w:rsidR="009B374D">
        <w:rPr>
          <w:rFonts w:ascii="Times New Roman" w:hAnsi="Times New Roman" w:cs="Times New Roman"/>
          <w:sz w:val="20"/>
          <w:szCs w:val="20"/>
        </w:rPr>
        <w:t>Equations are organized by deployment and scaling (Eq. 1-</w:t>
      </w:r>
      <w:r w:rsidR="00043CE5">
        <w:rPr>
          <w:rFonts w:ascii="Times New Roman" w:hAnsi="Times New Roman" w:cs="Times New Roman"/>
          <w:sz w:val="20"/>
          <w:szCs w:val="20"/>
        </w:rPr>
        <w:t>7</w:t>
      </w:r>
      <w:r w:rsidR="009B374D">
        <w:rPr>
          <w:rFonts w:ascii="Times New Roman" w:hAnsi="Times New Roman" w:cs="Times New Roman"/>
          <w:sz w:val="20"/>
          <w:szCs w:val="20"/>
        </w:rPr>
        <w:t xml:space="preserve">), gross carbon removal (Eq. </w:t>
      </w:r>
      <w:r w:rsidR="00F71411">
        <w:rPr>
          <w:rFonts w:ascii="Times New Roman" w:hAnsi="Times New Roman" w:cs="Times New Roman"/>
          <w:sz w:val="20"/>
          <w:szCs w:val="20"/>
        </w:rPr>
        <w:t>8</w:t>
      </w:r>
      <w:r w:rsidR="009B374D">
        <w:rPr>
          <w:rFonts w:ascii="Times New Roman" w:hAnsi="Times New Roman" w:cs="Times New Roman"/>
          <w:sz w:val="20"/>
          <w:szCs w:val="20"/>
        </w:rPr>
        <w:t>-</w:t>
      </w:r>
      <w:r w:rsidR="00F71411">
        <w:rPr>
          <w:rFonts w:ascii="Times New Roman" w:hAnsi="Times New Roman" w:cs="Times New Roman"/>
          <w:sz w:val="20"/>
          <w:szCs w:val="20"/>
        </w:rPr>
        <w:t>14</w:t>
      </w:r>
      <w:r w:rsidR="009B374D">
        <w:rPr>
          <w:rFonts w:ascii="Times New Roman" w:hAnsi="Times New Roman" w:cs="Times New Roman"/>
          <w:sz w:val="20"/>
          <w:szCs w:val="20"/>
        </w:rPr>
        <w:t>) and net carbon removal (Eq. 1</w:t>
      </w:r>
      <w:r w:rsidR="00043CE5">
        <w:rPr>
          <w:rFonts w:ascii="Times New Roman" w:hAnsi="Times New Roman" w:cs="Times New Roman"/>
          <w:sz w:val="20"/>
          <w:szCs w:val="20"/>
        </w:rPr>
        <w:t>5</w:t>
      </w:r>
      <w:r w:rsidR="009B374D">
        <w:rPr>
          <w:rFonts w:ascii="Times New Roman" w:hAnsi="Times New Roman" w:cs="Times New Roman"/>
          <w:sz w:val="20"/>
          <w:szCs w:val="20"/>
        </w:rPr>
        <w:t>-</w:t>
      </w:r>
      <w:r w:rsidR="00043CE5">
        <w:rPr>
          <w:rFonts w:ascii="Times New Roman" w:hAnsi="Times New Roman" w:cs="Times New Roman"/>
          <w:sz w:val="20"/>
          <w:szCs w:val="20"/>
        </w:rPr>
        <w:t>19</w:t>
      </w:r>
      <w:r w:rsidR="009B374D">
        <w:rPr>
          <w:rFonts w:ascii="Times New Roman" w:hAnsi="Times New Roman" w:cs="Times New Roman"/>
          <w:sz w:val="20"/>
          <w:szCs w:val="20"/>
        </w:rPr>
        <w:t xml:space="preserve">).   </w:t>
      </w:r>
      <w:r w:rsidR="00C56311">
        <w:rPr>
          <w:rFonts w:ascii="Times New Roman" w:hAnsi="Times New Roman" w:cs="Times New Roman"/>
          <w:noProof/>
          <w:sz w:val="20"/>
          <w:szCs w:val="20"/>
        </w:rPr>
        <w:drawing>
          <wp:inline distT="0" distB="0" distL="0" distR="0" wp14:anchorId="6E975A8B" wp14:editId="16C6D1F4">
            <wp:extent cx="6400800" cy="6941820"/>
            <wp:effectExtent l="0" t="0" r="0" b="5080"/>
            <wp:docPr id="1416358563" name="Picture 8" descr="A shee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58563" name="Picture 8" descr="A sheet of a documen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6941820"/>
                    </a:xfrm>
                    <a:prstGeom prst="rect">
                      <a:avLst/>
                    </a:prstGeom>
                  </pic:spPr>
                </pic:pic>
              </a:graphicData>
            </a:graphic>
          </wp:inline>
        </w:drawing>
      </w:r>
    </w:p>
    <w:p w14:paraId="1D062D05" w14:textId="77777777" w:rsidR="001F7CA1" w:rsidRDefault="001F7CA1" w:rsidP="00654663">
      <w:pPr>
        <w:spacing w:line="276" w:lineRule="auto"/>
        <w:rPr>
          <w:rFonts w:ascii="Times New Roman" w:hAnsi="Times New Roman" w:cs="Times New Roman"/>
          <w:sz w:val="20"/>
          <w:szCs w:val="20"/>
        </w:rPr>
      </w:pPr>
    </w:p>
    <w:p w14:paraId="2DBA12E6" w14:textId="77777777" w:rsidR="00F6290C" w:rsidRDefault="00F6290C" w:rsidP="00654663">
      <w:pPr>
        <w:spacing w:line="276" w:lineRule="auto"/>
        <w:rPr>
          <w:rFonts w:ascii="Times New Roman" w:hAnsi="Times New Roman" w:cs="Times New Roman"/>
          <w:sz w:val="20"/>
          <w:szCs w:val="20"/>
        </w:rPr>
      </w:pPr>
    </w:p>
    <w:p w14:paraId="1DFB6CA1" w14:textId="084244C6" w:rsidR="00EE091D" w:rsidRDefault="00F6290C" w:rsidP="00AF5325">
      <w:pPr>
        <w:spacing w:line="276" w:lineRule="auto"/>
        <w:rPr>
          <w:rFonts w:ascii="Times New Roman" w:hAnsi="Times New Roman" w:cs="Times New Roman"/>
          <w:sz w:val="20"/>
          <w:szCs w:val="20"/>
        </w:rPr>
      </w:pPr>
      <w:r w:rsidRPr="00C80040">
        <w:rPr>
          <w:rFonts w:ascii="Times New Roman" w:hAnsi="Times New Roman" w:cs="Times New Roman"/>
          <w:b/>
          <w:bCs/>
          <w:sz w:val="20"/>
          <w:szCs w:val="20"/>
        </w:rPr>
        <w:lastRenderedPageBreak/>
        <w:t xml:space="preserve">Supplementary Table </w:t>
      </w:r>
      <w:r>
        <w:rPr>
          <w:rFonts w:ascii="Times New Roman" w:hAnsi="Times New Roman" w:cs="Times New Roman"/>
          <w:b/>
          <w:bCs/>
          <w:sz w:val="20"/>
          <w:szCs w:val="20"/>
        </w:rPr>
        <w:t>3</w:t>
      </w:r>
      <w:r w:rsidRPr="00C80040">
        <w:rPr>
          <w:rFonts w:ascii="Times New Roman" w:hAnsi="Times New Roman" w:cs="Times New Roman"/>
          <w:b/>
          <w:bCs/>
          <w:sz w:val="20"/>
          <w:szCs w:val="20"/>
        </w:rPr>
        <w:t xml:space="preserve"> | </w:t>
      </w:r>
      <w:r>
        <w:rPr>
          <w:rFonts w:ascii="Times New Roman" w:hAnsi="Times New Roman" w:cs="Times New Roman"/>
          <w:b/>
          <w:bCs/>
          <w:sz w:val="20"/>
          <w:szCs w:val="20"/>
        </w:rPr>
        <w:t>Ordering of alkalinity injection across deployment zone</w:t>
      </w:r>
      <w:r w:rsidR="005D1511">
        <w:rPr>
          <w:rFonts w:ascii="Times New Roman" w:hAnsi="Times New Roman" w:cs="Times New Roman"/>
          <w:b/>
          <w:bCs/>
          <w:sz w:val="20"/>
          <w:szCs w:val="20"/>
        </w:rPr>
        <w:t>s</w:t>
      </w:r>
      <w:r w:rsidRPr="00C80040">
        <w:rPr>
          <w:rFonts w:ascii="Times New Roman" w:hAnsi="Times New Roman" w:cs="Times New Roman"/>
          <w:b/>
          <w:bCs/>
          <w:sz w:val="20"/>
          <w:szCs w:val="20"/>
        </w:rPr>
        <w:t xml:space="preserve">. </w:t>
      </w:r>
      <w:r>
        <w:rPr>
          <w:rFonts w:ascii="Times New Roman" w:hAnsi="Times New Roman" w:cs="Times New Roman"/>
          <w:sz w:val="20"/>
          <w:szCs w:val="20"/>
        </w:rPr>
        <w:t>Logic for distributing alkalinity across deployment zones. For efficiency-based orderings, the reverse order (low efficiency first) was also tested. For country-grouping-based orderings, alkalinity is allocated first to all deployment zones in Europe until those zones reach their maximum capacity (</w:t>
      </w:r>
      <w:r w:rsidR="009447E6">
        <w:rPr>
          <w:rFonts w:ascii="Times New Roman" w:hAnsi="Times New Roman" w:cs="Times New Roman"/>
          <w:sz w:val="20"/>
          <w:szCs w:val="20"/>
        </w:rPr>
        <w:t>Supplementary Table 2</w:t>
      </w:r>
      <w:r>
        <w:rPr>
          <w:rFonts w:ascii="Times New Roman" w:hAnsi="Times New Roman" w:cs="Times New Roman"/>
          <w:sz w:val="20"/>
          <w:szCs w:val="20"/>
        </w:rPr>
        <w:t>, Eq</w:t>
      </w:r>
      <w:r w:rsidR="009447E6">
        <w:rPr>
          <w:rFonts w:ascii="Times New Roman" w:hAnsi="Times New Roman" w:cs="Times New Roman"/>
          <w:sz w:val="20"/>
          <w:szCs w:val="20"/>
        </w:rPr>
        <w:t>.</w:t>
      </w:r>
      <w:r>
        <w:rPr>
          <w:rFonts w:ascii="Times New Roman" w:hAnsi="Times New Roman" w:cs="Times New Roman"/>
          <w:sz w:val="20"/>
          <w:szCs w:val="20"/>
        </w:rPr>
        <w:t xml:space="preserve"> </w:t>
      </w:r>
      <w:r w:rsidR="009447E6">
        <w:rPr>
          <w:rFonts w:ascii="Times New Roman" w:hAnsi="Times New Roman" w:cs="Times New Roman"/>
          <w:sz w:val="20"/>
          <w:szCs w:val="20"/>
        </w:rPr>
        <w:t>6</w:t>
      </w:r>
      <w:r>
        <w:rPr>
          <w:rFonts w:ascii="Times New Roman" w:hAnsi="Times New Roman" w:cs="Times New Roman"/>
          <w:sz w:val="20"/>
          <w:szCs w:val="20"/>
        </w:rPr>
        <w:t xml:space="preserve">), then to OECD zones and finally to zones in the rest of the world. Within each grouping, the ordering follows the secondary sorting criteria (OAE efficiency, grid carbon intensity, or random assignment). </w:t>
      </w:r>
      <w:r w:rsidR="00AF5325">
        <w:rPr>
          <w:rFonts w:ascii="Times New Roman" w:hAnsi="Times New Roman" w:cs="Times New Roman"/>
          <w:sz w:val="20"/>
          <w:szCs w:val="20"/>
        </w:rPr>
        <w:t>Efficiency metrics are adapted from Zhou et al. 2024</w:t>
      </w:r>
      <w:r w:rsidR="00B74083">
        <w:rPr>
          <w:rFonts w:ascii="Times New Roman" w:hAnsi="Times New Roman" w:cs="Times New Roman"/>
          <w:sz w:val="20"/>
          <w:szCs w:val="20"/>
        </w:rPr>
        <w:t xml:space="preserve"> (ref. 3). </w:t>
      </w:r>
    </w:p>
    <w:p w14:paraId="3EF057F5" w14:textId="4E9DFCE3" w:rsidR="00F6290C" w:rsidRPr="00AF5325" w:rsidRDefault="009548EA" w:rsidP="00AF5325">
      <w:pPr>
        <w:spacing w:line="276"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A4099ED" wp14:editId="73DCD262">
            <wp:extent cx="6400800" cy="1943100"/>
            <wp:effectExtent l="0" t="0" r="0" b="0"/>
            <wp:docPr id="1186366315"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66315" name="Picture 9"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1943100"/>
                    </a:xfrm>
                    <a:prstGeom prst="rect">
                      <a:avLst/>
                    </a:prstGeom>
                  </pic:spPr>
                </pic:pic>
              </a:graphicData>
            </a:graphic>
          </wp:inline>
        </w:drawing>
      </w:r>
    </w:p>
    <w:p w14:paraId="256B1C43" w14:textId="77777777" w:rsidR="00F6290C" w:rsidRDefault="00F6290C" w:rsidP="00F6290C">
      <w:pPr>
        <w:pStyle w:val="p1"/>
        <w:rPr>
          <w:rFonts w:eastAsiaTheme="minorHAnsi"/>
          <w:color w:val="000000" w:themeColor="text1"/>
          <w:kern w:val="24"/>
          <w:sz w:val="20"/>
          <w:szCs w:val="20"/>
        </w:rPr>
      </w:pPr>
    </w:p>
    <w:p w14:paraId="33E00F73" w14:textId="77777777" w:rsidR="00F6290C" w:rsidRDefault="00F6290C" w:rsidP="00654663">
      <w:pPr>
        <w:spacing w:line="276" w:lineRule="auto"/>
        <w:rPr>
          <w:rFonts w:ascii="Times New Roman" w:hAnsi="Times New Roman" w:cs="Times New Roman"/>
          <w:sz w:val="20"/>
          <w:szCs w:val="20"/>
        </w:rPr>
      </w:pPr>
    </w:p>
    <w:p w14:paraId="29E0D1B5" w14:textId="12930C1C" w:rsidR="00862A8D" w:rsidRDefault="00862A8D">
      <w:pPr>
        <w:rPr>
          <w:rFonts w:ascii="Times New Roman" w:hAnsi="Times New Roman" w:cs="Times New Roman"/>
          <w:noProof/>
        </w:rPr>
      </w:pPr>
    </w:p>
    <w:p w14:paraId="1A6FB1F5" w14:textId="25B9E3F1" w:rsidR="00795360" w:rsidRDefault="00CE2B0D" w:rsidP="00795360">
      <w:pPr>
        <w:rPr>
          <w:rFonts w:ascii="Times New Roman" w:hAnsi="Times New Roman" w:cs="Times New Roman"/>
        </w:rPr>
      </w:pPr>
      <w:r>
        <w:rPr>
          <w:rFonts w:ascii="Times New Roman" w:hAnsi="Times New Roman" w:cs="Times New Roman"/>
          <w:noProof/>
        </w:rPr>
        <w:lastRenderedPageBreak/>
        <w:drawing>
          <wp:inline distT="0" distB="0" distL="0" distR="0" wp14:anchorId="1B8370AC" wp14:editId="035CA100">
            <wp:extent cx="5526593" cy="6719635"/>
            <wp:effectExtent l="0" t="0" r="0" b="0"/>
            <wp:docPr id="490024736"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24736" name="Picture 2" descr="A diagram of a flowchar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0710" cy="6736800"/>
                    </a:xfrm>
                    <a:prstGeom prst="rect">
                      <a:avLst/>
                    </a:prstGeom>
                  </pic:spPr>
                </pic:pic>
              </a:graphicData>
            </a:graphic>
          </wp:inline>
        </w:drawing>
      </w:r>
    </w:p>
    <w:p w14:paraId="3DF74482" w14:textId="0B7656A4" w:rsidR="00A40D95" w:rsidRPr="00E604F5" w:rsidRDefault="00795360" w:rsidP="00E604F5">
      <w:pPr>
        <w:pStyle w:val="p1"/>
        <w:rPr>
          <w:rFonts w:eastAsiaTheme="minorHAnsi"/>
          <w:sz w:val="20"/>
          <w:szCs w:val="20"/>
        </w:rPr>
      </w:pPr>
      <w:r w:rsidRPr="000A4E62">
        <w:rPr>
          <w:b/>
          <w:bCs/>
          <w:sz w:val="20"/>
          <w:szCs w:val="20"/>
        </w:rPr>
        <w:t xml:space="preserve">Supplementary Figure </w:t>
      </w:r>
      <w:r w:rsidR="00056051">
        <w:rPr>
          <w:b/>
          <w:bCs/>
          <w:sz w:val="20"/>
          <w:szCs w:val="20"/>
        </w:rPr>
        <w:t>2</w:t>
      </w:r>
      <w:r w:rsidRPr="000A4E62">
        <w:rPr>
          <w:b/>
          <w:bCs/>
          <w:sz w:val="20"/>
          <w:szCs w:val="20"/>
        </w:rPr>
        <w:t xml:space="preserve"> | </w:t>
      </w:r>
      <w:r w:rsidR="00C13904">
        <w:rPr>
          <w:b/>
          <w:bCs/>
          <w:sz w:val="20"/>
          <w:szCs w:val="20"/>
        </w:rPr>
        <w:t>Conceptual</w:t>
      </w:r>
      <w:r w:rsidRPr="000A4E62">
        <w:rPr>
          <w:b/>
          <w:bCs/>
          <w:sz w:val="20"/>
          <w:szCs w:val="20"/>
        </w:rPr>
        <w:t xml:space="preserve"> schematic of net carbon removal calculations.</w:t>
      </w:r>
      <w:r w:rsidRPr="000A4E62">
        <w:rPr>
          <w:sz w:val="20"/>
          <w:szCs w:val="20"/>
        </w:rPr>
        <w:t xml:space="preserve"> </w:t>
      </w:r>
      <w:r w:rsidR="00B74083">
        <w:rPr>
          <w:rFonts w:eastAsiaTheme="minorHAnsi"/>
          <w:sz w:val="20"/>
          <w:szCs w:val="20"/>
        </w:rPr>
        <w:t>First,</w:t>
      </w:r>
      <w:r w:rsidR="00D74528" w:rsidRPr="000A4E62">
        <w:rPr>
          <w:rFonts w:eastAsiaTheme="minorHAnsi"/>
          <w:sz w:val="20"/>
          <w:szCs w:val="20"/>
        </w:rPr>
        <w:t xml:space="preserve"> </w:t>
      </w:r>
      <w:r w:rsidR="00D74528">
        <w:rPr>
          <w:rFonts w:eastAsiaTheme="minorHAnsi"/>
          <w:sz w:val="20"/>
          <w:szCs w:val="20"/>
        </w:rPr>
        <w:t xml:space="preserve">a </w:t>
      </w:r>
      <w:r w:rsidR="00D74528" w:rsidRPr="000A4E62">
        <w:rPr>
          <w:rFonts w:eastAsiaTheme="minorHAnsi"/>
          <w:sz w:val="20"/>
          <w:szCs w:val="20"/>
        </w:rPr>
        <w:t xml:space="preserve">scenario </w:t>
      </w:r>
      <w:r w:rsidR="00D74528">
        <w:rPr>
          <w:rFonts w:eastAsiaTheme="minorHAnsi"/>
          <w:sz w:val="20"/>
          <w:szCs w:val="20"/>
        </w:rPr>
        <w:t xml:space="preserve">is </w:t>
      </w:r>
      <w:proofErr w:type="gramStart"/>
      <w:r w:rsidR="00D74528">
        <w:rPr>
          <w:rFonts w:eastAsiaTheme="minorHAnsi"/>
          <w:sz w:val="20"/>
          <w:szCs w:val="20"/>
        </w:rPr>
        <w:t>configured</w:t>
      </w:r>
      <w:proofErr w:type="gramEnd"/>
      <w:r w:rsidR="00B74083">
        <w:rPr>
          <w:rFonts w:eastAsiaTheme="minorHAnsi"/>
          <w:sz w:val="20"/>
          <w:szCs w:val="20"/>
        </w:rPr>
        <w:t xml:space="preserve"> and th</w:t>
      </w:r>
      <w:r w:rsidR="001A6957">
        <w:rPr>
          <w:rFonts w:eastAsiaTheme="minorHAnsi"/>
          <w:sz w:val="20"/>
          <w:szCs w:val="20"/>
        </w:rPr>
        <w:t>e</w:t>
      </w:r>
      <w:r w:rsidR="00D74528" w:rsidRPr="000A4E62">
        <w:rPr>
          <w:rFonts w:eastAsiaTheme="minorHAnsi"/>
          <w:sz w:val="20"/>
          <w:szCs w:val="20"/>
        </w:rPr>
        <w:t xml:space="preserve"> total addressable market (TAM)</w:t>
      </w:r>
      <w:r w:rsidR="00BD186B">
        <w:rPr>
          <w:rFonts w:eastAsiaTheme="minorHAnsi"/>
          <w:sz w:val="20"/>
          <w:szCs w:val="20"/>
        </w:rPr>
        <w:t xml:space="preserve"> </w:t>
      </w:r>
      <w:r w:rsidR="00D74528" w:rsidRPr="000A4E62">
        <w:rPr>
          <w:rFonts w:eastAsiaTheme="minorHAnsi"/>
          <w:sz w:val="20"/>
          <w:szCs w:val="20"/>
        </w:rPr>
        <w:t>is calculated</w:t>
      </w:r>
      <w:r w:rsidR="00BD186B">
        <w:rPr>
          <w:rFonts w:eastAsiaTheme="minorHAnsi"/>
          <w:sz w:val="20"/>
          <w:szCs w:val="20"/>
        </w:rPr>
        <w:t xml:space="preserve"> (Supplementary Table 2, Eq. 3)</w:t>
      </w:r>
      <w:r w:rsidR="00D74528" w:rsidRPr="000A4E62">
        <w:rPr>
          <w:rFonts w:eastAsiaTheme="minorHAnsi"/>
          <w:sz w:val="20"/>
          <w:szCs w:val="20"/>
        </w:rPr>
        <w:t xml:space="preserve">. </w:t>
      </w:r>
      <w:r w:rsidR="00D74528">
        <w:rPr>
          <w:rFonts w:eastAsiaTheme="minorHAnsi"/>
          <w:sz w:val="20"/>
          <w:szCs w:val="20"/>
        </w:rPr>
        <w:t xml:space="preserve">The model then steps through time </w:t>
      </w:r>
      <w:r w:rsidR="00D74528" w:rsidRPr="00571988">
        <w:rPr>
          <w:rFonts w:eastAsiaTheme="minorHAnsi"/>
          <w:i/>
          <w:iCs/>
          <w:sz w:val="20"/>
          <w:szCs w:val="20"/>
        </w:rPr>
        <w:t>i</w:t>
      </w:r>
      <w:r w:rsidR="00D74528">
        <w:rPr>
          <w:rFonts w:eastAsiaTheme="minorHAnsi"/>
          <w:sz w:val="20"/>
          <w:szCs w:val="20"/>
        </w:rPr>
        <w:t xml:space="preserve"> and makes </w:t>
      </w:r>
      <w:r w:rsidR="003447EF">
        <w:rPr>
          <w:rFonts w:eastAsiaTheme="minorHAnsi"/>
          <w:sz w:val="20"/>
          <w:szCs w:val="20"/>
        </w:rPr>
        <w:t>three</w:t>
      </w:r>
      <w:r w:rsidR="00D74528">
        <w:rPr>
          <w:rFonts w:eastAsiaTheme="minorHAnsi"/>
          <w:sz w:val="20"/>
          <w:szCs w:val="20"/>
        </w:rPr>
        <w:t xml:space="preserve"> main calculations. First, it calculates </w:t>
      </w:r>
      <w:r w:rsidR="00D74528" w:rsidRPr="000A4E62">
        <w:rPr>
          <w:rFonts w:eastAsiaTheme="minorHAnsi"/>
          <w:sz w:val="20"/>
          <w:szCs w:val="20"/>
        </w:rPr>
        <w:t>the overall volume of alkalinity to be distributed across deployment zones according to the scenario’s chosen logic (</w:t>
      </w:r>
      <w:r w:rsidR="00D74528">
        <w:rPr>
          <w:rFonts w:eastAsiaTheme="minorHAnsi"/>
          <w:sz w:val="20"/>
          <w:szCs w:val="20"/>
        </w:rPr>
        <w:t xml:space="preserve">Supplementary </w:t>
      </w:r>
      <w:r w:rsidR="00D74528" w:rsidRPr="000A4E62">
        <w:rPr>
          <w:rFonts w:eastAsiaTheme="minorHAnsi"/>
          <w:sz w:val="20"/>
          <w:szCs w:val="20"/>
        </w:rPr>
        <w:t xml:space="preserve">Table </w:t>
      </w:r>
      <w:r w:rsidR="004549C0">
        <w:rPr>
          <w:rFonts w:eastAsiaTheme="minorHAnsi"/>
          <w:sz w:val="20"/>
          <w:szCs w:val="20"/>
        </w:rPr>
        <w:t>3</w:t>
      </w:r>
      <w:r w:rsidR="00D74528">
        <w:rPr>
          <w:rFonts w:eastAsiaTheme="minorHAnsi"/>
          <w:sz w:val="20"/>
          <w:szCs w:val="20"/>
        </w:rPr>
        <w:t>)</w:t>
      </w:r>
      <w:r w:rsidR="00D74528" w:rsidRPr="000A4E62">
        <w:rPr>
          <w:rFonts w:eastAsiaTheme="minorHAnsi"/>
          <w:sz w:val="20"/>
          <w:szCs w:val="20"/>
        </w:rPr>
        <w:t>.</w:t>
      </w:r>
      <w:r w:rsidR="00CE2B0D">
        <w:rPr>
          <w:rFonts w:eastAsiaTheme="minorHAnsi"/>
          <w:sz w:val="20"/>
          <w:szCs w:val="20"/>
        </w:rPr>
        <w:t xml:space="preserve"> The </w:t>
      </w:r>
      <w:r w:rsidR="002338F7">
        <w:rPr>
          <w:rFonts w:eastAsiaTheme="minorHAnsi"/>
          <w:sz w:val="20"/>
          <w:szCs w:val="20"/>
        </w:rPr>
        <w:t xml:space="preserve">alkalinity </w:t>
      </w:r>
      <w:r w:rsidR="00CE2B0D">
        <w:rPr>
          <w:rFonts w:eastAsiaTheme="minorHAnsi"/>
          <w:sz w:val="20"/>
          <w:szCs w:val="20"/>
        </w:rPr>
        <w:t>distribution algorithm</w:t>
      </w:r>
      <w:r w:rsidR="006C0AFD">
        <w:rPr>
          <w:rFonts w:eastAsiaTheme="minorHAnsi"/>
          <w:sz w:val="20"/>
          <w:szCs w:val="20"/>
        </w:rPr>
        <w:t xml:space="preserve"> is shown in more detail in Supplementary Fig. 3</w:t>
      </w:r>
      <w:r w:rsidR="002338F7">
        <w:rPr>
          <w:rFonts w:eastAsiaTheme="minorHAnsi"/>
          <w:sz w:val="20"/>
          <w:szCs w:val="20"/>
        </w:rPr>
        <w:t>.</w:t>
      </w:r>
      <w:r w:rsidR="00D74528" w:rsidRPr="000A4E62">
        <w:rPr>
          <w:rFonts w:eastAsiaTheme="minorHAnsi"/>
          <w:sz w:val="20"/>
          <w:szCs w:val="20"/>
        </w:rPr>
        <w:t xml:space="preserve"> </w:t>
      </w:r>
      <w:r w:rsidR="00D74528">
        <w:rPr>
          <w:rFonts w:eastAsiaTheme="minorHAnsi"/>
          <w:sz w:val="20"/>
          <w:szCs w:val="20"/>
        </w:rPr>
        <w:t xml:space="preserve">Second, the model calculates </w:t>
      </w:r>
      <w:r w:rsidR="00D74528" w:rsidRPr="000A4E62">
        <w:rPr>
          <w:rFonts w:eastAsiaTheme="minorHAnsi"/>
          <w:sz w:val="20"/>
          <w:szCs w:val="20"/>
        </w:rPr>
        <w:t xml:space="preserve">carbonate system forcing </w:t>
      </w:r>
      <w:r w:rsidR="00D74528">
        <w:rPr>
          <w:rFonts w:eastAsiaTheme="minorHAnsi"/>
          <w:sz w:val="20"/>
          <w:szCs w:val="20"/>
        </w:rPr>
        <w:t>for</w:t>
      </w:r>
      <w:r w:rsidR="00D74528" w:rsidRPr="000A4E62">
        <w:rPr>
          <w:rFonts w:eastAsiaTheme="minorHAnsi"/>
          <w:sz w:val="20"/>
          <w:szCs w:val="20"/>
        </w:rPr>
        <w:t xml:space="preserve"> 15 years</w:t>
      </w:r>
      <w:r w:rsidR="00D74528">
        <w:rPr>
          <w:rFonts w:eastAsiaTheme="minorHAnsi"/>
          <w:sz w:val="20"/>
          <w:szCs w:val="20"/>
        </w:rPr>
        <w:t xml:space="preserve"> post-alkalinity injection</w:t>
      </w:r>
      <w:r w:rsidR="00D74528" w:rsidRPr="000A4E62">
        <w:rPr>
          <w:rFonts w:eastAsiaTheme="minorHAnsi"/>
          <w:sz w:val="20"/>
          <w:szCs w:val="20"/>
        </w:rPr>
        <w:t xml:space="preserve">, per </w:t>
      </w:r>
      <w:r w:rsidR="00D74528">
        <w:rPr>
          <w:rFonts w:eastAsiaTheme="minorHAnsi"/>
          <w:sz w:val="20"/>
          <w:szCs w:val="20"/>
        </w:rPr>
        <w:t xml:space="preserve">the approach in </w:t>
      </w:r>
      <w:r w:rsidR="00D74528" w:rsidRPr="000A4E62">
        <w:rPr>
          <w:rFonts w:eastAsiaTheme="minorHAnsi"/>
          <w:sz w:val="20"/>
          <w:szCs w:val="20"/>
        </w:rPr>
        <w:t>Zhou et al. 2024</w:t>
      </w:r>
      <w:r w:rsidR="00D74528" w:rsidRPr="000A4E62">
        <w:rPr>
          <w:rFonts w:eastAsiaTheme="minorHAnsi"/>
          <w:sz w:val="20"/>
          <w:szCs w:val="20"/>
        </w:rPr>
        <w:fldChar w:fldCharType="begin"/>
      </w:r>
      <w:r w:rsidR="00D74528" w:rsidRPr="000A4E62">
        <w:rPr>
          <w:rFonts w:eastAsiaTheme="minorHAnsi"/>
          <w:sz w:val="20"/>
          <w:szCs w:val="20"/>
        </w:rPr>
        <w:instrText xml:space="preserve"> ADDIN ZOTERO_ITEM CSL_CITATION {"citationID":"KPU1fHP4","properties":{"formattedCitation":"\\super 3\\nosupersub{}","plainCitation":"3","noteIndex":0},"citationItems":[{"id":106,"uris":["http://zotero.org/groups/5481195/items/2I9QYI3L"],"itemData":{"id":106,"type":"article","abstract":"Abstract\n          \n            To limit global warming to below 2°C by 2100, carbon dioxide removal (CDR) from the atmosphere will be necessary. Ocean alkalinity enhancement (OAE) is a promising approach to achieving CDR at scale. However, OAE deployments are subject to incomplete air-sea CO\n            2\n            equilibration — reducing the efficiency of carbon removal. Here, we generated the first global maps of OAE efficiency, including an assessment of the seasonal variation in efficiency. We show that the equilibration kinetics exhibit two characteristic timescales — rapid surface equilibration followed by a slower second phase, representing the re-emergence of excess alkalinity that was initially subducted. These kinetics vary considerably with latitude and the season of alkalinity release, both critical considerations for the placement of prospective OAE deployments. We also calculated histograms quantifying the spatial and temporal scales of the induced CO\n            2\n            uptake and thus identifying the requirements for modeling OAE in regional ocean models.","DOI":"10.21203/rs.3.rs-4124909/v1","license":"https://creativecommons.org/licenses/by/4.0/","source":"In Review","title":"Mapping the global variation in the efficiency of ocean alkalinity enhancement for carbon dioxide removal","URL":"https://www.researchsquare.com/article/rs-4124909/v1","author":[{"family":"Zhou","given":"Mengyang"},{"family":"Tyka","given":"Michael"},{"family":"Ho","given":"David"},{"family":"Yankovsky","given":"Elizabeth"},{"family":"Bachman","given":"Scott"},{"family":"Nicholas","given":"Thomas"},{"family":"Karspeck","given":"Alicia"},{"family":"Long","given":"Matthew"}],"accessed":{"date-parts":[["2024",4,7]]},"issued":{"date-parts":[["2024",3,19]]}}}],"schema":"https://github.com/citation-style-language/schema/raw/master/csl-citation.json"} </w:instrText>
      </w:r>
      <w:r w:rsidR="00D74528" w:rsidRPr="000A4E62">
        <w:rPr>
          <w:rFonts w:eastAsiaTheme="minorHAnsi"/>
          <w:sz w:val="20"/>
          <w:szCs w:val="20"/>
        </w:rPr>
        <w:fldChar w:fldCharType="separate"/>
      </w:r>
      <w:r w:rsidR="00D74528" w:rsidRPr="000A4E62">
        <w:rPr>
          <w:sz w:val="20"/>
          <w:szCs w:val="20"/>
          <w:vertAlign w:val="superscript"/>
        </w:rPr>
        <w:t>3</w:t>
      </w:r>
      <w:r w:rsidR="00D74528" w:rsidRPr="000A4E62">
        <w:rPr>
          <w:rFonts w:eastAsiaTheme="minorHAnsi"/>
          <w:sz w:val="20"/>
          <w:szCs w:val="20"/>
        </w:rPr>
        <w:fldChar w:fldCharType="end"/>
      </w:r>
      <w:r w:rsidR="00D74528" w:rsidRPr="000A4E62">
        <w:rPr>
          <w:rFonts w:eastAsiaTheme="minorHAnsi"/>
          <w:sz w:val="20"/>
          <w:szCs w:val="20"/>
        </w:rPr>
        <w:t xml:space="preserve">, </w:t>
      </w:r>
      <w:r w:rsidR="00D74528">
        <w:rPr>
          <w:rFonts w:eastAsiaTheme="minorHAnsi"/>
          <w:sz w:val="20"/>
          <w:szCs w:val="20"/>
        </w:rPr>
        <w:t>generating</w:t>
      </w:r>
      <w:r w:rsidR="00D74528" w:rsidRPr="000A4E62">
        <w:rPr>
          <w:rFonts w:eastAsiaTheme="minorHAnsi"/>
          <w:sz w:val="20"/>
          <w:szCs w:val="20"/>
        </w:rPr>
        <w:t xml:space="preserve"> an estimate for gross CO</w:t>
      </w:r>
      <w:r w:rsidR="00D74528" w:rsidRPr="000A4E62">
        <w:rPr>
          <w:rFonts w:eastAsiaTheme="minorHAnsi"/>
          <w:sz w:val="20"/>
          <w:szCs w:val="20"/>
          <w:vertAlign w:val="subscript"/>
        </w:rPr>
        <w:t xml:space="preserve">2 </w:t>
      </w:r>
      <w:r w:rsidR="00D74528" w:rsidRPr="000A4E62">
        <w:rPr>
          <w:rFonts w:eastAsiaTheme="minorHAnsi"/>
          <w:sz w:val="20"/>
          <w:szCs w:val="20"/>
        </w:rPr>
        <w:t>removal</w:t>
      </w:r>
      <w:r w:rsidR="003447EF">
        <w:rPr>
          <w:rFonts w:eastAsiaTheme="minorHAnsi"/>
          <w:sz w:val="20"/>
          <w:szCs w:val="20"/>
        </w:rPr>
        <w:t xml:space="preserve"> in years </w:t>
      </w:r>
      <w:r w:rsidR="003447EF">
        <w:rPr>
          <w:rFonts w:eastAsiaTheme="minorHAnsi"/>
          <w:i/>
          <w:iCs/>
          <w:sz w:val="20"/>
          <w:szCs w:val="20"/>
        </w:rPr>
        <w:t>i</w:t>
      </w:r>
      <w:r w:rsidR="003447EF" w:rsidRPr="003447EF">
        <w:rPr>
          <w:rFonts w:eastAsiaTheme="minorHAnsi"/>
          <w:sz w:val="20"/>
          <w:szCs w:val="20"/>
        </w:rPr>
        <w:t>–</w:t>
      </w:r>
      <w:r w:rsidR="003447EF">
        <w:rPr>
          <w:rFonts w:eastAsiaTheme="minorHAnsi"/>
          <w:i/>
          <w:iCs/>
          <w:sz w:val="20"/>
          <w:szCs w:val="20"/>
        </w:rPr>
        <w:t>i</w:t>
      </w:r>
      <w:r w:rsidR="003447EF">
        <w:rPr>
          <w:rFonts w:eastAsiaTheme="minorHAnsi"/>
          <w:sz w:val="20"/>
          <w:szCs w:val="20"/>
        </w:rPr>
        <w:t>+15</w:t>
      </w:r>
      <w:r w:rsidR="001C3F1C">
        <w:rPr>
          <w:rFonts w:eastAsiaTheme="minorHAnsi"/>
          <w:sz w:val="20"/>
          <w:szCs w:val="20"/>
        </w:rPr>
        <w:t xml:space="preserve"> from addition in year </w:t>
      </w:r>
      <w:r w:rsidR="001C3F1C">
        <w:rPr>
          <w:rFonts w:eastAsiaTheme="minorHAnsi"/>
          <w:i/>
          <w:iCs/>
          <w:sz w:val="20"/>
          <w:szCs w:val="20"/>
        </w:rPr>
        <w:t>i</w:t>
      </w:r>
      <w:r w:rsidR="00D74528" w:rsidRPr="000A4E62">
        <w:rPr>
          <w:rFonts w:eastAsiaTheme="minorHAnsi"/>
          <w:sz w:val="20"/>
          <w:szCs w:val="20"/>
        </w:rPr>
        <w:t xml:space="preserve">. </w:t>
      </w:r>
      <w:r w:rsidR="00D74528">
        <w:rPr>
          <w:rFonts w:eastAsiaTheme="minorHAnsi"/>
          <w:sz w:val="20"/>
          <w:szCs w:val="20"/>
        </w:rPr>
        <w:t>Third, it calculates e</w:t>
      </w:r>
      <w:r w:rsidR="00D74528" w:rsidRPr="000A4E62">
        <w:rPr>
          <w:rFonts w:eastAsiaTheme="minorHAnsi"/>
          <w:sz w:val="20"/>
          <w:szCs w:val="20"/>
        </w:rPr>
        <w:t>nergy use and process emissions (</w:t>
      </w:r>
      <w:r w:rsidR="00D74528">
        <w:rPr>
          <w:rFonts w:eastAsiaTheme="minorHAnsi"/>
          <w:sz w:val="20"/>
          <w:szCs w:val="20"/>
        </w:rPr>
        <w:t xml:space="preserve">Supplementary </w:t>
      </w:r>
      <w:r w:rsidR="00D74528" w:rsidRPr="000A4E62">
        <w:rPr>
          <w:rFonts w:eastAsiaTheme="minorHAnsi"/>
          <w:sz w:val="20"/>
          <w:szCs w:val="20"/>
        </w:rPr>
        <w:t xml:space="preserve">Table </w:t>
      </w:r>
      <w:r w:rsidR="00D74528">
        <w:rPr>
          <w:rFonts w:eastAsiaTheme="minorHAnsi"/>
          <w:sz w:val="20"/>
          <w:szCs w:val="20"/>
        </w:rPr>
        <w:t>5</w:t>
      </w:r>
      <w:r w:rsidR="00D74528" w:rsidRPr="000A4E62">
        <w:rPr>
          <w:rFonts w:eastAsiaTheme="minorHAnsi"/>
          <w:sz w:val="20"/>
          <w:szCs w:val="20"/>
        </w:rPr>
        <w:t>)</w:t>
      </w:r>
      <w:r w:rsidR="00D74528">
        <w:rPr>
          <w:rFonts w:eastAsiaTheme="minorHAnsi"/>
          <w:sz w:val="20"/>
          <w:szCs w:val="20"/>
        </w:rPr>
        <w:t xml:space="preserve"> and, from these</w:t>
      </w:r>
      <w:r w:rsidR="00D74528" w:rsidRPr="000A4E62">
        <w:rPr>
          <w:rFonts w:eastAsiaTheme="minorHAnsi"/>
          <w:sz w:val="20"/>
          <w:szCs w:val="20"/>
        </w:rPr>
        <w:t>, net CO</w:t>
      </w:r>
      <w:r w:rsidR="00D74528" w:rsidRPr="000A4E62">
        <w:rPr>
          <w:rFonts w:eastAsiaTheme="minorHAnsi"/>
          <w:sz w:val="20"/>
          <w:szCs w:val="20"/>
          <w:vertAlign w:val="subscript"/>
        </w:rPr>
        <w:t>2</w:t>
      </w:r>
      <w:r w:rsidR="00D74528" w:rsidRPr="000A4E62">
        <w:rPr>
          <w:rFonts w:eastAsiaTheme="minorHAnsi"/>
          <w:sz w:val="20"/>
          <w:szCs w:val="20"/>
        </w:rPr>
        <w:t xml:space="preserve"> </w:t>
      </w:r>
      <w:r w:rsidR="00D74528">
        <w:rPr>
          <w:rFonts w:eastAsiaTheme="minorHAnsi"/>
          <w:sz w:val="20"/>
          <w:szCs w:val="20"/>
        </w:rPr>
        <w:t>removals</w:t>
      </w:r>
      <w:r w:rsidR="00D74528" w:rsidRPr="000A4E62">
        <w:rPr>
          <w:rFonts w:eastAsiaTheme="minorHAnsi"/>
          <w:sz w:val="20"/>
          <w:szCs w:val="20"/>
        </w:rPr>
        <w:t xml:space="preserve">. </w:t>
      </w:r>
      <w:r w:rsidR="00D74528">
        <w:rPr>
          <w:rFonts w:eastAsiaTheme="minorHAnsi"/>
          <w:sz w:val="20"/>
          <w:szCs w:val="20"/>
        </w:rPr>
        <w:t>When the model finishes annual calculations, it concludes by calculating</w:t>
      </w:r>
      <w:r w:rsidR="00D74528" w:rsidRPr="000A4E62">
        <w:rPr>
          <w:rFonts w:eastAsiaTheme="minorHAnsi"/>
          <w:sz w:val="20"/>
          <w:szCs w:val="20"/>
        </w:rPr>
        <w:t xml:space="preserve"> scenario-aggregated totals and </w:t>
      </w:r>
      <w:r w:rsidR="00D74528">
        <w:rPr>
          <w:rFonts w:eastAsiaTheme="minorHAnsi"/>
          <w:sz w:val="20"/>
          <w:szCs w:val="20"/>
        </w:rPr>
        <w:t>inputs results</w:t>
      </w:r>
      <w:r w:rsidR="00D74528" w:rsidRPr="000A4E62">
        <w:rPr>
          <w:rFonts w:eastAsiaTheme="minorHAnsi"/>
          <w:sz w:val="20"/>
          <w:szCs w:val="20"/>
        </w:rPr>
        <w:t xml:space="preserve"> to the climate </w:t>
      </w:r>
      <w:r w:rsidR="00D74528">
        <w:rPr>
          <w:rFonts w:eastAsiaTheme="minorHAnsi"/>
          <w:sz w:val="20"/>
          <w:szCs w:val="20"/>
        </w:rPr>
        <w:t>model</w:t>
      </w:r>
      <w:r w:rsidR="00D74528" w:rsidRPr="000A4E62">
        <w:rPr>
          <w:rFonts w:eastAsiaTheme="minorHAnsi"/>
          <w:sz w:val="20"/>
          <w:szCs w:val="20"/>
        </w:rPr>
        <w:t xml:space="preserve">. </w:t>
      </w:r>
      <w:r w:rsidR="0091204D">
        <w:rPr>
          <w:rFonts w:eastAsiaTheme="minorHAnsi"/>
          <w:sz w:val="20"/>
          <w:szCs w:val="20"/>
        </w:rPr>
        <w:t>*</w:t>
      </w:r>
      <w:r w:rsidR="002E111B">
        <w:rPr>
          <w:rFonts w:eastAsiaTheme="minorHAnsi"/>
          <w:sz w:val="20"/>
          <w:szCs w:val="20"/>
        </w:rPr>
        <w:t>Denotes</w:t>
      </w:r>
      <w:r w:rsidR="0091204D">
        <w:rPr>
          <w:rFonts w:eastAsiaTheme="minorHAnsi"/>
          <w:sz w:val="20"/>
          <w:szCs w:val="20"/>
        </w:rPr>
        <w:t xml:space="preserve"> calculations expanded upon in Supplementary Fig. </w:t>
      </w:r>
      <w:r w:rsidR="00E604F5">
        <w:rPr>
          <w:rFonts w:eastAsiaTheme="minorHAnsi"/>
          <w:sz w:val="20"/>
          <w:szCs w:val="20"/>
        </w:rPr>
        <w:t>3.</w:t>
      </w:r>
    </w:p>
    <w:p w14:paraId="69B04C42" w14:textId="5E0B5B8C" w:rsidR="00A40D95" w:rsidRDefault="00A40D95" w:rsidP="0025309E">
      <w:pPr>
        <w:spacing w:line="276" w:lineRule="auto"/>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54217BAB" wp14:editId="080690F9">
            <wp:extent cx="5397960" cy="6812782"/>
            <wp:effectExtent l="0" t="0" r="0" b="0"/>
            <wp:docPr id="1030198806" name="Picture 1" descr="A diagram of a algorith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98806" name="Picture 1" descr="A diagram of a algorith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426518" cy="6848826"/>
                    </a:xfrm>
                    <a:prstGeom prst="rect">
                      <a:avLst/>
                    </a:prstGeom>
                  </pic:spPr>
                </pic:pic>
              </a:graphicData>
            </a:graphic>
          </wp:inline>
        </w:drawing>
      </w:r>
    </w:p>
    <w:p w14:paraId="1A512B5A" w14:textId="46A0DC73" w:rsidR="002D1693" w:rsidRPr="00C94708" w:rsidRDefault="0025309E" w:rsidP="00DA1BCE">
      <w:pPr>
        <w:pStyle w:val="p1"/>
        <w:rPr>
          <w:sz w:val="20"/>
          <w:szCs w:val="20"/>
        </w:rPr>
      </w:pPr>
      <w:r w:rsidRPr="00C94708">
        <w:rPr>
          <w:b/>
          <w:bCs/>
          <w:sz w:val="20"/>
          <w:szCs w:val="20"/>
        </w:rPr>
        <w:t xml:space="preserve">Supplementary Figure </w:t>
      </w:r>
      <w:r w:rsidR="00E604F5" w:rsidRPr="00C94708">
        <w:rPr>
          <w:b/>
          <w:bCs/>
          <w:sz w:val="20"/>
          <w:szCs w:val="20"/>
        </w:rPr>
        <w:t>3</w:t>
      </w:r>
      <w:r w:rsidRPr="00C94708">
        <w:rPr>
          <w:b/>
          <w:bCs/>
          <w:sz w:val="20"/>
          <w:szCs w:val="20"/>
        </w:rPr>
        <w:t xml:space="preserve"> | </w:t>
      </w:r>
      <w:r w:rsidR="00157B45" w:rsidRPr="00C94708">
        <w:rPr>
          <w:b/>
          <w:bCs/>
          <w:sz w:val="20"/>
          <w:szCs w:val="20"/>
        </w:rPr>
        <w:t>Conceptual</w:t>
      </w:r>
      <w:r w:rsidRPr="00C94708">
        <w:rPr>
          <w:b/>
          <w:bCs/>
          <w:sz w:val="20"/>
          <w:szCs w:val="20"/>
        </w:rPr>
        <w:t xml:space="preserve"> schematic of </w:t>
      </w:r>
      <w:r w:rsidR="00E604F5" w:rsidRPr="00C94708">
        <w:rPr>
          <w:b/>
          <w:bCs/>
          <w:sz w:val="20"/>
          <w:szCs w:val="20"/>
        </w:rPr>
        <w:t>alkalinity distribution</w:t>
      </w:r>
      <w:r w:rsidRPr="00C94708">
        <w:rPr>
          <w:b/>
          <w:bCs/>
          <w:sz w:val="20"/>
          <w:szCs w:val="20"/>
        </w:rPr>
        <w:t>.</w:t>
      </w:r>
      <w:r w:rsidRPr="00C94708">
        <w:rPr>
          <w:sz w:val="20"/>
          <w:szCs w:val="20"/>
        </w:rPr>
        <w:t xml:space="preserve"> </w:t>
      </w:r>
      <w:r w:rsidR="00C94708">
        <w:rPr>
          <w:sz w:val="20"/>
          <w:szCs w:val="20"/>
        </w:rPr>
        <w:t>The</w:t>
      </w:r>
      <w:r w:rsidR="00C94708" w:rsidRPr="00C94708">
        <w:rPr>
          <w:sz w:val="20"/>
          <w:szCs w:val="20"/>
        </w:rPr>
        <w:t xml:space="preserve"> sequential allocation of alkalinity across ordered deployment zones </w:t>
      </w:r>
      <w:r w:rsidR="00C94708" w:rsidRPr="006A018A">
        <w:rPr>
          <w:i/>
          <w:iCs/>
          <w:sz w:val="20"/>
          <w:szCs w:val="20"/>
        </w:rPr>
        <w:t>j</w:t>
      </w:r>
      <w:r w:rsidR="00C94708" w:rsidRPr="00C94708">
        <w:rPr>
          <w:sz w:val="20"/>
          <w:szCs w:val="20"/>
        </w:rPr>
        <w:t xml:space="preserve"> </w:t>
      </w:r>
      <w:r w:rsidR="00C94708" w:rsidRPr="00C94708">
        <w:rPr>
          <w:rFonts w:ascii="Cambria Math" w:hAnsi="Cambria Math" w:cs="Cambria Math"/>
          <w:sz w:val="20"/>
          <w:szCs w:val="20"/>
        </w:rPr>
        <w:t>∈</w:t>
      </w:r>
      <w:r w:rsidR="00C94708" w:rsidRPr="00C94708">
        <w:rPr>
          <w:sz w:val="20"/>
          <w:szCs w:val="20"/>
        </w:rPr>
        <w:t xml:space="preserve"> {1, 2, ..., N} in each </w:t>
      </w:r>
      <w:proofErr w:type="gramStart"/>
      <w:r w:rsidR="00C94708" w:rsidRPr="00C94708">
        <w:rPr>
          <w:sz w:val="20"/>
          <w:szCs w:val="20"/>
        </w:rPr>
        <w:t>time period</w:t>
      </w:r>
      <w:proofErr w:type="gramEnd"/>
      <w:r w:rsidR="00C94708" w:rsidRPr="00C94708">
        <w:rPr>
          <w:sz w:val="20"/>
          <w:szCs w:val="20"/>
        </w:rPr>
        <w:t xml:space="preserve"> i. For each time step, the model calculates the total available alkalinity (Alk</w:t>
      </w:r>
      <w:r w:rsidR="00A44807" w:rsidRPr="00A44807">
        <w:rPr>
          <w:i/>
          <w:iCs/>
          <w:sz w:val="20"/>
          <w:szCs w:val="20"/>
          <w:vertAlign w:val="subscript"/>
        </w:rPr>
        <w:t>i</w:t>
      </w:r>
      <w:r w:rsidR="00A44807">
        <w:rPr>
          <w:sz w:val="20"/>
          <w:szCs w:val="20"/>
        </w:rPr>
        <w:t>)</w:t>
      </w:r>
      <w:r w:rsidR="00C94708" w:rsidRPr="00C94708">
        <w:rPr>
          <w:sz w:val="20"/>
          <w:szCs w:val="20"/>
        </w:rPr>
        <w:t xml:space="preserve"> and the maximum alkalinity capacity (M</w:t>
      </w:r>
      <w:r w:rsidR="00A44807" w:rsidRPr="00A44807">
        <w:rPr>
          <w:i/>
          <w:iCs/>
          <w:sz w:val="20"/>
          <w:szCs w:val="20"/>
          <w:vertAlign w:val="subscript"/>
        </w:rPr>
        <w:t>j</w:t>
      </w:r>
      <w:r w:rsidR="00A44807">
        <w:rPr>
          <w:sz w:val="20"/>
          <w:szCs w:val="20"/>
        </w:rPr>
        <w:t>)</w:t>
      </w:r>
      <w:r w:rsidR="00C94708" w:rsidRPr="00C94708">
        <w:rPr>
          <w:sz w:val="20"/>
          <w:szCs w:val="20"/>
        </w:rPr>
        <w:t xml:space="preserve"> for each zone. Alkalinity is distributed sequentially: if Alk</w:t>
      </w:r>
      <w:r w:rsidR="00A44807" w:rsidRPr="00A44807">
        <w:rPr>
          <w:i/>
          <w:iCs/>
          <w:sz w:val="20"/>
          <w:szCs w:val="20"/>
          <w:vertAlign w:val="subscript"/>
        </w:rPr>
        <w:t>i</w:t>
      </w:r>
      <w:r w:rsidR="00C94708" w:rsidRPr="00C94708">
        <w:rPr>
          <w:sz w:val="20"/>
          <w:szCs w:val="20"/>
        </w:rPr>
        <w:t xml:space="preserve"> exceeds a zone's capacity M</w:t>
      </w:r>
      <w:r w:rsidR="00A44807">
        <w:rPr>
          <w:i/>
          <w:sz w:val="20"/>
          <w:szCs w:val="20"/>
          <w:vertAlign w:val="subscript"/>
        </w:rPr>
        <w:t>j</w:t>
      </w:r>
      <w:r w:rsidR="00C94708" w:rsidRPr="00C94708">
        <w:rPr>
          <w:sz w:val="20"/>
          <w:szCs w:val="20"/>
        </w:rPr>
        <w:t xml:space="preserve">, the zone is </w:t>
      </w:r>
      <w:r w:rsidR="006A018A" w:rsidRPr="00C94708">
        <w:rPr>
          <w:sz w:val="20"/>
          <w:szCs w:val="20"/>
        </w:rPr>
        <w:t>filled</w:t>
      </w:r>
      <w:r w:rsidR="006A018A">
        <w:rPr>
          <w:sz w:val="20"/>
          <w:szCs w:val="20"/>
        </w:rPr>
        <w:t xml:space="preserve"> and</w:t>
      </w:r>
      <w:r w:rsidR="00C94708" w:rsidRPr="00C94708">
        <w:rPr>
          <w:sz w:val="20"/>
          <w:szCs w:val="20"/>
        </w:rPr>
        <w:t xml:space="preserve"> the remaining alkalinity (</w:t>
      </w:r>
      <w:r w:rsidR="006A018A" w:rsidRPr="00C94708">
        <w:rPr>
          <w:sz w:val="20"/>
          <w:szCs w:val="20"/>
        </w:rPr>
        <w:t>Alk</w:t>
      </w:r>
      <w:r w:rsidR="006A018A" w:rsidRPr="00A44807">
        <w:rPr>
          <w:i/>
          <w:iCs/>
          <w:sz w:val="20"/>
          <w:szCs w:val="20"/>
          <w:vertAlign w:val="subscript"/>
        </w:rPr>
        <w:t>i</w:t>
      </w:r>
      <w:r w:rsidR="00C94708" w:rsidRPr="00C94708">
        <w:rPr>
          <w:sz w:val="20"/>
          <w:szCs w:val="20"/>
        </w:rPr>
        <w:t xml:space="preserve"> - </w:t>
      </w:r>
      <w:r w:rsidR="006A018A" w:rsidRPr="00C94708">
        <w:rPr>
          <w:sz w:val="20"/>
          <w:szCs w:val="20"/>
        </w:rPr>
        <w:t>M</w:t>
      </w:r>
      <w:r w:rsidR="006A018A" w:rsidRPr="00A44807">
        <w:rPr>
          <w:i/>
          <w:iCs/>
          <w:sz w:val="20"/>
          <w:szCs w:val="20"/>
          <w:vertAlign w:val="subscript"/>
        </w:rPr>
        <w:t>j</w:t>
      </w:r>
      <w:r w:rsidR="00C94708" w:rsidRPr="00C94708">
        <w:rPr>
          <w:sz w:val="20"/>
          <w:szCs w:val="20"/>
        </w:rPr>
        <w:t>) continues to the next zone (</w:t>
      </w:r>
      <w:r w:rsidR="00C94708" w:rsidRPr="006A018A">
        <w:rPr>
          <w:i/>
          <w:iCs/>
          <w:sz w:val="20"/>
          <w:szCs w:val="20"/>
        </w:rPr>
        <w:t>j</w:t>
      </w:r>
      <w:r w:rsidR="00C94708" w:rsidRPr="00C94708">
        <w:rPr>
          <w:sz w:val="20"/>
          <w:szCs w:val="20"/>
        </w:rPr>
        <w:t xml:space="preserve"> = </w:t>
      </w:r>
      <w:r w:rsidR="00C94708" w:rsidRPr="006A018A">
        <w:rPr>
          <w:i/>
          <w:iCs/>
          <w:sz w:val="20"/>
          <w:szCs w:val="20"/>
        </w:rPr>
        <w:t xml:space="preserve">j </w:t>
      </w:r>
      <w:r w:rsidR="00C94708" w:rsidRPr="00C94708">
        <w:rPr>
          <w:sz w:val="20"/>
          <w:szCs w:val="20"/>
        </w:rPr>
        <w:t>+ 1), and the process repeats. If Alk</w:t>
      </w:r>
      <w:r w:rsidR="006A018A">
        <w:rPr>
          <w:i/>
          <w:iCs/>
          <w:sz w:val="20"/>
          <w:szCs w:val="20"/>
          <w:vertAlign w:val="subscript"/>
        </w:rPr>
        <w:t>i</w:t>
      </w:r>
      <w:r w:rsidR="00C94708" w:rsidRPr="00C94708">
        <w:rPr>
          <w:sz w:val="20"/>
          <w:szCs w:val="20"/>
        </w:rPr>
        <w:t xml:space="preserve"> is less than M</w:t>
      </w:r>
      <w:r w:rsidR="006A018A">
        <w:rPr>
          <w:i/>
          <w:iCs/>
          <w:sz w:val="20"/>
          <w:szCs w:val="20"/>
          <w:vertAlign w:val="subscript"/>
        </w:rPr>
        <w:t>j</w:t>
      </w:r>
      <w:r w:rsidR="00C94708" w:rsidRPr="00C94708">
        <w:rPr>
          <w:sz w:val="20"/>
          <w:szCs w:val="20"/>
        </w:rPr>
        <w:t xml:space="preserve">, all remaining alkalinity is allocated to the current zone and the model advances to the next </w:t>
      </w:r>
      <w:proofErr w:type="gramStart"/>
      <w:r w:rsidR="00C94708" w:rsidRPr="00C94708">
        <w:rPr>
          <w:sz w:val="20"/>
          <w:szCs w:val="20"/>
        </w:rPr>
        <w:t>time period</w:t>
      </w:r>
      <w:proofErr w:type="gramEnd"/>
      <w:r w:rsidR="00C94708" w:rsidRPr="00C94708">
        <w:rPr>
          <w:sz w:val="20"/>
          <w:szCs w:val="20"/>
        </w:rPr>
        <w:t xml:space="preserve"> (</w:t>
      </w:r>
      <w:r w:rsidR="00C94708" w:rsidRPr="006A018A">
        <w:rPr>
          <w:i/>
          <w:iCs/>
          <w:sz w:val="20"/>
          <w:szCs w:val="20"/>
        </w:rPr>
        <w:t>i</w:t>
      </w:r>
      <w:r w:rsidR="00C94708" w:rsidRPr="00C94708">
        <w:rPr>
          <w:sz w:val="20"/>
          <w:szCs w:val="20"/>
        </w:rPr>
        <w:t xml:space="preserve"> = </w:t>
      </w:r>
      <w:r w:rsidR="00C94708" w:rsidRPr="006A018A">
        <w:rPr>
          <w:i/>
          <w:iCs/>
          <w:sz w:val="20"/>
          <w:szCs w:val="20"/>
        </w:rPr>
        <w:t>i</w:t>
      </w:r>
      <w:r w:rsidR="00C94708" w:rsidRPr="00C94708">
        <w:rPr>
          <w:sz w:val="20"/>
          <w:szCs w:val="20"/>
        </w:rPr>
        <w:t xml:space="preserve"> + 1). This sequential filling process continues until the final </w:t>
      </w:r>
      <w:proofErr w:type="gramStart"/>
      <w:r w:rsidR="00C94708" w:rsidRPr="00C94708">
        <w:rPr>
          <w:sz w:val="20"/>
          <w:szCs w:val="20"/>
        </w:rPr>
        <w:t>time period</w:t>
      </w:r>
      <w:proofErr w:type="gramEnd"/>
      <w:r w:rsidR="00C94708" w:rsidRPr="00C94708">
        <w:rPr>
          <w:sz w:val="20"/>
          <w:szCs w:val="20"/>
        </w:rPr>
        <w:t xml:space="preserve"> T is reached. The ordering of deployment zones follows different logics (efficiency-based, grid carbon intensity, random, or by country grouping) as detailed in Supplementary Table </w:t>
      </w:r>
      <w:r w:rsidR="00C328DA">
        <w:rPr>
          <w:sz w:val="20"/>
          <w:szCs w:val="20"/>
        </w:rPr>
        <w:t>3</w:t>
      </w:r>
      <w:r w:rsidR="00C94708" w:rsidRPr="00C94708">
        <w:rPr>
          <w:sz w:val="20"/>
          <w:szCs w:val="20"/>
        </w:rPr>
        <w:t>.</w:t>
      </w:r>
    </w:p>
    <w:p w14:paraId="6A02AFE9" w14:textId="77777777" w:rsidR="00C94708" w:rsidRDefault="00C94708" w:rsidP="00DA1BCE">
      <w:pPr>
        <w:pStyle w:val="p1"/>
        <w:rPr>
          <w:rFonts w:eastAsiaTheme="minorHAnsi"/>
          <w:color w:val="000000" w:themeColor="text1"/>
          <w:kern w:val="24"/>
          <w:sz w:val="20"/>
          <w:szCs w:val="20"/>
        </w:rPr>
      </w:pPr>
    </w:p>
    <w:p w14:paraId="67011A4E" w14:textId="4C1338E8" w:rsidR="003B3DE7" w:rsidRDefault="0057753F" w:rsidP="00DA1BCE">
      <w:pPr>
        <w:pStyle w:val="p1"/>
        <w:rPr>
          <w:sz w:val="20"/>
          <w:szCs w:val="20"/>
        </w:rPr>
      </w:pPr>
      <w:r w:rsidRPr="00C80040">
        <w:rPr>
          <w:b/>
          <w:bCs/>
          <w:sz w:val="20"/>
          <w:szCs w:val="20"/>
        </w:rPr>
        <w:t xml:space="preserve">Supplementary Table </w:t>
      </w:r>
      <w:r w:rsidR="004266AA">
        <w:rPr>
          <w:b/>
          <w:bCs/>
          <w:sz w:val="20"/>
          <w:szCs w:val="20"/>
        </w:rPr>
        <w:t>4</w:t>
      </w:r>
      <w:r w:rsidRPr="00C80040">
        <w:rPr>
          <w:b/>
          <w:bCs/>
          <w:sz w:val="20"/>
          <w:szCs w:val="20"/>
        </w:rPr>
        <w:t xml:space="preserve"> | </w:t>
      </w:r>
      <w:r>
        <w:rPr>
          <w:b/>
          <w:bCs/>
          <w:sz w:val="20"/>
          <w:szCs w:val="20"/>
        </w:rPr>
        <w:t>Climate model equations.</w:t>
      </w:r>
      <w:r w:rsidRPr="00C80040">
        <w:rPr>
          <w:b/>
          <w:bCs/>
          <w:sz w:val="20"/>
          <w:szCs w:val="20"/>
        </w:rPr>
        <w:t xml:space="preserve"> </w:t>
      </w:r>
      <w:r w:rsidRPr="00DE16BB">
        <w:rPr>
          <w:sz w:val="20"/>
          <w:szCs w:val="20"/>
        </w:rPr>
        <w:t>Key differential equations and relationships in the FaIR v1.6.2 climate model used for probabilistic climat</w:t>
      </w:r>
      <w:r>
        <w:rPr>
          <w:sz w:val="20"/>
          <w:szCs w:val="20"/>
        </w:rPr>
        <w:t xml:space="preserve">e </w:t>
      </w:r>
      <w:r w:rsidRPr="00DE16BB">
        <w:rPr>
          <w:sz w:val="20"/>
          <w:szCs w:val="20"/>
        </w:rPr>
        <w:t>projections.</w:t>
      </w:r>
      <w:r w:rsidR="003B3DE7">
        <w:rPr>
          <w:sz w:val="20"/>
          <w:szCs w:val="20"/>
        </w:rPr>
        <w:t xml:space="preserve"> Variable nam</w:t>
      </w:r>
      <w:r w:rsidR="0074381D">
        <w:rPr>
          <w:sz w:val="20"/>
          <w:szCs w:val="20"/>
        </w:rPr>
        <w:t>es are endogenous to the FaIR modeling framework and are unrelated to those found in Supplementary Table 1.</w:t>
      </w:r>
      <w:r w:rsidR="00213208">
        <w:rPr>
          <w:sz w:val="20"/>
          <w:szCs w:val="20"/>
        </w:rPr>
        <w:t xml:space="preserve"> </w:t>
      </w:r>
      <w:r w:rsidR="003B3DE7">
        <w:rPr>
          <w:sz w:val="20"/>
          <w:szCs w:val="20"/>
        </w:rPr>
        <w:t>R</w:t>
      </w:r>
      <w:r w:rsidR="003B3DE7">
        <w:rPr>
          <w:sz w:val="20"/>
          <w:szCs w:val="20"/>
          <w:vertAlign w:val="subscript"/>
        </w:rPr>
        <w:t>i</w:t>
      </w:r>
      <w:r w:rsidR="00213208">
        <w:rPr>
          <w:sz w:val="20"/>
          <w:szCs w:val="20"/>
        </w:rPr>
        <w:t xml:space="preserve"> – </w:t>
      </w:r>
      <w:r w:rsidR="00243226">
        <w:rPr>
          <w:sz w:val="20"/>
          <w:szCs w:val="20"/>
        </w:rPr>
        <w:t xml:space="preserve">carbon pool </w:t>
      </w:r>
      <w:r w:rsidR="00AD1B4B" w:rsidRPr="00AD1B4B">
        <w:rPr>
          <w:sz w:val="20"/>
          <w:szCs w:val="20"/>
        </w:rPr>
        <w:t>i; E</w:t>
      </w:r>
      <w:r w:rsidR="00213208">
        <w:rPr>
          <w:sz w:val="20"/>
          <w:szCs w:val="20"/>
        </w:rPr>
        <w:t xml:space="preserve"> – </w:t>
      </w:r>
      <w:r w:rsidR="00AD1B4B" w:rsidRPr="00AD1B4B">
        <w:rPr>
          <w:sz w:val="20"/>
          <w:szCs w:val="20"/>
        </w:rPr>
        <w:t>annual CO</w:t>
      </w:r>
      <w:r w:rsidR="00AD1B4B" w:rsidRPr="00AD1B4B">
        <w:rPr>
          <w:sz w:val="20"/>
          <w:szCs w:val="20"/>
          <w:vertAlign w:val="subscript"/>
        </w:rPr>
        <w:t>2</w:t>
      </w:r>
      <w:r w:rsidR="00AD1B4B">
        <w:rPr>
          <w:i/>
          <w:iCs/>
          <w:sz w:val="20"/>
          <w:szCs w:val="20"/>
          <w:vertAlign w:val="subscript"/>
        </w:rPr>
        <w:t xml:space="preserve"> </w:t>
      </w:r>
      <w:r w:rsidR="00AD1B4B">
        <w:rPr>
          <w:sz w:val="20"/>
          <w:szCs w:val="20"/>
        </w:rPr>
        <w:t>emissions</w:t>
      </w:r>
      <w:r w:rsidR="00213208" w:rsidRPr="00213208">
        <w:t xml:space="preserve"> </w:t>
      </w:r>
      <w:r w:rsidR="00213208" w:rsidRPr="00213208">
        <w:rPr>
          <w:sz w:val="20"/>
          <w:szCs w:val="20"/>
        </w:rPr>
        <w:t xml:space="preserve">α </w:t>
      </w:r>
      <w:r w:rsidR="00213208">
        <w:rPr>
          <w:sz w:val="20"/>
          <w:szCs w:val="20"/>
        </w:rPr>
        <w:t>–</w:t>
      </w:r>
      <w:r w:rsidR="00213208" w:rsidRPr="00213208">
        <w:rPr>
          <w:sz w:val="20"/>
          <w:szCs w:val="20"/>
        </w:rPr>
        <w:t xml:space="preserve"> time constant scaling factor;</w:t>
      </w:r>
      <w:r w:rsidR="00213208">
        <w:rPr>
          <w:sz w:val="20"/>
          <w:szCs w:val="20"/>
        </w:rPr>
        <w:t xml:space="preserve"> </w:t>
      </w:r>
      <w:r w:rsidR="00213208" w:rsidRPr="00213208">
        <w:rPr>
          <w:sz w:val="20"/>
          <w:szCs w:val="20"/>
        </w:rPr>
        <w:t>C</w:t>
      </w:r>
      <w:r w:rsidR="00213208">
        <w:rPr>
          <w:sz w:val="20"/>
          <w:szCs w:val="20"/>
          <w:vertAlign w:val="subscript"/>
        </w:rPr>
        <w:t>acc</w:t>
      </w:r>
      <w:r w:rsidR="00213208" w:rsidRPr="00213208">
        <w:rPr>
          <w:sz w:val="20"/>
          <w:szCs w:val="20"/>
        </w:rPr>
        <w:t xml:space="preserve"> </w:t>
      </w:r>
      <w:r w:rsidR="00213208">
        <w:rPr>
          <w:sz w:val="20"/>
          <w:szCs w:val="20"/>
        </w:rPr>
        <w:t>–</w:t>
      </w:r>
      <w:r w:rsidR="00213208" w:rsidRPr="00213208">
        <w:rPr>
          <w:sz w:val="20"/>
          <w:szCs w:val="20"/>
        </w:rPr>
        <w:t xml:space="preserve"> cumulative carbon uptake by land and ocean;</w:t>
      </w:r>
      <w:r w:rsidR="00E67B84">
        <w:rPr>
          <w:sz w:val="20"/>
          <w:szCs w:val="20"/>
        </w:rPr>
        <w:t xml:space="preserve"> iIRF</w:t>
      </w:r>
      <w:r w:rsidR="000D1867">
        <w:rPr>
          <w:sz w:val="20"/>
          <w:szCs w:val="20"/>
        </w:rPr>
        <w:t xml:space="preserve"> – integrated impulse response </w:t>
      </w:r>
      <w:proofErr w:type="gramStart"/>
      <w:r w:rsidR="000D1867">
        <w:rPr>
          <w:sz w:val="20"/>
          <w:szCs w:val="20"/>
        </w:rPr>
        <w:t>function;</w:t>
      </w:r>
      <w:r w:rsidR="00213208" w:rsidRPr="00213208">
        <w:rPr>
          <w:sz w:val="20"/>
          <w:szCs w:val="20"/>
        </w:rPr>
        <w:t xml:space="preserve">  </w:t>
      </w:r>
      <w:r w:rsidR="00213208">
        <w:rPr>
          <w:sz w:val="20"/>
          <w:szCs w:val="20"/>
        </w:rPr>
        <w:t>T</w:t>
      </w:r>
      <w:proofErr w:type="gramEnd"/>
      <w:r w:rsidR="00213208">
        <w:rPr>
          <w:sz w:val="20"/>
          <w:szCs w:val="20"/>
        </w:rPr>
        <w:t xml:space="preserve"> –</w:t>
      </w:r>
      <w:r w:rsidR="00213208" w:rsidRPr="00213208">
        <w:rPr>
          <w:sz w:val="20"/>
          <w:szCs w:val="20"/>
        </w:rPr>
        <w:t xml:space="preserve"> global mean surface temperature anomaly; F </w:t>
      </w:r>
      <w:r w:rsidR="00213208">
        <w:rPr>
          <w:sz w:val="20"/>
          <w:szCs w:val="20"/>
        </w:rPr>
        <w:t xml:space="preserve">– </w:t>
      </w:r>
      <w:r w:rsidR="00213208" w:rsidRPr="00213208">
        <w:rPr>
          <w:sz w:val="20"/>
          <w:szCs w:val="20"/>
        </w:rPr>
        <w:t>effective radiative forcing; F</w:t>
      </w:r>
      <w:r w:rsidR="00213208">
        <w:rPr>
          <w:sz w:val="20"/>
          <w:szCs w:val="20"/>
          <w:vertAlign w:val="subscript"/>
        </w:rPr>
        <w:t>ext</w:t>
      </w:r>
      <w:r w:rsidR="00213208" w:rsidRPr="00213208">
        <w:rPr>
          <w:sz w:val="20"/>
          <w:szCs w:val="20"/>
        </w:rPr>
        <w:t xml:space="preserve"> </w:t>
      </w:r>
      <w:r w:rsidR="00213208">
        <w:rPr>
          <w:sz w:val="20"/>
          <w:szCs w:val="20"/>
        </w:rPr>
        <w:t>–</w:t>
      </w:r>
      <w:r w:rsidR="00213208" w:rsidRPr="00213208">
        <w:rPr>
          <w:sz w:val="20"/>
          <w:szCs w:val="20"/>
        </w:rPr>
        <w:t xml:space="preserve"> non-CO</w:t>
      </w:r>
      <w:r w:rsidR="00A079E5">
        <w:rPr>
          <w:sz w:val="20"/>
          <w:szCs w:val="20"/>
          <w:vertAlign w:val="subscript"/>
        </w:rPr>
        <w:t>2</w:t>
      </w:r>
      <w:r w:rsidR="00213208" w:rsidRPr="00213208">
        <w:rPr>
          <w:sz w:val="20"/>
          <w:szCs w:val="20"/>
        </w:rPr>
        <w:t xml:space="preserve"> forcing; D </w:t>
      </w:r>
      <w:r w:rsidR="00213208">
        <w:rPr>
          <w:sz w:val="20"/>
          <w:szCs w:val="20"/>
        </w:rPr>
        <w:t>–</w:t>
      </w:r>
      <w:r w:rsidR="00213208" w:rsidRPr="00213208">
        <w:rPr>
          <w:sz w:val="20"/>
          <w:szCs w:val="20"/>
        </w:rPr>
        <w:t xml:space="preserve"> time to CO</w:t>
      </w:r>
      <w:r w:rsidR="00A079E5">
        <w:rPr>
          <w:sz w:val="20"/>
          <w:szCs w:val="20"/>
          <w:vertAlign w:val="subscript"/>
        </w:rPr>
        <w:t>2</w:t>
      </w:r>
      <w:r w:rsidR="00213208" w:rsidRPr="00213208">
        <w:rPr>
          <w:sz w:val="20"/>
          <w:szCs w:val="20"/>
        </w:rPr>
        <w:t xml:space="preserve"> doubling at 1% yr−1 growth. The four</w:t>
      </w:r>
      <w:r w:rsidR="00213208">
        <w:rPr>
          <w:sz w:val="20"/>
          <w:szCs w:val="20"/>
        </w:rPr>
        <w:t xml:space="preserve"> </w:t>
      </w:r>
      <w:r w:rsidR="00213208" w:rsidRPr="00213208">
        <w:rPr>
          <w:sz w:val="20"/>
          <w:szCs w:val="20"/>
        </w:rPr>
        <w:t>carbon pools represent geological re-absorption (τ0), deep ocean invasion (τ1), biosphere/thermocline uptake (τ2), and rapid</w:t>
      </w:r>
      <w:r w:rsidR="00213208">
        <w:rPr>
          <w:sz w:val="20"/>
          <w:szCs w:val="20"/>
        </w:rPr>
        <w:t xml:space="preserve"> </w:t>
      </w:r>
      <w:r w:rsidR="00213208" w:rsidRPr="00213208">
        <w:rPr>
          <w:sz w:val="20"/>
          <w:szCs w:val="20"/>
        </w:rPr>
        <w:t xml:space="preserve">mixed-layer processes (τ3). </w:t>
      </w:r>
      <w:r w:rsidR="000D1867">
        <w:rPr>
          <w:sz w:val="20"/>
          <w:szCs w:val="20"/>
        </w:rPr>
        <w:t>Equations are</w:t>
      </w:r>
      <w:r w:rsidR="00385B00">
        <w:rPr>
          <w:sz w:val="20"/>
          <w:szCs w:val="20"/>
        </w:rPr>
        <w:t xml:space="preserve"> based on Smith et al. </w:t>
      </w:r>
      <w:r w:rsidR="00BF4567">
        <w:rPr>
          <w:sz w:val="20"/>
          <w:szCs w:val="20"/>
        </w:rPr>
        <w:t>2018</w:t>
      </w:r>
      <w:r w:rsidR="009A0415">
        <w:rPr>
          <w:sz w:val="20"/>
          <w:szCs w:val="20"/>
        </w:rPr>
        <w:t xml:space="preserve"> (ref. 4)</w:t>
      </w:r>
      <w:r w:rsidR="007B50B5">
        <w:rPr>
          <w:sz w:val="20"/>
          <w:szCs w:val="20"/>
        </w:rPr>
        <w:t xml:space="preserve"> and citations therein</w:t>
      </w:r>
      <w:r w:rsidR="007B50B5">
        <w:rPr>
          <w:sz w:val="20"/>
          <w:szCs w:val="20"/>
        </w:rPr>
        <w:fldChar w:fldCharType="begin"/>
      </w:r>
      <w:r w:rsidR="00BC3B5C">
        <w:rPr>
          <w:sz w:val="20"/>
          <w:szCs w:val="20"/>
        </w:rPr>
        <w:instrText xml:space="preserve"> ADDIN ZOTERO_ITEM CSL_CITATION {"citationID":"WTxU1OAs","properties":{"formattedCitation":"\\super 5\\uc0\\u8211{}7\\nosupersub{}","plainCitation":"5–7","noteIndex":0},"citationItems":[{"id":922,"uris":["http://zotero.org/groups/5481195/items/SYMSGE86"],"itemData":{"id":922,"type":"article-journal","abstract":"Abstract. Projections of the response to anthropogenic emission scenarios, evaluation of some greenhouse gas metrics, and estimates of the social cost of carbon often require a simple model that links emissions of carbon dioxide (CO2) to atmospheric concentrations and global temperature changes. An essential requirement of such a model is to reproduce typical global surface temperature and atmospheric CO2 responses displayed by more complex Earth system models (ESMs) under a range of emission scenarios, as well as an ability to sample the range of ESM response in a transparent, accessible and reproducible form. Here we adapt the simple model of the Intergovernmental Panel on Climate Change 5th Assessment Report (IPCC AR5) to explicitly represent the state dependence of the CO2 airborne fraction. Our adapted model (FAIR) reproduces the range of behaviour shown in full and intermediate complexity ESMs under several idealised carbon pulse and exponential concentration increase experiments. We find that the inclusion of a linear increase in 100-year integrated airborne fraction with cumulative carbon uptake and global temperature change substantially improves the representation of the response of the climate system to CO2 on a range of timescales and under a range of experimental designs.","container-title":"Atmospheric Chemistry and Physics","DOI":"10.5194/acp-17-7213-2017","ISSN":"1680-7324","issue":"11","journalAbbreviation":"Atmos. Chem. Phys.","language":"en","license":"https://creativecommons.org/licenses/by/3.0/","page":"7213-7228","source":"DOI.org (Crossref)","title":"A modified impulse-response representation of the global near-surface air temperature and atmospheric concentration response to carbon dioxide emissions","volume":"17","author":[{"family":"Millar","given":"Richard J."},{"family":"Nicholls","given":"Zebedee R."},{"family":"Friedlingstein","given":"Pierre"},{"family":"Allen","given":"Myles R."}],"issued":{"date-parts":[["2017",6,16]]}}},{"id":1000,"uris":["http://zotero.org/groups/5481195/items/MP35YXSP"],"itemData":{"id":1000,"type":"article-journal","abstract":"Abstract\n            \n              New calculations of the radiative forcing (RF) are presented for the three main well‐mixed greenhouse gases, methane, nitrous oxide, and carbon dioxide. Methane's RF is particularly impacted because of the inclusion of the shortwave forcing; the 1750–2011 RF is about 25% higher (increasing from 0.48 W m\n              −2\n              to 0.61 W m\n              −2\n              ) compared to the value in the Intergovernmental Panel on Climate Change (IPCC) 2013 assessment; the 100 year global warming potential is 14% higher than the IPCC value. We present new simplified expressions to calculate RF. Unlike previous expressions used by IPCC, the new ones include the overlap between CO\n              2\n              and N\n              2\n              O; for N\n              2\n              O forcing, the CO\n              2\n              overlap can be as important as the CH\n              4\n              overlap. The 1750–2011 CO\n              2\n              RF is within 1% of IPCC's value but is about 10% higher when CO\n              2\n              amounts reach 2000 ppm, a value projected to be possible under the extended RCP8.5 scenario.\n            \n          , \n            Plain Language Summary\n            “Radiative forcing” is an important method to assess the importance of different climate change mechanisms, and is used, for example, by the Intergovernmental Panel on Climate Change (IPCC). Increased concentrations of greenhouse gases, such as carbon dioxide, methane and nitrous oxide, are the major component of the human activity that led the IPCC, in its 2013 Assessment, to conclude that “it is extremely likely that human influence is the dominant cause of warming since the mid‐20th century.” In this letter, we report new and detailed calculations that aimed to update the simpler methods of computing the radiative forcing that have been used in IPCC assessments, and elsewhere. The major result is that radiative forcing due to methane is around 20‐25% higher than that found using the previous simpler methods. The main reason for this is the inclusion of the absorption of solar radiation by methane, a mechanism that had not been included in earlier calculations. We examine the mechanisms by which this solar absorption causes this radiative forcing.The work has significance for assessments of the climate impacts of methane emissions due to human activity, and for the way methane is included in international climate agreements.\n          , \n            Key Points\n            \n              \n                \n                  \n                    Calculated CH\n                    4\n                    radiative forcing is about 25% higher than earlier estimates\n                  \n                \n                \n                  \n                    New simplified expressions for forcing are presented for CO\n                    2\n                    , N\n                    2\n                    O, and CH\n                    4\n                  \n                \n                \n                  \n                    Forcing for high CO\n                    2\n                    concentrations is 9% higher than previous expressions","container-title":"Geophysical Research Letters","DOI":"10.1002/2016GL071930","ISSN":"0094-8276, 1944-8007","issue":"24","journalAbbreviation":"Geophysical Research Letters","language":"en","license":"http://creativecommons.org/licenses/by/4.0/","source":"DOI.org (Crossref)","title":"Radiative forcing of carbon dioxide, methane, and nitrous oxide: A significant revision of the methane radiative forcing","title-short":"Radiative forcing of carbon dioxide, methane, and nitrous oxide","URL":"https://agupubs.onlinelibrary.wiley.com/doi/10.1002/2016GL071930","volume":"43","author":[{"family":"Etminan","given":"M."},{"family":"Myhre","given":"G."},{"family":"Highwood","given":"E. J."},{"family":"Shine","given":"K. P."}],"accessed":{"date-parts":[["2025",10,16]]},"issued":{"date-parts":[["2016",12,28]]}}},{"id":1002,"uris":["http://zotero.org/groups/5481195/items/B2KD4YBY"],"itemData":{"id":1002,"type":"article-journal","abstract":"Abstract\n            \n              This is the first part of a series of two articles analyzing the global thermal properties of atmosphere–ocean coupled general circulation models (AOGCMs) within the framework of a two-layer energy-balance model (EBM). In this part, the general analytical solution of the system is given and two idealized climate change scenarios, one with a step forcing and one with a linear forcing, are discussed. These solutions give a didactic description of the contributions from the equilibrium response and of the fast and slow transient responses during a climate transition. Based on these analytical solutions, a simple and physically based procedure to calibrate the two-layer model parameters using an AOGCM step-forcing experiment is introduced. Using this procedure, the global thermal properties of 16 AOGCMs participating in phase 5 of the Coupled Model Intercomparison Project (CMIP5) are determined. It is shown that, for a given AOGCM, the EBM tuned with only the abrupt 4×CO\n              2\n              experiment is able to reproduce with a very good accuracy the temperature evolution in both a step-forcing and a linear-forcing experiment. The role of the upper-ocean and deep-ocean heat uptakes in the fast and slow responses is also discussed. One of the main weaknesses of the simple EBM discussed in this part is its ability to represent the evolution of the top-of-the-atmosphere radiative imbalance in the transient regime. This issue is addressed in Part II by taking into account the efficacy factor of deep-ocean heat uptake.","container-title":"Journal of Climate","DOI":"10.1175/JCLI-D-12-00195.1","ISSN":"0894-8755, 1520-0442","issue":"6","page":"1841-1857","source":"DOI.org (Crossref)","title":"Transient Climate Response in a Two-Layer Energy-Balance Model. Part I: Analytical Solution and Parameter Calibration Using CMIP5 AOGCM Experiments","title-short":"Transient Climate Response in a Two-Layer Energy-Balance Model. Part I","volume":"26","author":[{"family":"Geoffroy","given":"O."},{"family":"Saint-Martin","given":"D."},{"family":"Olivié","given":"D. J. L."},{"family":"Voldoire","given":"A."},{"family":"Bellon","given":"G."},{"family":"Tytéca","given":"S."}],"issued":{"date-parts":[["2013",3,15]]}}}],"schema":"https://github.com/citation-style-language/schema/raw/master/csl-citation.json"} </w:instrText>
      </w:r>
      <w:r w:rsidR="007B50B5">
        <w:rPr>
          <w:sz w:val="20"/>
          <w:szCs w:val="20"/>
        </w:rPr>
        <w:fldChar w:fldCharType="separate"/>
      </w:r>
      <w:r w:rsidR="00BC3B5C" w:rsidRPr="00BC3B5C">
        <w:rPr>
          <w:sz w:val="20"/>
          <w:vertAlign w:val="superscript"/>
        </w:rPr>
        <w:t>5–7</w:t>
      </w:r>
      <w:r w:rsidR="007B50B5">
        <w:rPr>
          <w:sz w:val="20"/>
          <w:szCs w:val="20"/>
        </w:rPr>
        <w:fldChar w:fldCharType="end"/>
      </w:r>
      <w:r w:rsidR="00BC3B5C">
        <w:rPr>
          <w:sz w:val="20"/>
          <w:szCs w:val="20"/>
        </w:rPr>
        <w:t>.</w:t>
      </w:r>
    </w:p>
    <w:p w14:paraId="2A9BB467" w14:textId="77777777" w:rsidR="007B50B5" w:rsidRDefault="007B50B5" w:rsidP="00DA1BCE">
      <w:pPr>
        <w:pStyle w:val="p1"/>
        <w:rPr>
          <w:sz w:val="20"/>
          <w:szCs w:val="20"/>
        </w:rPr>
      </w:pPr>
    </w:p>
    <w:p w14:paraId="78B393B0" w14:textId="0445B472" w:rsidR="001916ED" w:rsidRDefault="003B3DE7" w:rsidP="00DA1BCE">
      <w:pPr>
        <w:pStyle w:val="p1"/>
        <w:rPr>
          <w:sz w:val="20"/>
          <w:szCs w:val="20"/>
        </w:rPr>
      </w:pPr>
      <w:r>
        <w:rPr>
          <w:noProof/>
          <w:sz w:val="20"/>
          <w:szCs w:val="20"/>
          <w14:ligatures w14:val="standardContextual"/>
        </w:rPr>
        <w:drawing>
          <wp:inline distT="0" distB="0" distL="0" distR="0" wp14:anchorId="01282D45" wp14:editId="779AA945">
            <wp:extent cx="6400800" cy="4854575"/>
            <wp:effectExtent l="0" t="0" r="0" b="0"/>
            <wp:docPr id="397218554" name="Picture 11" descr="A table of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18554" name="Picture 11" descr="A table of mathematical equation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4854575"/>
                    </a:xfrm>
                    <a:prstGeom prst="rect">
                      <a:avLst/>
                    </a:prstGeom>
                  </pic:spPr>
                </pic:pic>
              </a:graphicData>
            </a:graphic>
          </wp:inline>
        </w:drawing>
      </w:r>
    </w:p>
    <w:p w14:paraId="2AFDE5C3" w14:textId="5CC56A27" w:rsidR="001916ED" w:rsidRPr="001916ED" w:rsidRDefault="001916ED" w:rsidP="001916ED">
      <w:pPr>
        <w:pStyle w:val="p1"/>
        <w:rPr>
          <w:rFonts w:eastAsiaTheme="minorHAnsi"/>
          <w:color w:val="000000" w:themeColor="text1"/>
          <w:kern w:val="24"/>
          <w:sz w:val="20"/>
          <w:szCs w:val="20"/>
        </w:rPr>
      </w:pPr>
    </w:p>
    <w:p w14:paraId="2903BD33" w14:textId="77777777" w:rsidR="001916ED" w:rsidRDefault="001916ED" w:rsidP="001916ED">
      <w:pPr>
        <w:pStyle w:val="p1"/>
        <w:rPr>
          <w:rFonts w:eastAsiaTheme="minorHAnsi"/>
          <w:color w:val="000000" w:themeColor="text1"/>
          <w:kern w:val="24"/>
          <w:sz w:val="20"/>
          <w:szCs w:val="20"/>
        </w:rPr>
      </w:pPr>
    </w:p>
    <w:p w14:paraId="75A91F1E" w14:textId="05238063" w:rsidR="00B14E89" w:rsidRDefault="00B14E89" w:rsidP="001916ED">
      <w:pPr>
        <w:pStyle w:val="p1"/>
        <w:rPr>
          <w:rFonts w:eastAsiaTheme="minorHAnsi"/>
          <w:color w:val="000000" w:themeColor="text1"/>
          <w:kern w:val="24"/>
          <w:sz w:val="20"/>
          <w:szCs w:val="20"/>
        </w:rPr>
      </w:pPr>
    </w:p>
    <w:p w14:paraId="3C3F13D4" w14:textId="77777777" w:rsidR="00B14E89" w:rsidRDefault="00B14E89" w:rsidP="00DA1BCE">
      <w:pPr>
        <w:pStyle w:val="p1"/>
        <w:rPr>
          <w:rFonts w:eastAsiaTheme="minorHAnsi"/>
          <w:color w:val="000000" w:themeColor="text1"/>
          <w:kern w:val="24"/>
          <w:sz w:val="20"/>
          <w:szCs w:val="20"/>
        </w:rPr>
      </w:pPr>
    </w:p>
    <w:p w14:paraId="611F7CE2" w14:textId="77777777" w:rsidR="00B14E89" w:rsidRDefault="00B14E89" w:rsidP="00DA1BCE">
      <w:pPr>
        <w:pStyle w:val="p1"/>
        <w:rPr>
          <w:rFonts w:eastAsiaTheme="minorHAnsi"/>
          <w:color w:val="000000" w:themeColor="text1"/>
          <w:kern w:val="24"/>
          <w:sz w:val="20"/>
          <w:szCs w:val="20"/>
        </w:rPr>
      </w:pPr>
    </w:p>
    <w:p w14:paraId="721E5D9D" w14:textId="77777777" w:rsidR="00B14E89" w:rsidRDefault="00B14E89" w:rsidP="00DA1BCE">
      <w:pPr>
        <w:pStyle w:val="p1"/>
        <w:rPr>
          <w:rFonts w:eastAsiaTheme="minorHAnsi"/>
          <w:color w:val="000000" w:themeColor="text1"/>
          <w:kern w:val="24"/>
          <w:sz w:val="20"/>
          <w:szCs w:val="20"/>
        </w:rPr>
      </w:pPr>
    </w:p>
    <w:p w14:paraId="4E25C9A2" w14:textId="77777777" w:rsidR="00FB4CF5" w:rsidRDefault="00FB4CF5" w:rsidP="00DA1BCE">
      <w:pPr>
        <w:pStyle w:val="p1"/>
        <w:rPr>
          <w:rFonts w:eastAsiaTheme="minorHAnsi"/>
          <w:color w:val="000000" w:themeColor="text1"/>
          <w:kern w:val="24"/>
          <w:sz w:val="20"/>
          <w:szCs w:val="20"/>
        </w:rPr>
      </w:pPr>
    </w:p>
    <w:p w14:paraId="33B5BA7D" w14:textId="77777777" w:rsidR="00FB4CF5" w:rsidRDefault="00FB4CF5" w:rsidP="00DA1BCE">
      <w:pPr>
        <w:pStyle w:val="p1"/>
        <w:rPr>
          <w:rFonts w:eastAsiaTheme="minorHAnsi"/>
          <w:color w:val="000000" w:themeColor="text1"/>
          <w:kern w:val="24"/>
          <w:sz w:val="20"/>
          <w:szCs w:val="20"/>
        </w:rPr>
      </w:pPr>
    </w:p>
    <w:p w14:paraId="2F6F56C5" w14:textId="77777777" w:rsidR="00FB4CF5" w:rsidRDefault="00FB4CF5" w:rsidP="00DA1BCE">
      <w:pPr>
        <w:pStyle w:val="p1"/>
        <w:rPr>
          <w:rFonts w:eastAsiaTheme="minorHAnsi"/>
          <w:color w:val="000000" w:themeColor="text1"/>
          <w:kern w:val="24"/>
          <w:sz w:val="20"/>
          <w:szCs w:val="20"/>
        </w:rPr>
      </w:pPr>
    </w:p>
    <w:p w14:paraId="5AC91B63" w14:textId="77777777" w:rsidR="00FB4CF5" w:rsidRDefault="00FB4CF5" w:rsidP="00DA1BCE">
      <w:pPr>
        <w:pStyle w:val="p1"/>
        <w:rPr>
          <w:rFonts w:eastAsiaTheme="minorHAnsi"/>
          <w:color w:val="000000" w:themeColor="text1"/>
          <w:kern w:val="24"/>
          <w:sz w:val="20"/>
          <w:szCs w:val="20"/>
        </w:rPr>
      </w:pPr>
    </w:p>
    <w:p w14:paraId="79C98B4F" w14:textId="77777777" w:rsidR="00FB4CF5" w:rsidRDefault="00FB4CF5" w:rsidP="00DA1BCE">
      <w:pPr>
        <w:pStyle w:val="p1"/>
        <w:rPr>
          <w:rFonts w:eastAsiaTheme="minorHAnsi"/>
          <w:color w:val="000000" w:themeColor="text1"/>
          <w:kern w:val="24"/>
          <w:sz w:val="20"/>
          <w:szCs w:val="20"/>
        </w:rPr>
      </w:pPr>
    </w:p>
    <w:p w14:paraId="4377496C" w14:textId="77777777" w:rsidR="00FB4CF5" w:rsidRDefault="00FB4CF5" w:rsidP="00DA1BCE">
      <w:pPr>
        <w:pStyle w:val="p1"/>
        <w:rPr>
          <w:rFonts w:eastAsiaTheme="minorHAnsi"/>
          <w:color w:val="000000" w:themeColor="text1"/>
          <w:kern w:val="24"/>
          <w:sz w:val="20"/>
          <w:szCs w:val="20"/>
        </w:rPr>
      </w:pPr>
    </w:p>
    <w:p w14:paraId="1BD21068" w14:textId="77777777" w:rsidR="00FB4CF5" w:rsidRDefault="00FB4CF5" w:rsidP="00DA1BCE">
      <w:pPr>
        <w:pStyle w:val="p1"/>
        <w:rPr>
          <w:rFonts w:eastAsiaTheme="minorHAnsi"/>
          <w:color w:val="000000" w:themeColor="text1"/>
          <w:kern w:val="24"/>
          <w:sz w:val="20"/>
          <w:szCs w:val="20"/>
        </w:rPr>
      </w:pPr>
    </w:p>
    <w:p w14:paraId="2469D7AB" w14:textId="77777777" w:rsidR="00FB4CF5" w:rsidRDefault="00FB4CF5" w:rsidP="00DA1BCE">
      <w:pPr>
        <w:pStyle w:val="p1"/>
        <w:rPr>
          <w:rFonts w:eastAsiaTheme="minorHAnsi"/>
          <w:color w:val="000000" w:themeColor="text1"/>
          <w:kern w:val="24"/>
          <w:sz w:val="20"/>
          <w:szCs w:val="20"/>
        </w:rPr>
      </w:pPr>
    </w:p>
    <w:p w14:paraId="4D2DEA22" w14:textId="77777777" w:rsidR="00FB4CF5" w:rsidRDefault="00FB4CF5" w:rsidP="00DA1BCE">
      <w:pPr>
        <w:pStyle w:val="p1"/>
        <w:rPr>
          <w:rFonts w:eastAsiaTheme="minorHAnsi"/>
          <w:color w:val="000000" w:themeColor="text1"/>
          <w:kern w:val="24"/>
          <w:sz w:val="20"/>
          <w:szCs w:val="20"/>
        </w:rPr>
      </w:pPr>
    </w:p>
    <w:p w14:paraId="2DD4DF15" w14:textId="77777777" w:rsidR="00663161" w:rsidRDefault="00663161" w:rsidP="00663161">
      <w:pPr>
        <w:jc w:val="center"/>
        <w:rPr>
          <w:rFonts w:ascii="Times New Roman" w:hAnsi="Times New Roman" w:cs="Times New Roman"/>
        </w:rPr>
      </w:pPr>
      <w:r w:rsidRPr="003C1557">
        <w:rPr>
          <w:rFonts w:ascii="Times New Roman" w:hAnsi="Times New Roman" w:cs="Times New Roman"/>
          <w:noProof/>
        </w:rPr>
        <w:drawing>
          <wp:inline distT="0" distB="0" distL="0" distR="0" wp14:anchorId="54A2D1DF" wp14:editId="055A2A10">
            <wp:extent cx="6477176" cy="2990850"/>
            <wp:effectExtent l="0" t="0" r="0" b="0"/>
            <wp:docPr id="761821186" name="Picture 1" descr="A graph of different types of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21186" name="Picture 1" descr="A graph of different types of graph&#10;&#10;AI-generated content may be incorrect."/>
                    <pic:cNvPicPr/>
                  </pic:nvPicPr>
                  <pic:blipFill>
                    <a:blip r:embed="rId13"/>
                    <a:stretch>
                      <a:fillRect/>
                    </a:stretch>
                  </pic:blipFill>
                  <pic:spPr>
                    <a:xfrm>
                      <a:off x="0" y="0"/>
                      <a:ext cx="6514261" cy="3007974"/>
                    </a:xfrm>
                    <a:prstGeom prst="rect">
                      <a:avLst/>
                    </a:prstGeom>
                  </pic:spPr>
                </pic:pic>
              </a:graphicData>
            </a:graphic>
          </wp:inline>
        </w:drawing>
      </w:r>
    </w:p>
    <w:p w14:paraId="5A7EFC53" w14:textId="1308B53F" w:rsidR="00663161" w:rsidRDefault="00663161" w:rsidP="00663161">
      <w:pPr>
        <w:spacing w:line="276" w:lineRule="auto"/>
        <w:rPr>
          <w:rFonts w:ascii="Times New Roman" w:hAnsi="Times New Roman" w:cs="Times New Roman"/>
          <w:sz w:val="20"/>
          <w:szCs w:val="20"/>
        </w:rPr>
      </w:pPr>
      <w:r w:rsidRPr="00C80040">
        <w:rPr>
          <w:rFonts w:ascii="Times New Roman" w:hAnsi="Times New Roman" w:cs="Times New Roman"/>
          <w:b/>
          <w:bCs/>
          <w:sz w:val="20"/>
          <w:szCs w:val="20"/>
        </w:rPr>
        <w:t xml:space="preserve">Supplementary </w:t>
      </w:r>
      <w:r>
        <w:rPr>
          <w:rFonts w:ascii="Times New Roman" w:hAnsi="Times New Roman" w:cs="Times New Roman"/>
          <w:b/>
          <w:bCs/>
          <w:sz w:val="20"/>
          <w:szCs w:val="20"/>
        </w:rPr>
        <w:t>Figure 4</w:t>
      </w:r>
      <w:r w:rsidRPr="00C80040">
        <w:rPr>
          <w:rFonts w:ascii="Times New Roman" w:hAnsi="Times New Roman" w:cs="Times New Roman"/>
          <w:b/>
          <w:bCs/>
          <w:sz w:val="20"/>
          <w:szCs w:val="20"/>
        </w:rPr>
        <w:t xml:space="preserve"> | </w:t>
      </w:r>
      <w:r w:rsidR="009A0415">
        <w:rPr>
          <w:rFonts w:ascii="Times New Roman" w:hAnsi="Times New Roman" w:cs="Times New Roman"/>
          <w:b/>
          <w:bCs/>
          <w:sz w:val="20"/>
          <w:szCs w:val="20"/>
        </w:rPr>
        <w:t>The c</w:t>
      </w:r>
      <w:r>
        <w:rPr>
          <w:rFonts w:ascii="Times New Roman" w:hAnsi="Times New Roman" w:cs="Times New Roman"/>
          <w:b/>
          <w:bCs/>
          <w:sz w:val="20"/>
          <w:szCs w:val="20"/>
        </w:rPr>
        <w:t>urrent</w:t>
      </w:r>
      <w:r w:rsidR="009A0415">
        <w:rPr>
          <w:rFonts w:ascii="Times New Roman" w:hAnsi="Times New Roman" w:cs="Times New Roman"/>
          <w:b/>
          <w:bCs/>
          <w:sz w:val="20"/>
          <w:szCs w:val="20"/>
        </w:rPr>
        <w:t xml:space="preserve"> size of the</w:t>
      </w:r>
      <w:r>
        <w:rPr>
          <w:rFonts w:ascii="Times New Roman" w:hAnsi="Times New Roman" w:cs="Times New Roman"/>
          <w:b/>
          <w:bCs/>
          <w:sz w:val="20"/>
          <w:szCs w:val="20"/>
        </w:rPr>
        <w:t xml:space="preserve"> OAE </w:t>
      </w:r>
      <w:r w:rsidR="009A0415">
        <w:rPr>
          <w:rFonts w:ascii="Times New Roman" w:hAnsi="Times New Roman" w:cs="Times New Roman"/>
          <w:b/>
          <w:bCs/>
          <w:sz w:val="20"/>
          <w:szCs w:val="20"/>
        </w:rPr>
        <w:t>i</w:t>
      </w:r>
      <w:r>
        <w:rPr>
          <w:rFonts w:ascii="Times New Roman" w:hAnsi="Times New Roman" w:cs="Times New Roman"/>
          <w:b/>
          <w:bCs/>
          <w:sz w:val="20"/>
          <w:szCs w:val="20"/>
        </w:rPr>
        <w:t>ndustry</w:t>
      </w:r>
      <w:r w:rsidRPr="00C80040">
        <w:rPr>
          <w:rFonts w:ascii="Times New Roman" w:hAnsi="Times New Roman" w:cs="Times New Roman"/>
          <w:b/>
          <w:bCs/>
          <w:sz w:val="20"/>
          <w:szCs w:val="20"/>
        </w:rPr>
        <w:t xml:space="preserve">. </w:t>
      </w:r>
      <w:r>
        <w:rPr>
          <w:rFonts w:ascii="Times New Roman" w:hAnsi="Times New Roman" w:cs="Times New Roman"/>
          <w:sz w:val="20"/>
          <w:szCs w:val="20"/>
        </w:rPr>
        <w:t xml:space="preserve">Tons of CDR </w:t>
      </w:r>
      <w:r w:rsidR="00AA23B6">
        <w:rPr>
          <w:rFonts w:ascii="Times New Roman" w:hAnsi="Times New Roman" w:cs="Times New Roman"/>
          <w:sz w:val="20"/>
          <w:szCs w:val="20"/>
        </w:rPr>
        <w:t>delivered,</w:t>
      </w:r>
      <w:r>
        <w:rPr>
          <w:rFonts w:ascii="Times New Roman" w:hAnsi="Times New Roman" w:cs="Times New Roman"/>
          <w:sz w:val="20"/>
          <w:szCs w:val="20"/>
        </w:rPr>
        <w:t xml:space="preserve"> and credits sold using OAE and similar or related approaches. Enhanced rock weathering (ERW) leverages the same geological weathering process as mOAE, but is done on land (farmland, grasslands, etc.). CDR delivered and sold via ERW is indicative of the market’s ability to move and spread certain kinds of crushed rocks, which is illustrative for OAE because it requires similar process inputs. Direct ocean capture (DOR) uses electrochemical seawater processing techniques (very similar to eOAE) and, along similar lines, indicates the market’s ability to build and power seawater processing facilities for CDR. Data are from cdr.fyi</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{"citationID":"BpHCSomJ","properties":{"formattedCitation":"\\super 8\\nosupersub{}","plainCitation":"8","noteIndex":0},"citationItems":[{"id":682,"uris":["http://zotero.org/groups/5481195/items/U4SNVQYY"],"itemData":{"id":682,"type":"dataset","title":"“Tracking the Carbon Removal Industry.”","URL":"https://www.cdr.fyi/.","author":[{"family":"CDR.fyi","given":""}]}}],"schema":"https://github.com/citation-style-language/schema/raw/master/csl-citation.json"} </w:instrText>
      </w:r>
      <w:r>
        <w:rPr>
          <w:rFonts w:ascii="Times New Roman" w:hAnsi="Times New Roman" w:cs="Times New Roman"/>
          <w:sz w:val="20"/>
          <w:szCs w:val="20"/>
        </w:rPr>
        <w:fldChar w:fldCharType="separate"/>
      </w:r>
      <w:r w:rsidRPr="00BC3B5C">
        <w:rPr>
          <w:rFonts w:ascii="Times New Roman" w:hAnsi="Times New Roman" w:cs="Times New Roman"/>
          <w:kern w:val="0"/>
          <w:sz w:val="20"/>
          <w:vertAlign w:val="superscript"/>
        </w:rPr>
        <w:t>8</w:t>
      </w:r>
      <w:r>
        <w:rPr>
          <w:rFonts w:ascii="Times New Roman" w:hAnsi="Times New Roman" w:cs="Times New Roman"/>
          <w:sz w:val="20"/>
          <w:szCs w:val="20"/>
        </w:rPr>
        <w:fldChar w:fldCharType="end"/>
      </w:r>
      <w:r>
        <w:rPr>
          <w:rFonts w:ascii="Times New Roman" w:hAnsi="Times New Roman" w:cs="Times New Roman"/>
          <w:sz w:val="20"/>
          <w:szCs w:val="20"/>
        </w:rPr>
        <w:t xml:space="preserve"> and are current as of fall 2025. Total will likely grow as new projects come online.</w:t>
      </w:r>
    </w:p>
    <w:p w14:paraId="3DB319A4" w14:textId="77777777" w:rsidR="00AA23B6" w:rsidRDefault="00AA23B6" w:rsidP="00663161">
      <w:pPr>
        <w:spacing w:line="276" w:lineRule="auto"/>
        <w:rPr>
          <w:rFonts w:ascii="Times New Roman" w:hAnsi="Times New Roman" w:cs="Times New Roman"/>
          <w:sz w:val="20"/>
          <w:szCs w:val="20"/>
        </w:rPr>
      </w:pPr>
    </w:p>
    <w:p w14:paraId="56142A45" w14:textId="77777777" w:rsidR="00AA23B6" w:rsidRDefault="00AA23B6" w:rsidP="00663161">
      <w:pPr>
        <w:spacing w:line="276" w:lineRule="auto"/>
        <w:rPr>
          <w:rFonts w:ascii="Times New Roman" w:hAnsi="Times New Roman" w:cs="Times New Roman"/>
          <w:sz w:val="20"/>
          <w:szCs w:val="20"/>
        </w:rPr>
      </w:pPr>
    </w:p>
    <w:p w14:paraId="32C6BDA0" w14:textId="77777777" w:rsidR="00AA23B6" w:rsidRDefault="00AA23B6" w:rsidP="00663161">
      <w:pPr>
        <w:spacing w:line="276" w:lineRule="auto"/>
        <w:rPr>
          <w:rFonts w:ascii="Times New Roman" w:hAnsi="Times New Roman" w:cs="Times New Roman"/>
          <w:sz w:val="20"/>
          <w:szCs w:val="20"/>
        </w:rPr>
      </w:pPr>
    </w:p>
    <w:p w14:paraId="31277FFD" w14:textId="77777777" w:rsidR="00841ACE" w:rsidRDefault="00841ACE" w:rsidP="00DA1BCE">
      <w:pPr>
        <w:pStyle w:val="p1"/>
        <w:rPr>
          <w:rFonts w:eastAsiaTheme="minorHAnsi"/>
          <w:color w:val="000000" w:themeColor="text1"/>
          <w:kern w:val="24"/>
          <w:sz w:val="20"/>
          <w:szCs w:val="20"/>
        </w:rPr>
      </w:pPr>
    </w:p>
    <w:p w14:paraId="078E82B6" w14:textId="77777777" w:rsidR="00841ACE" w:rsidRDefault="00841ACE" w:rsidP="00DA1BCE">
      <w:pPr>
        <w:pStyle w:val="p1"/>
        <w:rPr>
          <w:rFonts w:eastAsiaTheme="minorHAnsi"/>
          <w:color w:val="000000" w:themeColor="text1"/>
          <w:kern w:val="24"/>
          <w:sz w:val="20"/>
          <w:szCs w:val="20"/>
        </w:rPr>
      </w:pPr>
    </w:p>
    <w:p w14:paraId="08F3519D" w14:textId="77777777" w:rsidR="00841ACE" w:rsidRDefault="00841ACE" w:rsidP="00DA1BCE">
      <w:pPr>
        <w:pStyle w:val="p1"/>
        <w:rPr>
          <w:rFonts w:eastAsiaTheme="minorHAnsi"/>
          <w:color w:val="000000" w:themeColor="text1"/>
          <w:kern w:val="24"/>
          <w:sz w:val="20"/>
          <w:szCs w:val="20"/>
        </w:rPr>
      </w:pPr>
    </w:p>
    <w:p w14:paraId="6F0B1D4A" w14:textId="77777777" w:rsidR="00841ACE" w:rsidRDefault="00841ACE" w:rsidP="00DA1BCE">
      <w:pPr>
        <w:pStyle w:val="p1"/>
        <w:rPr>
          <w:rFonts w:eastAsiaTheme="minorHAnsi"/>
          <w:color w:val="000000" w:themeColor="text1"/>
          <w:kern w:val="24"/>
          <w:sz w:val="20"/>
          <w:szCs w:val="20"/>
        </w:rPr>
      </w:pPr>
    </w:p>
    <w:p w14:paraId="0B0198E7" w14:textId="77777777" w:rsidR="00841ACE" w:rsidRDefault="00841ACE" w:rsidP="00DA1BCE">
      <w:pPr>
        <w:pStyle w:val="p1"/>
        <w:rPr>
          <w:rFonts w:eastAsiaTheme="minorHAnsi"/>
          <w:color w:val="000000" w:themeColor="text1"/>
          <w:kern w:val="24"/>
          <w:sz w:val="20"/>
          <w:szCs w:val="20"/>
        </w:rPr>
      </w:pPr>
    </w:p>
    <w:p w14:paraId="393B2B57" w14:textId="77777777" w:rsidR="00841ACE" w:rsidRDefault="00841ACE" w:rsidP="00DA1BCE">
      <w:pPr>
        <w:pStyle w:val="p1"/>
        <w:rPr>
          <w:rFonts w:eastAsiaTheme="minorHAnsi"/>
          <w:color w:val="000000" w:themeColor="text1"/>
          <w:kern w:val="24"/>
          <w:sz w:val="20"/>
          <w:szCs w:val="20"/>
        </w:rPr>
      </w:pPr>
    </w:p>
    <w:p w14:paraId="7DF54663" w14:textId="77777777" w:rsidR="00841ACE" w:rsidRDefault="00841ACE" w:rsidP="00DA1BCE">
      <w:pPr>
        <w:pStyle w:val="p1"/>
        <w:rPr>
          <w:rFonts w:eastAsiaTheme="minorHAnsi"/>
          <w:color w:val="000000" w:themeColor="text1"/>
          <w:kern w:val="24"/>
          <w:sz w:val="20"/>
          <w:szCs w:val="20"/>
        </w:rPr>
      </w:pPr>
    </w:p>
    <w:p w14:paraId="46B7FF83" w14:textId="77777777" w:rsidR="00841ACE" w:rsidRDefault="00841ACE" w:rsidP="00DA1BCE">
      <w:pPr>
        <w:pStyle w:val="p1"/>
        <w:rPr>
          <w:rFonts w:eastAsiaTheme="minorHAnsi"/>
          <w:color w:val="000000" w:themeColor="text1"/>
          <w:kern w:val="24"/>
          <w:sz w:val="20"/>
          <w:szCs w:val="20"/>
        </w:rPr>
      </w:pPr>
    </w:p>
    <w:p w14:paraId="692DB961" w14:textId="77777777" w:rsidR="00841ACE" w:rsidRDefault="00841ACE" w:rsidP="00DA1BCE">
      <w:pPr>
        <w:pStyle w:val="p1"/>
        <w:rPr>
          <w:rFonts w:eastAsiaTheme="minorHAnsi"/>
          <w:color w:val="000000" w:themeColor="text1"/>
          <w:kern w:val="24"/>
          <w:sz w:val="20"/>
          <w:szCs w:val="20"/>
        </w:rPr>
      </w:pPr>
    </w:p>
    <w:p w14:paraId="2DE3DE07" w14:textId="77777777" w:rsidR="00FB4CF5" w:rsidRDefault="00FB4CF5" w:rsidP="00DA1BCE">
      <w:pPr>
        <w:pStyle w:val="p1"/>
        <w:rPr>
          <w:rFonts w:eastAsiaTheme="minorHAnsi"/>
          <w:color w:val="000000" w:themeColor="text1"/>
          <w:kern w:val="24"/>
          <w:sz w:val="20"/>
          <w:szCs w:val="20"/>
        </w:rPr>
      </w:pPr>
    </w:p>
    <w:p w14:paraId="629A2E9A" w14:textId="77777777" w:rsidR="00FB4CF5" w:rsidRDefault="00FB4CF5" w:rsidP="00DA1BCE">
      <w:pPr>
        <w:pStyle w:val="p1"/>
        <w:rPr>
          <w:rFonts w:eastAsiaTheme="minorHAnsi"/>
          <w:color w:val="000000" w:themeColor="text1"/>
          <w:kern w:val="24"/>
          <w:sz w:val="20"/>
          <w:szCs w:val="20"/>
        </w:rPr>
      </w:pPr>
    </w:p>
    <w:p w14:paraId="5F8FEFD8" w14:textId="77777777" w:rsidR="00663161" w:rsidRDefault="00663161" w:rsidP="00F778A2">
      <w:pPr>
        <w:spacing w:line="276" w:lineRule="auto"/>
        <w:rPr>
          <w:rFonts w:ascii="Times New Roman" w:hAnsi="Times New Roman" w:cs="Times New Roman"/>
          <w:b/>
          <w:bCs/>
          <w:sz w:val="20"/>
          <w:szCs w:val="20"/>
        </w:rPr>
      </w:pPr>
    </w:p>
    <w:p w14:paraId="4F5F6F72" w14:textId="77777777" w:rsidR="00663161" w:rsidRDefault="00663161" w:rsidP="00F778A2">
      <w:pPr>
        <w:spacing w:line="276" w:lineRule="auto"/>
        <w:rPr>
          <w:rFonts w:ascii="Times New Roman" w:hAnsi="Times New Roman" w:cs="Times New Roman"/>
          <w:b/>
          <w:bCs/>
          <w:sz w:val="20"/>
          <w:szCs w:val="20"/>
        </w:rPr>
      </w:pPr>
    </w:p>
    <w:p w14:paraId="7EFB21A7" w14:textId="77777777" w:rsidR="00663161" w:rsidRDefault="00663161" w:rsidP="00F778A2">
      <w:pPr>
        <w:spacing w:line="276" w:lineRule="auto"/>
        <w:rPr>
          <w:rFonts w:ascii="Times New Roman" w:hAnsi="Times New Roman" w:cs="Times New Roman"/>
          <w:b/>
          <w:bCs/>
          <w:sz w:val="20"/>
          <w:szCs w:val="20"/>
        </w:rPr>
      </w:pPr>
    </w:p>
    <w:p w14:paraId="5469CAD5" w14:textId="77777777" w:rsidR="00663161" w:rsidRDefault="00663161" w:rsidP="00F778A2">
      <w:pPr>
        <w:spacing w:line="276" w:lineRule="auto"/>
        <w:rPr>
          <w:rFonts w:ascii="Times New Roman" w:hAnsi="Times New Roman" w:cs="Times New Roman"/>
          <w:b/>
          <w:bCs/>
          <w:sz w:val="20"/>
          <w:szCs w:val="20"/>
        </w:rPr>
      </w:pPr>
    </w:p>
    <w:p w14:paraId="1319FF05" w14:textId="3AEF66FD" w:rsidR="002E7563" w:rsidRPr="00A301E5" w:rsidRDefault="003E33BE" w:rsidP="002E7563">
      <w:pPr>
        <w:spacing w:line="276"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3E1AFD1E" wp14:editId="53A99896">
            <wp:extent cx="6400800" cy="2569845"/>
            <wp:effectExtent l="0" t="0" r="0" b="0"/>
            <wp:docPr id="317640010" name="Picture 1" descr="A graph of a graph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40010" name="Picture 1" descr="A graph of a graph and numb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2569845"/>
                    </a:xfrm>
                    <a:prstGeom prst="rect">
                      <a:avLst/>
                    </a:prstGeom>
                  </pic:spPr>
                </pic:pic>
              </a:graphicData>
            </a:graphic>
          </wp:inline>
        </w:drawing>
      </w:r>
    </w:p>
    <w:p w14:paraId="67591C96" w14:textId="77777777" w:rsidR="002E7563" w:rsidRDefault="002E7563" w:rsidP="002E7563">
      <w:pPr>
        <w:pStyle w:val="p1"/>
        <w:rPr>
          <w:b/>
          <w:bCs/>
          <w:sz w:val="20"/>
          <w:szCs w:val="20"/>
        </w:rPr>
      </w:pPr>
    </w:p>
    <w:p w14:paraId="00736334" w14:textId="18EFA645" w:rsidR="0080607B" w:rsidRPr="005B1713" w:rsidRDefault="002E7563" w:rsidP="005B1713">
      <w:pPr>
        <w:pStyle w:val="p1"/>
        <w:rPr>
          <w:color w:val="000000" w:themeColor="text1"/>
          <w:sz w:val="20"/>
          <w:szCs w:val="20"/>
        </w:rPr>
      </w:pPr>
      <w:r w:rsidRPr="005B1713">
        <w:rPr>
          <w:b/>
          <w:bCs/>
          <w:sz w:val="20"/>
          <w:szCs w:val="20"/>
        </w:rPr>
        <w:t xml:space="preserve">Supplementary Figure </w:t>
      </w:r>
      <w:r w:rsidR="005B1713">
        <w:rPr>
          <w:b/>
          <w:bCs/>
          <w:sz w:val="20"/>
          <w:szCs w:val="20"/>
        </w:rPr>
        <w:t>5</w:t>
      </w:r>
      <w:r w:rsidRPr="005B1713">
        <w:rPr>
          <w:b/>
          <w:bCs/>
          <w:sz w:val="20"/>
          <w:szCs w:val="20"/>
        </w:rPr>
        <w:t xml:space="preserve"> | </w:t>
      </w:r>
      <w:r w:rsidR="00422D90">
        <w:rPr>
          <w:b/>
          <w:bCs/>
          <w:sz w:val="20"/>
          <w:szCs w:val="20"/>
        </w:rPr>
        <w:t>Three h</w:t>
      </w:r>
      <w:r w:rsidRPr="005B1713">
        <w:rPr>
          <w:b/>
          <w:bCs/>
          <w:sz w:val="20"/>
          <w:szCs w:val="20"/>
        </w:rPr>
        <w:t>istorical analogs</w:t>
      </w:r>
      <w:r w:rsidR="00422D90">
        <w:rPr>
          <w:b/>
          <w:bCs/>
          <w:sz w:val="20"/>
          <w:szCs w:val="20"/>
        </w:rPr>
        <w:t xml:space="preserve"> for OAE and data</w:t>
      </w:r>
      <w:r w:rsidRPr="005B1713">
        <w:rPr>
          <w:b/>
          <w:bCs/>
          <w:sz w:val="20"/>
          <w:szCs w:val="20"/>
        </w:rPr>
        <w:t>.</w:t>
      </w:r>
      <w:r w:rsidRPr="005B1713">
        <w:rPr>
          <w:sz w:val="20"/>
          <w:szCs w:val="20"/>
        </w:rPr>
        <w:t xml:space="preserve"> </w:t>
      </w:r>
      <w:r w:rsidRPr="005B1713">
        <w:rPr>
          <w:color w:val="000000" w:themeColor="text1"/>
          <w:sz w:val="20"/>
          <w:szCs w:val="20"/>
        </w:rPr>
        <w:t xml:space="preserve">Data on the historical analogs identified for OAE technologies. </w:t>
      </w:r>
      <w:r w:rsidR="0071701E" w:rsidRPr="005B1713">
        <w:rPr>
          <w:color w:val="000000" w:themeColor="text1"/>
          <w:sz w:val="20"/>
          <w:szCs w:val="20"/>
        </w:rPr>
        <w:t xml:space="preserve">Offshore wind </w:t>
      </w:r>
      <w:r w:rsidR="00BB6724" w:rsidRPr="005B1713">
        <w:rPr>
          <w:color w:val="000000" w:themeColor="text1"/>
          <w:sz w:val="20"/>
          <w:szCs w:val="20"/>
        </w:rPr>
        <w:t xml:space="preserve">represents rapid deployment of marine engineering infrastructure with substantial policy support. </w:t>
      </w:r>
      <w:r w:rsidR="0080607B" w:rsidRPr="005B1713">
        <w:rPr>
          <w:color w:val="000000" w:themeColor="text1"/>
          <w:sz w:val="20"/>
          <w:szCs w:val="20"/>
        </w:rPr>
        <w:t>Desalination</w:t>
      </w:r>
      <w:r w:rsidR="00422D90">
        <w:rPr>
          <w:color w:val="000000" w:themeColor="text1"/>
          <w:sz w:val="20"/>
          <w:szCs w:val="20"/>
        </w:rPr>
        <w:t xml:space="preserve"> represents</w:t>
      </w:r>
      <w:r w:rsidR="0080607B" w:rsidRPr="005B1713">
        <w:rPr>
          <w:color w:val="000000" w:themeColor="text1"/>
          <w:sz w:val="20"/>
          <w:szCs w:val="20"/>
        </w:rPr>
        <w:t xml:space="preserve"> </w:t>
      </w:r>
      <w:r w:rsidR="00A05C5B" w:rsidRPr="005B1713">
        <w:rPr>
          <w:color w:val="000000" w:themeColor="text1"/>
          <w:sz w:val="20"/>
          <w:szCs w:val="20"/>
        </w:rPr>
        <w:t>an industry with onshore processing of large amounts of seawater</w:t>
      </w:r>
      <w:r w:rsidR="00422D90">
        <w:rPr>
          <w:color w:val="000000" w:themeColor="text1"/>
          <w:sz w:val="20"/>
          <w:szCs w:val="20"/>
        </w:rPr>
        <w:t>. A</w:t>
      </w:r>
      <w:r w:rsidR="00A05C5B" w:rsidRPr="005B1713">
        <w:rPr>
          <w:color w:val="000000" w:themeColor="text1"/>
          <w:sz w:val="20"/>
          <w:szCs w:val="20"/>
        </w:rPr>
        <w:t xml:space="preserve">quaculture is an example of nearshore </w:t>
      </w:r>
      <w:r w:rsidR="005B1713" w:rsidRPr="005B1713">
        <w:rPr>
          <w:color w:val="000000" w:themeColor="text1"/>
          <w:sz w:val="20"/>
          <w:szCs w:val="20"/>
        </w:rPr>
        <w:t xml:space="preserve">interventions in ocean biogeochemistry at industrial scales. </w:t>
      </w:r>
      <w:r w:rsidR="00575C2A" w:rsidRPr="005B1713">
        <w:rPr>
          <w:rStyle w:val="token"/>
          <w:color w:val="000000" w:themeColor="text1"/>
          <w:sz w:val="20"/>
          <w:szCs w:val="20"/>
        </w:rPr>
        <w:t>Table shows</w:t>
      </w:r>
      <w:r w:rsidR="00575C2A" w:rsidRPr="005B1713">
        <w:rPr>
          <w:color w:val="000000" w:themeColor="text1"/>
          <w:sz w:val="20"/>
          <w:szCs w:val="20"/>
        </w:rPr>
        <w:t xml:space="preserve"> logistic growth parameters derived from</w:t>
      </w:r>
      <w:r w:rsidR="00CB15D9">
        <w:rPr>
          <w:color w:val="000000" w:themeColor="text1"/>
          <w:sz w:val="20"/>
          <w:szCs w:val="20"/>
        </w:rPr>
        <w:t xml:space="preserve"> the</w:t>
      </w:r>
      <w:r w:rsidR="00575C2A" w:rsidRPr="005B1713">
        <w:rPr>
          <w:color w:val="000000" w:themeColor="text1"/>
          <w:sz w:val="20"/>
          <w:szCs w:val="20"/>
        </w:rPr>
        <w:t xml:space="preserve"> historical data, where </w:t>
      </w:r>
      <w:r w:rsidR="005B1713" w:rsidRPr="005B1713">
        <w:rPr>
          <w:i/>
          <w:iCs/>
          <w:color w:val="000000" w:themeColor="text1"/>
          <w:sz w:val="20"/>
          <w:szCs w:val="20"/>
        </w:rPr>
        <w:t>k</w:t>
      </w:r>
      <w:r w:rsidR="00575C2A" w:rsidRPr="005B1713">
        <w:rPr>
          <w:color w:val="000000" w:themeColor="text1"/>
          <w:sz w:val="20"/>
          <w:szCs w:val="20"/>
        </w:rPr>
        <w:t xml:space="preserve"> is the logistic growth coefficient, inflection point marks the year of maximum growth rate, time to midpoint indicates years from start to 50</w:t>
      </w:r>
      <w:r w:rsidR="005B1713" w:rsidRPr="005B1713">
        <w:rPr>
          <w:rStyle w:val="token"/>
          <w:rFonts w:eastAsiaTheme="majorEastAsia"/>
          <w:color w:val="000000" w:themeColor="text1"/>
          <w:sz w:val="20"/>
          <w:szCs w:val="20"/>
        </w:rPr>
        <w:t xml:space="preserve">% market saturation, </w:t>
      </w:r>
      <w:r w:rsidR="005B1713" w:rsidRPr="005B1713">
        <w:rPr>
          <w:color w:val="000000" w:themeColor="text1"/>
          <w:sz w:val="20"/>
          <w:szCs w:val="20"/>
        </w:rPr>
        <w:t xml:space="preserve">∆t </w:t>
      </w:r>
      <w:r w:rsidR="00575C2A" w:rsidRPr="005B1713">
        <w:rPr>
          <w:color w:val="000000" w:themeColor="text1"/>
          <w:sz w:val="20"/>
          <w:szCs w:val="20"/>
        </w:rPr>
        <w:t>is the duration of the main growth phase</w:t>
      </w:r>
      <w:r w:rsidR="005B1713" w:rsidRPr="005B1713">
        <w:rPr>
          <w:color w:val="000000" w:themeColor="text1"/>
          <w:sz w:val="20"/>
          <w:szCs w:val="20"/>
        </w:rPr>
        <w:t xml:space="preserve"> (10-90%)</w:t>
      </w:r>
      <w:r w:rsidR="00575C2A" w:rsidRPr="005B1713">
        <w:rPr>
          <w:color w:val="000000" w:themeColor="text1"/>
          <w:sz w:val="20"/>
          <w:szCs w:val="20"/>
        </w:rPr>
        <w:t>, doubling time shows how quickly capacity doubles during exponential growth, and linear growth rate represents the maximum compound annual growth rate (CAGR)</w:t>
      </w:r>
      <w:r w:rsidR="005B1713" w:rsidRPr="005B1713">
        <w:rPr>
          <w:color w:val="000000" w:themeColor="text1"/>
          <w:sz w:val="20"/>
          <w:szCs w:val="20"/>
        </w:rPr>
        <w:t xml:space="preserve"> around the inflection point</w:t>
      </w:r>
      <w:r w:rsidR="00575C2A" w:rsidRPr="005B1713">
        <w:rPr>
          <w:color w:val="000000" w:themeColor="text1"/>
          <w:sz w:val="20"/>
          <w:szCs w:val="20"/>
        </w:rPr>
        <w:t>.</w:t>
      </w:r>
      <w:r w:rsidR="005B1713" w:rsidRPr="005B1713">
        <w:rPr>
          <w:color w:val="000000" w:themeColor="text1"/>
          <w:sz w:val="20"/>
          <w:szCs w:val="20"/>
        </w:rPr>
        <w:t xml:space="preserve"> </w:t>
      </w:r>
      <w:r w:rsidR="005B1713" w:rsidRPr="005B1713">
        <w:rPr>
          <w:sz w:val="20"/>
          <w:szCs w:val="20"/>
        </w:rPr>
        <w:t>D</w:t>
      </w:r>
      <w:r w:rsidR="0080607B" w:rsidRPr="005B1713">
        <w:rPr>
          <w:sz w:val="20"/>
          <w:szCs w:val="20"/>
        </w:rPr>
        <w:t>iamonds denote observed values in the historical record; dashed lines represent logistic fit projections into the future. Data is from the HATCH dataset</w:t>
      </w:r>
      <w:r w:rsidR="0080607B" w:rsidRPr="005B1713">
        <w:rPr>
          <w:sz w:val="20"/>
          <w:szCs w:val="20"/>
        </w:rPr>
        <w:fldChar w:fldCharType="begin"/>
      </w:r>
      <w:r w:rsidR="0080607B" w:rsidRPr="005B1713">
        <w:rPr>
          <w:sz w:val="20"/>
          <w:szCs w:val="20"/>
        </w:rPr>
        <w:instrText xml:space="preserve"> ADDIN ZOTERO_ITEM CSL_CITATION {"citationID":"v51zh4yS","properties":{"formattedCitation":"\\super 9\\nosupersub{}","plainCitation":"9","noteIndex":0},"citationItems":[{"id":104,"uris":["http://zotero.org/groups/5481195/items/IIGBBP4N"],"itemData":{"id":104,"type":"article-journal","abstract":"Abstract\n            A variety of agricultural, industrial, and consumer technologies have been adopted over the past century and can provide insight into the scale-up of emerging technologies, such as carbon removal. Here we present the Historical Adoption of Technology dataset—a set of harmonized global annual time series from the early 20th century to present. We use three growth metrics to compare historical growth to that of carbon removal in emissions scenarios and future targets. We find heterogeneity in growth rates in the diffusion of historical technologies, ranging from 1.1 to 14.3% (median 6.2%) for our preferred growth metric based on a logistic function. Most emissions scenarios show growth within this range (median 5.9%, range 1 to &gt;100%). Company announcements and policy targets imply faster growth than both historical technologies and carbon removal in emissions scenarios. Further work can explain the heterogeneity and facilitate more precise comparisons.","container-title":"Communications Earth &amp; Environment","DOI":"10.1038/s43247-023-01056-1","ISSN":"2662-4435","issue":"1","journalAbbreviation":"Commun Earth Environ","language":"en","page":"397","source":"DOI.org (Crossref)","title":"Dataset on the adoption of historical technologies informs the scale-up of emerging carbon dioxide removal measures","volume":"4","author":[{"family":"Nemet","given":"Gregory"},{"family":"Greene","given":"Jenna"},{"family":"Müller-Hansen","given":"Finn"},{"family":"Minx","given":"Jan C."}],"issued":{"date-parts":[["2023",10,30]]}}}],"schema":"https://github.com/citation-style-language/schema/raw/master/csl-citation.json"} </w:instrText>
      </w:r>
      <w:r w:rsidR="0080607B" w:rsidRPr="005B1713">
        <w:rPr>
          <w:sz w:val="20"/>
          <w:szCs w:val="20"/>
        </w:rPr>
        <w:fldChar w:fldCharType="separate"/>
      </w:r>
      <w:r w:rsidR="0080607B" w:rsidRPr="005B1713">
        <w:rPr>
          <w:sz w:val="20"/>
          <w:vertAlign w:val="superscript"/>
        </w:rPr>
        <w:t>9</w:t>
      </w:r>
      <w:r w:rsidR="0080607B" w:rsidRPr="005B1713">
        <w:rPr>
          <w:sz w:val="20"/>
          <w:szCs w:val="20"/>
        </w:rPr>
        <w:fldChar w:fldCharType="end"/>
      </w:r>
      <w:r w:rsidR="0080607B" w:rsidRPr="005B1713">
        <w:rPr>
          <w:sz w:val="20"/>
          <w:szCs w:val="20"/>
        </w:rPr>
        <w:t xml:space="preserve"> and included in the data repository to this paper.</w:t>
      </w:r>
    </w:p>
    <w:p w14:paraId="2EC6DA03" w14:textId="77777777" w:rsidR="002E7563" w:rsidRDefault="002E7563" w:rsidP="00F778A2">
      <w:pPr>
        <w:spacing w:line="276" w:lineRule="auto"/>
        <w:rPr>
          <w:rFonts w:ascii="Times New Roman" w:hAnsi="Times New Roman" w:cs="Times New Roman"/>
          <w:b/>
          <w:bCs/>
          <w:sz w:val="20"/>
          <w:szCs w:val="20"/>
        </w:rPr>
      </w:pPr>
    </w:p>
    <w:p w14:paraId="15AE35AA" w14:textId="77777777" w:rsidR="002E7563" w:rsidRDefault="002E7563" w:rsidP="00F778A2">
      <w:pPr>
        <w:spacing w:line="276" w:lineRule="auto"/>
        <w:rPr>
          <w:rFonts w:ascii="Times New Roman" w:hAnsi="Times New Roman" w:cs="Times New Roman"/>
          <w:b/>
          <w:bCs/>
          <w:sz w:val="20"/>
          <w:szCs w:val="20"/>
        </w:rPr>
      </w:pPr>
    </w:p>
    <w:p w14:paraId="51BE57A1" w14:textId="77777777" w:rsidR="002E7563" w:rsidRDefault="002E7563" w:rsidP="00F778A2">
      <w:pPr>
        <w:spacing w:line="276" w:lineRule="auto"/>
        <w:rPr>
          <w:rFonts w:ascii="Times New Roman" w:hAnsi="Times New Roman" w:cs="Times New Roman"/>
          <w:b/>
          <w:bCs/>
          <w:sz w:val="20"/>
          <w:szCs w:val="20"/>
        </w:rPr>
      </w:pPr>
    </w:p>
    <w:p w14:paraId="1528C879" w14:textId="77777777" w:rsidR="002E7563" w:rsidRDefault="002E7563" w:rsidP="00F778A2">
      <w:pPr>
        <w:spacing w:line="276" w:lineRule="auto"/>
        <w:rPr>
          <w:rFonts w:ascii="Times New Roman" w:hAnsi="Times New Roman" w:cs="Times New Roman"/>
          <w:b/>
          <w:bCs/>
          <w:sz w:val="20"/>
          <w:szCs w:val="20"/>
        </w:rPr>
      </w:pPr>
    </w:p>
    <w:p w14:paraId="7885098A" w14:textId="77777777" w:rsidR="002E7563" w:rsidRDefault="002E7563" w:rsidP="00F778A2">
      <w:pPr>
        <w:spacing w:line="276" w:lineRule="auto"/>
        <w:rPr>
          <w:rFonts w:ascii="Times New Roman" w:hAnsi="Times New Roman" w:cs="Times New Roman"/>
          <w:b/>
          <w:bCs/>
          <w:sz w:val="20"/>
          <w:szCs w:val="20"/>
        </w:rPr>
      </w:pPr>
    </w:p>
    <w:p w14:paraId="5A91D588" w14:textId="77777777" w:rsidR="00E42B38" w:rsidRDefault="00E42B38" w:rsidP="00F778A2">
      <w:pPr>
        <w:spacing w:line="276" w:lineRule="auto"/>
        <w:rPr>
          <w:rFonts w:ascii="Times New Roman" w:hAnsi="Times New Roman" w:cs="Times New Roman"/>
          <w:b/>
          <w:bCs/>
          <w:sz w:val="20"/>
          <w:szCs w:val="20"/>
        </w:rPr>
      </w:pPr>
    </w:p>
    <w:p w14:paraId="178664BC" w14:textId="77777777" w:rsidR="00E42B38" w:rsidRDefault="00E42B38" w:rsidP="00F778A2">
      <w:pPr>
        <w:spacing w:line="276" w:lineRule="auto"/>
        <w:rPr>
          <w:rFonts w:ascii="Times New Roman" w:hAnsi="Times New Roman" w:cs="Times New Roman"/>
          <w:b/>
          <w:bCs/>
          <w:sz w:val="20"/>
          <w:szCs w:val="20"/>
        </w:rPr>
      </w:pPr>
    </w:p>
    <w:p w14:paraId="5573503D" w14:textId="77777777" w:rsidR="00E42B38" w:rsidRDefault="00E42B38" w:rsidP="00F778A2">
      <w:pPr>
        <w:spacing w:line="276" w:lineRule="auto"/>
        <w:rPr>
          <w:rFonts w:ascii="Times New Roman" w:hAnsi="Times New Roman" w:cs="Times New Roman"/>
          <w:b/>
          <w:bCs/>
          <w:sz w:val="20"/>
          <w:szCs w:val="20"/>
        </w:rPr>
      </w:pPr>
    </w:p>
    <w:p w14:paraId="231DBC38" w14:textId="77777777" w:rsidR="00E42B38" w:rsidRDefault="00E42B38" w:rsidP="00F778A2">
      <w:pPr>
        <w:spacing w:line="276" w:lineRule="auto"/>
        <w:rPr>
          <w:rFonts w:ascii="Times New Roman" w:hAnsi="Times New Roman" w:cs="Times New Roman"/>
          <w:b/>
          <w:bCs/>
          <w:sz w:val="20"/>
          <w:szCs w:val="20"/>
        </w:rPr>
      </w:pPr>
    </w:p>
    <w:p w14:paraId="6288C5BA" w14:textId="77777777" w:rsidR="00E42B38" w:rsidRDefault="00E42B38" w:rsidP="00F778A2">
      <w:pPr>
        <w:spacing w:line="276" w:lineRule="auto"/>
        <w:rPr>
          <w:rFonts w:ascii="Times New Roman" w:hAnsi="Times New Roman" w:cs="Times New Roman"/>
          <w:b/>
          <w:bCs/>
          <w:sz w:val="20"/>
          <w:szCs w:val="20"/>
        </w:rPr>
      </w:pPr>
    </w:p>
    <w:p w14:paraId="5ABABB91" w14:textId="77777777" w:rsidR="00E42B38" w:rsidRDefault="00E42B38" w:rsidP="00F778A2">
      <w:pPr>
        <w:spacing w:line="276" w:lineRule="auto"/>
        <w:rPr>
          <w:rFonts w:ascii="Times New Roman" w:hAnsi="Times New Roman" w:cs="Times New Roman"/>
          <w:b/>
          <w:bCs/>
          <w:sz w:val="20"/>
          <w:szCs w:val="20"/>
        </w:rPr>
      </w:pPr>
    </w:p>
    <w:p w14:paraId="39B84992" w14:textId="77777777" w:rsidR="00E42B38" w:rsidRDefault="00E42B38" w:rsidP="00F778A2">
      <w:pPr>
        <w:spacing w:line="276" w:lineRule="auto"/>
        <w:rPr>
          <w:rFonts w:ascii="Times New Roman" w:hAnsi="Times New Roman" w:cs="Times New Roman"/>
          <w:b/>
          <w:bCs/>
          <w:sz w:val="20"/>
          <w:szCs w:val="20"/>
        </w:rPr>
      </w:pPr>
    </w:p>
    <w:p w14:paraId="72638A69" w14:textId="77777777" w:rsidR="00E42B38" w:rsidRDefault="00E42B38" w:rsidP="00F778A2">
      <w:pPr>
        <w:spacing w:line="276" w:lineRule="auto"/>
        <w:rPr>
          <w:rFonts w:ascii="Times New Roman" w:hAnsi="Times New Roman" w:cs="Times New Roman"/>
          <w:b/>
          <w:bCs/>
          <w:sz w:val="20"/>
          <w:szCs w:val="20"/>
        </w:rPr>
      </w:pPr>
    </w:p>
    <w:p w14:paraId="0B1F2CE6" w14:textId="77777777" w:rsidR="00C30A0C" w:rsidRDefault="00C30A0C" w:rsidP="00E42B38">
      <w:pPr>
        <w:spacing w:line="276" w:lineRule="auto"/>
        <w:rPr>
          <w:rFonts w:ascii="Times New Roman" w:hAnsi="Times New Roman" w:cs="Times New Roman"/>
          <w:b/>
          <w:bCs/>
          <w:sz w:val="20"/>
          <w:szCs w:val="20"/>
        </w:rPr>
      </w:pPr>
    </w:p>
    <w:p w14:paraId="0FB41442" w14:textId="4FF521DE" w:rsidR="0037782C" w:rsidRDefault="00833767" w:rsidP="00833767">
      <w:pPr>
        <w:spacing w:line="276" w:lineRule="auto"/>
        <w:rPr>
          <w:rFonts w:ascii="Times New Roman" w:hAnsi="Times New Roman" w:cs="Times New Roman"/>
          <w:kern w:val="0"/>
          <w:sz w:val="20"/>
          <w:vertAlign w:val="superscript"/>
        </w:rPr>
      </w:pPr>
      <w:r w:rsidRPr="00C80040">
        <w:rPr>
          <w:rFonts w:ascii="Times New Roman" w:hAnsi="Times New Roman" w:cs="Times New Roman"/>
          <w:b/>
          <w:bCs/>
          <w:sz w:val="20"/>
          <w:szCs w:val="20"/>
        </w:rPr>
        <w:lastRenderedPageBreak/>
        <w:t xml:space="preserve">Supplementary Table </w:t>
      </w:r>
      <w:r>
        <w:rPr>
          <w:rFonts w:ascii="Times New Roman" w:hAnsi="Times New Roman" w:cs="Times New Roman"/>
          <w:b/>
          <w:bCs/>
          <w:sz w:val="20"/>
          <w:szCs w:val="20"/>
        </w:rPr>
        <w:t>5</w:t>
      </w:r>
      <w:r w:rsidRPr="00C80040">
        <w:rPr>
          <w:rFonts w:ascii="Times New Roman" w:hAnsi="Times New Roman" w:cs="Times New Roman"/>
          <w:b/>
          <w:bCs/>
          <w:sz w:val="20"/>
          <w:szCs w:val="20"/>
        </w:rPr>
        <w:t xml:space="preserve"> | </w:t>
      </w:r>
      <w:r>
        <w:rPr>
          <w:rFonts w:ascii="Times New Roman" w:hAnsi="Times New Roman" w:cs="Times New Roman"/>
          <w:b/>
          <w:bCs/>
          <w:sz w:val="20"/>
          <w:szCs w:val="20"/>
        </w:rPr>
        <w:t>OAE energy use and process emissions</w:t>
      </w:r>
      <w:r w:rsidRPr="00C80040">
        <w:rPr>
          <w:rFonts w:ascii="Times New Roman" w:hAnsi="Times New Roman" w:cs="Times New Roman"/>
          <w:b/>
          <w:b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rPr>
        <w:t>Energy intensities</w:t>
      </w:r>
      <w:r w:rsidR="00956DAF">
        <w:rPr>
          <w:rFonts w:ascii="Times New Roman" w:hAnsi="Times New Roman" w:cs="Times New Roman"/>
          <w:sz w:val="20"/>
          <w:szCs w:val="20"/>
        </w:rPr>
        <w:t xml:space="preserve"> (a, b)</w:t>
      </w:r>
      <w:r>
        <w:rPr>
          <w:rFonts w:ascii="Times New Roman" w:hAnsi="Times New Roman" w:cs="Times New Roman"/>
          <w:sz w:val="20"/>
          <w:szCs w:val="20"/>
        </w:rPr>
        <w:t xml:space="preserve"> </w:t>
      </w:r>
      <w:r w:rsidR="000D39DF">
        <w:rPr>
          <w:rFonts w:ascii="Times New Roman" w:hAnsi="Times New Roman" w:cs="Times New Roman"/>
          <w:sz w:val="20"/>
          <w:szCs w:val="20"/>
        </w:rPr>
        <w:t>and efficiency learning rates</w:t>
      </w:r>
      <w:r w:rsidR="00956DAF">
        <w:rPr>
          <w:rFonts w:ascii="Times New Roman" w:hAnsi="Times New Roman" w:cs="Times New Roman"/>
          <w:sz w:val="20"/>
          <w:szCs w:val="20"/>
        </w:rPr>
        <w:t xml:space="preserve"> (c)</w:t>
      </w:r>
      <w:r w:rsidR="000D39DF">
        <w:rPr>
          <w:rFonts w:ascii="Times New Roman" w:hAnsi="Times New Roman" w:cs="Times New Roman"/>
          <w:sz w:val="20"/>
          <w:szCs w:val="20"/>
        </w:rPr>
        <w:t xml:space="preserve"> </w:t>
      </w:r>
      <w:r>
        <w:rPr>
          <w:rFonts w:ascii="Times New Roman" w:hAnsi="Times New Roman" w:cs="Times New Roman"/>
          <w:sz w:val="20"/>
          <w:szCs w:val="20"/>
        </w:rPr>
        <w:t xml:space="preserve">derived from the literature for mOAE and eOAE processes. </w:t>
      </w:r>
      <w:r w:rsidR="007663D7">
        <w:rPr>
          <w:rFonts w:ascii="Times New Roman" w:hAnsi="Times New Roman" w:cs="Times New Roman"/>
          <w:b/>
          <w:bCs/>
          <w:sz w:val="20"/>
          <w:szCs w:val="20"/>
        </w:rPr>
        <w:t xml:space="preserve"> </w:t>
      </w:r>
      <w:r>
        <w:rPr>
          <w:rFonts w:ascii="Times New Roman" w:hAnsi="Times New Roman" w:cs="Times New Roman"/>
          <w:sz w:val="20"/>
          <w:szCs w:val="20"/>
        </w:rPr>
        <w:t>Values for eOAE include estimations of energy intensity for electrolysis and bi-polar electrodialysis (BPMED)</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{"citationID":"AnPLUBOL","properties":{"formattedCitation":"\\super 10\\uc0\\u8211{}13\\nosupersub{}","plainCitation":"10–13","noteIndex":0},"citationItems":[{"id":251,"uris":["http://zotero.org/groups/5628527/items/6GBTLLPW"],"itemData":{"id":251,"type":"book","event-place":"Washington, D.C.","ISBN":"978-0-309-08761-2","language":"en","note":"page: 26278\nDOI: 10.17226/26278","publisher":"National Academies Press","publisher-place":"Washington, D.C.","source":"DOI.org (Crossref)","title":"A Research Strategy for Ocean-based Carbon Dioxide Removal and Sequestration","URL":"https://www.nap.edu/catalog/26278","author":[{"family":"NASEM","given":""}],"accessed":{"date-parts":[["2023",12,9]]},"issued":{"date-parts":[["2022",4,25]]}}},{"id":164,"uris":["http://zotero.org/groups/5481195/items/EI6BBLQ5"],"itemData":{"id":164,"type":"article-journal","abstract":"Abstract   We present the design, construction, characterization, and analysis of a prototype process for a novel electrochemical platform of candidate negative emissions technologies (NETs), termed indirect ocean capture. The IOC technologies remove carbon dioxide gas from the atmosphere by leveraging both air-ocean gas exchange and the pH sensitivity of the ocean’s carbonate buffer system. The system characterized in this paper enables two configurations that capture CO2 either as a pure gas or as a solid mineral. Both configurations use the acid and base produced by the membrane electrodialysis of ocean water. The first configuration, termed the ‘acid process’, acidifies ocean water or brine to shift the carbonate buffer system towards dissolved CO2 gas, which is vacuum stripped from the acidified brine. The second configuration, termed the ‘base process’, adds base to the brine to shift the carbonate buffer system towards carbonate ions, which precipitates as CaCO3. A closed loop cycle is achieved by returning this decarbonized and alkalinized brine to the ocean for additional CO2 absorption from the air. Our evaluation of this prototype scale system focused on the parameters that have the most influence on the ultimate cost of the extracted CO2. In a concurrent techno-economic study, the most cost-sensitive parameters were shown to be the efficiencies of the anion and cation exchange membranes, the number and orientation of CO2 extraction membranes, and the volume of base required for CaCO3 precipitation. The measured parameters provide target values for commercial deployment. The experiments in this study were used to inform the concurrent techno-economic study that quantifies in detail the projected cost of avoided CO2 achievable with this process.","container-title":"International Journal of Greenhouse Gas Control","DOI":"10.1016/j.ijggc.2017.10.007","note":"DOI: 10.1016/j.ijggc.2017.10.007\nMAG ID: 2770742786","page":"243-253","title":"Indirect ocean capture of atmospheric CO 2 : Part I. Prototype of a negative emissions technology","volume":"70","author":[{"literal":"Charles‐François de Lannoy"},{"family":"Lannoy","given":"Charles-François","non-dropping-particle":"de"},{"literal":"Matthew D. Eisaman"},{"family":"Eisaman","given":"Matthew D."},{"literal":"Matthew D. Eisaman"},{"literal":"Arun Jose"},{"family":"Jose","given":"Arun"},{"literal":"Stephen D. Karnitz"},{"family":"Karnitz","given":"Stephen D."},{"literal":"Richard W. DeVaul"},{"family":"DeVaul","given":"Richard W."},{"literal":"Kathy Hannun"},{"family":"Hannun","given":"Kathy"},{"literal":"Jessy B. Rivest"},{"family":"Rivest","given":"Jessy L.B."}],"issued":{"date-parts":[["2017",11,1]]}}},{"id":405,"uris":["http://zotero.org/groups/5481195/items/PMZLYFIZ"],"itemData":{"id":405,"type":"article-journal","container-title":"International Journal of Greenhouse Gas Control","DOI":"10.1016/j.ijggc.2018.02.020","ISSN":"17505836","journalAbbreviation":"International Journal of Greenhouse Gas Control","language":"en","page":"254-261","source":"DOI.org (Crossref)","title":"Indirect ocean capture of atmospheric CO2: Part II. Understanding the cost of negative emissions","title-short":"Indirect ocean capture of atmospheric CO2","volume":"70","author":[{"family":"Eisaman","given":"Matthew D."},{"family":"Rivest","given":"Jessy L.B."},{"family":"Karnitz","given":"Stephen D."},{"family":"De Lannoy","given":"Charles-François"},{"family":"Jose","given":"Arun"},{"family":"DeVaul","given":"Richard W."},{"family":"Hannun","given":"Kathy"}],"issued":{"date-parts":[["2018",3]]}}},{"id":1008,"uris":["http://zotero.org/groups/5481195/items/8V28PV7L"],"itemData":{"id":1008,"type":"article-journal","container-title":"Industrial &amp; Engineering Chemistry Research","DOI":"10.1021/acs.iecr.4c04364","ISSN":"0888-5885","issue":"13","journalAbbreviation":"Ind. Eng. Chem. Res.","note":"publisher: American Chemical Society","page":"7085-7099","title":"Ocean Alkalinity Enhancement Using Bipolar Membrane Electrodialysis: Technical Analysis and Cost Breakdown of a Full-Scale Plant","volume":"64","author":[{"family":"Ferella","given":"Francesco"},{"family":"Suichies","given":"Allison"},{"family":"Abdelkader","given":"Bassel A."},{"family":"Dabhi","given":"Nikulkumar Kamleshkumar"},{"family":"Werber","given":"Jay"},{"family":"Lannoy","given":"Charles-François","non-dropping-particle":"de"}],"issued":{"date-parts":[["2025",4,2]]}}}],"schema":"https://github.com/citation-style-language/schema/raw/master/csl-citation.json"} </w:instrText>
      </w:r>
      <w:r>
        <w:rPr>
          <w:rFonts w:ascii="Times New Roman" w:hAnsi="Times New Roman" w:cs="Times New Roman"/>
          <w:sz w:val="20"/>
          <w:szCs w:val="20"/>
        </w:rPr>
        <w:fldChar w:fldCharType="separate"/>
      </w:r>
      <w:r w:rsidRPr="00BE4EAC">
        <w:rPr>
          <w:rFonts w:ascii="Times New Roman" w:hAnsi="Times New Roman" w:cs="Times New Roman"/>
          <w:kern w:val="0"/>
          <w:sz w:val="20"/>
          <w:vertAlign w:val="superscript"/>
        </w:rPr>
        <w:t>10–13</w:t>
      </w:r>
      <w:r>
        <w:rPr>
          <w:rFonts w:ascii="Times New Roman" w:hAnsi="Times New Roman" w:cs="Times New Roman"/>
          <w:sz w:val="20"/>
          <w:szCs w:val="20"/>
        </w:rPr>
        <w:fldChar w:fldCharType="end"/>
      </w:r>
      <w:r>
        <w:rPr>
          <w:rFonts w:ascii="Times New Roman" w:hAnsi="Times New Roman" w:cs="Times New Roman"/>
          <w:sz w:val="20"/>
          <w:szCs w:val="20"/>
        </w:rPr>
        <w:t>. Values for mOAE capture solar calcination at the low end (~200 kWh/tCO</w:t>
      </w:r>
      <w:r>
        <w:rPr>
          <w:rFonts w:ascii="Times New Roman" w:hAnsi="Times New Roman" w:cs="Times New Roman"/>
          <w:sz w:val="20"/>
          <w:szCs w:val="20"/>
          <w:vertAlign w:val="subscript"/>
        </w:rPr>
        <w:t>2</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{"citationID":"nbrx5t4U","properties":{"formattedCitation":"\\super 14,15\\nosupersub{}","plainCitation":"14,15","noteIndex":0},"citationItems":[{"id":886,"uris":["http://zotero.org/groups/5481195/items/HSVC5KXI"],"itemData":{"id":886,"type":"article-journal","abstract":"Abstract\n            \n              To stabilize global mean temperature and stay below critical thresholds, deep emission reductions have to be complemented with carbon dioxide removal. A broad portfolio of options is necessary to enable sufficient potential and mitigate sustainability concerns. So far, integrated assessment models have almost exclusively considered options on land. In this study, we show that ocean liming can make a substantial contribution to achieving ambitious climate mitigation targets. Due to the expected time needed for scale-up, the deployment potential in the first half of the century is limited, such that ocean liming can hardly reduce peak temperature. However, in the second half of the century, substantial deployment may be economically competitive. In addition, the availability of ocean liming reduces the dependence on other carbon removal options, and specifically on bioenergy. This could reduce the pressure on land and improve the sustainability of ambitious climate mitigation scenarios. However, impacts on the ocean ecosystems are still poorly understood and need to be clarified before deployment. In light of the remaining uncertainties and global and regional limitations, we suggest to limit the maximum global deployment of ocean liming in integrated assessment models to 5 GtCO\n              2\n              /yr carbon uptake.","container-title":"Environmental Research Letters","DOI":"10.1088/1748-9326/adf12c","ISSN":"1748-9326","issue":"9","journalAbbreviation":"Environ. Res. Lett.","page":"094004","source":"DOI.org (Crossref)","title":"Ocean liming can help achieve the Paris climate target","volume":"20","author":[{"family":"Strefler","given":"Jessica"},{"family":"Kowalczyk","given":"Katarzyna"},{"family":"Hofbauer","given":"Verena"},{"family":"Dorndorf","given":"Tabea"},{"family":"Baumstark","given":"Lavinia"}],"issued":{"date-parts":[["2025",9,1]]}}},{"id":779,"uris":["http://zotero.org/groups/5481195/items/WHLUIM4F"],"itemData":{"id":779,"type":"article-journal","container-title":"Journal of Cleaner Production","DOI":"10.1016/j.jclepro.2022.133309","ISSN":"0959-6526","language":"en","license":"https://www.elsevier.com/tdm/userlicense/1.0/","note":"publisher: Elsevier BV","page":"133309","source":"Crossref","title":"Life cycle assessment of ocean liming for carbon dioxide removal from the atmosphere","volume":"370","author":[{"family":"Foteinis","given":"Spyros"},{"family":"Andresen","given":"John"},{"family":"Campo","given":"Francesco"},{"family":"Caserini","given":"Stefano"},{"family":"Renforth","given":"Phil"}],"issued":{"date-parts":[["2022",10]]}}}],"schema":"https://github.com/citation-style-language/schema/raw/master/csl-citation.json"} </w:instrText>
      </w:r>
      <w:r>
        <w:rPr>
          <w:rFonts w:ascii="Times New Roman" w:hAnsi="Times New Roman" w:cs="Times New Roman"/>
          <w:sz w:val="20"/>
          <w:szCs w:val="20"/>
        </w:rPr>
        <w:fldChar w:fldCharType="separate"/>
      </w:r>
      <w:r w:rsidRPr="00C67433">
        <w:rPr>
          <w:rFonts w:ascii="Times New Roman" w:hAnsi="Times New Roman" w:cs="Times New Roman"/>
          <w:kern w:val="0"/>
          <w:sz w:val="20"/>
          <w:vertAlign w:val="superscript"/>
        </w:rPr>
        <w:t>14,15</w:t>
      </w:r>
      <w:r>
        <w:rPr>
          <w:rFonts w:ascii="Times New Roman" w:hAnsi="Times New Roman" w:cs="Times New Roman"/>
          <w:sz w:val="20"/>
          <w:szCs w:val="20"/>
        </w:rPr>
        <w:fldChar w:fldCharType="end"/>
      </w:r>
      <w:r>
        <w:rPr>
          <w:rFonts w:ascii="Times New Roman" w:hAnsi="Times New Roman" w:cs="Times New Roman"/>
          <w:sz w:val="20"/>
          <w:szCs w:val="20"/>
        </w:rPr>
        <w:t>) through conventional calcination at the high end (~2000 kWh/tCO</w:t>
      </w:r>
      <w:r>
        <w:rPr>
          <w:rFonts w:ascii="Times New Roman" w:hAnsi="Times New Roman" w:cs="Times New Roman"/>
          <w:sz w:val="20"/>
          <w:szCs w:val="20"/>
          <w:vertAlign w:val="subscript"/>
        </w:rPr>
        <w:t>2</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{"citationID":"Y9ljOWn2","properties":{"formattedCitation":"\\super 14,15\\nosupersub{}","plainCitation":"14,15","noteIndex":0},"citationItems":[{"id":886,"uris":["http://zotero.org/groups/5481195/items/HSVC5KXI"],"itemData":{"id":886,"type":"article-journal","abstract":"Abstract\n            \n              To stabilize global mean temperature and stay below critical thresholds, deep emission reductions have to be complemented with carbon dioxide removal. A broad portfolio of options is necessary to enable sufficient potential and mitigate sustainability concerns. So far, integrated assessment models have almost exclusively considered options on land. In this study, we show that ocean liming can make a substantial contribution to achieving ambitious climate mitigation targets. Due to the expected time needed for scale-up, the deployment potential in the first half of the century is limited, such that ocean liming can hardly reduce peak temperature. However, in the second half of the century, substantial deployment may be economically competitive. In addition, the availability of ocean liming reduces the dependence on other carbon removal options, and specifically on bioenergy. This could reduce the pressure on land and improve the sustainability of ambitious climate mitigation scenarios. However, impacts on the ocean ecosystems are still poorly understood and need to be clarified before deployment. In light of the remaining uncertainties and global and regional limitations, we suggest to limit the maximum global deployment of ocean liming in integrated assessment models to 5 GtCO\n              2\n              /yr carbon uptake.","container-title":"Environmental Research Letters","DOI":"10.1088/1748-9326/adf12c","ISSN":"1748-9326","issue":"9","journalAbbreviation":"Environ. Res. Lett.","page":"094004","source":"DOI.org (Crossref)","title":"Ocean liming can help achieve the Paris climate target","volume":"20","author":[{"family":"Strefler","given":"Jessica"},{"family":"Kowalczyk","given":"Katarzyna"},{"family":"Hofbauer","given":"Verena"},{"family":"Dorndorf","given":"Tabea"},{"family":"Baumstark","given":"Lavinia"}],"issued":{"date-parts":[["2025",9,1]]}}},{"id":779,"uris":["http://zotero.org/groups/5481195/items/WHLUIM4F"],"itemData":{"id":779,"type":"article-journal","container-title":"Journal of Cleaner Production","DOI":"10.1016/j.jclepro.2022.133309","ISSN":"0959-6526","language":"en","license":"https://www.elsevier.com/tdm/userlicense/1.0/","note":"publisher: Elsevier BV","page":"133309","source":"Crossref","title":"Life cycle assessment of ocean liming for carbon dioxide removal from the atmosphere","volume":"370","author":[{"family":"Foteinis","given":"Spyros"},{"family":"Andresen","given":"John"},{"family":"Campo","given":"Francesco"},{"family":"Caserini","given":"Stefano"},{"family":"Renforth","given":"Phil"}],"issued":{"date-parts":[["2022",10]]}}}],"schema":"https://github.com/citation-style-language/schema/raw/master/csl-citation.json"} </w:instrText>
      </w:r>
      <w:r>
        <w:rPr>
          <w:rFonts w:ascii="Times New Roman" w:hAnsi="Times New Roman" w:cs="Times New Roman"/>
          <w:sz w:val="20"/>
          <w:szCs w:val="20"/>
        </w:rPr>
        <w:fldChar w:fldCharType="separate"/>
      </w:r>
      <w:r w:rsidRPr="00C67433">
        <w:rPr>
          <w:rFonts w:ascii="Times New Roman" w:hAnsi="Times New Roman" w:cs="Times New Roman"/>
          <w:kern w:val="0"/>
          <w:sz w:val="20"/>
          <w:vertAlign w:val="superscript"/>
        </w:rPr>
        <w:t>14,15</w:t>
      </w:r>
      <w:r>
        <w:rPr>
          <w:rFonts w:ascii="Times New Roman" w:hAnsi="Times New Roman" w:cs="Times New Roman"/>
          <w:sz w:val="20"/>
          <w:szCs w:val="20"/>
        </w:rPr>
        <w:fldChar w:fldCharType="end"/>
      </w:r>
      <w:r>
        <w:rPr>
          <w:rFonts w:ascii="Times New Roman" w:hAnsi="Times New Roman" w:cs="Times New Roman"/>
          <w:sz w:val="20"/>
          <w:szCs w:val="20"/>
        </w:rPr>
        <w:t>), and a range of energy consumption values for olivine-like minerals grinded to 5 µm (~300–2500</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{"citationID":"qXoWrRPB","properties":{"formattedCitation":"\\super 16\\uc0\\u8211{}19\\nosupersub{}","plainCitation":"16–19","noteIndex":0},"citationItems":[{"id":101,"uris":["http://zotero.org/groups/5481195/items/XLE8ZLN7"],"itemData":{"id":101,"type":"article-journal","abstract":"Abstract\n            \n              Over the coming century humanity may need to find reservoirs to store several trillions of tons of carbon dioxide (CO\n              2\n              ) emitted from fossil fuel combustion, which would otherwise cause dangerous climate change if it were left in the atmosphere. Carbon storage in the ocean as bicarbonate ions (by increasing ocean alkalinity) has received very little attention. Yet recent work suggests sufficient capacity to sequester copious quantities of CO\n              2\n              . It may be possible to sequester hundreds of billions to trillions of tons of C without surpassing postindustrial average carbonate saturation states in the surface ocean. When globally distributed, the impact of elevated alkalinity is potentially small and may help ameliorate the effects of ocean acidification. However, the local impact around addition sites may be more acute but is specific to the mineral and technology. The alkalinity of the ocean increases naturally because of rock weathering in which &gt;1.5 mol of carbon are removed from the atmosphere for every mole of magnesium or calcium dissolved from silicate minerals (e.g., wollastonite, olivine, and anorthite) and 0.5 mol for carbonate minerals (e.g., calcite and dolomite). These processes are responsible for naturally sequestering 0.5 billion tons of CO\n              2\n              per year. Alkalinity is reduced in the ocean through carbonate mineral precipitation, which is almost exclusively formed from biological activity. Most of the previous work on the biological response to changes in carbonate chemistry have focused on acidifying conditions. More research is required to understand carbonate precipitation at elevated alkalinity to constrain the longevity of carbon storage. A range of technologies have been proposed to increase ocean alkalinity (accelerated weathering of limestone, enhanced weathering, electrochemical promoted weathering, and ocean liming), the cost of which may be comparable to alternative carbon sequestration proposals (e.g., $20–100 tCO\n              2\n              −1\n              ). There are still many unanswered technical, environmental, social, and ethical questions, but the scale of the carbon sequestration challenge warrants research to address these.\n            \n          , \n            Key Points\n            \n              \n                \n                  The ocean naturally stores a very large quantity of carbon as dissolved carbonate and bicarbonate ions\n                \n                \n                  It may be possible to store additional carbon in this sink to mitigate climate change at costs that are comparable to conventional mitigation\n                \n                \n                  Research is needed to understand the impacts and the feasibility of this approach","container-title":"Reviews of Geophysics","DOI":"10.1002/2016RG000533","ISSN":"8755-1209, 1944-9208","issue":"3","journalAbbreviation":"Reviews of Geophysics","language":"en","license":"http://onlinelibrary.wiley.com/termsAndConditions#vor","page":"636-674","source":"DOI.org (Crossref)","title":"Assessing ocean alkalinity for carbon sequestration","volume":"55","author":[{"family":"Renforth","given":"Phil"},{"family":"Henderson","given":"Gideon"}],"issued":{"date-parts":[["2017",9]]}}},{"id":121,"uris":["http://zotero.org/users/12008275/items/RZAHCP6T"],"itemData":{"id":121,"type":"article-journal","abstract":"Coastal enhanced weathering (CEW) is a carbon dioxide removal (CDR) approach whereby crushed silicate minerals are spread in coastal zones to be naturally weathered by waves and tidal currents, releasing alkalinity and removing atmospheric carbon dioxide (CO2). Olivine has been proposed as a candidate mineral due to its abundance and high CO2 uptake potential. A life cycle assessment (LCA) of silt-sized (10 μm) olivine revealed that CEW's life-cycle carbon emissions and total environmental footprint, i.e., carbon and environmental penalty, amount to around 51 kg CO2eq and 3.2 Ecopoint (Pt) units per tonne of captured atmospheric CO2, respectively, and these will be recaptured within a few months. Smaller particle sizes dissolve and uptake atmospheric CO2 even faster; however, their high carbon and environmental footprints (e.g., 223 kg CO2eq and 10.6 Pt tCO2-1, respectively, for 1 μm olivine), engineering challenges in comminution and transportation, and possible environmental stresses (e.g., airborne and/or silt pollution) might restrict their applicability. Alternatively, larger particle sizes exhibit lower footprints (e.g., 14.2 kg CO2eq tCO2-1 and 1.6 Pt tCO2-1, respectively, for 1000 μm olivine) and could be incorporated in coastal zone management schemes, thus possibly crediting CEW with avoided emissions. However, they dissolve much slower, requiring 5 and 37 years before the 1000 μm olivine becomes carbon and environmental net negative, respectively. The differences between the carbon and environmental penalties highlight the need for using multi-issue life cycle impact assessment methods rather than focusing on carbon balances alone. When CEW's full environmental profile was considered, it was identified that fossil fuel-dependent electricity for olivine comminution is the main environmental hotspot, followed by nickel releases, which may have a large impact on marine ecotoxicity. Results were also sensitive to transportation means and distance. Renewable energy and low-nickel olivine can minimize CEW's carbon and environmental profile.","container-title":"Environmental Science and Technology","DOI":"10.1021/acs.est.2c08633","issue":"15","note":"DOI: 10.1021/acs.est.2c08633\nMAG ID: 4362521556\nPMCID: 10116589\nPMID: 37011253\nS2ID: c4a0c275fa120ce208d9a8b706901b6d3d7557b8","page":"6169-6178","title":"Life Cycle Assessment of Coastal Enhanced Weathering for Carbon Dioxide Removal from Air","volume":"57","author":[{"literal":"Spyros Foteinis"},{"literal":"James Campbell"},{"literal":"Phil Renforth"}],"issued":{"date-parts":[["2023",4,3]]}}},{"id":998,"uris":["http://zotero.org/groups/5481195/items/WSIEPXBQ"],"itemData":{"id":998,"type":"article-journal","abstract":"Abstract\n            \n              The large-scale implementation of geochemical Carbon Dioxide Removal (CDR) approaches such as Enhanced Weathering (EW) and Ocean Liming (OL) will require the extraction and processing of large amounts of limestone and olivine-rich rocks. Based on a literature review, surface mining, comminution, their related sub-stages, and long-haul transportation have carefully been surveyed to elucidate the order of magnitude of the energy demand, the technical challenges posed by each operation, and the potential energy-savings achievable by applying opportune strategies. This work confirms the significant energy-saving opportunities in fine and ultrafine grinding (one of the most energy-consuming activities along the raw material supply chain) as underlined by previous studies, and, in addition, it focuses on limestone and olivine-rich rocks providing new outcomes, it analyses data from a climate change perspective and extends calculations and discussion to transportation. The results show that the implementation of energy-saving strategies (cutting-edge energy efficiency solutions and best practices) to comminute such materials for OL and EW purposes in the near-medium term (2025–2050) would reduce the average electricity demand by 33%–65% in case of low carbon removal target (up to 27 MtC yr\n              −1\n              ) and substantial energy efficiency improvement, and by 33%–36% in case of high carbon removal target (up to 69 MtC yr\n              −1\n              ) and poor energy efficiency improvement.","container-title":"Environmental Research Letters","DOI":"10.1088/1748-9326/ad4efb","ISSN":"1748-9326","issue":"7","journalAbbreviation":"Environ. Res. Lett.","page":"073009","source":"DOI.org (Crossref)","title":"Energy demand and savings opportunities in the supply of limestone and olivine-rich rocks for geochemical carbon dioxide removal","volume":"19","author":[{"family":"Marco","given":"Serena De"},{"family":"Caserini","given":"Stefano"},{"family":"Amann","given":"Thorben"},{"family":"Grosso","given":"Mario"}],"issued":{"date-parts":[["2024",7,1]]}}},{"id":948,"uris":["http://zotero.org/groups/5481195/items/MTAFJFIW"],"itemData":{"id":948,"type":"article-journal","container-title":"Environmental Research Letters","DOI":"10.1088/1748-9326/aaa9c4","ISSN":"1748-9326","issue":"3","journalAbbreviation":"Environ. Res. Lett.","page":"034010","source":"DOI.org (Crossref)","title":"Potential and costs of carbon dioxide removal by enhanced weathering of rocks","volume":"13","author":[{"family":"Strefler","given":"Jessica"},{"family":"Amann","given":"Thorben"},{"family":"Bauer","given":"Nico"},{"family":"Kriegler","given":"Elmar"},{"family":"Hartmann","given":"Jens"}],"issued":{"date-parts":[["2018",3,1]]}}}],"schema":"https://github.com/citation-style-language/schema/raw/master/csl-citation.json"} </w:instrText>
      </w:r>
      <w:r>
        <w:rPr>
          <w:rFonts w:ascii="Times New Roman" w:hAnsi="Times New Roman" w:cs="Times New Roman"/>
          <w:sz w:val="20"/>
          <w:szCs w:val="20"/>
        </w:rPr>
        <w:fldChar w:fldCharType="separate"/>
      </w:r>
      <w:r w:rsidRPr="00C436A2">
        <w:rPr>
          <w:rFonts w:ascii="Times New Roman" w:hAnsi="Times New Roman" w:cs="Times New Roman"/>
          <w:kern w:val="0"/>
          <w:sz w:val="20"/>
          <w:vertAlign w:val="superscript"/>
        </w:rPr>
        <w:t>16–19</w:t>
      </w:r>
      <w:r>
        <w:rPr>
          <w:rFonts w:ascii="Times New Roman" w:hAnsi="Times New Roman" w:cs="Times New Roman"/>
          <w:sz w:val="20"/>
          <w:szCs w:val="20"/>
        </w:rPr>
        <w:fldChar w:fldCharType="end"/>
      </w:r>
      <w:r>
        <w:rPr>
          <w:rFonts w:ascii="Times New Roman" w:hAnsi="Times New Roman" w:cs="Times New Roman"/>
          <w:sz w:val="20"/>
          <w:szCs w:val="20"/>
        </w:rPr>
        <w:t xml:space="preserve">). Both mineral feedstocks (lime derivatives and crushed olivine) are included under mOAE scenarios. </w:t>
      </w:r>
      <w:r w:rsidRPr="00CB46B2">
        <w:rPr>
          <w:rFonts w:ascii="Times New Roman" w:hAnsi="Times New Roman" w:cs="Times New Roman"/>
          <w:sz w:val="20"/>
          <w:szCs w:val="20"/>
        </w:rPr>
        <w:t xml:space="preserve">Supplementary Table </w:t>
      </w:r>
      <w:r w:rsidR="00CB46B2" w:rsidRPr="00CB46B2">
        <w:rPr>
          <w:rFonts w:ascii="Times New Roman" w:hAnsi="Times New Roman" w:cs="Times New Roman"/>
          <w:sz w:val="20"/>
          <w:szCs w:val="20"/>
        </w:rPr>
        <w:t>6</w:t>
      </w:r>
      <w:r>
        <w:rPr>
          <w:rFonts w:ascii="Times New Roman" w:hAnsi="Times New Roman" w:cs="Times New Roman"/>
          <w:sz w:val="20"/>
          <w:szCs w:val="20"/>
        </w:rPr>
        <w:t xml:space="preserve"> outlines relevant conversion factors for mineral feedstocks. Conservative, baseline, and optimistic energy intensities (</w:t>
      </w:r>
      <w:r w:rsidR="007663D7">
        <w:rPr>
          <w:rFonts w:ascii="Times New Roman" w:hAnsi="Times New Roman" w:cs="Times New Roman"/>
          <w:sz w:val="20"/>
          <w:szCs w:val="20"/>
        </w:rPr>
        <w:t>b</w:t>
      </w:r>
      <w:r>
        <w:rPr>
          <w:rFonts w:ascii="Times New Roman" w:hAnsi="Times New Roman" w:cs="Times New Roman"/>
          <w:sz w:val="20"/>
          <w:szCs w:val="20"/>
        </w:rPr>
        <w:t>) are chosen for the year of first deployment based on the ranges found in the literature (a).</w:t>
      </w:r>
      <w:r w:rsidR="007663D7">
        <w:rPr>
          <w:rFonts w:ascii="Times New Roman" w:hAnsi="Times New Roman" w:cs="Times New Roman"/>
          <w:b/>
          <w:bCs/>
          <w:sz w:val="20"/>
          <w:szCs w:val="20"/>
        </w:rPr>
        <w:t xml:space="preserve"> </w:t>
      </w:r>
      <w:r w:rsidR="007663D7">
        <w:rPr>
          <w:rFonts w:ascii="Times New Roman" w:hAnsi="Times New Roman" w:cs="Times New Roman"/>
          <w:sz w:val="20"/>
          <w:szCs w:val="20"/>
        </w:rPr>
        <w:t xml:space="preserve"> </w:t>
      </w:r>
      <w:r>
        <w:rPr>
          <w:rFonts w:ascii="Times New Roman" w:hAnsi="Times New Roman" w:cs="Times New Roman"/>
          <w:sz w:val="20"/>
          <w:szCs w:val="20"/>
        </w:rPr>
        <w:t>Reductions in energy intensity over time are modeled based on technoeconomic projections of mineral supply chains and similar electrochemical processes.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{"citationID":"y8IvVXwf","properties":{"formattedCitation":"\\super 18,20\\uc0\\u8211{}23\\nosupersub{}","plainCitation":"18,20–23","dontUpdate":true,"noteIndex":0},"citationItems":[{"id":998,"uris":["http://zotero.org/groups/5481195/items/WSIEPXBQ"],"itemData":{"id":998,"type":"article-journal","abstract":"Abstract\n            \n              The large-scale implementation of geochemical Carbon Dioxide Removal (CDR) approaches such as Enhanced Weathering (EW) and Ocean Liming (OL) will require the extraction and processing of large amounts of limestone and olivine-rich rocks. Based on a literature review, surface mining, comminution, their related sub-stages, and long-haul transportation have carefully been surveyed to elucidate the order of magnitude of the energy demand, the technical challenges posed by each operation, and the potential energy-savings achievable by applying opportune strategies. This work confirms the significant energy-saving opportunities in fine and ultrafine grinding (one of the most energy-consuming activities along the raw material supply chain) as underlined by previous studies, and, in addition, it focuses on limestone and olivine-rich rocks providing new outcomes, it analyses data from a climate change perspective and extends calculations and discussion to transportation. The results show that the implementation of energy-saving strategies (cutting-edge energy efficiency solutions and best practices) to comminute such materials for OL and EW purposes in the near-medium term (2025–2050) would reduce the average electricity demand by 33%–65% in case of low carbon removal target (up to 27 MtC yr\n              −1\n              ) and substantial energy efficiency improvement, and by 33%–36% in case of high carbon removal target (up to 69 MtC yr\n              −1\n              ) and poor energy efficiency improvement.","container-title":"Environmental Research Letters","DOI":"10.1088/1748-9326/ad4efb","ISSN":"1748-9326","issue":"7","journalAbbreviation":"Environ. Res. Lett.","page":"073009","source":"DOI.org (Crossref)","title":"Energy demand and savings opportunities in the supply of limestone and olivine-rich rocks for geochemical carbon dioxide removal","volume":"19","author":[{"family":"Marco","given":"Serena De"},{"family":"Caserini","given":"Stefano"},{"family":"Amann","given":"Thorben"},{"family":"Grosso","given":"Mario"}],"issued":{"date-parts":[["2024",7,1]]}}},{"id":936,"uris":["http://zotero.org/groups/5481195/items/LX7CC8HB"],"itemData":{"id":936,"type":"article-journal","container-title":"Energy Policy","DOI":"10.1016/j.enpol.2005.06.020","ISSN":"03014215","issue":"17","journalAbbreviation":"Energy Policy","language":"en","license":"https://www.elsevier.com/tdm/userlicense/1.0/","page":"3218-3232","source":"DOI.org (Crossref)","title":"Beyond the learning curve: factors influencing cost reductions in photovoltaics","title-short":"Beyond the learning curve","volume":"34","author":[{"family":"Nemet","given":"Gregory F."}],"issued":{"date-parts":[["2006",11]]}}},{"id":937,"uris":["http://zotero.org/groups/5481195/items/3XGY6LPA"],"itemData":{"id":937,"type":"article-journal","abstract":"Abstract\n            Since the 1970s, installed solar photovoltaic capacity has grown tremendously to 230 gigawatt worldwide in 2015, with a growth rate between 1975 and 2015 of 45%. This rapid growth has led to concerns regarding the energy consumption and greenhouse gas emissions of photovoltaics production. We present a review of 40 years of photovoltaics development, analysing the development of energy demand and greenhouse gas emissions associated with photovoltaics production. Here we show strong downward trends of environmental impact of photovoltaics production, following the experience curve law. For every doubling of installed photovoltaic capacity, energy use decreases by 13 and 12% and greenhouse gas footprints by 17 and 24%, for poly- and monocrystalline based photovoltaic systems, respectively. As a result, we show a break-even between the cumulative disadvantages and benefits of photovoltaics, for both energy use and greenhouse gas emissions, occurs between 1997 and 2018, depending on photovoltaic performance and model uncertainties.","container-title":"Nature Communications","DOI":"10.1038/ncomms13728","ISSN":"2041-1723","issue":"1","journalAbbreviation":"Nat Commun","language":"en","page":"13728","source":"DOI.org (Crossref)","title":"Re-assessment of net energy production and greenhouse gas emissions avoidance after 40 years of photovoltaics development","volume":"7","author":[{"family":"Louwen","given":"Atse"},{"family":"Van Sark","given":"Wilfried G. J. H. M."},{"family":"Faaij","given":"André P. C."},{"family":"Schropp","given":"Ruud E. I."}],"issued":{"date-parts":[["2016",12,6]]}}},{"id":939,"uris":["http://zotero.org/groups/5481195/items/GGD3X5Y9"],"itemData":{"id":939,"type":"article-journal","container-title":"Joule","DOI":"10.1016/j.joule.2020.09.004","ISSN":"25424351","issue":"11","journalAbbreviation":"Joule","language":"en","page":"2259-2267","source":"DOI.org (Crossref)","title":"Accelerating Low-Carbon Innovation","volume":"4","author":[{"family":"Malhotra","given":"Abhishek"},{"family":"Schmidt","given":"Tobias S."}],"issued":{"date-parts":[["2020",11]]}}},{"id":1005,"uris":["http://zotero.org/groups/5481195/items/7IY3H3DH"],"itemData":{"id":1005,"type":"article","DOI":"10.2139/ssrn.5177066","source":"SSRN","title":"Cost Assessment of Bipolar Membrane Electrodialysis for Carbon Dioxide Removal Via Synergy Mapping","URL":"https://www.ssrn.com/abstract=5177066","author":[{"family":"Wang","given":"Ruoqing"},{"family":"He","given":"Wei"}],"accessed":{"date-parts":[["2025",10,17]]},"issued":{"date-parts":[["2025"]]}}}],"schema":"https://github.com/citation-style-language/schema/raw/master/csl-citation.json"} </w:instrText>
      </w:r>
      <w:r>
        <w:rPr>
          <w:rFonts w:ascii="Times New Roman" w:hAnsi="Times New Roman" w:cs="Times New Roman"/>
          <w:sz w:val="20"/>
          <w:szCs w:val="20"/>
        </w:rPr>
        <w:fldChar w:fldCharType="separate"/>
      </w:r>
      <w:r w:rsidRPr="00291196">
        <w:rPr>
          <w:rFonts w:ascii="Times New Roman" w:hAnsi="Times New Roman" w:cs="Times New Roman"/>
          <w:kern w:val="0"/>
          <w:sz w:val="20"/>
          <w:vertAlign w:val="superscript"/>
        </w:rPr>
        <w:t>18,20–23</w:t>
      </w:r>
    </w:p>
    <w:p w14:paraId="12960AE9" w14:textId="5AC9EDC9" w:rsidR="00833767" w:rsidRDefault="008C651B" w:rsidP="0037782C">
      <w:pPr>
        <w:spacing w:line="276" w:lineRule="auto"/>
        <w:jc w:val="center"/>
        <w:rPr>
          <w:rFonts w:ascii="Times New Roman" w:hAnsi="Times New Roman" w:cs="Times New Roman"/>
          <w:kern w:val="0"/>
          <w:sz w:val="20"/>
          <w:vertAlign w:val="superscript"/>
        </w:rPr>
      </w:pPr>
      <w:r>
        <w:rPr>
          <w:rFonts w:ascii="Times New Roman" w:hAnsi="Times New Roman" w:cs="Times New Roman"/>
          <w:noProof/>
          <w:kern w:val="0"/>
          <w:sz w:val="20"/>
          <w:vertAlign w:val="superscript"/>
        </w:rPr>
        <w:drawing>
          <wp:inline distT="0" distB="0" distL="0" distR="0" wp14:anchorId="6C4B9132" wp14:editId="436A71B8">
            <wp:extent cx="4572000" cy="6064685"/>
            <wp:effectExtent l="0" t="0" r="0" b="6350"/>
            <wp:docPr id="1744115559" name="Picture 3" descr="A table of energy parame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5559" name="Picture 3" descr="A table of energy paramete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75005" cy="6068671"/>
                    </a:xfrm>
                    <a:prstGeom prst="rect">
                      <a:avLst/>
                    </a:prstGeom>
                  </pic:spPr>
                </pic:pic>
              </a:graphicData>
            </a:graphic>
          </wp:inline>
        </w:drawing>
      </w:r>
    </w:p>
    <w:p w14:paraId="7AA38191" w14:textId="37948025" w:rsidR="00E42B38" w:rsidRPr="0005069A" w:rsidRDefault="00833767" w:rsidP="0005069A">
      <w:pPr>
        <w:spacing w:line="276" w:lineRule="auto"/>
        <w:jc w:val="center"/>
        <w:rPr>
          <w:rFonts w:ascii="Times New Roman" w:hAnsi="Times New Roman" w:cs="Times New Roman"/>
          <w:sz w:val="20"/>
          <w:szCs w:val="20"/>
        </w:rPr>
      </w:pPr>
      <w:r>
        <w:rPr>
          <w:rFonts w:ascii="Times New Roman" w:hAnsi="Times New Roman" w:cs="Times New Roman"/>
          <w:sz w:val="20"/>
          <w:szCs w:val="20"/>
        </w:rPr>
        <w:fldChar w:fldCharType="end"/>
      </w:r>
    </w:p>
    <w:p w14:paraId="6271B52A" w14:textId="77777777" w:rsidR="00E42B38" w:rsidRDefault="00E42B38" w:rsidP="00F778A2">
      <w:pPr>
        <w:spacing w:line="276" w:lineRule="auto"/>
        <w:rPr>
          <w:rFonts w:ascii="Times New Roman" w:hAnsi="Times New Roman" w:cs="Times New Roman"/>
          <w:b/>
          <w:bCs/>
          <w:sz w:val="20"/>
          <w:szCs w:val="20"/>
        </w:rPr>
      </w:pPr>
    </w:p>
    <w:p w14:paraId="1F323343" w14:textId="6EF4B589" w:rsidR="0058207D" w:rsidRPr="00757225" w:rsidRDefault="0058207D" w:rsidP="0058207D">
      <w:pPr>
        <w:pStyle w:val="p1"/>
        <w:rPr>
          <w:rFonts w:eastAsiaTheme="minorHAnsi"/>
          <w:color w:val="000000" w:themeColor="text1"/>
          <w:kern w:val="24"/>
          <w:sz w:val="20"/>
          <w:szCs w:val="20"/>
        </w:rPr>
      </w:pPr>
      <w:r w:rsidRPr="00C80040">
        <w:rPr>
          <w:b/>
          <w:bCs/>
          <w:sz w:val="20"/>
          <w:szCs w:val="20"/>
        </w:rPr>
        <w:lastRenderedPageBreak/>
        <w:t xml:space="preserve">Supplementary Table </w:t>
      </w:r>
      <w:r>
        <w:rPr>
          <w:b/>
          <w:bCs/>
          <w:sz w:val="20"/>
          <w:szCs w:val="20"/>
        </w:rPr>
        <w:t>6</w:t>
      </w:r>
      <w:r w:rsidRPr="00C80040">
        <w:rPr>
          <w:b/>
          <w:bCs/>
          <w:sz w:val="20"/>
          <w:szCs w:val="20"/>
        </w:rPr>
        <w:t xml:space="preserve"> | </w:t>
      </w:r>
      <w:r>
        <w:rPr>
          <w:b/>
          <w:bCs/>
          <w:sz w:val="20"/>
          <w:szCs w:val="20"/>
        </w:rPr>
        <w:t>Alkalinity feedstock conversion factors</w:t>
      </w:r>
      <w:r w:rsidRPr="00C80040">
        <w:rPr>
          <w:b/>
          <w:bCs/>
          <w:sz w:val="20"/>
          <w:szCs w:val="20"/>
        </w:rPr>
        <w:t>.</w:t>
      </w:r>
      <w:r>
        <w:rPr>
          <w:b/>
          <w:bCs/>
          <w:sz w:val="20"/>
          <w:szCs w:val="20"/>
        </w:rPr>
        <w:t xml:space="preserve"> </w:t>
      </w:r>
      <w:r>
        <w:rPr>
          <w:sz w:val="20"/>
          <w:szCs w:val="20"/>
        </w:rPr>
        <w:t>Stochiometric relationships between alkalinity feedstocks</w:t>
      </w:r>
      <w:r w:rsidR="007E33BA">
        <w:rPr>
          <w:sz w:val="20"/>
          <w:szCs w:val="20"/>
        </w:rPr>
        <w:t>.</w:t>
      </w:r>
      <w:r w:rsidR="00B378EA">
        <w:rPr>
          <w:sz w:val="20"/>
          <w:szCs w:val="20"/>
        </w:rPr>
        <w:t xml:space="preserve"> Total</w:t>
      </w:r>
      <w:r w:rsidR="007E33BA">
        <w:rPr>
          <w:sz w:val="20"/>
          <w:szCs w:val="20"/>
        </w:rPr>
        <w:t xml:space="preserve"> </w:t>
      </w:r>
      <w:r w:rsidR="00B378EA">
        <w:rPr>
          <w:sz w:val="20"/>
          <w:szCs w:val="20"/>
        </w:rPr>
        <w:t>a</w:t>
      </w:r>
      <w:r w:rsidR="007E33BA">
        <w:rPr>
          <w:sz w:val="20"/>
          <w:szCs w:val="20"/>
        </w:rPr>
        <w:t>lkal</w:t>
      </w:r>
      <w:r w:rsidR="00B378EA">
        <w:rPr>
          <w:sz w:val="20"/>
          <w:szCs w:val="20"/>
        </w:rPr>
        <w:t>inity (TA) is expressed in terms of CaCO</w:t>
      </w:r>
      <w:r w:rsidR="00B378EA">
        <w:rPr>
          <w:sz w:val="20"/>
          <w:szCs w:val="20"/>
          <w:vertAlign w:val="subscript"/>
        </w:rPr>
        <w:t>3</w:t>
      </w:r>
      <w:r w:rsidR="00B378EA">
        <w:rPr>
          <w:sz w:val="20"/>
          <w:szCs w:val="20"/>
        </w:rPr>
        <w:t xml:space="preserve"> equivalents</w:t>
      </w:r>
      <w:r w:rsidR="0018663D">
        <w:rPr>
          <w:sz w:val="20"/>
          <w:szCs w:val="20"/>
        </w:rPr>
        <w:t>. Sodium hydroxide (NaOH) is the alkalinity source produced by eOAE proces</w:t>
      </w:r>
      <w:r w:rsidR="00E5671E">
        <w:rPr>
          <w:sz w:val="20"/>
          <w:szCs w:val="20"/>
        </w:rPr>
        <w:t>ses.</w:t>
      </w:r>
      <w:r w:rsidR="005F3F0E">
        <w:rPr>
          <w:sz w:val="20"/>
          <w:szCs w:val="20"/>
        </w:rPr>
        <w:t xml:space="preserve"> Calcium hydroxide (</w:t>
      </w:r>
      <w:proofErr w:type="gramStart"/>
      <w:r w:rsidR="005F3F0E">
        <w:rPr>
          <w:sz w:val="20"/>
          <w:szCs w:val="20"/>
        </w:rPr>
        <w:t>Ca(</w:t>
      </w:r>
      <w:proofErr w:type="gramEnd"/>
      <w:r w:rsidR="005F3F0E">
        <w:rPr>
          <w:sz w:val="20"/>
          <w:szCs w:val="20"/>
        </w:rPr>
        <w:t>OH)</w:t>
      </w:r>
      <w:r w:rsidR="005F3F0E">
        <w:rPr>
          <w:sz w:val="20"/>
          <w:szCs w:val="20"/>
          <w:vertAlign w:val="subscript"/>
        </w:rPr>
        <w:t>2</w:t>
      </w:r>
      <w:r w:rsidR="005F3F0E">
        <w:rPr>
          <w:sz w:val="20"/>
          <w:szCs w:val="20"/>
        </w:rPr>
        <w:t>) and olivine (Mg</w:t>
      </w:r>
      <w:r w:rsidR="005F3F0E">
        <w:rPr>
          <w:sz w:val="20"/>
          <w:szCs w:val="20"/>
          <w:vertAlign w:val="subscript"/>
        </w:rPr>
        <w:t>2</w:t>
      </w:r>
      <w:r w:rsidR="005F3F0E">
        <w:rPr>
          <w:sz w:val="20"/>
          <w:szCs w:val="20"/>
        </w:rPr>
        <w:t>SiO</w:t>
      </w:r>
      <w:r w:rsidR="005F3F0E">
        <w:rPr>
          <w:sz w:val="20"/>
          <w:szCs w:val="20"/>
          <w:vertAlign w:val="subscript"/>
        </w:rPr>
        <w:t>4</w:t>
      </w:r>
      <w:r w:rsidR="00757225">
        <w:rPr>
          <w:sz w:val="20"/>
          <w:szCs w:val="20"/>
        </w:rPr>
        <w:t>) are the specific feedstocks with process emissions represented in this model. Brucite (</w:t>
      </w:r>
      <w:proofErr w:type="gramStart"/>
      <w:r w:rsidR="00757225">
        <w:rPr>
          <w:sz w:val="20"/>
          <w:szCs w:val="20"/>
        </w:rPr>
        <w:t>Mg(</w:t>
      </w:r>
      <w:proofErr w:type="gramEnd"/>
      <w:r w:rsidR="00757225">
        <w:rPr>
          <w:sz w:val="20"/>
          <w:szCs w:val="20"/>
        </w:rPr>
        <w:t>OH)</w:t>
      </w:r>
      <w:r w:rsidR="00757225">
        <w:rPr>
          <w:sz w:val="20"/>
          <w:szCs w:val="20"/>
          <w:vertAlign w:val="subscript"/>
        </w:rPr>
        <w:t>2</w:t>
      </w:r>
      <w:r w:rsidR="00757225">
        <w:rPr>
          <w:sz w:val="20"/>
          <w:szCs w:val="20"/>
        </w:rPr>
        <w:t xml:space="preserve">) is </w:t>
      </w:r>
      <w:r w:rsidR="00403945">
        <w:rPr>
          <w:sz w:val="20"/>
          <w:szCs w:val="20"/>
        </w:rPr>
        <w:t xml:space="preserve">included for reference as </w:t>
      </w:r>
      <w:r w:rsidR="00757225">
        <w:rPr>
          <w:sz w:val="20"/>
          <w:szCs w:val="20"/>
        </w:rPr>
        <w:t>another source of</w:t>
      </w:r>
      <w:r w:rsidR="00403945">
        <w:rPr>
          <w:sz w:val="20"/>
          <w:szCs w:val="20"/>
        </w:rPr>
        <w:t xml:space="preserve"> alkalinity commonly discussed with OAE potential. Conversion factors represent (1) t</w:t>
      </w:r>
      <w:r w:rsidR="0003383F">
        <w:rPr>
          <w:sz w:val="20"/>
          <w:szCs w:val="20"/>
        </w:rPr>
        <w:t xml:space="preserve">onnes of feedstock needed </w:t>
      </w:r>
      <w:r w:rsidR="00CF581C">
        <w:rPr>
          <w:sz w:val="20"/>
          <w:szCs w:val="20"/>
        </w:rPr>
        <w:t>to provide the same alkalinity as one tonne of CaCO</w:t>
      </w:r>
      <w:r w:rsidR="00CF581C">
        <w:rPr>
          <w:sz w:val="20"/>
          <w:szCs w:val="20"/>
          <w:vertAlign w:val="subscript"/>
        </w:rPr>
        <w:t>3</w:t>
      </w:r>
      <w:r w:rsidR="00CF581C">
        <w:rPr>
          <w:sz w:val="20"/>
          <w:szCs w:val="20"/>
        </w:rPr>
        <w:t xml:space="preserve"> and (2) tons of CaCO</w:t>
      </w:r>
      <w:r w:rsidR="00CF581C">
        <w:rPr>
          <w:sz w:val="20"/>
          <w:szCs w:val="20"/>
          <w:vertAlign w:val="subscript"/>
        </w:rPr>
        <w:t>3</w:t>
      </w:r>
      <w:r w:rsidR="00CF581C">
        <w:rPr>
          <w:sz w:val="20"/>
          <w:szCs w:val="20"/>
        </w:rPr>
        <w:t xml:space="preserve"> equivalent alkalinity provided by one tonne of feedstock</w:t>
      </w:r>
      <w:r w:rsidR="008C15CC">
        <w:rPr>
          <w:sz w:val="20"/>
          <w:szCs w:val="20"/>
        </w:rPr>
        <w:t>.</w:t>
      </w:r>
      <w:r w:rsidR="00403945">
        <w:rPr>
          <w:sz w:val="20"/>
          <w:szCs w:val="20"/>
        </w:rPr>
        <w:t xml:space="preserve"> </w:t>
      </w:r>
    </w:p>
    <w:p w14:paraId="63E558BF" w14:textId="77777777" w:rsidR="0058207D" w:rsidRDefault="0058207D" w:rsidP="0058207D">
      <w:pPr>
        <w:pStyle w:val="p1"/>
        <w:rPr>
          <w:rFonts w:eastAsiaTheme="minorHAnsi"/>
          <w:color w:val="000000" w:themeColor="text1"/>
          <w:kern w:val="24"/>
          <w:sz w:val="20"/>
          <w:szCs w:val="20"/>
        </w:rPr>
      </w:pPr>
      <w:r>
        <w:rPr>
          <w:rFonts w:eastAsiaTheme="minorHAnsi"/>
          <w:noProof/>
          <w:color w:val="000000" w:themeColor="text1"/>
          <w:kern w:val="24"/>
          <w:sz w:val="20"/>
          <w:szCs w:val="20"/>
          <w14:ligatures w14:val="standardContextual"/>
        </w:rPr>
        <w:drawing>
          <wp:inline distT="0" distB="0" distL="0" distR="0" wp14:anchorId="708A80B2" wp14:editId="0C782514">
            <wp:extent cx="6400800" cy="1525270"/>
            <wp:effectExtent l="0" t="0" r="0" b="0"/>
            <wp:docPr id="1995962590" name="Picture 15"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2590" name="Picture 15" descr="A table with numbers and symbol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400800" cy="1525270"/>
                    </a:xfrm>
                    <a:prstGeom prst="rect">
                      <a:avLst/>
                    </a:prstGeom>
                  </pic:spPr>
                </pic:pic>
              </a:graphicData>
            </a:graphic>
          </wp:inline>
        </w:drawing>
      </w:r>
    </w:p>
    <w:p w14:paraId="01DC031B" w14:textId="77777777" w:rsidR="002E7563" w:rsidRDefault="002E7563" w:rsidP="00F778A2">
      <w:pPr>
        <w:spacing w:line="276" w:lineRule="auto"/>
        <w:rPr>
          <w:rFonts w:ascii="Times New Roman" w:hAnsi="Times New Roman" w:cs="Times New Roman"/>
          <w:b/>
          <w:bCs/>
          <w:sz w:val="20"/>
          <w:szCs w:val="20"/>
        </w:rPr>
      </w:pPr>
    </w:p>
    <w:p w14:paraId="0AD33ED9" w14:textId="77777777" w:rsidR="002E7563" w:rsidRDefault="002E7563" w:rsidP="00F778A2">
      <w:pPr>
        <w:spacing w:line="276" w:lineRule="auto"/>
        <w:rPr>
          <w:rFonts w:ascii="Times New Roman" w:hAnsi="Times New Roman" w:cs="Times New Roman"/>
          <w:b/>
          <w:bCs/>
          <w:sz w:val="20"/>
          <w:szCs w:val="20"/>
        </w:rPr>
      </w:pPr>
    </w:p>
    <w:p w14:paraId="67BCAB44" w14:textId="77777777" w:rsidR="002E7563" w:rsidRDefault="002E7563" w:rsidP="00F778A2">
      <w:pPr>
        <w:spacing w:line="276" w:lineRule="auto"/>
        <w:rPr>
          <w:rFonts w:ascii="Times New Roman" w:hAnsi="Times New Roman" w:cs="Times New Roman"/>
          <w:b/>
          <w:bCs/>
          <w:sz w:val="20"/>
          <w:szCs w:val="20"/>
        </w:rPr>
      </w:pPr>
    </w:p>
    <w:p w14:paraId="2CA92E2C" w14:textId="77777777" w:rsidR="002E7563" w:rsidRDefault="002E7563" w:rsidP="00F778A2">
      <w:pPr>
        <w:spacing w:line="276" w:lineRule="auto"/>
        <w:rPr>
          <w:rFonts w:ascii="Times New Roman" w:hAnsi="Times New Roman" w:cs="Times New Roman"/>
          <w:b/>
          <w:bCs/>
          <w:sz w:val="20"/>
          <w:szCs w:val="20"/>
        </w:rPr>
      </w:pPr>
    </w:p>
    <w:p w14:paraId="550D38DF" w14:textId="77777777" w:rsidR="004F2F0D" w:rsidRDefault="004F2F0D" w:rsidP="0084093C">
      <w:pPr>
        <w:rPr>
          <w:rFonts w:ascii="Times New Roman" w:hAnsi="Times New Roman" w:cs="Times New Roman"/>
          <w:color w:val="000000" w:themeColor="text1"/>
          <w:kern w:val="24"/>
          <w:sz w:val="20"/>
          <w:szCs w:val="20"/>
          <w14:ligatures w14:val="none"/>
        </w:rPr>
      </w:pPr>
    </w:p>
    <w:p w14:paraId="25A4946C" w14:textId="77777777" w:rsidR="004F2F0D" w:rsidRDefault="004F2F0D" w:rsidP="0084093C">
      <w:pPr>
        <w:rPr>
          <w:rFonts w:ascii="Times New Roman" w:hAnsi="Times New Roman" w:cs="Times New Roman"/>
          <w:color w:val="000000" w:themeColor="text1"/>
          <w:kern w:val="24"/>
          <w:sz w:val="20"/>
          <w:szCs w:val="20"/>
          <w14:ligatures w14:val="none"/>
        </w:rPr>
      </w:pPr>
    </w:p>
    <w:p w14:paraId="3FA57DBD" w14:textId="075A1357" w:rsidR="005E1571" w:rsidRPr="0084093C" w:rsidRDefault="0084093C" w:rsidP="0084093C">
      <w:pPr>
        <w:rPr>
          <w:rFonts w:ascii="Times New Roman" w:hAnsi="Times New Roman" w:cs="Times New Roman"/>
          <w:color w:val="000000" w:themeColor="text1"/>
          <w:kern w:val="24"/>
          <w:sz w:val="20"/>
          <w:szCs w:val="20"/>
          <w14:ligatures w14:val="none"/>
        </w:rPr>
      </w:pPr>
      <w:r>
        <w:rPr>
          <w:b/>
          <w:bCs/>
          <w:noProof/>
          <w:sz w:val="20"/>
          <w:szCs w:val="20"/>
        </w:rPr>
        <w:lastRenderedPageBreak/>
        <w:drawing>
          <wp:inline distT="0" distB="0" distL="0" distR="0" wp14:anchorId="10933098" wp14:editId="44B9FB45">
            <wp:extent cx="6400800" cy="4286885"/>
            <wp:effectExtent l="0" t="0" r="0" b="5715"/>
            <wp:docPr id="58052099" name="Picture 11" descr="A graph of energy consump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2099" name="Picture 11" descr="A graph of energy consumptio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4286885"/>
                    </a:xfrm>
                    <a:prstGeom prst="rect">
                      <a:avLst/>
                    </a:prstGeom>
                  </pic:spPr>
                </pic:pic>
              </a:graphicData>
            </a:graphic>
          </wp:inline>
        </w:drawing>
      </w:r>
    </w:p>
    <w:p w14:paraId="3879F778" w14:textId="6F56F0C8" w:rsidR="00F279B1" w:rsidRDefault="00F279B1" w:rsidP="00F279B1">
      <w:pPr>
        <w:pStyle w:val="p1"/>
        <w:rPr>
          <w:sz w:val="20"/>
          <w:szCs w:val="20"/>
        </w:rPr>
      </w:pPr>
      <w:r w:rsidRPr="008B5125">
        <w:rPr>
          <w:b/>
          <w:bCs/>
          <w:sz w:val="20"/>
          <w:szCs w:val="20"/>
        </w:rPr>
        <w:t xml:space="preserve">Supplementary Figure </w:t>
      </w:r>
      <w:r w:rsidR="009E273E">
        <w:rPr>
          <w:b/>
          <w:bCs/>
          <w:sz w:val="20"/>
          <w:szCs w:val="20"/>
        </w:rPr>
        <w:t>6</w:t>
      </w:r>
      <w:r w:rsidRPr="008B5125">
        <w:rPr>
          <w:b/>
          <w:bCs/>
          <w:sz w:val="20"/>
          <w:szCs w:val="20"/>
        </w:rPr>
        <w:t xml:space="preserve"> | </w:t>
      </w:r>
      <w:r>
        <w:rPr>
          <w:b/>
          <w:bCs/>
          <w:sz w:val="20"/>
          <w:szCs w:val="20"/>
        </w:rPr>
        <w:t>Carbon intensity of electricity by region</w:t>
      </w:r>
      <w:r w:rsidRPr="008B5125">
        <w:rPr>
          <w:b/>
          <w:bCs/>
          <w:sz w:val="20"/>
          <w:szCs w:val="20"/>
        </w:rPr>
        <w:t>.</w:t>
      </w:r>
      <w:r w:rsidRPr="008B5125">
        <w:rPr>
          <w:sz w:val="20"/>
          <w:szCs w:val="20"/>
        </w:rPr>
        <w:t xml:space="preserve"> </w:t>
      </w:r>
      <w:r>
        <w:rPr>
          <w:sz w:val="20"/>
          <w:szCs w:val="20"/>
        </w:rPr>
        <w:t xml:space="preserve">Regional projections from the AR6 database for the carbon intensity of electricity production under the CurPol and ModAct </w:t>
      </w:r>
      <w:r w:rsidR="007170A5">
        <w:rPr>
          <w:sz w:val="20"/>
          <w:szCs w:val="20"/>
        </w:rPr>
        <w:t>illustrative pathways</w:t>
      </w:r>
      <w:r>
        <w:rPr>
          <w:sz w:val="20"/>
          <w:szCs w:val="20"/>
        </w:rPr>
        <w:t>. Carbon intensity of electricity (c) is calculated as ratio between CO</w:t>
      </w:r>
      <w:r>
        <w:rPr>
          <w:sz w:val="20"/>
          <w:szCs w:val="20"/>
          <w:vertAlign w:val="subscript"/>
        </w:rPr>
        <w:t>2</w:t>
      </w:r>
      <w:r>
        <w:rPr>
          <w:sz w:val="20"/>
          <w:szCs w:val="20"/>
        </w:rPr>
        <w:t xml:space="preserve"> emissions due to electricity production (b) and overall electricity usage (a). Regional values are linearly interpolated between 2020, 2030 and 2100</w:t>
      </w:r>
      <w:r w:rsidR="0024063E">
        <w:rPr>
          <w:sz w:val="20"/>
          <w:szCs w:val="20"/>
        </w:rPr>
        <w:t xml:space="preserve"> for a conservative approximation</w:t>
      </w:r>
      <w:r w:rsidR="009F42D2">
        <w:rPr>
          <w:sz w:val="20"/>
          <w:szCs w:val="20"/>
        </w:rPr>
        <w:t xml:space="preserve"> (d)</w:t>
      </w:r>
      <w:r w:rsidR="0024063E">
        <w:rPr>
          <w:sz w:val="20"/>
          <w:szCs w:val="20"/>
        </w:rPr>
        <w:t xml:space="preserve">. </w:t>
      </w:r>
    </w:p>
    <w:p w14:paraId="1C90C554" w14:textId="60DE5F19" w:rsidR="00DD79C3" w:rsidRDefault="00DD79C3">
      <w:pPr>
        <w:rPr>
          <w:rFonts w:ascii="Times New Roman" w:hAnsi="Times New Roman" w:cs="Times New Roman"/>
          <w:color w:val="000000" w:themeColor="text1"/>
          <w:kern w:val="24"/>
          <w:sz w:val="20"/>
          <w:szCs w:val="20"/>
          <w14:ligatures w14:val="none"/>
        </w:rPr>
      </w:pPr>
    </w:p>
    <w:p w14:paraId="537844DA" w14:textId="2B5FFD9A" w:rsidR="008B611B" w:rsidRDefault="00292C69" w:rsidP="00DA1BCE">
      <w:pPr>
        <w:pStyle w:val="p1"/>
        <w:rPr>
          <w:rFonts w:eastAsiaTheme="minorHAnsi"/>
          <w:color w:val="000000" w:themeColor="text1"/>
          <w:kern w:val="24"/>
          <w:sz w:val="20"/>
          <w:szCs w:val="20"/>
        </w:rPr>
      </w:pPr>
      <w:r w:rsidRPr="00292C69">
        <w:rPr>
          <w:rFonts w:eastAsiaTheme="minorHAnsi"/>
          <w:noProof/>
          <w:color w:val="000000" w:themeColor="text1"/>
          <w:kern w:val="24"/>
          <w:sz w:val="20"/>
          <w:szCs w:val="20"/>
        </w:rPr>
        <w:lastRenderedPageBreak/>
        <w:drawing>
          <wp:inline distT="0" distB="0" distL="0" distR="0" wp14:anchorId="3BC7C526" wp14:editId="799008AD">
            <wp:extent cx="6400800" cy="7479665"/>
            <wp:effectExtent l="0" t="0" r="0" b="635"/>
            <wp:docPr id="939447486" name="Picture 1" descr="A group of graph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47486" name="Picture 1" descr="A group of graphs with different colored lines&#10;&#10;AI-generated content may be incorrect."/>
                    <pic:cNvPicPr/>
                  </pic:nvPicPr>
                  <pic:blipFill>
                    <a:blip r:embed="rId18"/>
                    <a:stretch>
                      <a:fillRect/>
                    </a:stretch>
                  </pic:blipFill>
                  <pic:spPr>
                    <a:xfrm>
                      <a:off x="0" y="0"/>
                      <a:ext cx="6400800" cy="7479665"/>
                    </a:xfrm>
                    <a:prstGeom prst="rect">
                      <a:avLst/>
                    </a:prstGeom>
                  </pic:spPr>
                </pic:pic>
              </a:graphicData>
            </a:graphic>
          </wp:inline>
        </w:drawing>
      </w:r>
    </w:p>
    <w:p w14:paraId="33A87E23" w14:textId="2947BB20" w:rsidR="001D39B4" w:rsidRDefault="001D39B4" w:rsidP="001D39B4">
      <w:pPr>
        <w:pStyle w:val="p1"/>
        <w:rPr>
          <w:sz w:val="20"/>
          <w:szCs w:val="20"/>
        </w:rPr>
      </w:pPr>
      <w:r w:rsidRPr="008B5125">
        <w:rPr>
          <w:b/>
          <w:bCs/>
          <w:sz w:val="20"/>
          <w:szCs w:val="20"/>
        </w:rPr>
        <w:t xml:space="preserve">Supplementary Figure </w:t>
      </w:r>
      <w:r w:rsidR="00E82FFE">
        <w:rPr>
          <w:b/>
          <w:bCs/>
          <w:sz w:val="20"/>
          <w:szCs w:val="20"/>
        </w:rPr>
        <w:t>7</w:t>
      </w:r>
      <w:r w:rsidRPr="008B5125">
        <w:rPr>
          <w:b/>
          <w:bCs/>
          <w:sz w:val="20"/>
          <w:szCs w:val="20"/>
        </w:rPr>
        <w:t xml:space="preserve"> | </w:t>
      </w:r>
      <w:r>
        <w:rPr>
          <w:b/>
          <w:bCs/>
          <w:sz w:val="20"/>
          <w:szCs w:val="20"/>
        </w:rPr>
        <w:t>Carbon intensity of electricity by country</w:t>
      </w:r>
      <w:r w:rsidRPr="008B5125">
        <w:rPr>
          <w:b/>
          <w:bCs/>
          <w:sz w:val="20"/>
          <w:szCs w:val="20"/>
        </w:rPr>
        <w:t>.</w:t>
      </w:r>
      <w:r w:rsidRPr="008B5125">
        <w:rPr>
          <w:sz w:val="20"/>
          <w:szCs w:val="20"/>
        </w:rPr>
        <w:t xml:space="preserve"> </w:t>
      </w:r>
      <w:r>
        <w:rPr>
          <w:sz w:val="20"/>
          <w:szCs w:val="20"/>
        </w:rPr>
        <w:t xml:space="preserve">Interpolated decarbonization timelines for all coastal countries included in this analysis </w:t>
      </w:r>
      <w:r w:rsidR="00164F2A">
        <w:rPr>
          <w:sz w:val="20"/>
          <w:szCs w:val="20"/>
        </w:rPr>
        <w:t>starting with present day</w:t>
      </w:r>
      <w:r>
        <w:rPr>
          <w:sz w:val="20"/>
          <w:szCs w:val="20"/>
        </w:rPr>
        <w:t xml:space="preserve"> grid intensity values</w:t>
      </w:r>
      <w:r>
        <w:rPr>
          <w:sz w:val="20"/>
          <w:szCs w:val="20"/>
          <w:vertAlign w:val="superscript"/>
        </w:rPr>
        <w:t>66</w:t>
      </w:r>
      <w:r>
        <w:rPr>
          <w:sz w:val="20"/>
          <w:szCs w:val="20"/>
        </w:rPr>
        <w:t xml:space="preserve"> interpolated linearly to regional 2030 projections from IAM output, and then to 2100. If a country is already below the regional 2030 projection, grid intensity is interpolated directly to 2100. </w:t>
      </w:r>
      <w:r w:rsidR="007523DA">
        <w:rPr>
          <w:sz w:val="20"/>
          <w:szCs w:val="20"/>
        </w:rPr>
        <w:t xml:space="preserve">For modeling out to 2150, carbon intensities are held to 2100 values. </w:t>
      </w:r>
    </w:p>
    <w:p w14:paraId="78570ED2" w14:textId="66E58703" w:rsidR="000E6EB7" w:rsidRPr="00600380" w:rsidRDefault="001D39B4" w:rsidP="00CB01D3">
      <w:pPr>
        <w:rPr>
          <w:rFonts w:ascii="Times New Roman" w:hAnsi="Times New Roman" w:cs="Times New Roman"/>
          <w:b/>
          <w:bCs/>
          <w:sz w:val="20"/>
          <w:szCs w:val="20"/>
        </w:rPr>
      </w:pPr>
      <w:r>
        <w:rPr>
          <w:rFonts w:ascii="Times New Roman" w:hAnsi="Times New Roman" w:cs="Times New Roman"/>
          <w:b/>
          <w:bCs/>
          <w:sz w:val="20"/>
          <w:szCs w:val="20"/>
        </w:rPr>
        <w:br w:type="page"/>
      </w:r>
    </w:p>
    <w:p w14:paraId="72537698" w14:textId="77777777" w:rsidR="002607D8" w:rsidRDefault="00AD07DC" w:rsidP="00A90E4D">
      <w:pPr>
        <w:spacing w:line="276" w:lineRule="auto"/>
        <w:rPr>
          <w:rFonts w:ascii="Times New Roman" w:hAnsi="Times New Roman" w:cs="Times New Roman"/>
          <w:sz w:val="20"/>
          <w:szCs w:val="20"/>
        </w:rPr>
      </w:pPr>
      <w:r w:rsidRPr="00B75420">
        <w:rPr>
          <w:rFonts w:ascii="Times New Roman" w:hAnsi="Times New Roman" w:cs="Times New Roman"/>
          <w:b/>
          <w:bCs/>
          <w:sz w:val="20"/>
          <w:szCs w:val="20"/>
        </w:rPr>
        <w:lastRenderedPageBreak/>
        <w:t xml:space="preserve">Supplementary Table 7 | Model parameter space. </w:t>
      </w:r>
      <w:r w:rsidRPr="00B75420">
        <w:rPr>
          <w:rFonts w:ascii="Times New Roman" w:hAnsi="Times New Roman" w:cs="Times New Roman"/>
          <w:sz w:val="20"/>
          <w:szCs w:val="20"/>
        </w:rPr>
        <w:t xml:space="preserve">Parameter space for the OAE scaling model. </w:t>
      </w:r>
      <w:r w:rsidR="002607D8" w:rsidRPr="00D41C7B">
        <w:rPr>
          <w:rFonts w:ascii="Times New Roman" w:hAnsi="Times New Roman" w:cs="Times New Roman"/>
          <w:sz w:val="20"/>
          <w:szCs w:val="20"/>
        </w:rPr>
        <w:t>and naming conventions for model output. Parameters are ordered by position (1-10) in the file naming convention.</w:t>
      </w:r>
      <w:r w:rsidR="002607D8">
        <w:rPr>
          <w:rFonts w:ascii="Times New Roman" w:hAnsi="Times New Roman" w:cs="Times New Roman"/>
          <w:sz w:val="20"/>
          <w:szCs w:val="20"/>
        </w:rPr>
        <w:t xml:space="preserve"> </w:t>
      </w:r>
      <w:r w:rsidRPr="00B75420">
        <w:rPr>
          <w:rFonts w:ascii="Times New Roman" w:hAnsi="Times New Roman" w:cs="Times New Roman"/>
          <w:sz w:val="20"/>
          <w:szCs w:val="20"/>
        </w:rPr>
        <w:t>Parameters are organized into</w:t>
      </w:r>
      <w:r w:rsidR="00E920E2">
        <w:rPr>
          <w:rFonts w:ascii="Times New Roman" w:hAnsi="Times New Roman" w:cs="Times New Roman"/>
          <w:sz w:val="20"/>
          <w:szCs w:val="20"/>
        </w:rPr>
        <w:t xml:space="preserve"> four</w:t>
      </w:r>
      <w:r w:rsidRPr="00B75420">
        <w:rPr>
          <w:rFonts w:ascii="Times New Roman" w:hAnsi="Times New Roman" w:cs="Times New Roman"/>
          <w:sz w:val="20"/>
          <w:szCs w:val="20"/>
        </w:rPr>
        <w:t xml:space="preserve"> categories: model indexes (temporal and spatial), scaling parameters (diffusion</w:t>
      </w:r>
      <w:r>
        <w:rPr>
          <w:rFonts w:ascii="Times New Roman" w:hAnsi="Times New Roman" w:cs="Times New Roman"/>
          <w:sz w:val="20"/>
          <w:szCs w:val="20"/>
        </w:rPr>
        <w:t xml:space="preserve"> of OAE technologies</w:t>
      </w:r>
      <w:r w:rsidRPr="00B75420">
        <w:rPr>
          <w:rFonts w:ascii="Times New Roman" w:hAnsi="Times New Roman" w:cs="Times New Roman"/>
          <w:sz w:val="20"/>
          <w:szCs w:val="20"/>
        </w:rPr>
        <w:t>), OAE process parameters (deployment regime), and learning &amp; technology parameters</w:t>
      </w:r>
      <w:r>
        <w:rPr>
          <w:rFonts w:ascii="Times New Roman" w:hAnsi="Times New Roman" w:cs="Times New Roman"/>
          <w:sz w:val="20"/>
          <w:szCs w:val="20"/>
        </w:rPr>
        <w:t xml:space="preserve">. Deployment regime parameters are primarily based on </w:t>
      </w:r>
      <w:r w:rsidRPr="00B75420">
        <w:rPr>
          <w:rFonts w:ascii="Times New Roman" w:hAnsi="Times New Roman" w:cs="Times New Roman"/>
          <w:sz w:val="20"/>
          <w:szCs w:val="20"/>
        </w:rPr>
        <w:t>He &amp; Tyka 2023</w:t>
      </w:r>
      <w:r w:rsidRPr="00B75420">
        <w:rPr>
          <w:rFonts w:ascii="Times New Roman" w:hAnsi="Times New Roman" w:cs="Times New Roman"/>
          <w:sz w:val="20"/>
          <w:szCs w:val="20"/>
        </w:rPr>
        <w:fldChar w:fldCharType="begin"/>
      </w:r>
      <w:r w:rsidRPr="00B75420">
        <w:rPr>
          <w:rFonts w:ascii="Times New Roman" w:hAnsi="Times New Roman" w:cs="Times New Roman"/>
          <w:sz w:val="20"/>
          <w:szCs w:val="20"/>
        </w:rPr>
        <w:instrText xml:space="preserve"> ADDIN ZOTERO_ITEM CSL_CITATION {"citationID":"FlpVzsQK","properties":{"formattedCitation":"\\super 24\\nosupersub{}","plainCitation":"24","noteIndex":0},"citationItems":[{"id":195,"uris":["http://zotero.org/groups/5481195/items/2QXHRK6L"],"itemData":{"id":195,"type":"article-journal","abstract":"Abstract. Ocean alkalinity enhancement (OAE) has recently gained attention as a potential method for carbon dioxide removal (CDR) at gigatonne (Gt) scale, with near-coast OAE operations being economically favorable due to proximity to mineral and energy sources. In this paper we study critical questions which determine the scale and viability of OAE. Which coastal locations are able to sustain a large flux of alkalinity at minimal pH and ΩArag (aragonite saturation) changes? What is the interference distance between adjacent OAE projects? How much CO2 is absorbed per unit of alkalinity added? How quickly does the induced CO2 deficiency equilibrate with the atmosphere? Choosing relatively conservative constraints on ΔpH or ΔOmega, we examine the limits of OAE using the ECCO LLC270 (0.3</w:instrText>
      </w:r>
      <w:r w:rsidRPr="00B75420">
        <w:rPr>
          <w:rFonts w:ascii="Cambria Math" w:hAnsi="Cambria Math" w:cs="Cambria Math"/>
          <w:sz w:val="20"/>
          <w:szCs w:val="20"/>
        </w:rPr>
        <w:instrText>∘</w:instrText>
      </w:r>
      <w:r w:rsidRPr="00B75420">
        <w:rPr>
          <w:rFonts w:ascii="Times New Roman" w:hAnsi="Times New Roman" w:cs="Times New Roman"/>
          <w:sz w:val="20"/>
          <w:szCs w:val="20"/>
        </w:rPr>
        <w:instrText xml:space="preserve">) global circulation model. We find that the sustainable OAE rate varies over 1–2 orders of magnitude between different coasts and exhibits complex patterns and non-local dependencies which vary from region to region. In general, OAE in areas of strong coastal currents enables the largest fluxes and depending on the direction of these currents, neighboring OAE sites can exhibit dependencies as far as 400 km or more. At these steady state fluxes most regional stretches of coastline are able to accommodate on the order of 10s to 100s of megatonnes of negative emissions within 300 km of the coast. We conclude that near-coastal OAE has the potential to scale globally to several Gt CO2 yr−1 of drawdown with conservative pH constraints, if the effort is spread over the majority of available coastlines. Depending on the location, we find a diverse set of equilibration kinetics, determined by the interplay of gas exchange and surface residence time. Most locations reach an uptake efficiency plateau of 0.6–0.8 mol CO2 per mol of alkalinity after 3–4 years, after which there is only slow additional CO2 uptake. Regions of significant downwelling (e.g., around Iceland) should be avoided by OAE deployments, as in such locations up to half of the CDR potential of OAE can be lost to bottom waters. The most ideal locations, reaching a molar uptake ratio of around 0.8, include North Madagascar, California, Brazil, Peru and locations close to the Southern Ocean such as Tasmania, Kerguelen and Patagonia, where the gas exchange appears to occur faster than the surface residence time. However, some locations (e.g., Hawaii) take significantly longer to equilibrate (up to 8–10 years) but can still eventually achieve high uptake ratios.","container-title":"Biogeosciences","DOI":"10.5194/bg-20-27-2023","issue":"1","note":"DOI: 10.5194/bg-20-27-2023\nMAG ID: 4313533266\nS2ID: 000ab1873505878db4bb5c1110a7c5ecb2d1ca9e","page":"27-43","title":"Limits and CO&lt;sub&gt;2&lt;/sub&gt; equilibration of near-coast alkalinity enhancement","volume":"20","author":[{"literal":"Jing He"},{"literal":"Michael D. Tyka"}],"issued":{"date-parts":[["2023",1,3]]}}}],"schema":"https://github.com/citation-style-language/schema/raw/master/csl-citation.json"} </w:instrText>
      </w:r>
      <w:r w:rsidRPr="00B75420">
        <w:rPr>
          <w:rFonts w:ascii="Times New Roman" w:hAnsi="Times New Roman" w:cs="Times New Roman"/>
          <w:sz w:val="20"/>
          <w:szCs w:val="20"/>
        </w:rPr>
        <w:fldChar w:fldCharType="separate"/>
      </w:r>
      <w:r w:rsidRPr="00B75420">
        <w:rPr>
          <w:rFonts w:ascii="Times New Roman" w:hAnsi="Times New Roman" w:cs="Times New Roman"/>
          <w:kern w:val="0"/>
          <w:sz w:val="20"/>
          <w:szCs w:val="20"/>
          <w:vertAlign w:val="superscript"/>
        </w:rPr>
        <w:t>24</w:t>
      </w:r>
      <w:r w:rsidRPr="00B75420">
        <w:rPr>
          <w:rFonts w:ascii="Times New Roman" w:hAnsi="Times New Roman" w:cs="Times New Roman"/>
          <w:sz w:val="20"/>
          <w:szCs w:val="20"/>
        </w:rPr>
        <w:fldChar w:fldCharType="end"/>
      </w:r>
      <w:r>
        <w:rPr>
          <w:rFonts w:ascii="Times New Roman" w:hAnsi="Times New Roman" w:cs="Times New Roman"/>
          <w:sz w:val="20"/>
          <w:szCs w:val="20"/>
        </w:rPr>
        <w:t xml:space="preserve"> and deployment ordering are outlined in Supplementary Table 3. Source for learning and technology are outlined in more detail in Supplementary Table 6. </w:t>
      </w:r>
      <w:r w:rsidR="002607D8" w:rsidRPr="00D41C7B">
        <w:rPr>
          <w:rFonts w:ascii="Times New Roman" w:hAnsi="Times New Roman" w:cs="Times New Roman"/>
          <w:sz w:val="20"/>
          <w:szCs w:val="20"/>
        </w:rPr>
        <w:t>The baseline scenario uses mid-range values across all dimensions for sensitivity analysis. The core scenario cluster uses Offshore Wind analog with 10^6 tons initial capacity starting in 2035. Complete ensemble comprises 87,480 scenarios across all parameter combinations and three country groupings (Europe/OECD/Global).</w:t>
      </w:r>
      <w:r w:rsidR="002607D8">
        <w:rPr>
          <w:rFonts w:ascii="Times New Roman" w:hAnsi="Times New Roman" w:cs="Times New Roman"/>
          <w:sz w:val="20"/>
          <w:szCs w:val="20"/>
        </w:rPr>
        <w:t xml:space="preserve"> </w:t>
      </w:r>
      <w:r w:rsidRPr="00B75420">
        <w:rPr>
          <w:rFonts w:ascii="Times New Roman" w:hAnsi="Times New Roman" w:cs="Times New Roman"/>
          <w:sz w:val="20"/>
          <w:szCs w:val="20"/>
        </w:rPr>
        <w:t>CI – carbon intensity derived from refs.</w:t>
      </w:r>
      <w:r w:rsidRPr="00B75420">
        <w:rPr>
          <w:rFonts w:ascii="Times New Roman" w:hAnsi="Times New Roman" w:cs="Times New Roman"/>
          <w:sz w:val="20"/>
          <w:szCs w:val="20"/>
        </w:rPr>
        <w:fldChar w:fldCharType="begin"/>
      </w:r>
      <w:r w:rsidRPr="00B75420">
        <w:rPr>
          <w:rFonts w:ascii="Times New Roman" w:hAnsi="Times New Roman" w:cs="Times New Roman"/>
          <w:sz w:val="20"/>
          <w:szCs w:val="20"/>
        </w:rPr>
        <w:instrText xml:space="preserve"> ADDIN ZOTERO_ITEM CSL_CITATION {"citationID":"ikI2mFbG","properties":{"formattedCitation":"\\super 25,26\\nosupersub{}","plainCitation":"25,26","noteIndex":0},"citationItems":[{"id":683,"uris":["http://zotero.org/groups/5481195/items/G8HFDRYC"],"itemData":{"id":683,"type":"report","publisher":"Ember","title":"Global Electricity Review 2024","author":[{"literal":"Małgorzata Wiatros-Motyka, Nicolas Fulghum, Dave Jones, Katye Altieri, Richard Black, Hannah Broadbent, Chelsea Bruce-Lockhart, Matt Ewen, Phil"},{"literal":"MacDonald, Kostantsa Rangelova"}]}},{"id":935,"uris":["http://zotero.org/groups/5481195/items/B4WVQHX8"],"itemData":{"id":935,"type":"dataset","abstract":"The data is available for download at the AR6 Scenario Explorer hosted by IIASA.&lt;&lt;&lt; click here.\n\nAs part of the IPCC's 6th Assessment Report (AR6), authors from Working Group III on Mitigation of Climate Change undertook a comprehensive exercise to collect and assess quantitative, model-based scenarios related to the mitigation of climate change.\n\nBuilding on previous assessments, such as those undertaken for the 5th Assessment Report (AR5) and the Special Report on Global Warming of 1.5°C (SR15), the calls for AR6 for scenarios have been expanded and includes economy-wide GHG emissions, energy, and sectoral scenarios from global to national scales, thus more broadly supporting the assessment across multiple chapters (see Annex III, Part 2 of the WGIII report for more details).\n\nThe compilation and assessment of the scenario ensemble was conducted by authors of the IPCC AR6 report, and the resource is hosted by the International Institute for Applied Systems Analysis (IIASA) as part of a cooperation agreement with Working Group III of the IPCC. The scenario ensemble contains 3,131 quantitative scenarios with data on socio-economic development, greenhouse gas emissions, and sectoral transformations across energy, land use, transportation, buildings and industry. These scenarios derive from 191 unique modelling frameworks, 95+ model families that are either globally comprehensive, national, multi-regional or sectoral.\n\nThe criteria for submission included that the scenario is presented in a peer-reviewed journal accepted for publication no later than October 11th, 2021, or published in a report determined by the IPCC WG III Bureau to be eligible grey literature by the same date. The AR6 scenario database is documented in Annex III.2 of the Sixth Assessment Report of Working Group III. For the purpose of the assessment, scenarios have been grouped in various categories relating to, among other things, climate outcomes, overshoot, technology availability and policy assumptions.\n\nThe AR6 Scenarios Database is jointly published by the Integrated Assessment Modeling Consortium &amp; International Institute for Applied Systems Analysis.\n\nThe data is available for download at the AR6 Scenario Explorer hosted by IIASA.&lt;&lt;&lt; click here.\n\nFor ease of use, the database is provided as multiple files:\n\n\n\n\nFilename\nDescription\nRegion coverage\nUncompressed Size (MB)\n\n\n\n\nStandard files for assessment\n \n \n \n\n\nAR6_Scenarios_Database_World_v1.1.csv\nAll data reported for the World region, primarily from integrated assessment models (IAMs), as well as variables from the climate assessment \nWorld only\n353\n\n\nAR6_Scenarios_Database_R5_regions_v1.1.csv\nAll data reported and aggregated to R5 regions, primarily from IAMs.\n5 global regions\n847\n\n\nAR6_Scenarios_Database_R6_regions_v1.1.csv\nAll data reported and aggregated to R6 regions (as preferred by IPCC), primarily from IAMs.\n6 global regions\n408\n\n\nAR6_Scenarios_Database_R10_regions_v1.1.csv\nAll data reported and aggregated to R10 regions, primarily from IAMs.\n10 global regions\n1,266\n\n\nAR6_Scenarios_Database_ISO3_v1.1.csv\nAss data reported at the country level, primarily from national integrated assessment and energy systems models, but also IAMs for major countries.\nCountry level\n1,155\n\n\nAR6_Scenarios_Database_metadata_indicators_v1.1.xlsx\nWide range of categorical and numerical indicators calculated for each model-scenario.\nPrimarily world data\n3\n\n\nAdditional \"climate assessment\" files\nNew in v1.1\n \n \n\n\nAR6_Scenarios_Database_World_ALL_CLIMATE_v1.1.csv\nSame as World snapshot above, but with all the climate assessment data for MAGICC and FaIR models included\nWorld only\n3,006\n\n\nAR6_Climate_Diagnostics_CICERO-SCM_v1.1.csv\nClimate assessment data for the CICERO-SCM model\nWorld only\n743\n\n\nAR6_Climate_Diagnostics_metadata_indicators_v1.1.xlsx\nFull set of categorical and numerical indicators relating to the climate assessment, calculated for each model-scenario\nWorld only\n2\n\n\nAR6_historical_emissions.csv\nHistorical CO2 and GHGs for world region used in climate assessment\nWorld only\n0.01\n\n\n\n\nThe data is available for download at the AR6 Scenario Explorer hosted by IIASA. The license permits use of the scenario ensemble for scientific research and science communication, but restricts redistribution of substantial parts of the data. Please refer to the FAQ and legal code for more information.\n\nIn addition to the data you may find more relevant information and cite one of the relevant chapters of the WG III report.\n\nIf working with global or regional (R6, R10) data:\n\n\n\nKeywan Riahi, Roberto Schaeffer, et al. Mitigation Pathways Compatible with Long-Term Goals, in \"Mitigation of Climate Change\". Intergovernmental Panel on Climate Change, Geneva, 2022. url: http://www.ipcc.ch/report/sixth-assessment-report-working-group-3/\n\n\nIf working with national data (ISO region data):\n\n\n\nFranck Lecocq, Harald Winkler, et al. Mitigation and development pathways in the near- to mid-term, in \"Mitigation of Climate Change\". Intergovernmental Panel on Climate Change, Geneva, 2022. url: http://www.ipcc.ch/report/sixth-assessment-report-working-group-3/\n\n\nIf you find the metadata files particularly useful:\n\n\n\nCeline Guivarch, Elmar Kriegler, Joana Portugal Pereira, et al. Annex III: Scenarios and Modelling Methods, in \"Mitigation of Climate Change\". Intergovernmental Panel on Climate Change, Geneva, 2022. url: http://www.ipcc.ch/report/sixth-assessment-report-working-group-3/\n\n\nScenarios data also supports analysis in the Summary for Policy Makers, Technical Summary and Chapters 2, 5, 6, 7, 9, 10, 12 and 15.\n\nClimate assessment of global emissions pathways\n\nThe climate assessment of the long-term global emissions scenarios was undertaken as part of the Chapter 3 assessment. The workflow is available at https://github.com/iiasa/climate-assessment and published in Kikstra et al. 2022. The IPCC Sixth Assessment Report WGIII climate assessment of mitigation pathways: from emissions to global temperatures. Geoscientific Model Development https://doi.org/10.5194/egusphere-2022-471. Scripts for this assessment are at https://doi.org/10.5281/zenodo.7304736 \n\nFor these purposes, the full climate assessment data is provided, as documented in the table above.\n\nRelease notes for v1.1\n\nFollowing feedback and identification of some issues between the versions available to authors in preparation of the published report and the v1.0 public release, updates are made to v1.1.Changes made here are made with the intention of facilitating and improving the reproducibility of the IPCC report. There are no resulting corrections to the report and its findings, as these issues were identified by authors and manually addressed. Full list of release notes is published on the Downloads page https://data.ene.iiasa.ac.at/ar6/#/downloads \n\nThe data is available for download at the AR6 Scenario Explorer hosted by IIASA.&lt;&lt;&lt; click here.","DOI":"10.5281/ZENODO.5886911","language":"en","license":"Restricted Access","publisher":"Integrated Assessment Modeling Consortium &amp; International Institute for Applied Systems Analysis","source":"DOI.org (Datacite)","title":"AR6 Scenarios Database","URL":"https://zenodo.org/doi/10.5281/zenodo.5886911","version":"1.1","author":[{"family":"Byers","given":"Edward"},{"family":"Krey","given":"Volker"},{"family":"Kriegler","given":"Elmar"},{"family":"Riahi","given":"Keywan"},{"family":"Schaeffer","given":"Roberto"},{"family":"Kikstra","given":"Jarmo"},{"family":"Lamboll","given":"Robin"},{"family":"Nicholls","given":"Zebedee"},{"family":"Sandstad","given":"Marit"},{"family":"Smith","given":"Chris"},{"family":"Wijst","given":"Kaj","non-dropping-particle":"van der"},{"family":"Al -Khourdajie","given":"Alaa"},{"family":"Lecocq","given":"Franck"},{"family":"Portugal-Pereira","given":"Joana"},{"family":"Saheb","given":"Yamina"},{"family":"Stromman","given":"Anders"},{"family":"Winkler","given":"Harald"},{"family":"Auer","given":"Cornelia"},{"family":"Brutschin","given":"Elina"},{"family":"Gidden","given":"Matthew"},{"family":"Hackstock","given":"Philip"},{"family":"Harmsen","given":"Mathijs"},{"family":"Huppmann","given":"Daniel"},{"family":"Kolp","given":"Peter"},{"family":"Lepault","given":"Claire"},{"family":"Lewis","given":"Jared"},{"family":"Marangoni","given":"Giacomo"},{"family":"Müller-Casseres","given":"Eduardo"},{"family":"Skeie","given":"Ragnhild"},{"family":"Werning","given":"Michaela"},{"family":"Calvin","given":"Katherine"},{"family":"Forster","given":"Piers"},{"family":"Guivarch","given":"Celine"},{"family":"Hasegawa","given":"Tomoko"},{"family":"Meinshausen","given":"Malte"},{"family":"Peters","given":"Glen"},{"family":"Rogelj","given":"Joeri"},{"family":"Samset","given":"Bjorn"},{"family":"Steinberger","given":"Julia"},{"family":"Tavoni","given":"Massimo"},{"family":"Vuuren","given":"Detlef","non-dropping-particle":"van"}],"accessed":{"date-parts":[["2025",10,1]]},"issued":{"date-parts":[["2022",11,9]]}}}],"schema":"https://github.com/citation-style-language/schema/raw/master/csl-citation.json"} </w:instrText>
      </w:r>
      <w:r w:rsidRPr="00B75420">
        <w:rPr>
          <w:rFonts w:ascii="Times New Roman" w:hAnsi="Times New Roman" w:cs="Times New Roman"/>
          <w:sz w:val="20"/>
          <w:szCs w:val="20"/>
        </w:rPr>
        <w:fldChar w:fldCharType="separate"/>
      </w:r>
      <w:r w:rsidRPr="00B75420">
        <w:rPr>
          <w:rFonts w:ascii="Times New Roman" w:hAnsi="Times New Roman" w:cs="Times New Roman"/>
          <w:kern w:val="0"/>
          <w:sz w:val="20"/>
          <w:szCs w:val="20"/>
          <w:vertAlign w:val="superscript"/>
        </w:rPr>
        <w:t>25,26</w:t>
      </w:r>
      <w:r w:rsidRPr="00B75420">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B75420">
        <w:rPr>
          <w:rFonts w:ascii="Times New Roman" w:hAnsi="Times New Roman" w:cs="Times New Roman"/>
          <w:sz w:val="20"/>
          <w:szCs w:val="20"/>
        </w:rPr>
        <w:t xml:space="preserve">WDPA – </w:t>
      </w:r>
      <w:r>
        <w:rPr>
          <w:rFonts w:ascii="Times New Roman" w:hAnsi="Times New Roman" w:cs="Times New Roman"/>
          <w:sz w:val="20"/>
          <w:szCs w:val="20"/>
        </w:rPr>
        <w:t>W</w:t>
      </w:r>
      <w:r w:rsidRPr="00B75420">
        <w:rPr>
          <w:rFonts w:ascii="Times New Roman" w:hAnsi="Times New Roman" w:cs="Times New Roman"/>
          <w:sz w:val="20"/>
          <w:szCs w:val="20"/>
        </w:rPr>
        <w:t xml:space="preserve">orld </w:t>
      </w:r>
      <w:r>
        <w:rPr>
          <w:rFonts w:ascii="Times New Roman" w:hAnsi="Times New Roman" w:cs="Times New Roman"/>
          <w:sz w:val="20"/>
          <w:szCs w:val="20"/>
        </w:rPr>
        <w:t>D</w:t>
      </w:r>
      <w:r w:rsidRPr="00B75420">
        <w:rPr>
          <w:rFonts w:ascii="Times New Roman" w:hAnsi="Times New Roman" w:cs="Times New Roman"/>
          <w:sz w:val="20"/>
          <w:szCs w:val="20"/>
        </w:rPr>
        <w:t>ata</w:t>
      </w:r>
      <w:r>
        <w:rPr>
          <w:rFonts w:ascii="Times New Roman" w:hAnsi="Times New Roman" w:cs="Times New Roman"/>
          <w:sz w:val="20"/>
          <w:szCs w:val="20"/>
        </w:rPr>
        <w:t>b</w:t>
      </w:r>
      <w:r w:rsidRPr="00B75420">
        <w:rPr>
          <w:rFonts w:ascii="Times New Roman" w:hAnsi="Times New Roman" w:cs="Times New Roman"/>
          <w:sz w:val="20"/>
          <w:szCs w:val="20"/>
        </w:rPr>
        <w:t>ase o</w:t>
      </w:r>
      <w:r>
        <w:rPr>
          <w:rFonts w:ascii="Times New Roman" w:hAnsi="Times New Roman" w:cs="Times New Roman"/>
          <w:sz w:val="20"/>
          <w:szCs w:val="20"/>
        </w:rPr>
        <w:t>n</w:t>
      </w:r>
      <w:r w:rsidRPr="00B75420">
        <w:rPr>
          <w:rFonts w:ascii="Times New Roman" w:hAnsi="Times New Roman" w:cs="Times New Roman"/>
          <w:sz w:val="20"/>
          <w:szCs w:val="20"/>
        </w:rPr>
        <w:t xml:space="preserve"> </w:t>
      </w:r>
      <w:r>
        <w:rPr>
          <w:rFonts w:ascii="Times New Roman" w:hAnsi="Times New Roman" w:cs="Times New Roman"/>
          <w:sz w:val="20"/>
          <w:szCs w:val="20"/>
        </w:rPr>
        <w:t>P</w:t>
      </w:r>
      <w:r w:rsidRPr="00B75420">
        <w:rPr>
          <w:rFonts w:ascii="Times New Roman" w:hAnsi="Times New Roman" w:cs="Times New Roman"/>
          <w:sz w:val="20"/>
          <w:szCs w:val="20"/>
        </w:rPr>
        <w:t xml:space="preserve">rotected </w:t>
      </w:r>
      <w:r>
        <w:rPr>
          <w:rFonts w:ascii="Times New Roman" w:hAnsi="Times New Roman" w:cs="Times New Roman"/>
          <w:sz w:val="20"/>
          <w:szCs w:val="20"/>
        </w:rPr>
        <w:t>A</w:t>
      </w:r>
      <w:r w:rsidRPr="00B75420">
        <w:rPr>
          <w:rFonts w:ascii="Times New Roman" w:hAnsi="Times New Roman" w:cs="Times New Roman"/>
          <w:sz w:val="20"/>
          <w:szCs w:val="20"/>
        </w:rPr>
        <w:t>reas, ref.</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{"citationID":"d5NvMbnn","properties":{"formattedCitation":"\\super 27\\nosupersub{}","plainCitation":"27","noteIndex":0},"citationItems":[{"id":438,"uris":["http://zotero.org/groups/5481195/items/DPF84WB9"],"itemData":{"id":438,"type":"webpage","container-title":"Protected Planet","title":"World Database on Protected Areas","URL":"www.protectedplanet.net/en/thematic-areas/wdpa?tab=WDPA. Accessed 24 Feb. 2025.","author":[{"family":"UNEP","given":""}]}}],"schema":"https://github.com/citation-style-language/schema/raw/master/csl-citation.json"} </w:instrText>
      </w:r>
      <w:r>
        <w:rPr>
          <w:rFonts w:ascii="Times New Roman" w:hAnsi="Times New Roman" w:cs="Times New Roman"/>
          <w:sz w:val="20"/>
          <w:szCs w:val="20"/>
        </w:rPr>
        <w:fldChar w:fldCharType="separate"/>
      </w:r>
      <w:r w:rsidRPr="004C0925">
        <w:rPr>
          <w:rFonts w:ascii="Times New Roman" w:hAnsi="Times New Roman" w:cs="Times New Roman"/>
          <w:kern w:val="0"/>
          <w:sz w:val="20"/>
          <w:vertAlign w:val="superscript"/>
        </w:rPr>
        <w:t>27</w:t>
      </w:r>
      <w:r>
        <w:rPr>
          <w:rFonts w:ascii="Times New Roman" w:hAnsi="Times New Roman" w:cs="Times New Roman"/>
          <w:sz w:val="20"/>
          <w:szCs w:val="20"/>
        </w:rPr>
        <w:fldChar w:fldCharType="end"/>
      </w:r>
    </w:p>
    <w:p w14:paraId="16AA3FD3" w14:textId="59C4EA0A" w:rsidR="00926915" w:rsidRDefault="002F66D0" w:rsidP="00A90E4D">
      <w:pPr>
        <w:spacing w:line="276"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6A6633D" wp14:editId="2A74ABA7">
            <wp:extent cx="6400800" cy="5963920"/>
            <wp:effectExtent l="0" t="0" r="0" b="5080"/>
            <wp:docPr id="2096368437" name="Picture 2"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8437" name="Picture 2" descr="A document with text and number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400800" cy="5963920"/>
                    </a:xfrm>
                    <a:prstGeom prst="rect">
                      <a:avLst/>
                    </a:prstGeom>
                  </pic:spPr>
                </pic:pic>
              </a:graphicData>
            </a:graphic>
          </wp:inline>
        </w:drawing>
      </w:r>
    </w:p>
    <w:p w14:paraId="78E1A962" w14:textId="77777777" w:rsidR="00F27396" w:rsidRDefault="00F27396" w:rsidP="00CB01D3">
      <w:pPr>
        <w:rPr>
          <w:rFonts w:ascii="Times New Roman" w:hAnsi="Times New Roman" w:cs="Times New Roman"/>
          <w:sz w:val="20"/>
          <w:szCs w:val="20"/>
        </w:rPr>
      </w:pPr>
    </w:p>
    <w:p w14:paraId="0A33EF06" w14:textId="77777777" w:rsidR="002607D8" w:rsidRDefault="002607D8" w:rsidP="00CB01D3">
      <w:pPr>
        <w:rPr>
          <w:rFonts w:ascii="Times New Roman" w:hAnsi="Times New Roman" w:cs="Times New Roman"/>
        </w:rPr>
      </w:pPr>
    </w:p>
    <w:p w14:paraId="1BB63EDE" w14:textId="1F3158C4" w:rsidR="00F27396" w:rsidRPr="00F27396" w:rsidRDefault="00F27396" w:rsidP="00F27396">
      <w:pPr>
        <w:rPr>
          <w:rFonts w:ascii="Times New Roman" w:hAnsi="Times New Roman" w:cs="Times New Roman"/>
          <w:b/>
          <w:bCs/>
          <w:sz w:val="20"/>
          <w:szCs w:val="20"/>
        </w:rPr>
      </w:pPr>
      <w:r w:rsidRPr="00C80040">
        <w:rPr>
          <w:rFonts w:ascii="Times New Roman" w:hAnsi="Times New Roman" w:cs="Times New Roman"/>
          <w:b/>
          <w:bCs/>
          <w:sz w:val="20"/>
          <w:szCs w:val="20"/>
        </w:rPr>
        <w:lastRenderedPageBreak/>
        <w:t xml:space="preserve">Supplementary Table </w:t>
      </w:r>
      <w:r w:rsidR="002607D8">
        <w:rPr>
          <w:rFonts w:ascii="Times New Roman" w:hAnsi="Times New Roman" w:cs="Times New Roman"/>
          <w:b/>
          <w:bCs/>
          <w:sz w:val="20"/>
          <w:szCs w:val="20"/>
        </w:rPr>
        <w:t>8</w:t>
      </w:r>
      <w:r w:rsidRPr="00C80040">
        <w:rPr>
          <w:rFonts w:ascii="Times New Roman" w:hAnsi="Times New Roman" w:cs="Times New Roman"/>
          <w:b/>
          <w:bCs/>
          <w:sz w:val="20"/>
          <w:szCs w:val="20"/>
        </w:rPr>
        <w:t xml:space="preserve"> | Three modes of OAE deployment. </w:t>
      </w:r>
      <w:r w:rsidRPr="00C80040">
        <w:rPr>
          <w:rFonts w:ascii="Times New Roman" w:hAnsi="Times New Roman" w:cs="Times New Roman"/>
          <w:sz w:val="20"/>
          <w:szCs w:val="20"/>
        </w:rPr>
        <w:t xml:space="preserve">Country groupings for each mode of multilateral OAE deployment included in our model, </w:t>
      </w:r>
      <w:r w:rsidRPr="00C80040">
        <w:rPr>
          <w:rFonts w:ascii="Times New Roman" w:hAnsi="Times New Roman" w:cs="Times New Roman"/>
          <w:color w:val="000000" w:themeColor="text1"/>
          <w:sz w:val="20"/>
          <w:szCs w:val="20"/>
        </w:rPr>
        <w:t xml:space="preserve">representative of a small group of motivated first movers (Europe Only), a larger group of followers made up of advanced economies (OECD), and the largest sub-group made up of all coastal countries (Global). Number of countries cumulate, as does the </w:t>
      </w:r>
      <w:r>
        <w:rPr>
          <w:rFonts w:ascii="Times New Roman" w:hAnsi="Times New Roman" w:cs="Times New Roman"/>
          <w:color w:val="000000" w:themeColor="text1"/>
          <w:sz w:val="20"/>
          <w:szCs w:val="20"/>
        </w:rPr>
        <w:t xml:space="preserve">number of polygons (deployment zones), and the </w:t>
      </w:r>
      <w:r w:rsidRPr="00C80040">
        <w:rPr>
          <w:rFonts w:ascii="Times New Roman" w:hAnsi="Times New Roman" w:cs="Times New Roman"/>
          <w:color w:val="000000" w:themeColor="text1"/>
          <w:sz w:val="20"/>
          <w:szCs w:val="20"/>
        </w:rPr>
        <w:t xml:space="preserve">total coastal area implicated by each mode. </w:t>
      </w:r>
      <w:r>
        <w:rPr>
          <w:rFonts w:ascii="Times New Roman" w:hAnsi="Times New Roman" w:cs="Times New Roman"/>
          <w:color w:val="000000" w:themeColor="text1"/>
          <w:sz w:val="20"/>
          <w:szCs w:val="20"/>
        </w:rPr>
        <w:t>Polygons and total EEZ area are defined with the CESM2 grid framework used in Zhou et al.</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ZOTERO_ITEM CSL_CITATION {"citationID":"ZaRuKmaG","properties":{"formattedCitation":"\\super 3\\nosupersub{}","plainCitation":"3","noteIndex":0},"citationItems":[{"id":106,"uris":["http://zotero.org/groups/5481195/items/2I9QYI3L"],"itemData":{"id":106,"type":"article","abstract":"Abstract\n          \n            To limit global warming to below 2°C by 2100, carbon dioxide removal (CDR) from the atmosphere will be necessary. Ocean alkalinity enhancement (OAE) is a promising approach to achieving CDR at scale. However, OAE deployments are subject to incomplete air-sea CO\n            2\n            equilibration — reducing the efficiency of carbon removal. Here, we generated the first global maps of OAE efficiency, including an assessment of the seasonal variation in efficiency. We show that the equilibration kinetics exhibit two characteristic timescales — rapid surface equilibration followed by a slower second phase, representing the re-emergence of excess alkalinity that was initially subducted. These kinetics vary considerably with latitude and the season of alkalinity release, both critical considerations for the placement of prospective OAE deployments. We also calculated histograms quantifying the spatial and temporal scales of the induced CO\n            2\n            uptake and thus identifying the requirements for modeling OAE in regional ocean models.","DOI":"10.21203/rs.3.rs-4124909/v1","license":"https://creativecommons.org/licenses/by/4.0/","source":"In Review","title":"Mapping the global variation in the efficiency of ocean alkalinity enhancement for carbon dioxide removal","URL":"https://www.researchsquare.com/article/rs-4124909/v1","author":[{"family":"Zhou","given":"Mengyang"},{"family":"Tyka","given":"Michael"},{"family":"Ho","given":"David"},{"family":"Yankovsky","given":"Elizabeth"},{"family":"Bachman","given":"Scott"},{"family":"Nicholas","given":"Thomas"},{"family":"Karspeck","given":"Alicia"},{"family":"Long","given":"Matthew"}],"accessed":{"date-parts":[["2024",4,7]]},"issued":{"date-parts":[["2024",3,19]]}}}],"schema":"https://github.com/citation-style-language/schema/raw/master/csl-citation.json"} </w:instrText>
      </w:r>
      <w:r>
        <w:rPr>
          <w:rFonts w:ascii="Times New Roman" w:hAnsi="Times New Roman" w:cs="Times New Roman"/>
          <w:color w:val="000000" w:themeColor="text1"/>
          <w:sz w:val="20"/>
          <w:szCs w:val="20"/>
        </w:rPr>
        <w:fldChar w:fldCharType="separate"/>
      </w:r>
      <w:r w:rsidRPr="00BF0930">
        <w:rPr>
          <w:rFonts w:ascii="Times New Roman" w:hAnsi="Times New Roman" w:cs="Times New Roman"/>
          <w:color w:val="000000"/>
          <w:kern w:val="0"/>
          <w:sz w:val="20"/>
          <w:vertAlign w:val="superscript"/>
        </w:rPr>
        <w:t>3</w:t>
      </w:r>
      <w:r>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 Polygons shared by multiple countries are included only once.</w:t>
      </w:r>
    </w:p>
    <w:p w14:paraId="39968F5C" w14:textId="77777777" w:rsidR="00F27396" w:rsidRDefault="00F27396" w:rsidP="00F27396">
      <w:pPr>
        <w:jc w:val="center"/>
        <w:rPr>
          <w:rFonts w:ascii="Times New Roman" w:hAnsi="Times New Roman" w:cs="Times New Roman"/>
        </w:rPr>
      </w:pPr>
      <w:r>
        <w:rPr>
          <w:rFonts w:ascii="Times New Roman" w:hAnsi="Times New Roman" w:cs="Times New Roman"/>
          <w:noProof/>
        </w:rPr>
        <w:drawing>
          <wp:inline distT="0" distB="0" distL="0" distR="0" wp14:anchorId="6006858D" wp14:editId="753E56D9">
            <wp:extent cx="5943600" cy="6450330"/>
            <wp:effectExtent l="0" t="0" r="0" b="1270"/>
            <wp:docPr id="186610737" name="Picture 3" descr="A table of informati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0737" name="Picture 3" descr="A table of information with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43600" cy="6450330"/>
                    </a:xfrm>
                    <a:prstGeom prst="rect">
                      <a:avLst/>
                    </a:prstGeom>
                  </pic:spPr>
                </pic:pic>
              </a:graphicData>
            </a:graphic>
          </wp:inline>
        </w:drawing>
      </w:r>
    </w:p>
    <w:p w14:paraId="2B23E934" w14:textId="77777777" w:rsidR="00F27396" w:rsidRDefault="00F27396" w:rsidP="00CB01D3">
      <w:pPr>
        <w:rPr>
          <w:rFonts w:ascii="Times New Roman" w:hAnsi="Times New Roman" w:cs="Times New Roman"/>
        </w:rPr>
      </w:pPr>
    </w:p>
    <w:p w14:paraId="6F9235A9" w14:textId="7306BAE1" w:rsidR="000E6EB7" w:rsidRDefault="000E6EB7" w:rsidP="00CB01D3">
      <w:pPr>
        <w:rPr>
          <w:rFonts w:ascii="Times New Roman" w:hAnsi="Times New Roman" w:cs="Times New Roman"/>
        </w:rPr>
      </w:pPr>
    </w:p>
    <w:p w14:paraId="3F2BD94C" w14:textId="77777777" w:rsidR="000E6EB7" w:rsidRDefault="000E6EB7" w:rsidP="00CB01D3">
      <w:pPr>
        <w:rPr>
          <w:rFonts w:ascii="Times New Roman" w:hAnsi="Times New Roman" w:cs="Times New Roman"/>
        </w:rPr>
      </w:pPr>
    </w:p>
    <w:p w14:paraId="69FBCA33" w14:textId="33DE429E" w:rsidR="000E6EB7" w:rsidRDefault="00D15626" w:rsidP="00CB01D3">
      <w:pPr>
        <w:rPr>
          <w:rFonts w:ascii="Times New Roman" w:hAnsi="Times New Roman" w:cs="Times New Roman"/>
        </w:rPr>
      </w:pPr>
      <w:r>
        <w:rPr>
          <w:rFonts w:ascii="Times New Roman" w:hAnsi="Times New Roman" w:cs="Times New Roman"/>
          <w:noProof/>
        </w:rPr>
        <w:drawing>
          <wp:inline distT="0" distB="0" distL="0" distR="0" wp14:anchorId="35B67D8A" wp14:editId="6A46A96A">
            <wp:extent cx="6400800" cy="5429250"/>
            <wp:effectExtent l="0" t="0" r="0" b="6350"/>
            <wp:docPr id="1145702340" name="Picture 22" descr="A collage of different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02340" name="Picture 22" descr="A collage of different graph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400800" cy="5429250"/>
                    </a:xfrm>
                    <a:prstGeom prst="rect">
                      <a:avLst/>
                    </a:prstGeom>
                  </pic:spPr>
                </pic:pic>
              </a:graphicData>
            </a:graphic>
          </wp:inline>
        </w:drawing>
      </w:r>
    </w:p>
    <w:p w14:paraId="31EF6B33" w14:textId="26ED9A60" w:rsidR="00312C43" w:rsidRPr="00DE01E7" w:rsidRDefault="00312C43" w:rsidP="00312C43">
      <w:pPr>
        <w:pStyle w:val="p1"/>
        <w:rPr>
          <w:sz w:val="20"/>
          <w:szCs w:val="20"/>
        </w:rPr>
      </w:pPr>
      <w:r w:rsidRPr="00DE01E7">
        <w:rPr>
          <w:b/>
          <w:bCs/>
          <w:sz w:val="20"/>
          <w:szCs w:val="20"/>
        </w:rPr>
        <w:t xml:space="preserve">Supplementary Figure 8 | </w:t>
      </w:r>
      <w:r w:rsidR="00404204" w:rsidRPr="00DE01E7">
        <w:rPr>
          <w:b/>
          <w:bCs/>
          <w:sz w:val="20"/>
          <w:szCs w:val="20"/>
        </w:rPr>
        <w:t>Full climate modeling results</w:t>
      </w:r>
      <w:r w:rsidR="00DE01E7" w:rsidRPr="00DE01E7">
        <w:rPr>
          <w:sz w:val="20"/>
          <w:szCs w:val="20"/>
        </w:rPr>
        <w:t>. Climate system response to OAE deployment under Current Policies (CurPol) and Moderate Action (ModAct) emission scenarios across three deployment regimes (EU, OECD, Global</w:t>
      </w:r>
      <w:r w:rsidR="00D15626">
        <w:rPr>
          <w:sz w:val="20"/>
          <w:szCs w:val="20"/>
        </w:rPr>
        <w:t xml:space="preserve"> – green, brown and blue respectively</w:t>
      </w:r>
      <w:r w:rsidR="00DE01E7" w:rsidRPr="00DE01E7">
        <w:rPr>
          <w:sz w:val="20"/>
          <w:szCs w:val="20"/>
        </w:rPr>
        <w:t xml:space="preserve">). </w:t>
      </w:r>
      <w:r w:rsidR="00DE01E7" w:rsidRPr="00DE01E7">
        <w:rPr>
          <w:rStyle w:val="Strong"/>
          <w:rFonts w:eastAsiaTheme="majorEastAsia"/>
          <w:sz w:val="20"/>
          <w:szCs w:val="20"/>
        </w:rPr>
        <w:t>a,</w:t>
      </w:r>
      <w:r w:rsidR="00DE01E7" w:rsidRPr="00DE01E7">
        <w:rPr>
          <w:sz w:val="20"/>
          <w:szCs w:val="20"/>
        </w:rPr>
        <w:t xml:space="preserve"> Global CO₂ emissions trajectories showing baseline scenarios (black lines) and net emissions after OAE removals (colored envelopes represent </w:t>
      </w:r>
      <w:r w:rsidR="00D15626">
        <w:rPr>
          <w:sz w:val="20"/>
          <w:szCs w:val="20"/>
        </w:rPr>
        <w:t xml:space="preserve">the full range of min–max scenarios) </w:t>
      </w:r>
      <w:r w:rsidR="00DE01E7" w:rsidRPr="00DE01E7">
        <w:rPr>
          <w:rStyle w:val="Strong"/>
          <w:rFonts w:eastAsiaTheme="majorEastAsia"/>
          <w:sz w:val="20"/>
          <w:szCs w:val="20"/>
        </w:rPr>
        <w:t>b,</w:t>
      </w:r>
      <w:r w:rsidR="00DE01E7" w:rsidRPr="00DE01E7">
        <w:rPr>
          <w:sz w:val="20"/>
          <w:szCs w:val="20"/>
        </w:rPr>
        <w:t xml:space="preserve"> Atmospheric CO₂ concentrations resulting from emission pathways in panel a. </w:t>
      </w:r>
      <w:r w:rsidR="00DE01E7" w:rsidRPr="00DE01E7">
        <w:rPr>
          <w:rStyle w:val="Strong"/>
          <w:rFonts w:eastAsiaTheme="majorEastAsia"/>
          <w:sz w:val="20"/>
          <w:szCs w:val="20"/>
        </w:rPr>
        <w:t>c,</w:t>
      </w:r>
      <w:r w:rsidR="00DE01E7" w:rsidRPr="00DE01E7">
        <w:rPr>
          <w:sz w:val="20"/>
          <w:szCs w:val="20"/>
        </w:rPr>
        <w:t xml:space="preserve"> Global mean surface temperature projections through 2100. </w:t>
      </w:r>
      <w:r w:rsidR="00DE01E7" w:rsidRPr="00DE01E7">
        <w:rPr>
          <w:rStyle w:val="Strong"/>
          <w:rFonts w:eastAsiaTheme="majorEastAsia"/>
          <w:sz w:val="20"/>
          <w:szCs w:val="20"/>
        </w:rPr>
        <w:t>d,</w:t>
      </w:r>
      <w:r w:rsidR="00DE01E7" w:rsidRPr="00DE01E7">
        <w:rPr>
          <w:sz w:val="20"/>
          <w:szCs w:val="20"/>
        </w:rPr>
        <w:t xml:space="preserve"> Temperature changes in 2100 relative to baseline scenarios (dashed lines)</w:t>
      </w:r>
      <w:r w:rsidR="00D15626">
        <w:rPr>
          <w:sz w:val="20"/>
          <w:szCs w:val="20"/>
        </w:rPr>
        <w:t xml:space="preserve">. </w:t>
      </w:r>
      <w:r w:rsidR="00DE01E7" w:rsidRPr="00DE01E7">
        <w:rPr>
          <w:sz w:val="20"/>
          <w:szCs w:val="20"/>
        </w:rPr>
        <w:t>Temperature differences in panel d reflect the integrated climate response to cumulative net CO₂ removals from OAE deployment, with larger deployment regimes (Global) producing greater but still limited climate impacts.</w:t>
      </w:r>
    </w:p>
    <w:p w14:paraId="57E2C6BF" w14:textId="77777777" w:rsidR="00312C43" w:rsidRDefault="00312C43" w:rsidP="00CB01D3">
      <w:pPr>
        <w:rPr>
          <w:rFonts w:ascii="Times New Roman" w:hAnsi="Times New Roman" w:cs="Times New Roman"/>
        </w:rPr>
      </w:pPr>
    </w:p>
    <w:p w14:paraId="3922E42D" w14:textId="77777777" w:rsidR="00A80288" w:rsidRDefault="00A80288" w:rsidP="00CB01D3">
      <w:pPr>
        <w:rPr>
          <w:rFonts w:ascii="Times New Roman" w:hAnsi="Times New Roman" w:cs="Times New Roman"/>
        </w:rPr>
      </w:pPr>
    </w:p>
    <w:p w14:paraId="6629F5BC" w14:textId="5ACBDD41" w:rsidR="00A80288" w:rsidRDefault="00771D98" w:rsidP="00034BBB">
      <w:pPr>
        <w:jc w:val="center"/>
        <w:rPr>
          <w:rFonts w:ascii="Times New Roman" w:hAnsi="Times New Roman" w:cs="Times New Roman"/>
        </w:rPr>
      </w:pPr>
      <w:r w:rsidRPr="00771D98">
        <w:rPr>
          <w:rFonts w:ascii="Times New Roman" w:hAnsi="Times New Roman" w:cs="Times New Roman"/>
          <w:noProof/>
        </w:rPr>
        <w:lastRenderedPageBreak/>
        <w:drawing>
          <wp:inline distT="0" distB="0" distL="0" distR="0" wp14:anchorId="372C8AA2" wp14:editId="6676A3F1">
            <wp:extent cx="6400800" cy="5478780"/>
            <wp:effectExtent l="0" t="0" r="0" b="0"/>
            <wp:docPr id="416667289"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67289" name="Picture 1" descr="A graph of a number of people&#10;&#10;AI-generated content may be incorrect."/>
                    <pic:cNvPicPr/>
                  </pic:nvPicPr>
                  <pic:blipFill>
                    <a:blip r:embed="rId22"/>
                    <a:stretch>
                      <a:fillRect/>
                    </a:stretch>
                  </pic:blipFill>
                  <pic:spPr>
                    <a:xfrm>
                      <a:off x="0" y="0"/>
                      <a:ext cx="6400800" cy="5478780"/>
                    </a:xfrm>
                    <a:prstGeom prst="rect">
                      <a:avLst/>
                    </a:prstGeom>
                  </pic:spPr>
                </pic:pic>
              </a:graphicData>
            </a:graphic>
          </wp:inline>
        </w:drawing>
      </w:r>
    </w:p>
    <w:p w14:paraId="42A52245" w14:textId="5DC5C61A" w:rsidR="00A80288" w:rsidRPr="00835745" w:rsidRDefault="00034BBB" w:rsidP="0055168A">
      <w:pPr>
        <w:pStyle w:val="p1"/>
        <w:rPr>
          <w:sz w:val="20"/>
          <w:szCs w:val="20"/>
        </w:rPr>
      </w:pPr>
      <w:r w:rsidRPr="008B5125">
        <w:rPr>
          <w:b/>
          <w:bCs/>
          <w:sz w:val="20"/>
          <w:szCs w:val="20"/>
        </w:rPr>
        <w:t xml:space="preserve">Supplementary Figure </w:t>
      </w:r>
      <w:r w:rsidR="00DB4E24">
        <w:rPr>
          <w:b/>
          <w:bCs/>
          <w:sz w:val="20"/>
          <w:szCs w:val="20"/>
        </w:rPr>
        <w:t>9</w:t>
      </w:r>
      <w:r w:rsidRPr="008B5125">
        <w:rPr>
          <w:b/>
          <w:bCs/>
          <w:sz w:val="20"/>
          <w:szCs w:val="20"/>
        </w:rPr>
        <w:t xml:space="preserve"> | </w:t>
      </w:r>
      <w:r w:rsidR="00365E93">
        <w:rPr>
          <w:b/>
          <w:bCs/>
          <w:sz w:val="20"/>
          <w:szCs w:val="20"/>
        </w:rPr>
        <w:t>Tornado sensitivity plot</w:t>
      </w:r>
      <w:r w:rsidR="00602FB7">
        <w:rPr>
          <w:b/>
          <w:bCs/>
          <w:sz w:val="20"/>
          <w:szCs w:val="20"/>
        </w:rPr>
        <w:t xml:space="preserve"> (OECD Scenarios)</w:t>
      </w:r>
      <w:r w:rsidRPr="008B5125">
        <w:rPr>
          <w:b/>
          <w:bCs/>
          <w:sz w:val="20"/>
          <w:szCs w:val="20"/>
        </w:rPr>
        <w:t>.</w:t>
      </w:r>
      <w:r w:rsidRPr="008B5125">
        <w:rPr>
          <w:sz w:val="20"/>
          <w:szCs w:val="20"/>
        </w:rPr>
        <w:t xml:space="preserve"> </w:t>
      </w:r>
      <w:r w:rsidR="00BE58F1" w:rsidRPr="00BE58F1">
        <w:rPr>
          <w:sz w:val="20"/>
          <w:szCs w:val="20"/>
        </w:rPr>
        <w:t>Percent change in cumulative net CO₂ removals for each model parameter varied individually while holding all others at baseline values (median-median-Desalination-1000000-by_bloc_grid-2035-all_</w:t>
      </w:r>
      <w:r w:rsidR="00C869F7">
        <w:rPr>
          <w:sz w:val="20"/>
          <w:szCs w:val="20"/>
        </w:rPr>
        <w:t>random</w:t>
      </w:r>
      <w:r w:rsidR="00BE58F1" w:rsidRPr="00BE58F1">
        <w:rPr>
          <w:sz w:val="20"/>
          <w:szCs w:val="20"/>
        </w:rPr>
        <w:t xml:space="preserve">-medium-medium-True). Horizontal bars show the range of outcomes (minimum to maximum) for 2050 (light blue), 2075 (medium blue), and 2100 (dark blue). </w:t>
      </w:r>
      <w:r w:rsidR="0055168A" w:rsidRPr="00BE58F1">
        <w:rPr>
          <w:sz w:val="20"/>
          <w:szCs w:val="20"/>
        </w:rPr>
        <w:t xml:space="preserve">Parameters are ordered by average sensitivity across all </w:t>
      </w:r>
      <w:proofErr w:type="gramStart"/>
      <w:r w:rsidR="0055168A" w:rsidRPr="00BE58F1">
        <w:rPr>
          <w:sz w:val="20"/>
          <w:szCs w:val="20"/>
        </w:rPr>
        <w:t>three</w:t>
      </w:r>
      <w:r w:rsidR="0055168A">
        <w:rPr>
          <w:sz w:val="20"/>
          <w:szCs w:val="20"/>
        </w:rPr>
        <w:t xml:space="preserve"> </w:t>
      </w:r>
      <w:r w:rsidR="0055168A" w:rsidRPr="00BE58F1">
        <w:rPr>
          <w:sz w:val="20"/>
          <w:szCs w:val="20"/>
        </w:rPr>
        <w:t>time</w:t>
      </w:r>
      <w:proofErr w:type="gramEnd"/>
      <w:r w:rsidR="0055168A" w:rsidRPr="00BE58F1">
        <w:rPr>
          <w:sz w:val="20"/>
          <w:szCs w:val="20"/>
        </w:rPr>
        <w:t xml:space="preserve"> horizons</w:t>
      </w:r>
      <w:r w:rsidR="0055168A">
        <w:rPr>
          <w:sz w:val="20"/>
          <w:szCs w:val="20"/>
        </w:rPr>
        <w:t>, n</w:t>
      </w:r>
      <w:r w:rsidR="0055168A" w:rsidRPr="00BE58F1">
        <w:rPr>
          <w:sz w:val="20"/>
          <w:szCs w:val="20"/>
        </w:rPr>
        <w:t>egative values indicate reductions in cumulative removals relative to baseline; positive values indicate increases.</w:t>
      </w:r>
      <w:r w:rsidR="00835745">
        <w:rPr>
          <w:sz w:val="20"/>
          <w:szCs w:val="20"/>
        </w:rPr>
        <w:t xml:space="preserve"> Scaling parameters</w:t>
      </w:r>
      <w:r w:rsidR="00237EF5">
        <w:rPr>
          <w:sz w:val="20"/>
          <w:szCs w:val="20"/>
        </w:rPr>
        <w:t xml:space="preserve"> </w:t>
      </w:r>
      <w:r w:rsidR="00835745">
        <w:rPr>
          <w:sz w:val="20"/>
          <w:szCs w:val="20"/>
        </w:rPr>
        <w:t xml:space="preserve">dominate </w:t>
      </w:r>
      <w:r w:rsidR="00BE58F1" w:rsidRPr="00BE58F1">
        <w:rPr>
          <w:sz w:val="20"/>
          <w:szCs w:val="20"/>
        </w:rPr>
        <w:t>with analog choice and initial capacity producing order-of-magnitude variations in cumulative removals by mid-century. Project-level parameters (</w:t>
      </w:r>
      <w:r w:rsidR="00237EF5">
        <w:rPr>
          <w:sz w:val="20"/>
          <w:szCs w:val="20"/>
        </w:rPr>
        <w:t xml:space="preserve">deployment </w:t>
      </w:r>
      <w:r w:rsidR="00BE58F1" w:rsidRPr="00BE58F1">
        <w:rPr>
          <w:sz w:val="20"/>
          <w:szCs w:val="20"/>
        </w:rPr>
        <w:t>order, injection</w:t>
      </w:r>
      <w:r w:rsidR="00237EF5">
        <w:rPr>
          <w:sz w:val="20"/>
          <w:szCs w:val="20"/>
        </w:rPr>
        <w:t xml:space="preserve"> r</w:t>
      </w:r>
      <w:r w:rsidR="00BE58F1" w:rsidRPr="00BE58F1">
        <w:rPr>
          <w:sz w:val="20"/>
          <w:szCs w:val="20"/>
        </w:rPr>
        <w:t xml:space="preserve">ate, </w:t>
      </w:r>
      <w:r w:rsidR="00237EF5">
        <w:rPr>
          <w:sz w:val="20"/>
          <w:szCs w:val="20"/>
        </w:rPr>
        <w:t xml:space="preserve">project </w:t>
      </w:r>
      <w:r w:rsidR="00BE58F1" w:rsidRPr="00BE58F1">
        <w:rPr>
          <w:sz w:val="20"/>
          <w:szCs w:val="20"/>
        </w:rPr>
        <w:t xml:space="preserve">spacing) show increasing influence over longer time scales. Process efficiency parameters (energy_intensity, learning_rate, feedstock, pre_learning) have relatively modest impacts across all time periods. </w:t>
      </w:r>
    </w:p>
    <w:p w14:paraId="007AAC94" w14:textId="77777777" w:rsidR="00A80288" w:rsidRDefault="00A80288" w:rsidP="00CB01D3">
      <w:pPr>
        <w:rPr>
          <w:rFonts w:ascii="Times New Roman" w:hAnsi="Times New Roman" w:cs="Times New Roman"/>
        </w:rPr>
      </w:pPr>
    </w:p>
    <w:p w14:paraId="66C8C3F9" w14:textId="77777777" w:rsidR="00A80288" w:rsidRDefault="00A80288" w:rsidP="00CB01D3">
      <w:pPr>
        <w:rPr>
          <w:rFonts w:ascii="Times New Roman" w:hAnsi="Times New Roman" w:cs="Times New Roman"/>
        </w:rPr>
      </w:pPr>
    </w:p>
    <w:p w14:paraId="22B798F6" w14:textId="77777777" w:rsidR="00A80288" w:rsidRDefault="00A80288" w:rsidP="00CB01D3">
      <w:pPr>
        <w:rPr>
          <w:rFonts w:ascii="Times New Roman" w:hAnsi="Times New Roman" w:cs="Times New Roman"/>
        </w:rPr>
      </w:pPr>
    </w:p>
    <w:p w14:paraId="2C853683" w14:textId="77777777" w:rsidR="00ED5628" w:rsidRDefault="00ED5628" w:rsidP="00CB01D3">
      <w:pPr>
        <w:rPr>
          <w:rFonts w:ascii="Times New Roman" w:hAnsi="Times New Roman" w:cs="Times New Roman"/>
        </w:rPr>
      </w:pPr>
    </w:p>
    <w:p w14:paraId="73D3FB1B" w14:textId="6BAB8102" w:rsidR="00355369" w:rsidRPr="00355369" w:rsidRDefault="00355369" w:rsidP="00CB01D3">
      <w:pPr>
        <w:rPr>
          <w:rFonts w:ascii="Times New Roman" w:hAnsi="Times New Roman" w:cs="Times New Roman"/>
          <w:b/>
          <w:bCs/>
          <w:sz w:val="20"/>
          <w:szCs w:val="20"/>
        </w:rPr>
      </w:pPr>
      <w:r w:rsidRPr="00C80040">
        <w:rPr>
          <w:rFonts w:ascii="Times New Roman" w:hAnsi="Times New Roman" w:cs="Times New Roman"/>
          <w:b/>
          <w:bCs/>
          <w:sz w:val="20"/>
          <w:szCs w:val="20"/>
        </w:rPr>
        <w:lastRenderedPageBreak/>
        <w:t xml:space="preserve">Supplementary Table </w:t>
      </w:r>
      <w:r w:rsidR="008A4E8B">
        <w:rPr>
          <w:rFonts w:ascii="Times New Roman" w:hAnsi="Times New Roman" w:cs="Times New Roman"/>
          <w:b/>
          <w:bCs/>
          <w:sz w:val="20"/>
          <w:szCs w:val="20"/>
        </w:rPr>
        <w:t>9</w:t>
      </w:r>
      <w:r w:rsidRPr="00C80040">
        <w:rPr>
          <w:rFonts w:ascii="Times New Roman" w:hAnsi="Times New Roman" w:cs="Times New Roman"/>
          <w:b/>
          <w:bCs/>
          <w:sz w:val="20"/>
          <w:szCs w:val="20"/>
        </w:rPr>
        <w:t xml:space="preserve"> | </w:t>
      </w:r>
      <w:r w:rsidR="00365E93">
        <w:rPr>
          <w:rFonts w:ascii="Times New Roman" w:hAnsi="Times New Roman" w:cs="Times New Roman"/>
          <w:b/>
          <w:bCs/>
          <w:sz w:val="20"/>
          <w:szCs w:val="20"/>
        </w:rPr>
        <w:t>Full model</w:t>
      </w:r>
      <w:r>
        <w:rPr>
          <w:rFonts w:ascii="Times New Roman" w:hAnsi="Times New Roman" w:cs="Times New Roman"/>
          <w:b/>
          <w:bCs/>
          <w:sz w:val="20"/>
          <w:szCs w:val="20"/>
        </w:rPr>
        <w:t xml:space="preserve"> sensitivities</w:t>
      </w:r>
      <w:r w:rsidR="00375038">
        <w:rPr>
          <w:rFonts w:ascii="Times New Roman" w:hAnsi="Times New Roman" w:cs="Times New Roman"/>
          <w:b/>
          <w:bCs/>
          <w:sz w:val="20"/>
          <w:szCs w:val="20"/>
        </w:rPr>
        <w:t xml:space="preserve"> (OECD Scenarios)</w:t>
      </w:r>
      <w:r w:rsidRPr="00C80040">
        <w:rPr>
          <w:rFonts w:ascii="Times New Roman" w:hAnsi="Times New Roman" w:cs="Times New Roman"/>
          <w:b/>
          <w:bCs/>
          <w:sz w:val="20"/>
          <w:szCs w:val="20"/>
        </w:rPr>
        <w:t xml:space="preserve">. </w:t>
      </w:r>
      <w:r w:rsidR="00421164" w:rsidRPr="005C408D">
        <w:rPr>
          <w:rFonts w:ascii="Times New Roman" w:hAnsi="Times New Roman" w:cs="Times New Roman"/>
          <w:sz w:val="20"/>
          <w:szCs w:val="20"/>
        </w:rPr>
        <w:t xml:space="preserve">Complete one-at-a-time sensitivity analysis showing percent changes in cumulative net CO₂ removals for all model parameters across three </w:t>
      </w:r>
      <w:r w:rsidR="00421164">
        <w:rPr>
          <w:rFonts w:ascii="Times New Roman" w:hAnsi="Times New Roman" w:cs="Times New Roman"/>
          <w:sz w:val="20"/>
          <w:szCs w:val="20"/>
        </w:rPr>
        <w:t>future years</w:t>
      </w:r>
      <w:r w:rsidR="00421164" w:rsidRPr="005C408D">
        <w:rPr>
          <w:rFonts w:ascii="Times New Roman" w:hAnsi="Times New Roman" w:cs="Times New Roman"/>
          <w:sz w:val="20"/>
          <w:szCs w:val="20"/>
        </w:rPr>
        <w:t xml:space="preserve"> (2050, 2075, 2100). Each parameter is varied individually while holding all others at </w:t>
      </w:r>
      <w:r w:rsidR="00421164">
        <w:rPr>
          <w:rFonts w:ascii="Times New Roman" w:hAnsi="Times New Roman" w:cs="Times New Roman"/>
          <w:sz w:val="20"/>
          <w:szCs w:val="20"/>
        </w:rPr>
        <w:t xml:space="preserve">their </w:t>
      </w:r>
      <w:r w:rsidR="00421164" w:rsidRPr="005C408D">
        <w:rPr>
          <w:rFonts w:ascii="Times New Roman" w:hAnsi="Times New Roman" w:cs="Times New Roman"/>
          <w:sz w:val="20"/>
          <w:szCs w:val="20"/>
        </w:rPr>
        <w:t>baseline</w:t>
      </w:r>
      <w:r w:rsidR="004F4AEE">
        <w:rPr>
          <w:rFonts w:ascii="Times New Roman" w:hAnsi="Times New Roman" w:cs="Times New Roman"/>
          <w:sz w:val="20"/>
          <w:szCs w:val="20"/>
        </w:rPr>
        <w:t xml:space="preserve"> value</w:t>
      </w:r>
      <w:r w:rsidR="00421164">
        <w:rPr>
          <w:rFonts w:ascii="Times New Roman" w:hAnsi="Times New Roman" w:cs="Times New Roman"/>
          <w:sz w:val="20"/>
          <w:szCs w:val="20"/>
        </w:rPr>
        <w:t xml:space="preserve">. </w:t>
      </w:r>
      <w:r w:rsidR="00421164" w:rsidRPr="005C408D">
        <w:rPr>
          <w:rFonts w:ascii="Times New Roman" w:hAnsi="Times New Roman" w:cs="Times New Roman"/>
          <w:sz w:val="20"/>
          <w:szCs w:val="20"/>
        </w:rPr>
        <w:t>Ranges represent minimum and maximum percent changes relative to baseline cumulative removals. Parameters are grouped by their role in the modeling framework. This table extends the main text Table 2 by including all parameters (energy intensity, learning rate, feedstock distribution, and pre-learning) that show relatively modest impacts compared to scaling and project parameters. Analog choice and initial capacity dominate sensitivity at all time scales, with order-of-magnitude variations possible depending on parameter selection.</w:t>
      </w:r>
    </w:p>
    <w:p w14:paraId="37E31CAC" w14:textId="5AB3B347" w:rsidR="00A80288" w:rsidRDefault="00455440" w:rsidP="00CB01D3">
      <w:pPr>
        <w:rPr>
          <w:rFonts w:ascii="Times New Roman" w:hAnsi="Times New Roman" w:cs="Times New Roman"/>
        </w:rPr>
      </w:pPr>
      <w:r>
        <w:rPr>
          <w:rFonts w:ascii="Times New Roman" w:hAnsi="Times New Roman" w:cs="Times New Roman"/>
          <w:noProof/>
        </w:rPr>
        <w:drawing>
          <wp:inline distT="0" distB="0" distL="0" distR="0" wp14:anchorId="371C1D44" wp14:editId="563ED095">
            <wp:extent cx="6400800" cy="5039995"/>
            <wp:effectExtent l="0" t="0" r="0" b="1905"/>
            <wp:docPr id="2054005272" name="Picture 2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05272" name="Picture 21" descr="A table with numbers and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400800" cy="5039995"/>
                    </a:xfrm>
                    <a:prstGeom prst="rect">
                      <a:avLst/>
                    </a:prstGeom>
                  </pic:spPr>
                </pic:pic>
              </a:graphicData>
            </a:graphic>
          </wp:inline>
        </w:drawing>
      </w:r>
    </w:p>
    <w:p w14:paraId="6F1A8303" w14:textId="2E334DB7" w:rsidR="00883A4F" w:rsidRDefault="00E47C72" w:rsidP="00CB01D3">
      <w:pPr>
        <w:rPr>
          <w:rFonts w:ascii="Times New Roman" w:hAnsi="Times New Roman" w:cs="Times New Roman"/>
        </w:rPr>
      </w:pPr>
      <w:r w:rsidRPr="00E47C72">
        <w:rPr>
          <w:noProof/>
        </w:rPr>
        <w:lastRenderedPageBreak/>
        <w:t xml:space="preserve"> </w:t>
      </w:r>
      <w:r w:rsidRPr="00E47C72">
        <w:rPr>
          <w:rFonts w:ascii="Times New Roman" w:hAnsi="Times New Roman" w:cs="Times New Roman"/>
        </w:rPr>
        <w:drawing>
          <wp:inline distT="0" distB="0" distL="0" distR="0" wp14:anchorId="07E2B777" wp14:editId="57BDFA2C">
            <wp:extent cx="6400800" cy="5470525"/>
            <wp:effectExtent l="0" t="0" r="0" b="3175"/>
            <wp:docPr id="119671004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10040" name="Picture 1" descr="A graph of different colored lines&#10;&#10;AI-generated content may be incorrect."/>
                    <pic:cNvPicPr/>
                  </pic:nvPicPr>
                  <pic:blipFill>
                    <a:blip r:embed="rId24"/>
                    <a:stretch>
                      <a:fillRect/>
                    </a:stretch>
                  </pic:blipFill>
                  <pic:spPr>
                    <a:xfrm>
                      <a:off x="0" y="0"/>
                      <a:ext cx="6400800" cy="5470525"/>
                    </a:xfrm>
                    <a:prstGeom prst="rect">
                      <a:avLst/>
                    </a:prstGeom>
                  </pic:spPr>
                </pic:pic>
              </a:graphicData>
            </a:graphic>
          </wp:inline>
        </w:drawing>
      </w:r>
    </w:p>
    <w:p w14:paraId="06AA49B2" w14:textId="4FE54A31" w:rsidR="00FF3CE2" w:rsidRPr="00BB36BF" w:rsidRDefault="008A28FA" w:rsidP="00DA1BCE">
      <w:pPr>
        <w:pStyle w:val="p1"/>
        <w:rPr>
          <w:sz w:val="20"/>
          <w:szCs w:val="20"/>
        </w:rPr>
      </w:pPr>
      <w:r w:rsidRPr="006617D9">
        <w:rPr>
          <w:b/>
          <w:bCs/>
          <w:sz w:val="20"/>
          <w:szCs w:val="20"/>
        </w:rPr>
        <w:t xml:space="preserve">Supplementary Figure </w:t>
      </w:r>
      <w:r w:rsidR="007E2345" w:rsidRPr="006617D9">
        <w:rPr>
          <w:b/>
          <w:bCs/>
          <w:sz w:val="20"/>
          <w:szCs w:val="20"/>
        </w:rPr>
        <w:t>10</w:t>
      </w:r>
      <w:r w:rsidRPr="006617D9">
        <w:rPr>
          <w:b/>
          <w:bCs/>
          <w:sz w:val="20"/>
          <w:szCs w:val="20"/>
        </w:rPr>
        <w:t xml:space="preserve"> | </w:t>
      </w:r>
      <w:r w:rsidR="006617D9" w:rsidRPr="006617D9">
        <w:rPr>
          <w:rStyle w:val="Strong"/>
          <w:rFonts w:eastAsiaTheme="majorEastAsia"/>
          <w:sz w:val="20"/>
          <w:szCs w:val="20"/>
        </w:rPr>
        <w:t xml:space="preserve">Net CO₂ removal </w:t>
      </w:r>
      <w:r w:rsidR="002E329C">
        <w:rPr>
          <w:rStyle w:val="Strong"/>
          <w:rFonts w:eastAsiaTheme="majorEastAsia"/>
          <w:sz w:val="20"/>
          <w:szCs w:val="20"/>
        </w:rPr>
        <w:t>by</w:t>
      </w:r>
      <w:r w:rsidR="006617D9" w:rsidRPr="006617D9">
        <w:rPr>
          <w:rStyle w:val="Strong"/>
          <w:rFonts w:eastAsiaTheme="majorEastAsia"/>
          <w:sz w:val="20"/>
          <w:szCs w:val="20"/>
        </w:rPr>
        <w:t xml:space="preserve"> </w:t>
      </w:r>
      <w:r w:rsidR="006617D9">
        <w:rPr>
          <w:rStyle w:val="Strong"/>
          <w:rFonts w:eastAsiaTheme="majorEastAsia"/>
          <w:sz w:val="20"/>
          <w:szCs w:val="20"/>
        </w:rPr>
        <w:t>historical analog</w:t>
      </w:r>
      <w:r w:rsidR="006617D9" w:rsidRPr="006617D9">
        <w:rPr>
          <w:rStyle w:val="Strong"/>
          <w:rFonts w:eastAsiaTheme="majorEastAsia"/>
          <w:sz w:val="20"/>
          <w:szCs w:val="20"/>
        </w:rPr>
        <w:t>.</w:t>
      </w:r>
      <w:r w:rsidR="006617D9" w:rsidRPr="006617D9">
        <w:rPr>
          <w:sz w:val="20"/>
          <w:szCs w:val="20"/>
        </w:rPr>
        <w:t xml:space="preserve"> Net CO₂ removal pathways for OECD deployment scenarios using three historical technology analogs: </w:t>
      </w:r>
      <w:r w:rsidR="006617D9" w:rsidRPr="006617D9">
        <w:rPr>
          <w:rStyle w:val="Strong"/>
          <w:rFonts w:eastAsiaTheme="majorEastAsia"/>
          <w:sz w:val="20"/>
          <w:szCs w:val="20"/>
        </w:rPr>
        <w:t>a,</w:t>
      </w:r>
      <w:r w:rsidR="006617D9" w:rsidRPr="006617D9">
        <w:rPr>
          <w:sz w:val="20"/>
          <w:szCs w:val="20"/>
        </w:rPr>
        <w:t xml:space="preserve"> Offshore Wind (k=0.29, fastest scaling), </w:t>
      </w:r>
      <w:r w:rsidR="006617D9" w:rsidRPr="006617D9">
        <w:rPr>
          <w:rStyle w:val="Strong"/>
          <w:rFonts w:eastAsiaTheme="majorEastAsia"/>
          <w:sz w:val="20"/>
          <w:szCs w:val="20"/>
        </w:rPr>
        <w:t>b,</w:t>
      </w:r>
      <w:r w:rsidR="006617D9" w:rsidRPr="006617D9">
        <w:rPr>
          <w:sz w:val="20"/>
          <w:szCs w:val="20"/>
        </w:rPr>
        <w:t xml:space="preserve"> Desalination (k=0.13, moderate scaling), and </w:t>
      </w:r>
      <w:r w:rsidR="006617D9" w:rsidRPr="006617D9">
        <w:rPr>
          <w:rStyle w:val="Strong"/>
          <w:rFonts w:eastAsiaTheme="majorEastAsia"/>
          <w:sz w:val="20"/>
          <w:szCs w:val="20"/>
        </w:rPr>
        <w:t>c,</w:t>
      </w:r>
      <w:r w:rsidR="006617D9" w:rsidRPr="006617D9">
        <w:rPr>
          <w:sz w:val="20"/>
          <w:szCs w:val="20"/>
        </w:rPr>
        <w:t xml:space="preserve"> Aquaculture (k=0.07, slowest scaling). All scenarios begin deployment in 2030 with initial capacity of 10</w:t>
      </w:r>
      <w:r w:rsidR="00B63565">
        <w:rPr>
          <w:sz w:val="20"/>
          <w:szCs w:val="20"/>
          <w:vertAlign w:val="superscript"/>
        </w:rPr>
        <w:t>6</w:t>
      </w:r>
      <w:r w:rsidR="006617D9" w:rsidRPr="006617D9">
        <w:rPr>
          <w:sz w:val="20"/>
          <w:szCs w:val="20"/>
        </w:rPr>
        <w:t xml:space="preserve"> tons TA yr⁻¹. Individual trajectories (thin lines) represent different combinations of project-level and process efficiency parameters (n=2,430 scenarios per analog); shaded envelopes show 15th–85th percentile ranges; bold lines </w:t>
      </w:r>
      <w:r w:rsidR="00594EA3">
        <w:rPr>
          <w:sz w:val="20"/>
          <w:szCs w:val="20"/>
        </w:rPr>
        <w:t>denote the</w:t>
      </w:r>
      <w:r w:rsidR="006617D9" w:rsidRPr="006617D9">
        <w:rPr>
          <w:sz w:val="20"/>
          <w:szCs w:val="20"/>
        </w:rPr>
        <w:t xml:space="preserve"> ensemble means. Box plots (right) display distribution of cumulative net removals by 2150</w:t>
      </w:r>
      <w:r w:rsidR="000416CB">
        <w:rPr>
          <w:sz w:val="20"/>
          <w:szCs w:val="20"/>
        </w:rPr>
        <w:t>. Box denotes IQR, line denotes median</w:t>
      </w:r>
      <w:r w:rsidR="00BB36BF">
        <w:rPr>
          <w:sz w:val="20"/>
          <w:szCs w:val="20"/>
        </w:rPr>
        <w:t>, whiskers denote 1.5x IQR.</w:t>
      </w:r>
    </w:p>
    <w:p w14:paraId="391EDFEF" w14:textId="77777777" w:rsidR="00FF3CE2" w:rsidRDefault="00FF3CE2" w:rsidP="00DA1BCE">
      <w:pPr>
        <w:pStyle w:val="p1"/>
        <w:rPr>
          <w:rFonts w:eastAsiaTheme="minorHAnsi"/>
          <w:color w:val="000000" w:themeColor="text1"/>
          <w:kern w:val="24"/>
          <w:sz w:val="20"/>
          <w:szCs w:val="20"/>
        </w:rPr>
      </w:pPr>
    </w:p>
    <w:p w14:paraId="3A603F63" w14:textId="77777777" w:rsidR="00FF3CE2" w:rsidRDefault="00FF3CE2" w:rsidP="00DA1BCE">
      <w:pPr>
        <w:pStyle w:val="p1"/>
        <w:rPr>
          <w:rFonts w:eastAsiaTheme="minorHAnsi"/>
          <w:color w:val="000000" w:themeColor="text1"/>
          <w:kern w:val="24"/>
          <w:sz w:val="20"/>
          <w:szCs w:val="20"/>
        </w:rPr>
      </w:pPr>
    </w:p>
    <w:p w14:paraId="742387B2" w14:textId="77777777" w:rsidR="00FF3CE2" w:rsidRDefault="00FF3CE2" w:rsidP="00DA1BCE">
      <w:pPr>
        <w:pStyle w:val="p1"/>
        <w:rPr>
          <w:rFonts w:eastAsiaTheme="minorHAnsi"/>
          <w:color w:val="000000" w:themeColor="text1"/>
          <w:kern w:val="24"/>
          <w:sz w:val="20"/>
          <w:szCs w:val="20"/>
        </w:rPr>
      </w:pPr>
    </w:p>
    <w:p w14:paraId="7F5F1503" w14:textId="77777777" w:rsidR="00FF3CE2" w:rsidRDefault="00FF3CE2" w:rsidP="00DA1BCE">
      <w:pPr>
        <w:pStyle w:val="p1"/>
        <w:rPr>
          <w:rFonts w:eastAsiaTheme="minorHAnsi"/>
          <w:color w:val="000000" w:themeColor="text1"/>
          <w:kern w:val="24"/>
          <w:sz w:val="20"/>
          <w:szCs w:val="20"/>
        </w:rPr>
      </w:pPr>
    </w:p>
    <w:p w14:paraId="4E3AE726" w14:textId="77777777" w:rsidR="00FF3CE2" w:rsidRDefault="00FF3CE2" w:rsidP="00DA1BCE">
      <w:pPr>
        <w:pStyle w:val="p1"/>
        <w:rPr>
          <w:rFonts w:eastAsiaTheme="minorHAnsi"/>
          <w:color w:val="000000" w:themeColor="text1"/>
          <w:kern w:val="24"/>
          <w:sz w:val="20"/>
          <w:szCs w:val="20"/>
        </w:rPr>
      </w:pPr>
    </w:p>
    <w:p w14:paraId="748A9B62" w14:textId="77777777" w:rsidR="00FF3CE2" w:rsidRDefault="00FF3CE2" w:rsidP="00DA1BCE">
      <w:pPr>
        <w:pStyle w:val="p1"/>
        <w:rPr>
          <w:rFonts w:eastAsiaTheme="minorHAnsi"/>
          <w:color w:val="000000" w:themeColor="text1"/>
          <w:kern w:val="24"/>
          <w:sz w:val="20"/>
          <w:szCs w:val="20"/>
        </w:rPr>
      </w:pPr>
    </w:p>
    <w:p w14:paraId="0B73EB35" w14:textId="2591E5D5" w:rsidR="00FF3CE2" w:rsidRDefault="004062C0" w:rsidP="00DA1BCE">
      <w:pPr>
        <w:pStyle w:val="p1"/>
        <w:rPr>
          <w:rFonts w:eastAsiaTheme="minorHAnsi"/>
          <w:color w:val="000000" w:themeColor="text1"/>
          <w:kern w:val="24"/>
          <w:sz w:val="20"/>
          <w:szCs w:val="20"/>
        </w:rPr>
      </w:pPr>
      <w:r>
        <w:rPr>
          <w:rFonts w:eastAsiaTheme="minorHAnsi"/>
          <w:noProof/>
          <w:color w:val="000000" w:themeColor="text1"/>
          <w:kern w:val="24"/>
          <w:sz w:val="20"/>
          <w:szCs w:val="20"/>
          <w14:ligatures w14:val="standardContextual"/>
        </w:rPr>
        <w:lastRenderedPageBreak/>
        <w:drawing>
          <wp:inline distT="0" distB="0" distL="0" distR="0" wp14:anchorId="04AB05B3" wp14:editId="692AF252">
            <wp:extent cx="6400800" cy="7131050"/>
            <wp:effectExtent l="0" t="0" r="0" b="6350"/>
            <wp:docPr id="1857343778" name="Picture 2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43778" name="Picture 24" descr="A screenshot of a graph&#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400800" cy="7131050"/>
                    </a:xfrm>
                    <a:prstGeom prst="rect">
                      <a:avLst/>
                    </a:prstGeom>
                  </pic:spPr>
                </pic:pic>
              </a:graphicData>
            </a:graphic>
          </wp:inline>
        </w:drawing>
      </w:r>
    </w:p>
    <w:p w14:paraId="4218B49D" w14:textId="77777777" w:rsidR="003074BE" w:rsidRDefault="003074BE" w:rsidP="003074BE">
      <w:pPr>
        <w:pStyle w:val="p1"/>
        <w:rPr>
          <w:b/>
          <w:bCs/>
          <w:sz w:val="20"/>
          <w:szCs w:val="20"/>
        </w:rPr>
      </w:pPr>
    </w:p>
    <w:p w14:paraId="499703C6" w14:textId="7DD07B57" w:rsidR="003074BE" w:rsidRPr="00E652D5" w:rsidRDefault="003074BE" w:rsidP="003074BE">
      <w:pPr>
        <w:pStyle w:val="p1"/>
        <w:rPr>
          <w:rFonts w:eastAsiaTheme="minorHAnsi"/>
          <w:color w:val="000000" w:themeColor="text1"/>
          <w:kern w:val="24"/>
          <w:sz w:val="20"/>
          <w:szCs w:val="20"/>
        </w:rPr>
      </w:pPr>
      <w:r w:rsidRPr="00E652D5">
        <w:rPr>
          <w:b/>
          <w:bCs/>
          <w:sz w:val="20"/>
          <w:szCs w:val="20"/>
        </w:rPr>
        <w:t xml:space="preserve">Supplementary Figure 11 | </w:t>
      </w:r>
      <w:r w:rsidRPr="00E652D5">
        <w:rPr>
          <w:rStyle w:val="Strong"/>
          <w:rFonts w:eastAsiaTheme="majorEastAsia"/>
          <w:sz w:val="20"/>
          <w:szCs w:val="20"/>
        </w:rPr>
        <w:t>Net CO</w:t>
      </w:r>
      <w:r w:rsidRPr="00E652D5">
        <w:rPr>
          <w:rStyle w:val="Strong"/>
          <w:rFonts w:eastAsiaTheme="majorEastAsia"/>
          <w:sz w:val="20"/>
          <w:szCs w:val="20"/>
          <w:vertAlign w:val="subscript"/>
        </w:rPr>
        <w:t xml:space="preserve">2 </w:t>
      </w:r>
      <w:r w:rsidRPr="00E652D5">
        <w:rPr>
          <w:rStyle w:val="Strong"/>
          <w:rFonts w:eastAsiaTheme="majorEastAsia"/>
          <w:sz w:val="20"/>
          <w:szCs w:val="20"/>
        </w:rPr>
        <w:t xml:space="preserve">removals </w:t>
      </w:r>
      <w:r>
        <w:rPr>
          <w:rStyle w:val="Strong"/>
          <w:rFonts w:eastAsiaTheme="majorEastAsia"/>
          <w:sz w:val="20"/>
          <w:szCs w:val="20"/>
        </w:rPr>
        <w:t>by initial OAE industry size</w:t>
      </w:r>
      <w:r w:rsidRPr="00E652D5">
        <w:rPr>
          <w:rStyle w:val="Strong"/>
          <w:rFonts w:eastAsiaTheme="majorEastAsia"/>
          <w:sz w:val="20"/>
          <w:szCs w:val="20"/>
        </w:rPr>
        <w:t>.</w:t>
      </w:r>
      <w:r w:rsidRPr="00E652D5">
        <w:rPr>
          <w:sz w:val="20"/>
          <w:szCs w:val="20"/>
        </w:rPr>
        <w:t xml:space="preserve"> Net CO₂ removal for OECD scenarios using the Desalination analog (k=0.13) across four initial </w:t>
      </w:r>
      <w:r>
        <w:rPr>
          <w:sz w:val="20"/>
          <w:szCs w:val="20"/>
        </w:rPr>
        <w:t>OAE industry sizes</w:t>
      </w:r>
      <w:r w:rsidRPr="00E652D5">
        <w:rPr>
          <w:sz w:val="20"/>
          <w:szCs w:val="20"/>
        </w:rPr>
        <w:t xml:space="preserve">: </w:t>
      </w:r>
      <w:proofErr w:type="gramStart"/>
      <w:r w:rsidRPr="00E652D5">
        <w:rPr>
          <w:rStyle w:val="Strong"/>
          <w:rFonts w:eastAsiaTheme="majorEastAsia"/>
          <w:sz w:val="20"/>
          <w:szCs w:val="20"/>
        </w:rPr>
        <w:t>a,</w:t>
      </w:r>
      <w:proofErr w:type="gramEnd"/>
      <w:r w:rsidRPr="00E652D5">
        <w:rPr>
          <w:sz w:val="20"/>
          <w:szCs w:val="20"/>
        </w:rPr>
        <w:t xml:space="preserve"> 10⁴ tons TA yr</w:t>
      </w:r>
      <w:r w:rsidRPr="00E652D5">
        <w:rPr>
          <w:rFonts w:ascii="Cambria Math" w:hAnsi="Cambria Math" w:cs="Cambria Math"/>
          <w:sz w:val="20"/>
          <w:szCs w:val="20"/>
        </w:rPr>
        <w:t>⁻</w:t>
      </w:r>
      <w:r w:rsidRPr="00E652D5">
        <w:rPr>
          <w:sz w:val="20"/>
          <w:szCs w:val="20"/>
        </w:rPr>
        <w:t xml:space="preserve">¹, </w:t>
      </w:r>
      <w:r w:rsidRPr="00E652D5">
        <w:rPr>
          <w:rStyle w:val="Strong"/>
          <w:rFonts w:eastAsiaTheme="majorEastAsia"/>
          <w:sz w:val="20"/>
          <w:szCs w:val="20"/>
        </w:rPr>
        <w:t>b,</w:t>
      </w:r>
      <w:r w:rsidRPr="00E652D5">
        <w:rPr>
          <w:sz w:val="20"/>
          <w:szCs w:val="20"/>
        </w:rPr>
        <w:t xml:space="preserve"> 10⁵ tons TA yr</w:t>
      </w:r>
      <w:r w:rsidRPr="00E652D5">
        <w:rPr>
          <w:rFonts w:ascii="Cambria Math" w:hAnsi="Cambria Math" w:cs="Cambria Math"/>
          <w:sz w:val="20"/>
          <w:szCs w:val="20"/>
        </w:rPr>
        <w:t>⁻</w:t>
      </w:r>
      <w:r w:rsidRPr="00E652D5">
        <w:rPr>
          <w:sz w:val="20"/>
          <w:szCs w:val="20"/>
        </w:rPr>
        <w:t xml:space="preserve">¹, </w:t>
      </w:r>
      <w:r w:rsidRPr="00E652D5">
        <w:rPr>
          <w:rStyle w:val="Strong"/>
          <w:rFonts w:eastAsiaTheme="majorEastAsia"/>
          <w:sz w:val="20"/>
          <w:szCs w:val="20"/>
        </w:rPr>
        <w:t>c,</w:t>
      </w:r>
      <w:r w:rsidRPr="00E652D5">
        <w:rPr>
          <w:sz w:val="20"/>
          <w:szCs w:val="20"/>
        </w:rPr>
        <w:t xml:space="preserve"> 10⁶ tons TA yr</w:t>
      </w:r>
      <w:r w:rsidRPr="00E652D5">
        <w:rPr>
          <w:rFonts w:ascii="Cambria Math" w:hAnsi="Cambria Math" w:cs="Cambria Math"/>
          <w:sz w:val="20"/>
          <w:szCs w:val="20"/>
        </w:rPr>
        <w:t>⁻</w:t>
      </w:r>
      <w:r w:rsidRPr="00E652D5">
        <w:rPr>
          <w:sz w:val="20"/>
          <w:szCs w:val="20"/>
        </w:rPr>
        <w:t xml:space="preserve">¹, and </w:t>
      </w:r>
      <w:r w:rsidRPr="00E652D5">
        <w:rPr>
          <w:rStyle w:val="Strong"/>
          <w:rFonts w:eastAsiaTheme="majorEastAsia"/>
          <w:sz w:val="20"/>
          <w:szCs w:val="20"/>
        </w:rPr>
        <w:t>d,</w:t>
      </w:r>
      <w:r w:rsidRPr="00E652D5">
        <w:rPr>
          <w:sz w:val="20"/>
          <w:szCs w:val="20"/>
        </w:rPr>
        <w:t xml:space="preserve"> 10⁷ tons TA yr</w:t>
      </w:r>
      <w:r w:rsidRPr="00E652D5">
        <w:rPr>
          <w:rFonts w:ascii="Cambria Math" w:hAnsi="Cambria Math" w:cs="Cambria Math"/>
          <w:sz w:val="20"/>
          <w:szCs w:val="20"/>
        </w:rPr>
        <w:t>⁻</w:t>
      </w:r>
      <w:r w:rsidRPr="00E652D5">
        <w:rPr>
          <w:sz w:val="20"/>
          <w:szCs w:val="20"/>
        </w:rPr>
        <w:t xml:space="preserve">¹. Each panel shows the ensemble of all parameter combinations (n=7,290 scenarios per capacity level) with individual trajectories (thin lines), 15th–85th percentile envelope (shading), and mean trajectory (bold black line). Box plots (right) display the distribution of annual removals in 2100. White circles with labels mark mean values in 2050, 2075, and 2100. </w:t>
      </w:r>
    </w:p>
    <w:p w14:paraId="74C6A091" w14:textId="0E554EF9" w:rsidR="00921C60" w:rsidRDefault="003E355B" w:rsidP="003E355B">
      <w:pPr>
        <w:pStyle w:val="p1"/>
        <w:jc w:val="center"/>
        <w:rPr>
          <w:rFonts w:eastAsiaTheme="minorHAnsi"/>
          <w:color w:val="000000" w:themeColor="text1"/>
          <w:kern w:val="24"/>
          <w:sz w:val="20"/>
          <w:szCs w:val="20"/>
        </w:rPr>
      </w:pPr>
      <w:r>
        <w:rPr>
          <w:rFonts w:eastAsiaTheme="minorHAnsi"/>
          <w:noProof/>
          <w:color w:val="000000" w:themeColor="text1"/>
          <w:kern w:val="24"/>
          <w:sz w:val="20"/>
          <w:szCs w:val="20"/>
          <w14:ligatures w14:val="standardContextual"/>
        </w:rPr>
        <w:lastRenderedPageBreak/>
        <w:drawing>
          <wp:inline distT="0" distB="0" distL="0" distR="0" wp14:anchorId="3FBF9B8B" wp14:editId="3DA1609D">
            <wp:extent cx="4955458" cy="6714348"/>
            <wp:effectExtent l="0" t="0" r="0" b="4445"/>
            <wp:docPr id="794190456" name="Picture 25"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0456" name="Picture 25" descr="A close-up of a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76184" cy="6742431"/>
                    </a:xfrm>
                    <a:prstGeom prst="rect">
                      <a:avLst/>
                    </a:prstGeom>
                  </pic:spPr>
                </pic:pic>
              </a:graphicData>
            </a:graphic>
          </wp:inline>
        </w:drawing>
      </w:r>
    </w:p>
    <w:p w14:paraId="567E9E34" w14:textId="77777777" w:rsidR="00C82854" w:rsidRDefault="00C82854" w:rsidP="00DA1BCE">
      <w:pPr>
        <w:pStyle w:val="p1"/>
        <w:rPr>
          <w:rFonts w:eastAsiaTheme="minorHAnsi"/>
          <w:color w:val="000000" w:themeColor="text1"/>
          <w:kern w:val="24"/>
          <w:sz w:val="20"/>
          <w:szCs w:val="20"/>
        </w:rPr>
      </w:pPr>
    </w:p>
    <w:p w14:paraId="48CB5133" w14:textId="77777777" w:rsidR="00C82854" w:rsidRDefault="00C82854" w:rsidP="00DA1BCE">
      <w:pPr>
        <w:pStyle w:val="p1"/>
        <w:rPr>
          <w:rFonts w:eastAsiaTheme="minorHAnsi"/>
          <w:color w:val="000000" w:themeColor="text1"/>
          <w:kern w:val="24"/>
          <w:sz w:val="20"/>
          <w:szCs w:val="20"/>
        </w:rPr>
      </w:pPr>
    </w:p>
    <w:p w14:paraId="2DB8E66F" w14:textId="77777777" w:rsidR="00C82854" w:rsidRDefault="00C82854" w:rsidP="00DA1BCE">
      <w:pPr>
        <w:pStyle w:val="p1"/>
        <w:rPr>
          <w:rFonts w:eastAsiaTheme="minorHAnsi"/>
          <w:color w:val="000000" w:themeColor="text1"/>
          <w:kern w:val="24"/>
          <w:sz w:val="20"/>
          <w:szCs w:val="20"/>
        </w:rPr>
      </w:pPr>
    </w:p>
    <w:p w14:paraId="132AB35C" w14:textId="77777777" w:rsidR="002E329C" w:rsidRPr="006B1B80" w:rsidRDefault="002E329C" w:rsidP="002E329C">
      <w:pPr>
        <w:pStyle w:val="p1"/>
        <w:rPr>
          <w:sz w:val="20"/>
          <w:szCs w:val="20"/>
        </w:rPr>
      </w:pPr>
      <w:r w:rsidRPr="006617D9">
        <w:rPr>
          <w:b/>
          <w:bCs/>
          <w:sz w:val="20"/>
          <w:szCs w:val="20"/>
        </w:rPr>
        <w:t>Supplementary Figure 1</w:t>
      </w:r>
      <w:r>
        <w:rPr>
          <w:b/>
          <w:bCs/>
          <w:sz w:val="20"/>
          <w:szCs w:val="20"/>
        </w:rPr>
        <w:t>2</w:t>
      </w:r>
      <w:r w:rsidRPr="006617D9">
        <w:rPr>
          <w:b/>
          <w:bCs/>
          <w:sz w:val="20"/>
          <w:szCs w:val="20"/>
        </w:rPr>
        <w:t xml:space="preserve"> | </w:t>
      </w:r>
      <w:r>
        <w:rPr>
          <w:rStyle w:val="Strong"/>
          <w:rFonts w:eastAsiaTheme="majorEastAsia"/>
          <w:sz w:val="20"/>
          <w:szCs w:val="20"/>
        </w:rPr>
        <w:t>Net CO</w:t>
      </w:r>
      <w:r>
        <w:rPr>
          <w:rStyle w:val="Strong"/>
          <w:rFonts w:eastAsiaTheme="majorEastAsia"/>
          <w:sz w:val="20"/>
          <w:szCs w:val="20"/>
          <w:vertAlign w:val="subscript"/>
        </w:rPr>
        <w:t>2</w:t>
      </w:r>
      <w:r w:rsidRPr="008B6E3A">
        <w:rPr>
          <w:rStyle w:val="Strong"/>
          <w:rFonts w:eastAsiaTheme="majorEastAsia"/>
          <w:sz w:val="20"/>
          <w:szCs w:val="20"/>
        </w:rPr>
        <w:t xml:space="preserve"> </w:t>
      </w:r>
      <w:r>
        <w:rPr>
          <w:rStyle w:val="Strong"/>
          <w:rFonts w:eastAsiaTheme="majorEastAsia"/>
          <w:sz w:val="20"/>
          <w:szCs w:val="20"/>
        </w:rPr>
        <w:t>removals across</w:t>
      </w:r>
      <w:r w:rsidRPr="008B6E3A">
        <w:rPr>
          <w:rStyle w:val="Strong"/>
          <w:rFonts w:eastAsiaTheme="majorEastAsia"/>
          <w:sz w:val="20"/>
          <w:szCs w:val="20"/>
        </w:rPr>
        <w:t xml:space="preserve"> </w:t>
      </w:r>
      <w:r>
        <w:rPr>
          <w:rStyle w:val="Strong"/>
          <w:rFonts w:eastAsiaTheme="majorEastAsia"/>
          <w:sz w:val="20"/>
          <w:szCs w:val="20"/>
        </w:rPr>
        <w:t xml:space="preserve">the </w:t>
      </w:r>
      <w:r w:rsidRPr="008B6E3A">
        <w:rPr>
          <w:rStyle w:val="Strong"/>
          <w:rFonts w:eastAsiaTheme="majorEastAsia"/>
          <w:sz w:val="20"/>
          <w:szCs w:val="20"/>
        </w:rPr>
        <w:t>year</w:t>
      </w:r>
      <w:r>
        <w:rPr>
          <w:rStyle w:val="Strong"/>
          <w:rFonts w:eastAsiaTheme="majorEastAsia"/>
          <w:sz w:val="20"/>
          <w:szCs w:val="20"/>
        </w:rPr>
        <w:t xml:space="preserve"> of first deployment</w:t>
      </w:r>
      <w:r w:rsidRPr="008B6E3A">
        <w:rPr>
          <w:rStyle w:val="Strong"/>
          <w:rFonts w:eastAsiaTheme="majorEastAsia"/>
          <w:sz w:val="20"/>
          <w:szCs w:val="20"/>
        </w:rPr>
        <w:t xml:space="preserve">. </w:t>
      </w:r>
      <w:r w:rsidRPr="008B6E3A">
        <w:rPr>
          <w:sz w:val="20"/>
          <w:szCs w:val="20"/>
        </w:rPr>
        <w:t xml:space="preserve">Net CO₂ removal for Offshore Wind scenarios (10⁶ capacity) starting in 2030, 2035, or 2040. </w:t>
      </w:r>
      <w:r>
        <w:rPr>
          <w:sz w:val="20"/>
          <w:szCs w:val="20"/>
        </w:rPr>
        <w:t xml:space="preserve">Showing </w:t>
      </w:r>
      <w:proofErr w:type="gramStart"/>
      <w:r w:rsidRPr="003108E6">
        <w:rPr>
          <w:rStyle w:val="Strong"/>
          <w:rFonts w:eastAsiaTheme="majorEastAsia"/>
          <w:sz w:val="20"/>
          <w:szCs w:val="20"/>
        </w:rPr>
        <w:t>a</w:t>
      </w:r>
      <w:r>
        <w:rPr>
          <w:rStyle w:val="Strong"/>
          <w:rFonts w:eastAsiaTheme="majorEastAsia"/>
          <w:sz w:val="20"/>
          <w:szCs w:val="20"/>
        </w:rPr>
        <w:t>,</w:t>
      </w:r>
      <w:proofErr w:type="gramEnd"/>
      <w:r>
        <w:rPr>
          <w:rStyle w:val="Strong"/>
          <w:rFonts w:eastAsiaTheme="majorEastAsia"/>
          <w:sz w:val="20"/>
          <w:szCs w:val="20"/>
        </w:rPr>
        <w:t xml:space="preserve"> </w:t>
      </w:r>
      <w:r w:rsidRPr="008B6E3A">
        <w:rPr>
          <w:sz w:val="20"/>
          <w:szCs w:val="20"/>
        </w:rPr>
        <w:t xml:space="preserve">15th–85th percentile envelopes and median trajectories. </w:t>
      </w:r>
      <w:r>
        <w:rPr>
          <w:sz w:val="20"/>
          <w:szCs w:val="20"/>
        </w:rPr>
        <w:t xml:space="preserve">Labels correspond to annual removals in 2050, 2075 and 2100; </w:t>
      </w:r>
      <w:r>
        <w:rPr>
          <w:rStyle w:val="Strong"/>
          <w:rFonts w:eastAsiaTheme="majorEastAsia"/>
          <w:sz w:val="20"/>
          <w:szCs w:val="20"/>
        </w:rPr>
        <w:t>b,</w:t>
      </w:r>
      <w:r w:rsidRPr="008B6E3A">
        <w:rPr>
          <w:sz w:val="20"/>
          <w:szCs w:val="20"/>
        </w:rPr>
        <w:t xml:space="preserve"> </w:t>
      </w:r>
      <w:r>
        <w:rPr>
          <w:sz w:val="20"/>
          <w:szCs w:val="20"/>
        </w:rPr>
        <w:t>b</w:t>
      </w:r>
      <w:r w:rsidRPr="008B6E3A">
        <w:rPr>
          <w:sz w:val="20"/>
          <w:szCs w:val="20"/>
        </w:rPr>
        <w:t xml:space="preserve">ox plots of removals </w:t>
      </w:r>
      <w:r>
        <w:rPr>
          <w:sz w:val="20"/>
          <w:szCs w:val="20"/>
        </w:rPr>
        <w:t>in</w:t>
      </w:r>
      <w:r w:rsidRPr="008B6E3A">
        <w:rPr>
          <w:sz w:val="20"/>
          <w:szCs w:val="20"/>
        </w:rPr>
        <w:t xml:space="preserve"> 2050, 2075, and 2100. Earlier deployment yields substantially higher mid-century removals (2050: 0.06 Gt</w:t>
      </w:r>
      <w:r>
        <w:rPr>
          <w:sz w:val="20"/>
          <w:szCs w:val="20"/>
        </w:rPr>
        <w:t xml:space="preserve"> CO</w:t>
      </w:r>
      <w:r>
        <w:rPr>
          <w:sz w:val="20"/>
          <w:szCs w:val="20"/>
          <w:vertAlign w:val="subscript"/>
        </w:rPr>
        <w:t>2</w:t>
      </w:r>
      <w:r>
        <w:rPr>
          <w:sz w:val="20"/>
          <w:szCs w:val="20"/>
        </w:rPr>
        <w:t xml:space="preserve"> </w:t>
      </w:r>
      <w:r w:rsidRPr="008B6E3A">
        <w:rPr>
          <w:sz w:val="20"/>
          <w:szCs w:val="20"/>
        </w:rPr>
        <w:t>yr</w:t>
      </w:r>
      <w:r>
        <w:rPr>
          <w:sz w:val="20"/>
          <w:szCs w:val="20"/>
          <w:vertAlign w:val="superscript"/>
        </w:rPr>
        <w:t>-1</w:t>
      </w:r>
      <w:r w:rsidRPr="008B6E3A">
        <w:rPr>
          <w:sz w:val="20"/>
          <w:szCs w:val="20"/>
        </w:rPr>
        <w:t xml:space="preserve"> for 2030 start vs 0.01 Gt</w:t>
      </w:r>
      <w:r>
        <w:rPr>
          <w:sz w:val="20"/>
          <w:szCs w:val="20"/>
        </w:rPr>
        <w:t xml:space="preserve"> CO</w:t>
      </w:r>
      <w:r>
        <w:rPr>
          <w:sz w:val="20"/>
          <w:szCs w:val="20"/>
          <w:vertAlign w:val="subscript"/>
        </w:rPr>
        <w:t>2</w:t>
      </w:r>
      <w:r>
        <w:rPr>
          <w:sz w:val="20"/>
          <w:szCs w:val="20"/>
        </w:rPr>
        <w:t xml:space="preserve"> yr</w:t>
      </w:r>
      <w:r>
        <w:rPr>
          <w:sz w:val="20"/>
          <w:szCs w:val="20"/>
          <w:vertAlign w:val="superscript"/>
        </w:rPr>
        <w:t>-1</w:t>
      </w:r>
      <w:r w:rsidRPr="008B6E3A">
        <w:rPr>
          <w:sz w:val="20"/>
          <w:szCs w:val="20"/>
        </w:rPr>
        <w:t xml:space="preserve"> for 2040 start) but all scenarios converge to similar end-of-century rates (~1.05 Gt</w:t>
      </w:r>
      <w:r>
        <w:rPr>
          <w:sz w:val="20"/>
          <w:szCs w:val="20"/>
        </w:rPr>
        <w:t xml:space="preserve"> CO</w:t>
      </w:r>
      <w:r>
        <w:rPr>
          <w:sz w:val="20"/>
          <w:szCs w:val="20"/>
          <w:vertAlign w:val="subscript"/>
        </w:rPr>
        <w:t xml:space="preserve">2 </w:t>
      </w:r>
      <w:r w:rsidRPr="008B6E3A">
        <w:rPr>
          <w:sz w:val="20"/>
          <w:szCs w:val="20"/>
        </w:rPr>
        <w:t>yr</w:t>
      </w:r>
      <w:r>
        <w:rPr>
          <w:sz w:val="20"/>
          <w:szCs w:val="20"/>
          <w:vertAlign w:val="superscript"/>
        </w:rPr>
        <w:t>-1</w:t>
      </w:r>
      <w:r w:rsidRPr="008B6E3A">
        <w:rPr>
          <w:sz w:val="20"/>
          <w:szCs w:val="20"/>
        </w:rPr>
        <w:t xml:space="preserve"> in 2100)</w:t>
      </w:r>
      <w:r>
        <w:rPr>
          <w:sz w:val="20"/>
          <w:szCs w:val="20"/>
        </w:rPr>
        <w:t xml:space="preserve">, and </w:t>
      </w:r>
      <w:r>
        <w:rPr>
          <w:b/>
          <w:bCs/>
          <w:sz w:val="20"/>
          <w:szCs w:val="20"/>
        </w:rPr>
        <w:t>c,</w:t>
      </w:r>
      <w:r>
        <w:rPr>
          <w:sz w:val="20"/>
          <w:szCs w:val="20"/>
        </w:rPr>
        <w:t xml:space="preserve"> box plots of cumulative removals in each key year. D</w:t>
      </w:r>
      <w:r w:rsidRPr="008B6E3A">
        <w:rPr>
          <w:sz w:val="20"/>
          <w:szCs w:val="20"/>
        </w:rPr>
        <w:t>elay</w:t>
      </w:r>
      <w:r>
        <w:rPr>
          <w:sz w:val="20"/>
          <w:szCs w:val="20"/>
        </w:rPr>
        <w:t>ing</w:t>
      </w:r>
      <w:r w:rsidRPr="008B6E3A">
        <w:rPr>
          <w:sz w:val="20"/>
          <w:szCs w:val="20"/>
        </w:rPr>
        <w:t xml:space="preserve"> deployment</w:t>
      </w:r>
      <w:r>
        <w:rPr>
          <w:sz w:val="20"/>
          <w:szCs w:val="20"/>
        </w:rPr>
        <w:t xml:space="preserve"> until 2040</w:t>
      </w:r>
      <w:r w:rsidRPr="008B6E3A">
        <w:rPr>
          <w:sz w:val="20"/>
          <w:szCs w:val="20"/>
        </w:rPr>
        <w:t xml:space="preserve"> reduces cumulative removals by</w:t>
      </w:r>
      <w:r>
        <w:rPr>
          <w:sz w:val="20"/>
          <w:szCs w:val="20"/>
        </w:rPr>
        <w:t xml:space="preserve"> about a quarter by 2100.</w:t>
      </w:r>
    </w:p>
    <w:p w14:paraId="6348E337" w14:textId="0D26ABB1" w:rsidR="00FF3CE2" w:rsidRDefault="000D7720" w:rsidP="00021DC9">
      <w:pPr>
        <w:pStyle w:val="p1"/>
        <w:jc w:val="center"/>
        <w:rPr>
          <w:rFonts w:eastAsiaTheme="minorHAnsi"/>
          <w:color w:val="000000" w:themeColor="text1"/>
          <w:kern w:val="24"/>
          <w:sz w:val="20"/>
          <w:szCs w:val="20"/>
        </w:rPr>
      </w:pPr>
      <w:r>
        <w:rPr>
          <w:rFonts w:eastAsiaTheme="minorHAnsi"/>
          <w:noProof/>
          <w:color w:val="000000" w:themeColor="text1"/>
          <w:kern w:val="24"/>
          <w:sz w:val="20"/>
          <w:szCs w:val="20"/>
          <w14:ligatures w14:val="standardContextual"/>
        </w:rPr>
        <w:lastRenderedPageBreak/>
        <w:drawing>
          <wp:inline distT="0" distB="0" distL="0" distR="0" wp14:anchorId="1F95661E" wp14:editId="54558B4C">
            <wp:extent cx="6304935" cy="3260421"/>
            <wp:effectExtent l="0" t="0" r="0" b="3810"/>
            <wp:docPr id="1796438290" name="Picture 26" descr="A graph of energy impa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38290" name="Picture 26" descr="A graph of energy impact&#10;&#10;AI-generated content may be incorrect."/>
                    <pic:cNvPicPr/>
                  </pic:nvPicPr>
                  <pic:blipFill rotWithShape="1">
                    <a:blip r:embed="rId27">
                      <a:extLst>
                        <a:ext uri="{28A0092B-C50C-407E-A947-70E740481C1C}">
                          <a14:useLocalDpi xmlns:a14="http://schemas.microsoft.com/office/drawing/2010/main" val="0"/>
                        </a:ext>
                      </a:extLst>
                    </a:blip>
                    <a:srcRect l="577" r="912"/>
                    <a:stretch>
                      <a:fillRect/>
                    </a:stretch>
                  </pic:blipFill>
                  <pic:spPr bwMode="auto">
                    <a:xfrm>
                      <a:off x="0" y="0"/>
                      <a:ext cx="6305524" cy="3260725"/>
                    </a:xfrm>
                    <a:prstGeom prst="rect">
                      <a:avLst/>
                    </a:prstGeom>
                    <a:ln>
                      <a:noFill/>
                    </a:ln>
                    <a:extLst>
                      <a:ext uri="{53640926-AAD7-44D8-BBD7-CCE9431645EC}">
                        <a14:shadowObscured xmlns:a14="http://schemas.microsoft.com/office/drawing/2010/main"/>
                      </a:ext>
                    </a:extLst>
                  </pic:spPr>
                </pic:pic>
              </a:graphicData>
            </a:graphic>
          </wp:inline>
        </w:drawing>
      </w:r>
    </w:p>
    <w:p w14:paraId="4EC421FF" w14:textId="77777777" w:rsidR="00FF3CE2" w:rsidRDefault="00FF3CE2" w:rsidP="00DA1BCE">
      <w:pPr>
        <w:pStyle w:val="p1"/>
        <w:rPr>
          <w:rFonts w:eastAsiaTheme="minorHAnsi"/>
          <w:color w:val="000000" w:themeColor="text1"/>
          <w:kern w:val="24"/>
          <w:sz w:val="20"/>
          <w:szCs w:val="20"/>
        </w:rPr>
      </w:pPr>
    </w:p>
    <w:p w14:paraId="2CA0A994" w14:textId="2229001C" w:rsidR="00C5254B" w:rsidRPr="00C5254B" w:rsidRDefault="00FF3CE2" w:rsidP="00717555">
      <w:pPr>
        <w:pStyle w:val="p1"/>
      </w:pPr>
      <w:r w:rsidRPr="00021DC9">
        <w:rPr>
          <w:b/>
          <w:bCs/>
          <w:sz w:val="20"/>
          <w:szCs w:val="20"/>
        </w:rPr>
        <w:t xml:space="preserve">Supplementary Figure </w:t>
      </w:r>
      <w:r w:rsidR="007E2345" w:rsidRPr="00021DC9">
        <w:rPr>
          <w:b/>
          <w:bCs/>
          <w:sz w:val="20"/>
          <w:szCs w:val="20"/>
        </w:rPr>
        <w:t>1</w:t>
      </w:r>
      <w:r w:rsidR="00921C60" w:rsidRPr="00021DC9">
        <w:rPr>
          <w:b/>
          <w:bCs/>
          <w:sz w:val="20"/>
          <w:szCs w:val="20"/>
        </w:rPr>
        <w:t>3</w:t>
      </w:r>
      <w:r w:rsidRPr="00021DC9">
        <w:rPr>
          <w:b/>
          <w:bCs/>
          <w:sz w:val="20"/>
          <w:szCs w:val="20"/>
        </w:rPr>
        <w:t xml:space="preserve"> | Te</w:t>
      </w:r>
      <w:r w:rsidR="00B970A7" w:rsidRPr="00021DC9">
        <w:rPr>
          <w:b/>
          <w:bCs/>
          <w:sz w:val="20"/>
          <w:szCs w:val="20"/>
        </w:rPr>
        <w:t xml:space="preserve">chnology </w:t>
      </w:r>
      <w:r w:rsidR="008D0B81" w:rsidRPr="00021DC9">
        <w:rPr>
          <w:b/>
          <w:bCs/>
          <w:sz w:val="20"/>
          <w:szCs w:val="20"/>
        </w:rPr>
        <w:t>attribute and ordering</w:t>
      </w:r>
      <w:r w:rsidR="00B970A7" w:rsidRPr="00021DC9">
        <w:rPr>
          <w:b/>
          <w:bCs/>
          <w:sz w:val="20"/>
          <w:szCs w:val="20"/>
        </w:rPr>
        <w:t xml:space="preserve"> sensitivities</w:t>
      </w:r>
      <w:r w:rsidRPr="00021DC9">
        <w:rPr>
          <w:b/>
          <w:bCs/>
          <w:sz w:val="20"/>
          <w:szCs w:val="20"/>
        </w:rPr>
        <w:t>.</w:t>
      </w:r>
      <w:r w:rsidRPr="00021DC9">
        <w:rPr>
          <w:sz w:val="20"/>
          <w:szCs w:val="20"/>
        </w:rPr>
        <w:t xml:space="preserve"> </w:t>
      </w:r>
      <w:r w:rsidR="000F35ED" w:rsidRPr="00021DC9">
        <w:rPr>
          <w:sz w:val="20"/>
          <w:szCs w:val="20"/>
        </w:rPr>
        <w:t>Net CO₂ removal trajectories showing sensitivity to process efficiency parameters and deployment ordering strategies for OECD scenarios. All panels use baseline scaling parameters (Desalination analog, 10⁶ initial capacity, 2030 start year</w:t>
      </w:r>
      <w:r w:rsidR="00021DC9">
        <w:rPr>
          <w:sz w:val="20"/>
          <w:szCs w:val="20"/>
        </w:rPr>
        <w:t xml:space="preserve"> and half eOAE/mOAE</w:t>
      </w:r>
      <w:r w:rsidR="000F35ED" w:rsidRPr="00021DC9">
        <w:rPr>
          <w:sz w:val="20"/>
          <w:szCs w:val="20"/>
        </w:rPr>
        <w:t xml:space="preserve">) while varying: </w:t>
      </w:r>
      <w:r w:rsidR="00021DC9">
        <w:rPr>
          <w:rStyle w:val="Strong"/>
          <w:rFonts w:eastAsiaTheme="majorEastAsia"/>
          <w:sz w:val="20"/>
          <w:szCs w:val="20"/>
        </w:rPr>
        <w:t>a</w:t>
      </w:r>
      <w:r w:rsidR="000F35ED" w:rsidRPr="00021DC9">
        <w:rPr>
          <w:rStyle w:val="Strong"/>
          <w:rFonts w:eastAsiaTheme="majorEastAsia"/>
          <w:sz w:val="20"/>
          <w:szCs w:val="20"/>
        </w:rPr>
        <w:t>,</w:t>
      </w:r>
      <w:r w:rsidR="000F35ED" w:rsidRPr="00021DC9">
        <w:rPr>
          <w:sz w:val="20"/>
          <w:szCs w:val="20"/>
        </w:rPr>
        <w:t xml:space="preserve"> learning rate scenarios</w:t>
      </w:r>
      <w:r w:rsidR="00717555">
        <w:rPr>
          <w:sz w:val="20"/>
          <w:szCs w:val="20"/>
        </w:rPr>
        <w:t xml:space="preserve"> </w:t>
      </w:r>
      <w:r w:rsidR="00717555" w:rsidRPr="00021DC9">
        <w:rPr>
          <w:sz w:val="20"/>
          <w:szCs w:val="20"/>
        </w:rPr>
        <w:t>(</w:t>
      </w:r>
      <w:r w:rsidR="00717555">
        <w:rPr>
          <w:sz w:val="20"/>
          <w:szCs w:val="20"/>
        </w:rPr>
        <w:t>Supplementary</w:t>
      </w:r>
      <w:r w:rsidR="00717555" w:rsidRPr="00021DC9">
        <w:rPr>
          <w:sz w:val="20"/>
          <w:szCs w:val="20"/>
        </w:rPr>
        <w:t xml:space="preserve"> </w:t>
      </w:r>
      <w:r w:rsidR="00717555">
        <w:rPr>
          <w:sz w:val="20"/>
          <w:szCs w:val="20"/>
        </w:rPr>
        <w:t>Table 6</w:t>
      </w:r>
      <w:r w:rsidR="00717555" w:rsidRPr="00021DC9">
        <w:rPr>
          <w:sz w:val="20"/>
          <w:szCs w:val="20"/>
        </w:rPr>
        <w:t>)</w:t>
      </w:r>
      <w:r w:rsidR="00021DC9">
        <w:rPr>
          <w:sz w:val="20"/>
          <w:szCs w:val="20"/>
        </w:rPr>
        <w:t>;</w:t>
      </w:r>
      <w:r w:rsidR="000F35ED" w:rsidRPr="00021DC9">
        <w:rPr>
          <w:sz w:val="20"/>
          <w:szCs w:val="20"/>
        </w:rPr>
        <w:t xml:space="preserve"> </w:t>
      </w:r>
      <w:r w:rsidR="00021DC9">
        <w:rPr>
          <w:rStyle w:val="Strong"/>
          <w:rFonts w:eastAsiaTheme="majorEastAsia"/>
          <w:sz w:val="20"/>
          <w:szCs w:val="20"/>
        </w:rPr>
        <w:t>b,</w:t>
      </w:r>
      <w:r w:rsidR="000F35ED" w:rsidRPr="00021DC9">
        <w:rPr>
          <w:sz w:val="20"/>
          <w:szCs w:val="20"/>
        </w:rPr>
        <w:t xml:space="preserve"> initial energy intensity levels (</w:t>
      </w:r>
      <w:r w:rsidR="00957656">
        <w:rPr>
          <w:sz w:val="20"/>
          <w:szCs w:val="20"/>
        </w:rPr>
        <w:t>Supplementary</w:t>
      </w:r>
      <w:r w:rsidR="000F35ED" w:rsidRPr="00021DC9">
        <w:rPr>
          <w:sz w:val="20"/>
          <w:szCs w:val="20"/>
        </w:rPr>
        <w:t xml:space="preserve"> </w:t>
      </w:r>
      <w:r w:rsidR="00957656">
        <w:rPr>
          <w:sz w:val="20"/>
          <w:szCs w:val="20"/>
        </w:rPr>
        <w:t>Table 6</w:t>
      </w:r>
      <w:r w:rsidR="000F35ED" w:rsidRPr="00021DC9">
        <w:rPr>
          <w:sz w:val="20"/>
          <w:szCs w:val="20"/>
        </w:rPr>
        <w:t>)</w:t>
      </w:r>
      <w:r w:rsidR="00717555">
        <w:rPr>
          <w:sz w:val="20"/>
          <w:szCs w:val="20"/>
        </w:rPr>
        <w:t>;</w:t>
      </w:r>
      <w:r w:rsidR="000F35ED" w:rsidRPr="00021DC9">
        <w:rPr>
          <w:sz w:val="20"/>
          <w:szCs w:val="20"/>
        </w:rPr>
        <w:t xml:space="preserve"> </w:t>
      </w:r>
      <w:r w:rsidR="00957656">
        <w:rPr>
          <w:rStyle w:val="Strong"/>
          <w:rFonts w:eastAsiaTheme="majorEastAsia"/>
          <w:sz w:val="20"/>
          <w:szCs w:val="20"/>
        </w:rPr>
        <w:t>c</w:t>
      </w:r>
      <w:r w:rsidR="000F35ED" w:rsidRPr="00021DC9">
        <w:rPr>
          <w:rStyle w:val="Strong"/>
          <w:rFonts w:eastAsiaTheme="majorEastAsia"/>
          <w:sz w:val="20"/>
          <w:szCs w:val="20"/>
        </w:rPr>
        <w:t>,</w:t>
      </w:r>
      <w:r w:rsidR="000F35ED" w:rsidRPr="00021DC9">
        <w:rPr>
          <w:sz w:val="20"/>
          <w:szCs w:val="20"/>
        </w:rPr>
        <w:t xml:space="preserve"> pre-deployment learning between 2025 and start year</w:t>
      </w:r>
      <w:r w:rsidR="00717555">
        <w:rPr>
          <w:sz w:val="20"/>
          <w:szCs w:val="20"/>
        </w:rPr>
        <w:t xml:space="preserve">, representing </w:t>
      </w:r>
      <w:r w:rsidR="000F35ED" w:rsidRPr="00021DC9">
        <w:rPr>
          <w:sz w:val="20"/>
          <w:szCs w:val="20"/>
        </w:rPr>
        <w:t>efficiency gains</w:t>
      </w:r>
      <w:r w:rsidR="00717555">
        <w:rPr>
          <w:sz w:val="20"/>
          <w:szCs w:val="20"/>
        </w:rPr>
        <w:t xml:space="preserve"> before deployment at scale begins; and </w:t>
      </w:r>
      <w:r w:rsidR="00717555">
        <w:rPr>
          <w:b/>
          <w:bCs/>
          <w:sz w:val="20"/>
          <w:szCs w:val="20"/>
        </w:rPr>
        <w:t xml:space="preserve">d, </w:t>
      </w:r>
      <w:r w:rsidR="00717555" w:rsidRPr="00021DC9">
        <w:rPr>
          <w:sz w:val="20"/>
          <w:szCs w:val="20"/>
        </w:rPr>
        <w:t>deployment zone ordering strategies</w:t>
      </w:r>
      <w:r w:rsidR="00717555">
        <w:rPr>
          <w:sz w:val="20"/>
          <w:szCs w:val="20"/>
        </w:rPr>
        <w:t xml:space="preserve"> (Supplementary Table 3).</w:t>
      </w:r>
      <w:r w:rsidR="009D2D69">
        <w:rPr>
          <w:sz w:val="20"/>
          <w:szCs w:val="20"/>
        </w:rPr>
        <w:t xml:space="preserve"> </w:t>
      </w:r>
      <w:r w:rsidR="00717555">
        <w:rPr>
          <w:sz w:val="20"/>
          <w:szCs w:val="20"/>
        </w:rPr>
        <w:t xml:space="preserve">See Supplementary Table 6 for more detail on the values considered in panels a, b, and c. </w:t>
      </w:r>
      <w:r w:rsidR="000F35ED" w:rsidRPr="00021DC9">
        <w:rPr>
          <w:sz w:val="20"/>
          <w:szCs w:val="20"/>
        </w:rPr>
        <w:t>Shaded envelopes show 15th–85th percentiles across all other parameter variations; lines show median trajectories.</w:t>
      </w:r>
      <w:r w:rsidR="00717555">
        <w:rPr>
          <w:sz w:val="20"/>
          <w:szCs w:val="20"/>
        </w:rPr>
        <w:t xml:space="preserve"> Supplementary Fig. </w:t>
      </w:r>
      <w:r w:rsidR="000434E3">
        <w:rPr>
          <w:sz w:val="20"/>
          <w:szCs w:val="20"/>
        </w:rPr>
        <w:t xml:space="preserve">9 and Supplementary Table 10 show these results in detail for key years. </w:t>
      </w:r>
    </w:p>
    <w:p w14:paraId="03E966A9" w14:textId="77777777" w:rsidR="00AE447D" w:rsidRDefault="00AE447D" w:rsidP="00DA1BCE">
      <w:pPr>
        <w:pStyle w:val="p1"/>
        <w:rPr>
          <w:rFonts w:eastAsiaTheme="minorHAnsi"/>
          <w:color w:val="000000" w:themeColor="text1"/>
          <w:kern w:val="24"/>
          <w:sz w:val="20"/>
          <w:szCs w:val="20"/>
        </w:rPr>
      </w:pPr>
    </w:p>
    <w:p w14:paraId="1857CD5C" w14:textId="77777777" w:rsidR="00AE447D" w:rsidRDefault="00AE447D" w:rsidP="00DA1BCE">
      <w:pPr>
        <w:pStyle w:val="p1"/>
        <w:rPr>
          <w:rFonts w:eastAsiaTheme="minorHAnsi"/>
          <w:color w:val="000000" w:themeColor="text1"/>
          <w:kern w:val="24"/>
          <w:sz w:val="20"/>
          <w:szCs w:val="20"/>
        </w:rPr>
      </w:pPr>
    </w:p>
    <w:p w14:paraId="47762816" w14:textId="77777777" w:rsidR="00AE447D" w:rsidRDefault="00AE447D" w:rsidP="00DA1BCE">
      <w:pPr>
        <w:pStyle w:val="p1"/>
        <w:rPr>
          <w:rFonts w:eastAsiaTheme="minorHAnsi"/>
          <w:color w:val="000000" w:themeColor="text1"/>
          <w:kern w:val="24"/>
          <w:sz w:val="20"/>
          <w:szCs w:val="20"/>
        </w:rPr>
      </w:pPr>
    </w:p>
    <w:p w14:paraId="02B36EA0" w14:textId="64D7531C" w:rsidR="00AE447D" w:rsidRDefault="00AE447D" w:rsidP="00DA1BCE">
      <w:pPr>
        <w:pStyle w:val="p1"/>
        <w:rPr>
          <w:rFonts w:eastAsiaTheme="minorHAnsi"/>
          <w:color w:val="000000" w:themeColor="text1"/>
          <w:kern w:val="24"/>
          <w:sz w:val="20"/>
          <w:szCs w:val="20"/>
        </w:rPr>
      </w:pPr>
    </w:p>
    <w:p w14:paraId="1486823D" w14:textId="77777777" w:rsidR="00AE447D" w:rsidRDefault="00AE447D" w:rsidP="00DA1BCE">
      <w:pPr>
        <w:pStyle w:val="p1"/>
        <w:rPr>
          <w:rFonts w:eastAsiaTheme="minorHAnsi"/>
          <w:color w:val="000000" w:themeColor="text1"/>
          <w:kern w:val="24"/>
          <w:sz w:val="20"/>
          <w:szCs w:val="20"/>
        </w:rPr>
      </w:pPr>
    </w:p>
    <w:p w14:paraId="1D741F46" w14:textId="77777777" w:rsidR="00AE447D" w:rsidRDefault="00AE447D" w:rsidP="00DA1BCE">
      <w:pPr>
        <w:pStyle w:val="p1"/>
        <w:rPr>
          <w:rFonts w:eastAsiaTheme="minorHAnsi"/>
          <w:color w:val="000000" w:themeColor="text1"/>
          <w:kern w:val="24"/>
          <w:sz w:val="20"/>
          <w:szCs w:val="20"/>
        </w:rPr>
      </w:pPr>
    </w:p>
    <w:p w14:paraId="5F6101BD" w14:textId="77777777" w:rsidR="00AE447D" w:rsidRDefault="00AE447D" w:rsidP="00DA1BCE">
      <w:pPr>
        <w:pStyle w:val="p1"/>
        <w:rPr>
          <w:rFonts w:eastAsiaTheme="minorHAnsi"/>
          <w:color w:val="000000" w:themeColor="text1"/>
          <w:kern w:val="24"/>
          <w:sz w:val="20"/>
          <w:szCs w:val="20"/>
        </w:rPr>
      </w:pPr>
    </w:p>
    <w:p w14:paraId="554D27A1" w14:textId="77777777" w:rsidR="00AE447D" w:rsidRDefault="00AE447D" w:rsidP="00DA1BCE">
      <w:pPr>
        <w:pStyle w:val="p1"/>
        <w:rPr>
          <w:rFonts w:eastAsiaTheme="minorHAnsi"/>
          <w:color w:val="000000" w:themeColor="text1"/>
          <w:kern w:val="24"/>
          <w:sz w:val="20"/>
          <w:szCs w:val="20"/>
        </w:rPr>
      </w:pPr>
    </w:p>
    <w:p w14:paraId="7D2DF73F" w14:textId="77777777" w:rsidR="00AE447D" w:rsidRDefault="00AE447D" w:rsidP="00DA1BCE">
      <w:pPr>
        <w:pStyle w:val="p1"/>
        <w:rPr>
          <w:rFonts w:eastAsiaTheme="minorHAnsi"/>
          <w:color w:val="000000" w:themeColor="text1"/>
          <w:kern w:val="24"/>
          <w:sz w:val="20"/>
          <w:szCs w:val="20"/>
        </w:rPr>
      </w:pPr>
    </w:p>
    <w:p w14:paraId="44DA4948" w14:textId="77777777" w:rsidR="00AE447D" w:rsidRDefault="00AE447D" w:rsidP="00DA1BCE">
      <w:pPr>
        <w:pStyle w:val="p1"/>
        <w:rPr>
          <w:rFonts w:eastAsiaTheme="minorHAnsi"/>
          <w:color w:val="000000" w:themeColor="text1"/>
          <w:kern w:val="24"/>
          <w:sz w:val="20"/>
          <w:szCs w:val="20"/>
        </w:rPr>
      </w:pPr>
    </w:p>
    <w:p w14:paraId="24BC1F5E" w14:textId="77777777" w:rsidR="00AE447D" w:rsidRDefault="00AE447D" w:rsidP="00DA1BCE">
      <w:pPr>
        <w:pStyle w:val="p1"/>
        <w:rPr>
          <w:rFonts w:eastAsiaTheme="minorHAnsi"/>
          <w:color w:val="000000" w:themeColor="text1"/>
          <w:kern w:val="24"/>
          <w:sz w:val="20"/>
          <w:szCs w:val="20"/>
        </w:rPr>
      </w:pPr>
    </w:p>
    <w:p w14:paraId="4E914B24" w14:textId="77777777" w:rsidR="00AE447D" w:rsidRDefault="00AE447D" w:rsidP="00DA1BCE">
      <w:pPr>
        <w:pStyle w:val="p1"/>
        <w:rPr>
          <w:rFonts w:eastAsiaTheme="minorHAnsi"/>
          <w:color w:val="000000" w:themeColor="text1"/>
          <w:kern w:val="24"/>
          <w:sz w:val="20"/>
          <w:szCs w:val="20"/>
        </w:rPr>
      </w:pPr>
    </w:p>
    <w:p w14:paraId="12F569D3" w14:textId="77777777" w:rsidR="00AE447D" w:rsidRDefault="00AE447D" w:rsidP="00DA1BCE">
      <w:pPr>
        <w:pStyle w:val="p1"/>
        <w:rPr>
          <w:rFonts w:eastAsiaTheme="minorHAnsi"/>
          <w:color w:val="000000" w:themeColor="text1"/>
          <w:kern w:val="24"/>
          <w:sz w:val="20"/>
          <w:szCs w:val="20"/>
        </w:rPr>
      </w:pPr>
    </w:p>
    <w:p w14:paraId="79E1B83F" w14:textId="77777777" w:rsidR="00AE447D" w:rsidRDefault="00AE447D" w:rsidP="00DA1BCE">
      <w:pPr>
        <w:pStyle w:val="p1"/>
        <w:rPr>
          <w:rFonts w:eastAsiaTheme="minorHAnsi"/>
          <w:color w:val="000000" w:themeColor="text1"/>
          <w:kern w:val="24"/>
          <w:sz w:val="20"/>
          <w:szCs w:val="20"/>
        </w:rPr>
      </w:pPr>
    </w:p>
    <w:p w14:paraId="668D4369" w14:textId="77777777" w:rsidR="00AE447D" w:rsidRDefault="00AE447D" w:rsidP="00DA1BCE">
      <w:pPr>
        <w:pStyle w:val="p1"/>
        <w:rPr>
          <w:rFonts w:eastAsiaTheme="minorHAnsi"/>
          <w:color w:val="000000" w:themeColor="text1"/>
          <w:kern w:val="24"/>
          <w:sz w:val="20"/>
          <w:szCs w:val="20"/>
        </w:rPr>
      </w:pPr>
    </w:p>
    <w:p w14:paraId="019FD3DE" w14:textId="77777777" w:rsidR="00AE447D" w:rsidRDefault="00AE447D" w:rsidP="00DA1BCE">
      <w:pPr>
        <w:pStyle w:val="p1"/>
        <w:rPr>
          <w:rFonts w:eastAsiaTheme="minorHAnsi"/>
          <w:color w:val="000000" w:themeColor="text1"/>
          <w:kern w:val="24"/>
          <w:sz w:val="20"/>
          <w:szCs w:val="20"/>
        </w:rPr>
      </w:pPr>
    </w:p>
    <w:p w14:paraId="7D90DA8C" w14:textId="77777777" w:rsidR="00AE447D" w:rsidRDefault="00AE447D" w:rsidP="00DA1BCE">
      <w:pPr>
        <w:pStyle w:val="p1"/>
        <w:rPr>
          <w:rFonts w:eastAsiaTheme="minorHAnsi"/>
          <w:color w:val="000000" w:themeColor="text1"/>
          <w:kern w:val="24"/>
          <w:sz w:val="20"/>
          <w:szCs w:val="20"/>
        </w:rPr>
      </w:pPr>
    </w:p>
    <w:p w14:paraId="2FE08A5A" w14:textId="77777777" w:rsidR="00AE447D" w:rsidRDefault="00AE447D" w:rsidP="00DA1BCE">
      <w:pPr>
        <w:pStyle w:val="p1"/>
        <w:rPr>
          <w:rFonts w:eastAsiaTheme="minorHAnsi"/>
          <w:color w:val="000000" w:themeColor="text1"/>
          <w:kern w:val="24"/>
          <w:sz w:val="20"/>
          <w:szCs w:val="20"/>
        </w:rPr>
      </w:pPr>
    </w:p>
    <w:p w14:paraId="2FB9108A" w14:textId="77777777" w:rsidR="00AE447D" w:rsidRDefault="00AE447D" w:rsidP="00DA1BCE">
      <w:pPr>
        <w:pStyle w:val="p1"/>
        <w:rPr>
          <w:rFonts w:eastAsiaTheme="minorHAnsi"/>
          <w:color w:val="000000" w:themeColor="text1"/>
          <w:kern w:val="24"/>
          <w:sz w:val="20"/>
          <w:szCs w:val="20"/>
        </w:rPr>
      </w:pPr>
    </w:p>
    <w:p w14:paraId="7523CFB1" w14:textId="77777777" w:rsidR="00AE447D" w:rsidRDefault="00AE447D" w:rsidP="00DA1BCE">
      <w:pPr>
        <w:pStyle w:val="p1"/>
        <w:rPr>
          <w:rFonts w:eastAsiaTheme="minorHAnsi"/>
          <w:color w:val="000000" w:themeColor="text1"/>
          <w:kern w:val="24"/>
          <w:sz w:val="20"/>
          <w:szCs w:val="20"/>
        </w:rPr>
      </w:pPr>
    </w:p>
    <w:p w14:paraId="3041FC2F" w14:textId="77777777" w:rsidR="00AE447D" w:rsidRDefault="00AE447D" w:rsidP="00DA1BCE">
      <w:pPr>
        <w:pStyle w:val="p1"/>
        <w:rPr>
          <w:rFonts w:eastAsiaTheme="minorHAnsi"/>
          <w:color w:val="000000" w:themeColor="text1"/>
          <w:kern w:val="24"/>
          <w:sz w:val="20"/>
          <w:szCs w:val="20"/>
        </w:rPr>
      </w:pPr>
    </w:p>
    <w:p w14:paraId="0164F1FB" w14:textId="77777777" w:rsidR="00AE447D" w:rsidRDefault="00AE447D" w:rsidP="00DA1BCE">
      <w:pPr>
        <w:pStyle w:val="p1"/>
        <w:rPr>
          <w:rFonts w:eastAsiaTheme="minorHAnsi"/>
          <w:color w:val="000000" w:themeColor="text1"/>
          <w:kern w:val="24"/>
          <w:sz w:val="20"/>
          <w:szCs w:val="20"/>
        </w:rPr>
      </w:pPr>
    </w:p>
    <w:p w14:paraId="61646F1A" w14:textId="77777777" w:rsidR="00AE447D" w:rsidRDefault="00AE447D" w:rsidP="00DA1BCE">
      <w:pPr>
        <w:pStyle w:val="p1"/>
        <w:rPr>
          <w:rFonts w:eastAsiaTheme="minorHAnsi"/>
          <w:color w:val="000000" w:themeColor="text1"/>
          <w:kern w:val="24"/>
          <w:sz w:val="20"/>
          <w:szCs w:val="20"/>
        </w:rPr>
      </w:pPr>
    </w:p>
    <w:p w14:paraId="6A6CA5B5" w14:textId="013F07E5" w:rsidR="00AE447D" w:rsidRDefault="00AE447D" w:rsidP="00DA1BCE">
      <w:pPr>
        <w:pStyle w:val="p1"/>
        <w:rPr>
          <w:rFonts w:eastAsiaTheme="minorHAnsi"/>
          <w:color w:val="000000" w:themeColor="text1"/>
          <w:kern w:val="24"/>
          <w:sz w:val="20"/>
          <w:szCs w:val="20"/>
        </w:rPr>
      </w:pPr>
    </w:p>
    <w:p w14:paraId="49234BC6" w14:textId="77777777" w:rsidR="00770830" w:rsidRDefault="00770830" w:rsidP="00DA1BCE">
      <w:pPr>
        <w:pStyle w:val="p1"/>
        <w:rPr>
          <w:rFonts w:eastAsiaTheme="minorHAnsi"/>
          <w:color w:val="000000" w:themeColor="text1"/>
          <w:kern w:val="24"/>
          <w:sz w:val="20"/>
          <w:szCs w:val="20"/>
        </w:rPr>
      </w:pPr>
    </w:p>
    <w:p w14:paraId="52BDA898" w14:textId="5601D42D" w:rsidR="00640D3D" w:rsidRDefault="00640D3D" w:rsidP="00DA1BCE">
      <w:pPr>
        <w:pStyle w:val="p1"/>
        <w:rPr>
          <w:rFonts w:eastAsiaTheme="minorHAnsi"/>
          <w:b/>
          <w:bCs/>
          <w:color w:val="000000" w:themeColor="text1"/>
          <w:kern w:val="24"/>
          <w:sz w:val="20"/>
          <w:szCs w:val="20"/>
        </w:rPr>
      </w:pPr>
      <w:r>
        <w:rPr>
          <w:rFonts w:eastAsiaTheme="minorHAnsi"/>
          <w:b/>
          <w:bCs/>
          <w:color w:val="000000" w:themeColor="text1"/>
          <w:kern w:val="24"/>
          <w:sz w:val="20"/>
          <w:szCs w:val="20"/>
        </w:rPr>
        <w:lastRenderedPageBreak/>
        <w:t xml:space="preserve">References </w:t>
      </w:r>
    </w:p>
    <w:p w14:paraId="663A14AB" w14:textId="77777777" w:rsidR="00640D3D" w:rsidRPr="00640D3D" w:rsidRDefault="00640D3D" w:rsidP="00DA1BCE">
      <w:pPr>
        <w:pStyle w:val="p1"/>
        <w:rPr>
          <w:rFonts w:eastAsiaTheme="minorHAnsi"/>
          <w:b/>
          <w:bCs/>
          <w:color w:val="000000" w:themeColor="text1"/>
          <w:kern w:val="24"/>
          <w:sz w:val="20"/>
          <w:szCs w:val="20"/>
        </w:rPr>
      </w:pPr>
    </w:p>
    <w:p w14:paraId="681B1CC1" w14:textId="77777777" w:rsidR="004C0925" w:rsidRPr="004C0925" w:rsidRDefault="002D4E72" w:rsidP="004C0925">
      <w:pPr>
        <w:pStyle w:val="Bibliography"/>
        <w:rPr>
          <w:rFonts w:ascii="Times New Roman" w:hAnsi="Times New Roman" w:cs="Times New Roman"/>
          <w:color w:val="000000"/>
          <w:sz w:val="20"/>
        </w:rPr>
      </w:pPr>
      <w:r>
        <w:rPr>
          <w:color w:val="000000" w:themeColor="text1"/>
          <w:kern w:val="24"/>
          <w:sz w:val="20"/>
          <w:szCs w:val="20"/>
        </w:rPr>
        <w:fldChar w:fldCharType="begin"/>
      </w:r>
      <w:r>
        <w:rPr>
          <w:color w:val="000000" w:themeColor="text1"/>
          <w:kern w:val="24"/>
          <w:sz w:val="20"/>
          <w:szCs w:val="20"/>
        </w:rPr>
        <w:instrText xml:space="preserve"> ADDIN ZOTERO_BIBL {"uncited":[],"omitted":[],"custom":[]} CSL_BIBLIOGRAPHY </w:instrText>
      </w:r>
      <w:r>
        <w:rPr>
          <w:color w:val="000000" w:themeColor="text1"/>
          <w:kern w:val="24"/>
          <w:sz w:val="20"/>
          <w:szCs w:val="20"/>
        </w:rPr>
        <w:fldChar w:fldCharType="separate"/>
      </w:r>
      <w:r w:rsidR="004C0925" w:rsidRPr="004C0925">
        <w:rPr>
          <w:rFonts w:ascii="Times New Roman" w:hAnsi="Times New Roman" w:cs="Times New Roman"/>
          <w:color w:val="000000"/>
          <w:sz w:val="20"/>
        </w:rPr>
        <w:t>1.</w:t>
      </w:r>
      <w:r w:rsidR="004C0925" w:rsidRPr="004C0925">
        <w:rPr>
          <w:rFonts w:ascii="Times New Roman" w:hAnsi="Times New Roman" w:cs="Times New Roman"/>
          <w:color w:val="000000"/>
          <w:sz w:val="20"/>
        </w:rPr>
        <w:tab/>
        <w:t xml:space="preserve">Kikstra, J. S. </w:t>
      </w:r>
      <w:r w:rsidR="004C0925" w:rsidRPr="004C0925">
        <w:rPr>
          <w:rFonts w:ascii="Times New Roman" w:hAnsi="Times New Roman" w:cs="Times New Roman"/>
          <w:i/>
          <w:iCs/>
          <w:color w:val="000000"/>
          <w:sz w:val="20"/>
        </w:rPr>
        <w:t>et al.</w:t>
      </w:r>
      <w:r w:rsidR="004C0925" w:rsidRPr="004C0925">
        <w:rPr>
          <w:rFonts w:ascii="Times New Roman" w:hAnsi="Times New Roman" w:cs="Times New Roman"/>
          <w:color w:val="000000"/>
          <w:sz w:val="20"/>
        </w:rPr>
        <w:t xml:space="preserve"> The IPCC Sixth Assessment Report WGIII climate assessment of mitigation pathways: from emissions to global temperatures. </w:t>
      </w:r>
      <w:r w:rsidR="004C0925" w:rsidRPr="004C0925">
        <w:rPr>
          <w:rFonts w:ascii="Times New Roman" w:hAnsi="Times New Roman" w:cs="Times New Roman"/>
          <w:i/>
          <w:iCs/>
          <w:color w:val="000000"/>
          <w:sz w:val="20"/>
        </w:rPr>
        <w:t>Geosci. Model Dev.</w:t>
      </w:r>
      <w:r w:rsidR="004C0925" w:rsidRPr="004C0925">
        <w:rPr>
          <w:rFonts w:ascii="Times New Roman" w:hAnsi="Times New Roman" w:cs="Times New Roman"/>
          <w:color w:val="000000"/>
          <w:sz w:val="20"/>
        </w:rPr>
        <w:t xml:space="preserve"> </w:t>
      </w:r>
      <w:r w:rsidR="004C0925" w:rsidRPr="004C0925">
        <w:rPr>
          <w:rFonts w:ascii="Times New Roman" w:hAnsi="Times New Roman" w:cs="Times New Roman"/>
          <w:b/>
          <w:bCs/>
          <w:color w:val="000000"/>
          <w:sz w:val="20"/>
        </w:rPr>
        <w:t>15</w:t>
      </w:r>
      <w:r w:rsidR="004C0925" w:rsidRPr="004C0925">
        <w:rPr>
          <w:rFonts w:ascii="Times New Roman" w:hAnsi="Times New Roman" w:cs="Times New Roman"/>
          <w:color w:val="000000"/>
          <w:sz w:val="20"/>
        </w:rPr>
        <w:t>, 9075–9109 (2022).</w:t>
      </w:r>
    </w:p>
    <w:p w14:paraId="732B15D7"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w:t>
      </w:r>
      <w:r w:rsidRPr="004C0925">
        <w:rPr>
          <w:rFonts w:ascii="Times New Roman" w:hAnsi="Times New Roman" w:cs="Times New Roman"/>
          <w:color w:val="000000"/>
          <w:sz w:val="20"/>
        </w:rPr>
        <w:tab/>
        <w:t xml:space="preserve">Kikstra, J. S. </w:t>
      </w:r>
      <w:r w:rsidRPr="004C0925">
        <w:rPr>
          <w:rFonts w:ascii="Times New Roman" w:hAnsi="Times New Roman" w:cs="Times New Roman"/>
          <w:i/>
          <w:iCs/>
          <w:color w:val="000000"/>
          <w:sz w:val="20"/>
        </w:rPr>
        <w:t>et al.</w:t>
      </w:r>
      <w:r w:rsidRPr="004C0925">
        <w:rPr>
          <w:rFonts w:ascii="Times New Roman" w:hAnsi="Times New Roman" w:cs="Times New Roman"/>
          <w:color w:val="000000"/>
          <w:sz w:val="20"/>
        </w:rPr>
        <w:t xml:space="preserve"> Climate assessment of long-term emissions pathways: IPCC AR6 WGIII version. Zenodo https://doi.org/10.5281/ZENODO.6624519 (2025).</w:t>
      </w:r>
    </w:p>
    <w:p w14:paraId="56F1DFC0"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3.</w:t>
      </w:r>
      <w:r w:rsidRPr="004C0925">
        <w:rPr>
          <w:rFonts w:ascii="Times New Roman" w:hAnsi="Times New Roman" w:cs="Times New Roman"/>
          <w:color w:val="000000"/>
          <w:sz w:val="20"/>
        </w:rPr>
        <w:tab/>
        <w:t xml:space="preserve">Zhou, M. </w:t>
      </w:r>
      <w:r w:rsidRPr="004C0925">
        <w:rPr>
          <w:rFonts w:ascii="Times New Roman" w:hAnsi="Times New Roman" w:cs="Times New Roman"/>
          <w:i/>
          <w:iCs/>
          <w:color w:val="000000"/>
          <w:sz w:val="20"/>
        </w:rPr>
        <w:t>et al.</w:t>
      </w:r>
      <w:r w:rsidRPr="004C0925">
        <w:rPr>
          <w:rFonts w:ascii="Times New Roman" w:hAnsi="Times New Roman" w:cs="Times New Roman"/>
          <w:color w:val="000000"/>
          <w:sz w:val="20"/>
        </w:rPr>
        <w:t xml:space="preserve"> Mapping the global variation in the efficiency of ocean alkalinity enhancement for carbon dioxide removal. Preprint at https://doi.org/10.21203/rs.3.rs-4124909/v1 (2024).</w:t>
      </w:r>
    </w:p>
    <w:p w14:paraId="1821B254"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4.</w:t>
      </w:r>
      <w:r w:rsidRPr="004C0925">
        <w:rPr>
          <w:rFonts w:ascii="Times New Roman" w:hAnsi="Times New Roman" w:cs="Times New Roman"/>
          <w:color w:val="000000"/>
          <w:sz w:val="20"/>
        </w:rPr>
        <w:tab/>
        <w:t xml:space="preserve">Smith, C. J. </w:t>
      </w:r>
      <w:r w:rsidRPr="004C0925">
        <w:rPr>
          <w:rFonts w:ascii="Times New Roman" w:hAnsi="Times New Roman" w:cs="Times New Roman"/>
          <w:i/>
          <w:iCs/>
          <w:color w:val="000000"/>
          <w:sz w:val="20"/>
        </w:rPr>
        <w:t>et al.</w:t>
      </w:r>
      <w:r w:rsidRPr="004C0925">
        <w:rPr>
          <w:rFonts w:ascii="Times New Roman" w:hAnsi="Times New Roman" w:cs="Times New Roman"/>
          <w:color w:val="000000"/>
          <w:sz w:val="20"/>
        </w:rPr>
        <w:t xml:space="preserve"> FAIR v1.3: a simple emissions-based impulse response and carbon cycle model. </w:t>
      </w:r>
      <w:r w:rsidRPr="004C0925">
        <w:rPr>
          <w:rFonts w:ascii="Times New Roman" w:hAnsi="Times New Roman" w:cs="Times New Roman"/>
          <w:i/>
          <w:iCs/>
          <w:color w:val="000000"/>
          <w:sz w:val="20"/>
        </w:rPr>
        <w:t>Geosci. Model Dev.</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11</w:t>
      </w:r>
      <w:r w:rsidRPr="004C0925">
        <w:rPr>
          <w:rFonts w:ascii="Times New Roman" w:hAnsi="Times New Roman" w:cs="Times New Roman"/>
          <w:color w:val="000000"/>
          <w:sz w:val="20"/>
        </w:rPr>
        <w:t>, 2273–2297 (2018).</w:t>
      </w:r>
    </w:p>
    <w:p w14:paraId="5FC2F15E"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5.</w:t>
      </w:r>
      <w:r w:rsidRPr="004C0925">
        <w:rPr>
          <w:rFonts w:ascii="Times New Roman" w:hAnsi="Times New Roman" w:cs="Times New Roman"/>
          <w:color w:val="000000"/>
          <w:sz w:val="20"/>
        </w:rPr>
        <w:tab/>
        <w:t xml:space="preserve">Millar, R. J., Nicholls, Z. R., Friedlingstein, P. &amp; Allen, M. R. A modified impulse-response representation of the global near-surface air temperature and atmospheric concentration response to carbon dioxide emissions. </w:t>
      </w:r>
      <w:r w:rsidRPr="004C0925">
        <w:rPr>
          <w:rFonts w:ascii="Times New Roman" w:hAnsi="Times New Roman" w:cs="Times New Roman"/>
          <w:i/>
          <w:iCs/>
          <w:color w:val="000000"/>
          <w:sz w:val="20"/>
        </w:rPr>
        <w:t>Atmospheric Chem. Phys.</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17</w:t>
      </w:r>
      <w:r w:rsidRPr="004C0925">
        <w:rPr>
          <w:rFonts w:ascii="Times New Roman" w:hAnsi="Times New Roman" w:cs="Times New Roman"/>
          <w:color w:val="000000"/>
          <w:sz w:val="20"/>
        </w:rPr>
        <w:t>, 7213–7228 (2017).</w:t>
      </w:r>
    </w:p>
    <w:p w14:paraId="54B28D79"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6.</w:t>
      </w:r>
      <w:r w:rsidRPr="004C0925">
        <w:rPr>
          <w:rFonts w:ascii="Times New Roman" w:hAnsi="Times New Roman" w:cs="Times New Roman"/>
          <w:color w:val="000000"/>
          <w:sz w:val="20"/>
        </w:rPr>
        <w:tab/>
        <w:t xml:space="preserve">Etminan, M., Myhre, G., Highwood, E. J. &amp; Shine, K. P. Radiative forcing of carbon dioxide, methane, and nitrous oxide: A significant revision of the methane radiative forcing. </w:t>
      </w:r>
      <w:r w:rsidRPr="004C0925">
        <w:rPr>
          <w:rFonts w:ascii="Times New Roman" w:hAnsi="Times New Roman" w:cs="Times New Roman"/>
          <w:i/>
          <w:iCs/>
          <w:color w:val="000000"/>
          <w:sz w:val="20"/>
        </w:rPr>
        <w:t>Geophys. Res. Lett.</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43</w:t>
      </w:r>
      <w:r w:rsidRPr="004C0925">
        <w:rPr>
          <w:rFonts w:ascii="Times New Roman" w:hAnsi="Times New Roman" w:cs="Times New Roman"/>
          <w:color w:val="000000"/>
          <w:sz w:val="20"/>
        </w:rPr>
        <w:t>, (2016).</w:t>
      </w:r>
    </w:p>
    <w:p w14:paraId="60EA2B21"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7.</w:t>
      </w:r>
      <w:r w:rsidRPr="004C0925">
        <w:rPr>
          <w:rFonts w:ascii="Times New Roman" w:hAnsi="Times New Roman" w:cs="Times New Roman"/>
          <w:color w:val="000000"/>
          <w:sz w:val="20"/>
        </w:rPr>
        <w:tab/>
        <w:t xml:space="preserve">Geoffroy, O. </w:t>
      </w:r>
      <w:r w:rsidRPr="004C0925">
        <w:rPr>
          <w:rFonts w:ascii="Times New Roman" w:hAnsi="Times New Roman" w:cs="Times New Roman"/>
          <w:i/>
          <w:iCs/>
          <w:color w:val="000000"/>
          <w:sz w:val="20"/>
        </w:rPr>
        <w:t>et al.</w:t>
      </w:r>
      <w:r w:rsidRPr="004C0925">
        <w:rPr>
          <w:rFonts w:ascii="Times New Roman" w:hAnsi="Times New Roman" w:cs="Times New Roman"/>
          <w:color w:val="000000"/>
          <w:sz w:val="20"/>
        </w:rPr>
        <w:t xml:space="preserve"> Transient Climate Response in a Two-Layer Energy-Balance Model. Part I: Analytical Solution and Parameter Calibration Using CMIP5 AOGCM Experiments. </w:t>
      </w:r>
      <w:r w:rsidRPr="004C0925">
        <w:rPr>
          <w:rFonts w:ascii="Times New Roman" w:hAnsi="Times New Roman" w:cs="Times New Roman"/>
          <w:i/>
          <w:iCs/>
          <w:color w:val="000000"/>
          <w:sz w:val="20"/>
        </w:rPr>
        <w:t>J. Clim.</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26</w:t>
      </w:r>
      <w:r w:rsidRPr="004C0925">
        <w:rPr>
          <w:rFonts w:ascii="Times New Roman" w:hAnsi="Times New Roman" w:cs="Times New Roman"/>
          <w:color w:val="000000"/>
          <w:sz w:val="20"/>
        </w:rPr>
        <w:t>, 1841–1857 (2013).</w:t>
      </w:r>
    </w:p>
    <w:p w14:paraId="12857878"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8.</w:t>
      </w:r>
      <w:r w:rsidRPr="004C0925">
        <w:rPr>
          <w:rFonts w:ascii="Times New Roman" w:hAnsi="Times New Roman" w:cs="Times New Roman"/>
          <w:color w:val="000000"/>
          <w:sz w:val="20"/>
        </w:rPr>
        <w:tab/>
        <w:t>CDR.fyi. “Tracking the Carbon Removal Industry.”</w:t>
      </w:r>
    </w:p>
    <w:p w14:paraId="256B4127"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9.</w:t>
      </w:r>
      <w:r w:rsidRPr="004C0925">
        <w:rPr>
          <w:rFonts w:ascii="Times New Roman" w:hAnsi="Times New Roman" w:cs="Times New Roman"/>
          <w:color w:val="000000"/>
          <w:sz w:val="20"/>
        </w:rPr>
        <w:tab/>
        <w:t xml:space="preserve">Nemet, G., Greene, J., Müller-Hansen, F. &amp; Minx, J. C. Dataset on the adoption of historical technologies informs the scale-up of emerging carbon dioxide removal measures. </w:t>
      </w:r>
      <w:r w:rsidRPr="004C0925">
        <w:rPr>
          <w:rFonts w:ascii="Times New Roman" w:hAnsi="Times New Roman" w:cs="Times New Roman"/>
          <w:i/>
          <w:iCs/>
          <w:color w:val="000000"/>
          <w:sz w:val="20"/>
        </w:rPr>
        <w:t>Commun. Earth Environ.</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4</w:t>
      </w:r>
      <w:r w:rsidRPr="004C0925">
        <w:rPr>
          <w:rFonts w:ascii="Times New Roman" w:hAnsi="Times New Roman" w:cs="Times New Roman"/>
          <w:color w:val="000000"/>
          <w:sz w:val="20"/>
        </w:rPr>
        <w:t>, 397 (2023).</w:t>
      </w:r>
    </w:p>
    <w:p w14:paraId="1EAF396E"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10.</w:t>
      </w:r>
      <w:r w:rsidRPr="004C0925">
        <w:rPr>
          <w:rFonts w:ascii="Times New Roman" w:hAnsi="Times New Roman" w:cs="Times New Roman"/>
          <w:color w:val="000000"/>
          <w:sz w:val="20"/>
        </w:rPr>
        <w:tab/>
        <w:t xml:space="preserve">NASEM. </w:t>
      </w:r>
      <w:r w:rsidRPr="004C0925">
        <w:rPr>
          <w:rFonts w:ascii="Times New Roman" w:hAnsi="Times New Roman" w:cs="Times New Roman"/>
          <w:i/>
          <w:iCs/>
          <w:color w:val="000000"/>
          <w:sz w:val="20"/>
        </w:rPr>
        <w:t>A Research Strategy for Ocean-Based Carbon Dioxide Removal and Sequestration</w:t>
      </w:r>
      <w:r w:rsidRPr="004C0925">
        <w:rPr>
          <w:rFonts w:ascii="Times New Roman" w:hAnsi="Times New Roman" w:cs="Times New Roman"/>
          <w:color w:val="000000"/>
          <w:sz w:val="20"/>
        </w:rPr>
        <w:t>. 26278 (National Academies Press, Washington, D.C., 2022). doi:10.17226/26278.</w:t>
      </w:r>
    </w:p>
    <w:p w14:paraId="433AF6A5"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11.</w:t>
      </w:r>
      <w:r w:rsidRPr="004C0925">
        <w:rPr>
          <w:rFonts w:ascii="Times New Roman" w:hAnsi="Times New Roman" w:cs="Times New Roman"/>
          <w:color w:val="000000"/>
          <w:sz w:val="20"/>
        </w:rPr>
        <w:tab/>
        <w:t xml:space="preserve">Charles‐François de Lannoy </w:t>
      </w:r>
      <w:r w:rsidRPr="004C0925">
        <w:rPr>
          <w:rFonts w:ascii="Times New Roman" w:hAnsi="Times New Roman" w:cs="Times New Roman"/>
          <w:i/>
          <w:iCs/>
          <w:color w:val="000000"/>
          <w:sz w:val="20"/>
        </w:rPr>
        <w:t>et al.</w:t>
      </w:r>
      <w:r w:rsidRPr="004C0925">
        <w:rPr>
          <w:rFonts w:ascii="Times New Roman" w:hAnsi="Times New Roman" w:cs="Times New Roman"/>
          <w:color w:val="000000"/>
          <w:sz w:val="20"/>
        </w:rPr>
        <w:t xml:space="preserve"> Indirect ocean capture of atmospheric CO 2 : Part I. Prototype of a negative emissions technology. </w:t>
      </w:r>
      <w:r w:rsidRPr="004C0925">
        <w:rPr>
          <w:rFonts w:ascii="Times New Roman" w:hAnsi="Times New Roman" w:cs="Times New Roman"/>
          <w:i/>
          <w:iCs/>
          <w:color w:val="000000"/>
          <w:sz w:val="20"/>
        </w:rPr>
        <w:t>Int. J. Greenh. Gas Control</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70</w:t>
      </w:r>
      <w:r w:rsidRPr="004C0925">
        <w:rPr>
          <w:rFonts w:ascii="Times New Roman" w:hAnsi="Times New Roman" w:cs="Times New Roman"/>
          <w:color w:val="000000"/>
          <w:sz w:val="20"/>
        </w:rPr>
        <w:t>, 243–253 (2017).</w:t>
      </w:r>
    </w:p>
    <w:p w14:paraId="4814EEEF"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12.</w:t>
      </w:r>
      <w:r w:rsidRPr="004C0925">
        <w:rPr>
          <w:rFonts w:ascii="Times New Roman" w:hAnsi="Times New Roman" w:cs="Times New Roman"/>
          <w:color w:val="000000"/>
          <w:sz w:val="20"/>
        </w:rPr>
        <w:tab/>
        <w:t xml:space="preserve">Eisaman, M. D. </w:t>
      </w:r>
      <w:r w:rsidRPr="004C0925">
        <w:rPr>
          <w:rFonts w:ascii="Times New Roman" w:hAnsi="Times New Roman" w:cs="Times New Roman"/>
          <w:i/>
          <w:iCs/>
          <w:color w:val="000000"/>
          <w:sz w:val="20"/>
        </w:rPr>
        <w:t>et al.</w:t>
      </w:r>
      <w:r w:rsidRPr="004C0925">
        <w:rPr>
          <w:rFonts w:ascii="Times New Roman" w:hAnsi="Times New Roman" w:cs="Times New Roman"/>
          <w:color w:val="000000"/>
          <w:sz w:val="20"/>
        </w:rPr>
        <w:t xml:space="preserve"> Indirect ocean capture of atmospheric CO2: Part II. Understanding the cost of negative emissions. </w:t>
      </w:r>
      <w:r w:rsidRPr="004C0925">
        <w:rPr>
          <w:rFonts w:ascii="Times New Roman" w:hAnsi="Times New Roman" w:cs="Times New Roman"/>
          <w:i/>
          <w:iCs/>
          <w:color w:val="000000"/>
          <w:sz w:val="20"/>
        </w:rPr>
        <w:t>Int. J. Greenh. Gas Control</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70</w:t>
      </w:r>
      <w:r w:rsidRPr="004C0925">
        <w:rPr>
          <w:rFonts w:ascii="Times New Roman" w:hAnsi="Times New Roman" w:cs="Times New Roman"/>
          <w:color w:val="000000"/>
          <w:sz w:val="20"/>
        </w:rPr>
        <w:t>, 254–261 (2018).</w:t>
      </w:r>
    </w:p>
    <w:p w14:paraId="661F1C3E"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13.</w:t>
      </w:r>
      <w:r w:rsidRPr="004C0925">
        <w:rPr>
          <w:rFonts w:ascii="Times New Roman" w:hAnsi="Times New Roman" w:cs="Times New Roman"/>
          <w:color w:val="000000"/>
          <w:sz w:val="20"/>
        </w:rPr>
        <w:tab/>
        <w:t xml:space="preserve">Ferella, F. </w:t>
      </w:r>
      <w:r w:rsidRPr="004C0925">
        <w:rPr>
          <w:rFonts w:ascii="Times New Roman" w:hAnsi="Times New Roman" w:cs="Times New Roman"/>
          <w:i/>
          <w:iCs/>
          <w:color w:val="000000"/>
          <w:sz w:val="20"/>
        </w:rPr>
        <w:t>et al.</w:t>
      </w:r>
      <w:r w:rsidRPr="004C0925">
        <w:rPr>
          <w:rFonts w:ascii="Times New Roman" w:hAnsi="Times New Roman" w:cs="Times New Roman"/>
          <w:color w:val="000000"/>
          <w:sz w:val="20"/>
        </w:rPr>
        <w:t xml:space="preserve"> Ocean Alkalinity Enhancement Using Bipolar Membrane Electrodialysis: Technical Analysis and Cost Breakdown of a Full-Scale Plant. </w:t>
      </w:r>
      <w:r w:rsidRPr="004C0925">
        <w:rPr>
          <w:rFonts w:ascii="Times New Roman" w:hAnsi="Times New Roman" w:cs="Times New Roman"/>
          <w:i/>
          <w:iCs/>
          <w:color w:val="000000"/>
          <w:sz w:val="20"/>
        </w:rPr>
        <w:t>Ind. Eng. Chem. Res.</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64</w:t>
      </w:r>
      <w:r w:rsidRPr="004C0925">
        <w:rPr>
          <w:rFonts w:ascii="Times New Roman" w:hAnsi="Times New Roman" w:cs="Times New Roman"/>
          <w:color w:val="000000"/>
          <w:sz w:val="20"/>
        </w:rPr>
        <w:t>, 7085–7099 (2025).</w:t>
      </w:r>
    </w:p>
    <w:p w14:paraId="528B530F"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lastRenderedPageBreak/>
        <w:t>14.</w:t>
      </w:r>
      <w:r w:rsidRPr="004C0925">
        <w:rPr>
          <w:rFonts w:ascii="Times New Roman" w:hAnsi="Times New Roman" w:cs="Times New Roman"/>
          <w:color w:val="000000"/>
          <w:sz w:val="20"/>
        </w:rPr>
        <w:tab/>
        <w:t xml:space="preserve">Strefler, J., Kowalczyk, K., Hofbauer, V., Dorndorf, T. &amp; Baumstark, L. Ocean liming can help achieve the Paris climate target. </w:t>
      </w:r>
      <w:r w:rsidRPr="004C0925">
        <w:rPr>
          <w:rFonts w:ascii="Times New Roman" w:hAnsi="Times New Roman" w:cs="Times New Roman"/>
          <w:i/>
          <w:iCs/>
          <w:color w:val="000000"/>
          <w:sz w:val="20"/>
        </w:rPr>
        <w:t>Environ. Res. Lett.</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20</w:t>
      </w:r>
      <w:r w:rsidRPr="004C0925">
        <w:rPr>
          <w:rFonts w:ascii="Times New Roman" w:hAnsi="Times New Roman" w:cs="Times New Roman"/>
          <w:color w:val="000000"/>
          <w:sz w:val="20"/>
        </w:rPr>
        <w:t>, 094004 (2025).</w:t>
      </w:r>
    </w:p>
    <w:p w14:paraId="45FE4CCD"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15.</w:t>
      </w:r>
      <w:r w:rsidRPr="004C0925">
        <w:rPr>
          <w:rFonts w:ascii="Times New Roman" w:hAnsi="Times New Roman" w:cs="Times New Roman"/>
          <w:color w:val="000000"/>
          <w:sz w:val="20"/>
        </w:rPr>
        <w:tab/>
        <w:t xml:space="preserve">Foteinis, S., Andresen, J., Campo, F., Caserini, S. &amp; Renforth, P. Life cycle assessment of ocean liming for carbon dioxide removal from the atmosphere. </w:t>
      </w:r>
      <w:r w:rsidRPr="004C0925">
        <w:rPr>
          <w:rFonts w:ascii="Times New Roman" w:hAnsi="Times New Roman" w:cs="Times New Roman"/>
          <w:i/>
          <w:iCs/>
          <w:color w:val="000000"/>
          <w:sz w:val="20"/>
        </w:rPr>
        <w:t>J. Clean. Prod.</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370</w:t>
      </w:r>
      <w:r w:rsidRPr="004C0925">
        <w:rPr>
          <w:rFonts w:ascii="Times New Roman" w:hAnsi="Times New Roman" w:cs="Times New Roman"/>
          <w:color w:val="000000"/>
          <w:sz w:val="20"/>
        </w:rPr>
        <w:t>, 133309 (2022).</w:t>
      </w:r>
    </w:p>
    <w:p w14:paraId="47D532F5"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16.</w:t>
      </w:r>
      <w:r w:rsidRPr="004C0925">
        <w:rPr>
          <w:rFonts w:ascii="Times New Roman" w:hAnsi="Times New Roman" w:cs="Times New Roman"/>
          <w:color w:val="000000"/>
          <w:sz w:val="20"/>
        </w:rPr>
        <w:tab/>
        <w:t xml:space="preserve">Renforth, P. &amp; Henderson, G. Assessing ocean alkalinity for carbon sequestration. </w:t>
      </w:r>
      <w:r w:rsidRPr="004C0925">
        <w:rPr>
          <w:rFonts w:ascii="Times New Roman" w:hAnsi="Times New Roman" w:cs="Times New Roman"/>
          <w:i/>
          <w:iCs/>
          <w:color w:val="000000"/>
          <w:sz w:val="20"/>
        </w:rPr>
        <w:t>Rev. Geophys.</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55</w:t>
      </w:r>
      <w:r w:rsidRPr="004C0925">
        <w:rPr>
          <w:rFonts w:ascii="Times New Roman" w:hAnsi="Times New Roman" w:cs="Times New Roman"/>
          <w:color w:val="000000"/>
          <w:sz w:val="20"/>
        </w:rPr>
        <w:t>, 636–674 (2017).</w:t>
      </w:r>
    </w:p>
    <w:p w14:paraId="5910BCB7"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17.</w:t>
      </w:r>
      <w:r w:rsidRPr="004C0925">
        <w:rPr>
          <w:rFonts w:ascii="Times New Roman" w:hAnsi="Times New Roman" w:cs="Times New Roman"/>
          <w:color w:val="000000"/>
          <w:sz w:val="20"/>
        </w:rPr>
        <w:tab/>
        <w:t xml:space="preserve">Spyros Foteinis, James Campbell, &amp; Phil Renforth. Life Cycle Assessment of Coastal Enhanced Weathering for Carbon Dioxide Removal from Air. </w:t>
      </w:r>
      <w:r w:rsidRPr="004C0925">
        <w:rPr>
          <w:rFonts w:ascii="Times New Roman" w:hAnsi="Times New Roman" w:cs="Times New Roman"/>
          <w:i/>
          <w:iCs/>
          <w:color w:val="000000"/>
          <w:sz w:val="20"/>
        </w:rPr>
        <w:t>Environ. Sci. Technol.</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57</w:t>
      </w:r>
      <w:r w:rsidRPr="004C0925">
        <w:rPr>
          <w:rFonts w:ascii="Times New Roman" w:hAnsi="Times New Roman" w:cs="Times New Roman"/>
          <w:color w:val="000000"/>
          <w:sz w:val="20"/>
        </w:rPr>
        <w:t>, 6169–6178 (2023).</w:t>
      </w:r>
    </w:p>
    <w:p w14:paraId="72249EE8"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18.</w:t>
      </w:r>
      <w:r w:rsidRPr="004C0925">
        <w:rPr>
          <w:rFonts w:ascii="Times New Roman" w:hAnsi="Times New Roman" w:cs="Times New Roman"/>
          <w:color w:val="000000"/>
          <w:sz w:val="20"/>
        </w:rPr>
        <w:tab/>
        <w:t xml:space="preserve">Marco, S. D., Caserini, S., Amann, T. &amp; Grosso, M. Energy demand and savings opportunities in the supply of limestone and olivine-rich rocks for geochemical carbon dioxide removal. </w:t>
      </w:r>
      <w:r w:rsidRPr="004C0925">
        <w:rPr>
          <w:rFonts w:ascii="Times New Roman" w:hAnsi="Times New Roman" w:cs="Times New Roman"/>
          <w:i/>
          <w:iCs/>
          <w:color w:val="000000"/>
          <w:sz w:val="20"/>
        </w:rPr>
        <w:t>Environ. Res. Lett.</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19</w:t>
      </w:r>
      <w:r w:rsidRPr="004C0925">
        <w:rPr>
          <w:rFonts w:ascii="Times New Roman" w:hAnsi="Times New Roman" w:cs="Times New Roman"/>
          <w:color w:val="000000"/>
          <w:sz w:val="20"/>
        </w:rPr>
        <w:t>, 073009 (2024).</w:t>
      </w:r>
    </w:p>
    <w:p w14:paraId="01F10FBD"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19.</w:t>
      </w:r>
      <w:r w:rsidRPr="004C0925">
        <w:rPr>
          <w:rFonts w:ascii="Times New Roman" w:hAnsi="Times New Roman" w:cs="Times New Roman"/>
          <w:color w:val="000000"/>
          <w:sz w:val="20"/>
        </w:rPr>
        <w:tab/>
        <w:t xml:space="preserve">Strefler, J., Amann, T., Bauer, N., Kriegler, E. &amp; Hartmann, J. Potential and costs of carbon dioxide removal by enhanced weathering of rocks. </w:t>
      </w:r>
      <w:r w:rsidRPr="004C0925">
        <w:rPr>
          <w:rFonts w:ascii="Times New Roman" w:hAnsi="Times New Roman" w:cs="Times New Roman"/>
          <w:i/>
          <w:iCs/>
          <w:color w:val="000000"/>
          <w:sz w:val="20"/>
        </w:rPr>
        <w:t>Environ. Res. Lett.</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13</w:t>
      </w:r>
      <w:r w:rsidRPr="004C0925">
        <w:rPr>
          <w:rFonts w:ascii="Times New Roman" w:hAnsi="Times New Roman" w:cs="Times New Roman"/>
          <w:color w:val="000000"/>
          <w:sz w:val="20"/>
        </w:rPr>
        <w:t>, 034010 (2018).</w:t>
      </w:r>
    </w:p>
    <w:p w14:paraId="17F576E4"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20.</w:t>
      </w:r>
      <w:r w:rsidRPr="004C0925">
        <w:rPr>
          <w:rFonts w:ascii="Times New Roman" w:hAnsi="Times New Roman" w:cs="Times New Roman"/>
          <w:color w:val="000000"/>
          <w:sz w:val="20"/>
        </w:rPr>
        <w:tab/>
        <w:t xml:space="preserve">Nemet, G. F. Beyond the learning curve: factors influencing cost reductions in photovoltaics. </w:t>
      </w:r>
      <w:r w:rsidRPr="004C0925">
        <w:rPr>
          <w:rFonts w:ascii="Times New Roman" w:hAnsi="Times New Roman" w:cs="Times New Roman"/>
          <w:i/>
          <w:iCs/>
          <w:color w:val="000000"/>
          <w:sz w:val="20"/>
        </w:rPr>
        <w:t>Energy Policy</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34</w:t>
      </w:r>
      <w:r w:rsidRPr="004C0925">
        <w:rPr>
          <w:rFonts w:ascii="Times New Roman" w:hAnsi="Times New Roman" w:cs="Times New Roman"/>
          <w:color w:val="000000"/>
          <w:sz w:val="20"/>
        </w:rPr>
        <w:t>, 3218–3232 (2006).</w:t>
      </w:r>
    </w:p>
    <w:p w14:paraId="3EDEC945"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21.</w:t>
      </w:r>
      <w:r w:rsidRPr="004C0925">
        <w:rPr>
          <w:rFonts w:ascii="Times New Roman" w:hAnsi="Times New Roman" w:cs="Times New Roman"/>
          <w:color w:val="000000"/>
          <w:sz w:val="20"/>
        </w:rPr>
        <w:tab/>
        <w:t xml:space="preserve">Louwen, A., Van Sark, W. G. J. H. M., Faaij, A. P. C. &amp; Schropp, R. E. I. Re-assessment of net energy production and greenhouse gas emissions avoidance after 40 years of photovoltaics development. </w:t>
      </w:r>
      <w:r w:rsidRPr="004C0925">
        <w:rPr>
          <w:rFonts w:ascii="Times New Roman" w:hAnsi="Times New Roman" w:cs="Times New Roman"/>
          <w:i/>
          <w:iCs/>
          <w:color w:val="000000"/>
          <w:sz w:val="20"/>
        </w:rPr>
        <w:t>Nat. Commun.</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7</w:t>
      </w:r>
      <w:r w:rsidRPr="004C0925">
        <w:rPr>
          <w:rFonts w:ascii="Times New Roman" w:hAnsi="Times New Roman" w:cs="Times New Roman"/>
          <w:color w:val="000000"/>
          <w:sz w:val="20"/>
        </w:rPr>
        <w:t>, 13728 (2016).</w:t>
      </w:r>
    </w:p>
    <w:p w14:paraId="03DC2EA4"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22.</w:t>
      </w:r>
      <w:r w:rsidRPr="004C0925">
        <w:rPr>
          <w:rFonts w:ascii="Times New Roman" w:hAnsi="Times New Roman" w:cs="Times New Roman"/>
          <w:color w:val="000000"/>
          <w:sz w:val="20"/>
        </w:rPr>
        <w:tab/>
        <w:t xml:space="preserve">Malhotra, A. &amp; Schmidt, T. S. Accelerating Low-Carbon Innovation. </w:t>
      </w:r>
      <w:r w:rsidRPr="004C0925">
        <w:rPr>
          <w:rFonts w:ascii="Times New Roman" w:hAnsi="Times New Roman" w:cs="Times New Roman"/>
          <w:i/>
          <w:iCs/>
          <w:color w:val="000000"/>
          <w:sz w:val="20"/>
        </w:rPr>
        <w:t>Joule</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4</w:t>
      </w:r>
      <w:r w:rsidRPr="004C0925">
        <w:rPr>
          <w:rFonts w:ascii="Times New Roman" w:hAnsi="Times New Roman" w:cs="Times New Roman"/>
          <w:color w:val="000000"/>
          <w:sz w:val="20"/>
        </w:rPr>
        <w:t>, 2259–2267 (2020).</w:t>
      </w:r>
    </w:p>
    <w:p w14:paraId="30F60380"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23.</w:t>
      </w:r>
      <w:r w:rsidRPr="004C0925">
        <w:rPr>
          <w:rFonts w:ascii="Times New Roman" w:hAnsi="Times New Roman" w:cs="Times New Roman"/>
          <w:color w:val="000000"/>
          <w:sz w:val="20"/>
        </w:rPr>
        <w:tab/>
        <w:t>Wang, R. &amp; He, W. Cost Assessment of Bipolar Membrane Electrodialysis for Carbon Dioxide Removal Via Synergy Mapping. Preprint at https://doi.org/10.2139/ssrn.5177066 (2025).</w:t>
      </w:r>
    </w:p>
    <w:p w14:paraId="68F108A2"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24.</w:t>
      </w:r>
      <w:r w:rsidRPr="004C0925">
        <w:rPr>
          <w:rFonts w:ascii="Times New Roman" w:hAnsi="Times New Roman" w:cs="Times New Roman"/>
          <w:color w:val="000000"/>
          <w:sz w:val="20"/>
        </w:rPr>
        <w:tab/>
        <w:t>Jing He &amp; Michael D. Tyka. Limits and CO</w:t>
      </w:r>
      <w:r w:rsidRPr="004C0925">
        <w:rPr>
          <w:rFonts w:ascii="Times New Roman" w:hAnsi="Times New Roman" w:cs="Times New Roman"/>
          <w:color w:val="000000"/>
          <w:sz w:val="20"/>
          <w:vertAlign w:val="subscript"/>
        </w:rPr>
        <w:t>2</w:t>
      </w:r>
      <w:r w:rsidRPr="004C0925">
        <w:rPr>
          <w:rFonts w:ascii="Times New Roman" w:hAnsi="Times New Roman" w:cs="Times New Roman"/>
          <w:color w:val="000000"/>
          <w:sz w:val="20"/>
        </w:rPr>
        <w:t xml:space="preserve"> equilibration of near-coast alkalinity enhancement. </w:t>
      </w:r>
      <w:r w:rsidRPr="004C0925">
        <w:rPr>
          <w:rFonts w:ascii="Times New Roman" w:hAnsi="Times New Roman" w:cs="Times New Roman"/>
          <w:i/>
          <w:iCs/>
          <w:color w:val="000000"/>
          <w:sz w:val="20"/>
        </w:rPr>
        <w:t>Biogeosciences</w:t>
      </w:r>
      <w:r w:rsidRPr="004C0925">
        <w:rPr>
          <w:rFonts w:ascii="Times New Roman" w:hAnsi="Times New Roman" w:cs="Times New Roman"/>
          <w:color w:val="000000"/>
          <w:sz w:val="20"/>
        </w:rPr>
        <w:t xml:space="preserve"> </w:t>
      </w:r>
      <w:r w:rsidRPr="004C0925">
        <w:rPr>
          <w:rFonts w:ascii="Times New Roman" w:hAnsi="Times New Roman" w:cs="Times New Roman"/>
          <w:b/>
          <w:bCs/>
          <w:color w:val="000000"/>
          <w:sz w:val="20"/>
        </w:rPr>
        <w:t>20</w:t>
      </w:r>
      <w:r w:rsidRPr="004C0925">
        <w:rPr>
          <w:rFonts w:ascii="Times New Roman" w:hAnsi="Times New Roman" w:cs="Times New Roman"/>
          <w:color w:val="000000"/>
          <w:sz w:val="20"/>
        </w:rPr>
        <w:t>, 27–43 (2023).</w:t>
      </w:r>
    </w:p>
    <w:p w14:paraId="01E52578"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25.</w:t>
      </w:r>
      <w:r w:rsidRPr="004C0925">
        <w:rPr>
          <w:rFonts w:ascii="Times New Roman" w:hAnsi="Times New Roman" w:cs="Times New Roman"/>
          <w:color w:val="000000"/>
          <w:sz w:val="20"/>
        </w:rPr>
        <w:tab/>
        <w:t xml:space="preserve">Małgorzata Wiatros-Motyka, Nicolas Fulghum, Dave Jones, Katye Altieri, Richard Black, Hannah Broadbent, Chelsea Bruce-Lockhart, Matt Ewen, Phil &amp; MacDonald, Kostantsa Rangelova. </w:t>
      </w:r>
      <w:r w:rsidRPr="004C0925">
        <w:rPr>
          <w:rFonts w:ascii="Times New Roman" w:hAnsi="Times New Roman" w:cs="Times New Roman"/>
          <w:i/>
          <w:iCs/>
          <w:color w:val="000000"/>
          <w:sz w:val="20"/>
        </w:rPr>
        <w:t>Global Electricity Review 2024</w:t>
      </w:r>
      <w:r w:rsidRPr="004C0925">
        <w:rPr>
          <w:rFonts w:ascii="Times New Roman" w:hAnsi="Times New Roman" w:cs="Times New Roman"/>
          <w:color w:val="000000"/>
          <w:sz w:val="20"/>
        </w:rPr>
        <w:t>.</w:t>
      </w:r>
    </w:p>
    <w:p w14:paraId="4EDB0E50"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26.</w:t>
      </w:r>
      <w:r w:rsidRPr="004C0925">
        <w:rPr>
          <w:rFonts w:ascii="Times New Roman" w:hAnsi="Times New Roman" w:cs="Times New Roman"/>
          <w:color w:val="000000"/>
          <w:sz w:val="20"/>
        </w:rPr>
        <w:tab/>
        <w:t xml:space="preserve">Byers, E. </w:t>
      </w:r>
      <w:r w:rsidRPr="004C0925">
        <w:rPr>
          <w:rFonts w:ascii="Times New Roman" w:hAnsi="Times New Roman" w:cs="Times New Roman"/>
          <w:i/>
          <w:iCs/>
          <w:color w:val="000000"/>
          <w:sz w:val="20"/>
        </w:rPr>
        <w:t>et al.</w:t>
      </w:r>
      <w:r w:rsidRPr="004C0925">
        <w:rPr>
          <w:rFonts w:ascii="Times New Roman" w:hAnsi="Times New Roman" w:cs="Times New Roman"/>
          <w:color w:val="000000"/>
          <w:sz w:val="20"/>
        </w:rPr>
        <w:t xml:space="preserve"> AR6 Scenarios Database. Integrated Assessment Modeling Consortium &amp; International Institute for Applied Systems Analysis https://doi.org/10.5281/ZENODO.5886911 (2022).</w:t>
      </w:r>
    </w:p>
    <w:p w14:paraId="44C0E2DD" w14:textId="77777777" w:rsidR="004C0925" w:rsidRPr="004C0925" w:rsidRDefault="004C0925" w:rsidP="004C0925">
      <w:pPr>
        <w:pStyle w:val="Bibliography"/>
        <w:rPr>
          <w:rFonts w:ascii="Times New Roman" w:hAnsi="Times New Roman" w:cs="Times New Roman"/>
          <w:color w:val="000000"/>
          <w:sz w:val="20"/>
        </w:rPr>
      </w:pPr>
      <w:r w:rsidRPr="004C0925">
        <w:rPr>
          <w:rFonts w:ascii="Times New Roman" w:hAnsi="Times New Roman" w:cs="Times New Roman"/>
          <w:color w:val="000000"/>
          <w:sz w:val="20"/>
        </w:rPr>
        <w:t>27.</w:t>
      </w:r>
      <w:r w:rsidRPr="004C0925">
        <w:rPr>
          <w:rFonts w:ascii="Times New Roman" w:hAnsi="Times New Roman" w:cs="Times New Roman"/>
          <w:color w:val="000000"/>
          <w:sz w:val="20"/>
        </w:rPr>
        <w:tab/>
        <w:t xml:space="preserve">UNEP. World Database on Protected Areas. </w:t>
      </w:r>
      <w:r w:rsidRPr="004C0925">
        <w:rPr>
          <w:rFonts w:ascii="Times New Roman" w:hAnsi="Times New Roman" w:cs="Times New Roman"/>
          <w:i/>
          <w:iCs/>
          <w:color w:val="000000"/>
          <w:sz w:val="20"/>
        </w:rPr>
        <w:t>Protected Planet</w:t>
      </w:r>
      <w:r w:rsidRPr="004C0925">
        <w:rPr>
          <w:rFonts w:ascii="Times New Roman" w:hAnsi="Times New Roman" w:cs="Times New Roman"/>
          <w:color w:val="000000"/>
          <w:sz w:val="20"/>
        </w:rPr>
        <w:t xml:space="preserve"> www.protectedplanet.net/en/thematic-areas/wdpa?tab=WDPA. Accessed 24 Feb. 2025.</w:t>
      </w:r>
    </w:p>
    <w:p w14:paraId="118DAAF8" w14:textId="15B28ECA" w:rsidR="00AE447D" w:rsidRPr="00D539A6" w:rsidRDefault="002D4E72" w:rsidP="00DA1BCE">
      <w:pPr>
        <w:pStyle w:val="p1"/>
        <w:rPr>
          <w:rFonts w:eastAsiaTheme="minorHAnsi"/>
          <w:color w:val="000000" w:themeColor="text1"/>
          <w:kern w:val="24"/>
          <w:sz w:val="20"/>
          <w:szCs w:val="20"/>
        </w:rPr>
      </w:pPr>
      <w:r>
        <w:rPr>
          <w:rFonts w:eastAsiaTheme="minorHAnsi"/>
          <w:color w:val="000000" w:themeColor="text1"/>
          <w:kern w:val="24"/>
          <w:sz w:val="20"/>
          <w:szCs w:val="20"/>
        </w:rPr>
        <w:fldChar w:fldCharType="end"/>
      </w:r>
    </w:p>
    <w:sectPr w:rsidR="00AE447D" w:rsidRPr="00D539A6" w:rsidSect="00A301E5">
      <w:footerReference w:type="even" r:id="rId28"/>
      <w:footerReference w:type="default" r:id="rId29"/>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9FDCC" w14:textId="77777777" w:rsidR="00694337" w:rsidRDefault="00694337" w:rsidP="00CE550D">
      <w:pPr>
        <w:spacing w:after="0" w:line="240" w:lineRule="auto"/>
      </w:pPr>
      <w:r>
        <w:separator/>
      </w:r>
    </w:p>
  </w:endnote>
  <w:endnote w:type="continuationSeparator" w:id="0">
    <w:p w14:paraId="3C83A930" w14:textId="77777777" w:rsidR="00694337" w:rsidRDefault="00694337" w:rsidP="00CE5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8109770"/>
      <w:docPartObj>
        <w:docPartGallery w:val="Page Numbers (Bottom of Page)"/>
        <w:docPartUnique/>
      </w:docPartObj>
    </w:sdtPr>
    <w:sdtEndPr>
      <w:rPr>
        <w:rStyle w:val="PageNumber"/>
      </w:rPr>
    </w:sdtEndPr>
    <w:sdtContent>
      <w:p w14:paraId="2262D121" w14:textId="71C91252" w:rsidR="00CE550D" w:rsidRDefault="00CE550D" w:rsidP="00ED2B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3F6E959" w14:textId="77777777" w:rsidR="00CE550D" w:rsidRDefault="00CE550D" w:rsidP="00CE55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6186057"/>
      <w:docPartObj>
        <w:docPartGallery w:val="Page Numbers (Bottom of Page)"/>
        <w:docPartUnique/>
      </w:docPartObj>
    </w:sdtPr>
    <w:sdtEndPr>
      <w:rPr>
        <w:rStyle w:val="PageNumber"/>
      </w:rPr>
    </w:sdtEndPr>
    <w:sdtContent>
      <w:p w14:paraId="7885C42A" w14:textId="5EEDDFDB" w:rsidR="00CE550D" w:rsidRDefault="00CE550D" w:rsidP="00ED2B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291134" w14:textId="77777777" w:rsidR="00CE550D" w:rsidRDefault="00CE550D" w:rsidP="00CE55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BB611" w14:textId="77777777" w:rsidR="00694337" w:rsidRDefault="00694337" w:rsidP="00CE550D">
      <w:pPr>
        <w:spacing w:after="0" w:line="240" w:lineRule="auto"/>
      </w:pPr>
      <w:r>
        <w:separator/>
      </w:r>
    </w:p>
  </w:footnote>
  <w:footnote w:type="continuationSeparator" w:id="0">
    <w:p w14:paraId="231BD76D" w14:textId="77777777" w:rsidR="00694337" w:rsidRDefault="00694337" w:rsidP="00CE55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5D5"/>
    <w:rsid w:val="00014B67"/>
    <w:rsid w:val="000169BB"/>
    <w:rsid w:val="00017A77"/>
    <w:rsid w:val="00021DC9"/>
    <w:rsid w:val="00031901"/>
    <w:rsid w:val="000320D0"/>
    <w:rsid w:val="0003383F"/>
    <w:rsid w:val="00034BBB"/>
    <w:rsid w:val="000416CB"/>
    <w:rsid w:val="000434E3"/>
    <w:rsid w:val="00043CE5"/>
    <w:rsid w:val="00050015"/>
    <w:rsid w:val="0005069A"/>
    <w:rsid w:val="000530A4"/>
    <w:rsid w:val="00056051"/>
    <w:rsid w:val="0006472C"/>
    <w:rsid w:val="0009540D"/>
    <w:rsid w:val="000A4E62"/>
    <w:rsid w:val="000A5C9C"/>
    <w:rsid w:val="000A6B42"/>
    <w:rsid w:val="000B3181"/>
    <w:rsid w:val="000C23DD"/>
    <w:rsid w:val="000C3081"/>
    <w:rsid w:val="000D1867"/>
    <w:rsid w:val="000D38E9"/>
    <w:rsid w:val="000D39DF"/>
    <w:rsid w:val="000D7720"/>
    <w:rsid w:val="000E2E1F"/>
    <w:rsid w:val="000E484B"/>
    <w:rsid w:val="000E6EB7"/>
    <w:rsid w:val="000F35ED"/>
    <w:rsid w:val="000F3DDC"/>
    <w:rsid w:val="0010119D"/>
    <w:rsid w:val="00103F58"/>
    <w:rsid w:val="00136F28"/>
    <w:rsid w:val="00157B45"/>
    <w:rsid w:val="001617CE"/>
    <w:rsid w:val="00164F2A"/>
    <w:rsid w:val="001722A0"/>
    <w:rsid w:val="001756BA"/>
    <w:rsid w:val="001758C3"/>
    <w:rsid w:val="00176BFA"/>
    <w:rsid w:val="00182CF3"/>
    <w:rsid w:val="001852A8"/>
    <w:rsid w:val="0018663D"/>
    <w:rsid w:val="001916ED"/>
    <w:rsid w:val="00193460"/>
    <w:rsid w:val="00197CE4"/>
    <w:rsid w:val="001A5836"/>
    <w:rsid w:val="001A6957"/>
    <w:rsid w:val="001C3F1C"/>
    <w:rsid w:val="001C59A5"/>
    <w:rsid w:val="001D1708"/>
    <w:rsid w:val="001D2692"/>
    <w:rsid w:val="001D39B4"/>
    <w:rsid w:val="001F043C"/>
    <w:rsid w:val="001F7CA1"/>
    <w:rsid w:val="00213208"/>
    <w:rsid w:val="00222B42"/>
    <w:rsid w:val="00227228"/>
    <w:rsid w:val="002338F7"/>
    <w:rsid w:val="0023798B"/>
    <w:rsid w:val="00237EF5"/>
    <w:rsid w:val="0024063E"/>
    <w:rsid w:val="00243226"/>
    <w:rsid w:val="00250501"/>
    <w:rsid w:val="0025309E"/>
    <w:rsid w:val="002540A1"/>
    <w:rsid w:val="00254710"/>
    <w:rsid w:val="002561AE"/>
    <w:rsid w:val="00256A4C"/>
    <w:rsid w:val="002607D8"/>
    <w:rsid w:val="00260B7C"/>
    <w:rsid w:val="00274237"/>
    <w:rsid w:val="002748BD"/>
    <w:rsid w:val="00276342"/>
    <w:rsid w:val="0028027E"/>
    <w:rsid w:val="002820DA"/>
    <w:rsid w:val="00285E63"/>
    <w:rsid w:val="002867DC"/>
    <w:rsid w:val="00287383"/>
    <w:rsid w:val="00291196"/>
    <w:rsid w:val="0029263E"/>
    <w:rsid w:val="00292C69"/>
    <w:rsid w:val="0029409F"/>
    <w:rsid w:val="002A07B9"/>
    <w:rsid w:val="002A1479"/>
    <w:rsid w:val="002A46E6"/>
    <w:rsid w:val="002C2164"/>
    <w:rsid w:val="002C5984"/>
    <w:rsid w:val="002D1693"/>
    <w:rsid w:val="002D1F5E"/>
    <w:rsid w:val="002D3569"/>
    <w:rsid w:val="002D44D6"/>
    <w:rsid w:val="002D4E72"/>
    <w:rsid w:val="002E111B"/>
    <w:rsid w:val="002E329C"/>
    <w:rsid w:val="002E7563"/>
    <w:rsid w:val="002F385C"/>
    <w:rsid w:val="002F6630"/>
    <w:rsid w:val="002F66D0"/>
    <w:rsid w:val="003034EE"/>
    <w:rsid w:val="003049A5"/>
    <w:rsid w:val="003074BE"/>
    <w:rsid w:val="003108E6"/>
    <w:rsid w:val="00312C43"/>
    <w:rsid w:val="003134A9"/>
    <w:rsid w:val="00321C3A"/>
    <w:rsid w:val="00323D14"/>
    <w:rsid w:val="00323EF0"/>
    <w:rsid w:val="003323A8"/>
    <w:rsid w:val="00336C67"/>
    <w:rsid w:val="00337BA9"/>
    <w:rsid w:val="00342342"/>
    <w:rsid w:val="00342F2E"/>
    <w:rsid w:val="003447EF"/>
    <w:rsid w:val="00355369"/>
    <w:rsid w:val="00362072"/>
    <w:rsid w:val="00362DD2"/>
    <w:rsid w:val="00365E93"/>
    <w:rsid w:val="003703AD"/>
    <w:rsid w:val="00375038"/>
    <w:rsid w:val="00375F41"/>
    <w:rsid w:val="0037782C"/>
    <w:rsid w:val="00383C6C"/>
    <w:rsid w:val="003852FE"/>
    <w:rsid w:val="00385B00"/>
    <w:rsid w:val="003910F7"/>
    <w:rsid w:val="00393130"/>
    <w:rsid w:val="003934B2"/>
    <w:rsid w:val="0039718C"/>
    <w:rsid w:val="0039764C"/>
    <w:rsid w:val="003A656B"/>
    <w:rsid w:val="003A72ED"/>
    <w:rsid w:val="003B3DE7"/>
    <w:rsid w:val="003B5094"/>
    <w:rsid w:val="003C1557"/>
    <w:rsid w:val="003C1CEB"/>
    <w:rsid w:val="003D0882"/>
    <w:rsid w:val="003E33BE"/>
    <w:rsid w:val="003E355B"/>
    <w:rsid w:val="003F1D11"/>
    <w:rsid w:val="003F5917"/>
    <w:rsid w:val="003F68B0"/>
    <w:rsid w:val="00403945"/>
    <w:rsid w:val="00404204"/>
    <w:rsid w:val="004062C0"/>
    <w:rsid w:val="00407377"/>
    <w:rsid w:val="004210BB"/>
    <w:rsid w:val="00421164"/>
    <w:rsid w:val="00422D90"/>
    <w:rsid w:val="00422F3B"/>
    <w:rsid w:val="004263EA"/>
    <w:rsid w:val="004266AA"/>
    <w:rsid w:val="00427545"/>
    <w:rsid w:val="00452B31"/>
    <w:rsid w:val="004549C0"/>
    <w:rsid w:val="00455440"/>
    <w:rsid w:val="00464813"/>
    <w:rsid w:val="00464B08"/>
    <w:rsid w:val="00465DAA"/>
    <w:rsid w:val="00471EE8"/>
    <w:rsid w:val="004745A1"/>
    <w:rsid w:val="00487598"/>
    <w:rsid w:val="00495675"/>
    <w:rsid w:val="0049584E"/>
    <w:rsid w:val="004B2A63"/>
    <w:rsid w:val="004B31C2"/>
    <w:rsid w:val="004C0925"/>
    <w:rsid w:val="004C603E"/>
    <w:rsid w:val="004D4B72"/>
    <w:rsid w:val="004E1DE4"/>
    <w:rsid w:val="004E2D41"/>
    <w:rsid w:val="004E6A42"/>
    <w:rsid w:val="004F0840"/>
    <w:rsid w:val="004F25DB"/>
    <w:rsid w:val="004F2F0D"/>
    <w:rsid w:val="004F4AEE"/>
    <w:rsid w:val="00503314"/>
    <w:rsid w:val="005033AE"/>
    <w:rsid w:val="00510E0E"/>
    <w:rsid w:val="0051333A"/>
    <w:rsid w:val="00515D91"/>
    <w:rsid w:val="005225A0"/>
    <w:rsid w:val="00530D92"/>
    <w:rsid w:val="005313A7"/>
    <w:rsid w:val="00533BE1"/>
    <w:rsid w:val="00550043"/>
    <w:rsid w:val="00550B24"/>
    <w:rsid w:val="0055168A"/>
    <w:rsid w:val="00564365"/>
    <w:rsid w:val="005677C0"/>
    <w:rsid w:val="00575AA2"/>
    <w:rsid w:val="00575C2A"/>
    <w:rsid w:val="0057753F"/>
    <w:rsid w:val="00577D4A"/>
    <w:rsid w:val="00580BAD"/>
    <w:rsid w:val="0058207D"/>
    <w:rsid w:val="005829C7"/>
    <w:rsid w:val="00582C68"/>
    <w:rsid w:val="00591494"/>
    <w:rsid w:val="00594EA3"/>
    <w:rsid w:val="005B1713"/>
    <w:rsid w:val="005B69B3"/>
    <w:rsid w:val="005C17B2"/>
    <w:rsid w:val="005C23FF"/>
    <w:rsid w:val="005C408D"/>
    <w:rsid w:val="005D1511"/>
    <w:rsid w:val="005D31C6"/>
    <w:rsid w:val="005D3DE4"/>
    <w:rsid w:val="005D741E"/>
    <w:rsid w:val="005E1571"/>
    <w:rsid w:val="005E7CAD"/>
    <w:rsid w:val="005E7EA5"/>
    <w:rsid w:val="005F3F0E"/>
    <w:rsid w:val="00600380"/>
    <w:rsid w:val="00602FB7"/>
    <w:rsid w:val="006161C7"/>
    <w:rsid w:val="006217DC"/>
    <w:rsid w:val="006239DB"/>
    <w:rsid w:val="0063166C"/>
    <w:rsid w:val="0063521F"/>
    <w:rsid w:val="00635FAF"/>
    <w:rsid w:val="00640D3D"/>
    <w:rsid w:val="00654663"/>
    <w:rsid w:val="006617D9"/>
    <w:rsid w:val="00661C18"/>
    <w:rsid w:val="00663161"/>
    <w:rsid w:val="00680F94"/>
    <w:rsid w:val="00690719"/>
    <w:rsid w:val="00694337"/>
    <w:rsid w:val="006A018A"/>
    <w:rsid w:val="006A10B4"/>
    <w:rsid w:val="006A504F"/>
    <w:rsid w:val="006B11A6"/>
    <w:rsid w:val="006B1B80"/>
    <w:rsid w:val="006B75A8"/>
    <w:rsid w:val="006C0AFD"/>
    <w:rsid w:val="006C38B0"/>
    <w:rsid w:val="006C5EF4"/>
    <w:rsid w:val="006D1356"/>
    <w:rsid w:val="006D36F6"/>
    <w:rsid w:val="006D44B6"/>
    <w:rsid w:val="006E0FB9"/>
    <w:rsid w:val="00700BB7"/>
    <w:rsid w:val="0070339E"/>
    <w:rsid w:val="0071701E"/>
    <w:rsid w:val="007170A5"/>
    <w:rsid w:val="00717555"/>
    <w:rsid w:val="00720F48"/>
    <w:rsid w:val="00741968"/>
    <w:rsid w:val="0074381D"/>
    <w:rsid w:val="007523DA"/>
    <w:rsid w:val="00754707"/>
    <w:rsid w:val="00757225"/>
    <w:rsid w:val="00763777"/>
    <w:rsid w:val="007663D7"/>
    <w:rsid w:val="00770830"/>
    <w:rsid w:val="00771A92"/>
    <w:rsid w:val="00771D98"/>
    <w:rsid w:val="00776556"/>
    <w:rsid w:val="007808E2"/>
    <w:rsid w:val="00783A7B"/>
    <w:rsid w:val="007856D1"/>
    <w:rsid w:val="0079446F"/>
    <w:rsid w:val="00795360"/>
    <w:rsid w:val="007A1E15"/>
    <w:rsid w:val="007B02BD"/>
    <w:rsid w:val="007B111E"/>
    <w:rsid w:val="007B50B5"/>
    <w:rsid w:val="007E0107"/>
    <w:rsid w:val="007E0F8B"/>
    <w:rsid w:val="007E2345"/>
    <w:rsid w:val="007E33BA"/>
    <w:rsid w:val="007F27EB"/>
    <w:rsid w:val="007F74C5"/>
    <w:rsid w:val="0080607B"/>
    <w:rsid w:val="0081744E"/>
    <w:rsid w:val="008260D7"/>
    <w:rsid w:val="00833767"/>
    <w:rsid w:val="00835745"/>
    <w:rsid w:val="0084075F"/>
    <w:rsid w:val="0084093C"/>
    <w:rsid w:val="00841ACE"/>
    <w:rsid w:val="0084248E"/>
    <w:rsid w:val="00845DE8"/>
    <w:rsid w:val="00845E47"/>
    <w:rsid w:val="00862A8D"/>
    <w:rsid w:val="008631F5"/>
    <w:rsid w:val="00877C82"/>
    <w:rsid w:val="00883A4F"/>
    <w:rsid w:val="00884C32"/>
    <w:rsid w:val="008945E5"/>
    <w:rsid w:val="008970C9"/>
    <w:rsid w:val="008A28FA"/>
    <w:rsid w:val="008A4E8B"/>
    <w:rsid w:val="008B35BA"/>
    <w:rsid w:val="008B4B5D"/>
    <w:rsid w:val="008B5125"/>
    <w:rsid w:val="008B611B"/>
    <w:rsid w:val="008B6E3A"/>
    <w:rsid w:val="008C15CC"/>
    <w:rsid w:val="008C651B"/>
    <w:rsid w:val="008D0B81"/>
    <w:rsid w:val="008E665F"/>
    <w:rsid w:val="008F3410"/>
    <w:rsid w:val="0090320A"/>
    <w:rsid w:val="00903A77"/>
    <w:rsid w:val="0091204D"/>
    <w:rsid w:val="00921C60"/>
    <w:rsid w:val="00926496"/>
    <w:rsid w:val="00926915"/>
    <w:rsid w:val="00926BE9"/>
    <w:rsid w:val="00942FBD"/>
    <w:rsid w:val="009447E6"/>
    <w:rsid w:val="0095017A"/>
    <w:rsid w:val="009548EA"/>
    <w:rsid w:val="00956DAF"/>
    <w:rsid w:val="00957656"/>
    <w:rsid w:val="0096036D"/>
    <w:rsid w:val="009713F5"/>
    <w:rsid w:val="00984F39"/>
    <w:rsid w:val="0099067E"/>
    <w:rsid w:val="009A0415"/>
    <w:rsid w:val="009A0FF0"/>
    <w:rsid w:val="009A61B4"/>
    <w:rsid w:val="009A7E48"/>
    <w:rsid w:val="009B374D"/>
    <w:rsid w:val="009B6B6E"/>
    <w:rsid w:val="009D2D69"/>
    <w:rsid w:val="009D4D01"/>
    <w:rsid w:val="009E273E"/>
    <w:rsid w:val="009E3B84"/>
    <w:rsid w:val="009E64DA"/>
    <w:rsid w:val="009F0A95"/>
    <w:rsid w:val="009F21A9"/>
    <w:rsid w:val="009F42D2"/>
    <w:rsid w:val="00A05C5B"/>
    <w:rsid w:val="00A079E5"/>
    <w:rsid w:val="00A12AFB"/>
    <w:rsid w:val="00A1395C"/>
    <w:rsid w:val="00A22815"/>
    <w:rsid w:val="00A301E5"/>
    <w:rsid w:val="00A34848"/>
    <w:rsid w:val="00A367C3"/>
    <w:rsid w:val="00A40D95"/>
    <w:rsid w:val="00A44807"/>
    <w:rsid w:val="00A47F87"/>
    <w:rsid w:val="00A65986"/>
    <w:rsid w:val="00A66FB8"/>
    <w:rsid w:val="00A715D3"/>
    <w:rsid w:val="00A7189D"/>
    <w:rsid w:val="00A732DC"/>
    <w:rsid w:val="00A765DC"/>
    <w:rsid w:val="00A80288"/>
    <w:rsid w:val="00A90E4D"/>
    <w:rsid w:val="00AA23B6"/>
    <w:rsid w:val="00AA5E7A"/>
    <w:rsid w:val="00AB3388"/>
    <w:rsid w:val="00AB51DC"/>
    <w:rsid w:val="00AB5F0B"/>
    <w:rsid w:val="00AC4F0B"/>
    <w:rsid w:val="00AD07DC"/>
    <w:rsid w:val="00AD1B4B"/>
    <w:rsid w:val="00AE447D"/>
    <w:rsid w:val="00AE4B45"/>
    <w:rsid w:val="00AE7940"/>
    <w:rsid w:val="00AF5325"/>
    <w:rsid w:val="00B03BCB"/>
    <w:rsid w:val="00B05241"/>
    <w:rsid w:val="00B14E89"/>
    <w:rsid w:val="00B25A34"/>
    <w:rsid w:val="00B378EA"/>
    <w:rsid w:val="00B37F4E"/>
    <w:rsid w:val="00B4449E"/>
    <w:rsid w:val="00B45CAC"/>
    <w:rsid w:val="00B4774E"/>
    <w:rsid w:val="00B61589"/>
    <w:rsid w:val="00B63565"/>
    <w:rsid w:val="00B66CC6"/>
    <w:rsid w:val="00B70D80"/>
    <w:rsid w:val="00B7163D"/>
    <w:rsid w:val="00B74083"/>
    <w:rsid w:val="00B75420"/>
    <w:rsid w:val="00B94CEB"/>
    <w:rsid w:val="00B965E1"/>
    <w:rsid w:val="00B970A7"/>
    <w:rsid w:val="00BA47B8"/>
    <w:rsid w:val="00BB00A2"/>
    <w:rsid w:val="00BB36BF"/>
    <w:rsid w:val="00BB5C4E"/>
    <w:rsid w:val="00BB6724"/>
    <w:rsid w:val="00BC098B"/>
    <w:rsid w:val="00BC3B5C"/>
    <w:rsid w:val="00BC3C8E"/>
    <w:rsid w:val="00BD186B"/>
    <w:rsid w:val="00BD6B61"/>
    <w:rsid w:val="00BD706F"/>
    <w:rsid w:val="00BE4EAC"/>
    <w:rsid w:val="00BE4FD0"/>
    <w:rsid w:val="00BE58F1"/>
    <w:rsid w:val="00BF0930"/>
    <w:rsid w:val="00BF4567"/>
    <w:rsid w:val="00C002BD"/>
    <w:rsid w:val="00C05B44"/>
    <w:rsid w:val="00C12952"/>
    <w:rsid w:val="00C13904"/>
    <w:rsid w:val="00C14D29"/>
    <w:rsid w:val="00C254E4"/>
    <w:rsid w:val="00C255EA"/>
    <w:rsid w:val="00C30A0C"/>
    <w:rsid w:val="00C328DA"/>
    <w:rsid w:val="00C34CA7"/>
    <w:rsid w:val="00C37883"/>
    <w:rsid w:val="00C436A2"/>
    <w:rsid w:val="00C50240"/>
    <w:rsid w:val="00C5254B"/>
    <w:rsid w:val="00C56311"/>
    <w:rsid w:val="00C67433"/>
    <w:rsid w:val="00C70593"/>
    <w:rsid w:val="00C720AB"/>
    <w:rsid w:val="00C75B5F"/>
    <w:rsid w:val="00C771F6"/>
    <w:rsid w:val="00C80040"/>
    <w:rsid w:val="00C82854"/>
    <w:rsid w:val="00C869F7"/>
    <w:rsid w:val="00C94708"/>
    <w:rsid w:val="00C95AC6"/>
    <w:rsid w:val="00C97D90"/>
    <w:rsid w:val="00CB01D3"/>
    <w:rsid w:val="00CB15D9"/>
    <w:rsid w:val="00CB1EFC"/>
    <w:rsid w:val="00CB339C"/>
    <w:rsid w:val="00CB46B2"/>
    <w:rsid w:val="00CC29C4"/>
    <w:rsid w:val="00CD563E"/>
    <w:rsid w:val="00CE2B0D"/>
    <w:rsid w:val="00CE550D"/>
    <w:rsid w:val="00CE74B3"/>
    <w:rsid w:val="00CF1E43"/>
    <w:rsid w:val="00CF3F9D"/>
    <w:rsid w:val="00CF49A5"/>
    <w:rsid w:val="00CF581C"/>
    <w:rsid w:val="00CF66FB"/>
    <w:rsid w:val="00D014D0"/>
    <w:rsid w:val="00D07497"/>
    <w:rsid w:val="00D15626"/>
    <w:rsid w:val="00D21DD7"/>
    <w:rsid w:val="00D31C7A"/>
    <w:rsid w:val="00D32999"/>
    <w:rsid w:val="00D41C7B"/>
    <w:rsid w:val="00D43532"/>
    <w:rsid w:val="00D46CED"/>
    <w:rsid w:val="00D52A07"/>
    <w:rsid w:val="00D539A6"/>
    <w:rsid w:val="00D600C6"/>
    <w:rsid w:val="00D63DF2"/>
    <w:rsid w:val="00D64C18"/>
    <w:rsid w:val="00D6504A"/>
    <w:rsid w:val="00D708FE"/>
    <w:rsid w:val="00D74528"/>
    <w:rsid w:val="00D766A1"/>
    <w:rsid w:val="00D7775B"/>
    <w:rsid w:val="00D93170"/>
    <w:rsid w:val="00DA1BCE"/>
    <w:rsid w:val="00DA1C07"/>
    <w:rsid w:val="00DB02C6"/>
    <w:rsid w:val="00DB4E24"/>
    <w:rsid w:val="00DB6F38"/>
    <w:rsid w:val="00DD6591"/>
    <w:rsid w:val="00DD6C14"/>
    <w:rsid w:val="00DD79C3"/>
    <w:rsid w:val="00DE01E7"/>
    <w:rsid w:val="00DE16BB"/>
    <w:rsid w:val="00DF6B64"/>
    <w:rsid w:val="00E0171D"/>
    <w:rsid w:val="00E0570A"/>
    <w:rsid w:val="00E112E1"/>
    <w:rsid w:val="00E2736C"/>
    <w:rsid w:val="00E27CF5"/>
    <w:rsid w:val="00E42B38"/>
    <w:rsid w:val="00E47022"/>
    <w:rsid w:val="00E47C72"/>
    <w:rsid w:val="00E513F0"/>
    <w:rsid w:val="00E52ECD"/>
    <w:rsid w:val="00E56124"/>
    <w:rsid w:val="00E5671E"/>
    <w:rsid w:val="00E576BE"/>
    <w:rsid w:val="00E604F5"/>
    <w:rsid w:val="00E652D5"/>
    <w:rsid w:val="00E67B84"/>
    <w:rsid w:val="00E7185E"/>
    <w:rsid w:val="00E755D5"/>
    <w:rsid w:val="00E76E08"/>
    <w:rsid w:val="00E77864"/>
    <w:rsid w:val="00E80000"/>
    <w:rsid w:val="00E82FFE"/>
    <w:rsid w:val="00E920E2"/>
    <w:rsid w:val="00E934E8"/>
    <w:rsid w:val="00E96066"/>
    <w:rsid w:val="00E968EA"/>
    <w:rsid w:val="00E968F0"/>
    <w:rsid w:val="00EA1F1C"/>
    <w:rsid w:val="00EA49B7"/>
    <w:rsid w:val="00ED5628"/>
    <w:rsid w:val="00ED7321"/>
    <w:rsid w:val="00EE091D"/>
    <w:rsid w:val="00EE6CBA"/>
    <w:rsid w:val="00F00209"/>
    <w:rsid w:val="00F07D94"/>
    <w:rsid w:val="00F12239"/>
    <w:rsid w:val="00F175D9"/>
    <w:rsid w:val="00F27396"/>
    <w:rsid w:val="00F279B1"/>
    <w:rsid w:val="00F330C0"/>
    <w:rsid w:val="00F44432"/>
    <w:rsid w:val="00F44B93"/>
    <w:rsid w:val="00F52E89"/>
    <w:rsid w:val="00F54651"/>
    <w:rsid w:val="00F54D52"/>
    <w:rsid w:val="00F6290C"/>
    <w:rsid w:val="00F66D77"/>
    <w:rsid w:val="00F67D54"/>
    <w:rsid w:val="00F701DF"/>
    <w:rsid w:val="00F71411"/>
    <w:rsid w:val="00F715A1"/>
    <w:rsid w:val="00F73C84"/>
    <w:rsid w:val="00F7584B"/>
    <w:rsid w:val="00F7728D"/>
    <w:rsid w:val="00F778A2"/>
    <w:rsid w:val="00F77CAB"/>
    <w:rsid w:val="00F8145C"/>
    <w:rsid w:val="00F93C67"/>
    <w:rsid w:val="00FA6661"/>
    <w:rsid w:val="00FB0C66"/>
    <w:rsid w:val="00FB4CF5"/>
    <w:rsid w:val="00FC76A4"/>
    <w:rsid w:val="00FD7480"/>
    <w:rsid w:val="00FD7C83"/>
    <w:rsid w:val="00FE5A92"/>
    <w:rsid w:val="00FE7684"/>
    <w:rsid w:val="00FF3CE2"/>
    <w:rsid w:val="00FF7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B5976"/>
  <w15:chartTrackingRefBased/>
  <w15:docId w15:val="{32004AFE-043E-C243-A1AC-3DA03C26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5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55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55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55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55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55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5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5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5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5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55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55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55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55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55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5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5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5D5"/>
    <w:rPr>
      <w:rFonts w:eastAsiaTheme="majorEastAsia" w:cstheme="majorBidi"/>
      <w:color w:val="272727" w:themeColor="text1" w:themeTint="D8"/>
    </w:rPr>
  </w:style>
  <w:style w:type="paragraph" w:styleId="Title">
    <w:name w:val="Title"/>
    <w:basedOn w:val="Normal"/>
    <w:next w:val="Normal"/>
    <w:link w:val="TitleChar"/>
    <w:uiPriority w:val="10"/>
    <w:qFormat/>
    <w:rsid w:val="00E755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5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5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5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5D5"/>
    <w:pPr>
      <w:spacing w:before="160"/>
      <w:jc w:val="center"/>
    </w:pPr>
    <w:rPr>
      <w:i/>
      <w:iCs/>
      <w:color w:val="404040" w:themeColor="text1" w:themeTint="BF"/>
    </w:rPr>
  </w:style>
  <w:style w:type="character" w:customStyle="1" w:styleId="QuoteChar">
    <w:name w:val="Quote Char"/>
    <w:basedOn w:val="DefaultParagraphFont"/>
    <w:link w:val="Quote"/>
    <w:uiPriority w:val="29"/>
    <w:rsid w:val="00E755D5"/>
    <w:rPr>
      <w:i/>
      <w:iCs/>
      <w:color w:val="404040" w:themeColor="text1" w:themeTint="BF"/>
    </w:rPr>
  </w:style>
  <w:style w:type="paragraph" w:styleId="ListParagraph">
    <w:name w:val="List Paragraph"/>
    <w:basedOn w:val="Normal"/>
    <w:uiPriority w:val="34"/>
    <w:qFormat/>
    <w:rsid w:val="00E755D5"/>
    <w:pPr>
      <w:ind w:left="720"/>
      <w:contextualSpacing/>
    </w:pPr>
  </w:style>
  <w:style w:type="character" w:styleId="IntenseEmphasis">
    <w:name w:val="Intense Emphasis"/>
    <w:basedOn w:val="DefaultParagraphFont"/>
    <w:uiPriority w:val="21"/>
    <w:qFormat/>
    <w:rsid w:val="00E755D5"/>
    <w:rPr>
      <w:i/>
      <w:iCs/>
      <w:color w:val="0F4761" w:themeColor="accent1" w:themeShade="BF"/>
    </w:rPr>
  </w:style>
  <w:style w:type="paragraph" w:styleId="IntenseQuote">
    <w:name w:val="Intense Quote"/>
    <w:basedOn w:val="Normal"/>
    <w:next w:val="Normal"/>
    <w:link w:val="IntenseQuoteChar"/>
    <w:uiPriority w:val="30"/>
    <w:qFormat/>
    <w:rsid w:val="00E755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55D5"/>
    <w:rPr>
      <w:i/>
      <w:iCs/>
      <w:color w:val="0F4761" w:themeColor="accent1" w:themeShade="BF"/>
    </w:rPr>
  </w:style>
  <w:style w:type="character" w:styleId="IntenseReference">
    <w:name w:val="Intense Reference"/>
    <w:basedOn w:val="DefaultParagraphFont"/>
    <w:uiPriority w:val="32"/>
    <w:qFormat/>
    <w:rsid w:val="00E755D5"/>
    <w:rPr>
      <w:b/>
      <w:bCs/>
      <w:smallCaps/>
      <w:color w:val="0F4761" w:themeColor="accent1" w:themeShade="BF"/>
      <w:spacing w:val="5"/>
    </w:rPr>
  </w:style>
  <w:style w:type="paragraph" w:customStyle="1" w:styleId="paragraph">
    <w:name w:val="paragraph"/>
    <w:basedOn w:val="Normal"/>
    <w:rsid w:val="006B75A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6B75A8"/>
  </w:style>
  <w:style w:type="paragraph" w:customStyle="1" w:styleId="p1">
    <w:name w:val="p1"/>
    <w:basedOn w:val="Normal"/>
    <w:rsid w:val="00C75B5F"/>
    <w:pPr>
      <w:spacing w:after="0" w:line="240" w:lineRule="auto"/>
    </w:pPr>
    <w:rPr>
      <w:rFonts w:ascii="Times New Roman" w:eastAsia="Times New Roman" w:hAnsi="Times New Roman" w:cs="Times New Roman"/>
      <w:color w:val="000000"/>
      <w:kern w:val="0"/>
      <w:sz w:val="17"/>
      <w:szCs w:val="17"/>
      <w14:ligatures w14:val="none"/>
    </w:rPr>
  </w:style>
  <w:style w:type="character" w:customStyle="1" w:styleId="s1">
    <w:name w:val="s1"/>
    <w:basedOn w:val="DefaultParagraphFont"/>
    <w:rsid w:val="00C75B5F"/>
    <w:rPr>
      <w:rFonts w:ascii="Times New Roman" w:hAnsi="Times New Roman" w:cs="Times New Roman" w:hint="default"/>
      <w:sz w:val="11"/>
      <w:szCs w:val="11"/>
    </w:rPr>
  </w:style>
  <w:style w:type="table" w:styleId="TableGrid">
    <w:name w:val="Table Grid"/>
    <w:basedOn w:val="TableNormal"/>
    <w:uiPriority w:val="39"/>
    <w:rsid w:val="00F07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E5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50D"/>
  </w:style>
  <w:style w:type="character" w:styleId="PageNumber">
    <w:name w:val="page number"/>
    <w:basedOn w:val="DefaultParagraphFont"/>
    <w:uiPriority w:val="99"/>
    <w:semiHidden/>
    <w:unhideWhenUsed/>
    <w:rsid w:val="00CE550D"/>
  </w:style>
  <w:style w:type="character" w:styleId="CommentReference">
    <w:name w:val="annotation reference"/>
    <w:basedOn w:val="DefaultParagraphFont"/>
    <w:uiPriority w:val="99"/>
    <w:semiHidden/>
    <w:unhideWhenUsed/>
    <w:rsid w:val="00B03BCB"/>
    <w:rPr>
      <w:sz w:val="16"/>
      <w:szCs w:val="16"/>
    </w:rPr>
  </w:style>
  <w:style w:type="paragraph" w:styleId="CommentText">
    <w:name w:val="annotation text"/>
    <w:basedOn w:val="Normal"/>
    <w:link w:val="CommentTextChar"/>
    <w:uiPriority w:val="99"/>
    <w:semiHidden/>
    <w:unhideWhenUsed/>
    <w:rsid w:val="00B03BCB"/>
    <w:pPr>
      <w:spacing w:line="240" w:lineRule="auto"/>
    </w:pPr>
    <w:rPr>
      <w:sz w:val="20"/>
      <w:szCs w:val="20"/>
    </w:rPr>
  </w:style>
  <w:style w:type="character" w:customStyle="1" w:styleId="CommentTextChar">
    <w:name w:val="Comment Text Char"/>
    <w:basedOn w:val="DefaultParagraphFont"/>
    <w:link w:val="CommentText"/>
    <w:uiPriority w:val="99"/>
    <w:semiHidden/>
    <w:rsid w:val="00B03BCB"/>
    <w:rPr>
      <w:sz w:val="20"/>
      <w:szCs w:val="20"/>
    </w:rPr>
  </w:style>
  <w:style w:type="paragraph" w:styleId="CommentSubject">
    <w:name w:val="annotation subject"/>
    <w:basedOn w:val="CommentText"/>
    <w:next w:val="CommentText"/>
    <w:link w:val="CommentSubjectChar"/>
    <w:uiPriority w:val="99"/>
    <w:semiHidden/>
    <w:unhideWhenUsed/>
    <w:rsid w:val="00B03BCB"/>
    <w:rPr>
      <w:b/>
      <w:bCs/>
    </w:rPr>
  </w:style>
  <w:style w:type="character" w:customStyle="1" w:styleId="CommentSubjectChar">
    <w:name w:val="Comment Subject Char"/>
    <w:basedOn w:val="CommentTextChar"/>
    <w:link w:val="CommentSubject"/>
    <w:uiPriority w:val="99"/>
    <w:semiHidden/>
    <w:rsid w:val="00B03BCB"/>
    <w:rPr>
      <w:b/>
      <w:bCs/>
      <w:sz w:val="20"/>
      <w:szCs w:val="20"/>
    </w:rPr>
  </w:style>
  <w:style w:type="paragraph" w:styleId="Bibliography">
    <w:name w:val="Bibliography"/>
    <w:basedOn w:val="Normal"/>
    <w:next w:val="Normal"/>
    <w:uiPriority w:val="37"/>
    <w:unhideWhenUsed/>
    <w:rsid w:val="002D4E72"/>
    <w:pPr>
      <w:tabs>
        <w:tab w:val="left" w:pos="260"/>
      </w:tabs>
      <w:spacing w:after="0" w:line="480" w:lineRule="auto"/>
      <w:ind w:left="264" w:hanging="264"/>
    </w:pPr>
  </w:style>
  <w:style w:type="character" w:customStyle="1" w:styleId="token">
    <w:name w:val="token"/>
    <w:basedOn w:val="DefaultParagraphFont"/>
    <w:rsid w:val="00575C2A"/>
  </w:style>
  <w:style w:type="paragraph" w:styleId="Header">
    <w:name w:val="header"/>
    <w:basedOn w:val="Normal"/>
    <w:link w:val="HeaderChar"/>
    <w:uiPriority w:val="99"/>
    <w:unhideWhenUsed/>
    <w:rsid w:val="00E82F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FFE"/>
  </w:style>
  <w:style w:type="character" w:styleId="Strong">
    <w:name w:val="Strong"/>
    <w:basedOn w:val="DefaultParagraphFont"/>
    <w:uiPriority w:val="22"/>
    <w:qFormat/>
    <w:rsid w:val="00B75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12853</Words>
  <Characters>73263</Characters>
  <Application>Microsoft Office Word</Application>
  <DocSecurity>0</DocSecurity>
  <Lines>610</Lines>
  <Paragraphs>171</Paragraphs>
  <ScaleCrop>false</ScaleCrop>
  <Company/>
  <LinksUpToDate>false</LinksUpToDate>
  <CharactersWithSpaces>85945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Connor</dc:creator>
  <cp:keywords/>
  <dc:description/>
  <cp:lastModifiedBy>Mack, Connor</cp:lastModifiedBy>
  <cp:revision>8</cp:revision>
  <dcterms:created xsi:type="dcterms:W3CDTF">2025-10-25T04:37:00Z</dcterms:created>
  <dcterms:modified xsi:type="dcterms:W3CDTF">2025-10-25T04:44:00Z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id="w0cQVNo1"/&gt;&lt;style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