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7616" w14:textId="316C1038" w:rsidR="00310056" w:rsidRPr="00CC4E68" w:rsidRDefault="004675CF" w:rsidP="00310056">
      <w:pPr>
        <w:keepNext/>
        <w:keepLines/>
        <w:widowControl/>
        <w:spacing w:before="240" w:after="120" w:line="48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44"/>
          <w:sz w:val="30"/>
          <w:szCs w:val="30"/>
          <w:lang w:eastAsia="de-DE"/>
        </w:rPr>
      </w:pPr>
      <w:r w:rsidRPr="00CC4E68">
        <w:rPr>
          <w:rFonts w:ascii="Times New Roman" w:eastAsia="Times New Roman" w:hAnsi="Times New Roman" w:cs="Times New Roman"/>
          <w:b/>
          <w:bCs/>
          <w:color w:val="000000" w:themeColor="text1"/>
          <w:kern w:val="44"/>
          <w:sz w:val="30"/>
          <w:szCs w:val="30"/>
          <w:lang w:eastAsia="de-DE"/>
        </w:rPr>
        <w:t>Supplementary Information for</w:t>
      </w:r>
      <w:r w:rsidRPr="00CC4E68">
        <w:rPr>
          <w:rFonts w:ascii="Times New Roman" w:hAnsi="Times New Roman" w:cs="Times New Roman" w:hint="eastAsia"/>
          <w:b/>
          <w:bCs/>
          <w:color w:val="000000" w:themeColor="text1"/>
          <w:kern w:val="44"/>
          <w:sz w:val="30"/>
          <w:szCs w:val="30"/>
        </w:rPr>
        <w:t xml:space="preserve"> </w:t>
      </w:r>
      <w:r w:rsidR="00310056" w:rsidRPr="00CC4E68">
        <w:rPr>
          <w:rFonts w:ascii="Times New Roman" w:eastAsia="Times New Roman" w:hAnsi="Times New Roman" w:cs="Times New Roman" w:hint="eastAsia"/>
          <w:b/>
          <w:bCs/>
          <w:i/>
          <w:iCs/>
          <w:color w:val="000000" w:themeColor="text1"/>
          <w:kern w:val="44"/>
          <w:sz w:val="30"/>
          <w:szCs w:val="30"/>
          <w:lang w:eastAsia="de-DE"/>
        </w:rPr>
        <w:t>Urbanization and Climate Change Shape Urban Latent Heat Flux: Three Critical Thresholds</w:t>
      </w:r>
    </w:p>
    <w:p w14:paraId="693FF8E4" w14:textId="77777777" w:rsidR="00310056" w:rsidRPr="00CC4E68" w:rsidRDefault="00310056" w:rsidP="00310056">
      <w:pPr>
        <w:outlineLvl w:val="0"/>
        <w:rPr>
          <w:rFonts w:ascii="Times New Roman" w:eastAsia="宋体" w:hAnsi="Times New Roman" w:cs="Times New Roman"/>
          <w:color w:val="000000" w:themeColor="text1"/>
          <w:szCs w:val="24"/>
        </w:rPr>
      </w:pPr>
      <w:r w:rsidRPr="00CC4E6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Yizhao Wei</w:t>
      </w:r>
      <w:r w:rsidRPr="00CC4E68">
        <w:rPr>
          <w:rFonts w:ascii="Times New Roman" w:eastAsia="宋体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CC4E68">
        <w:rPr>
          <w:rFonts w:ascii="Times New Roman" w:eastAsia="宋体" w:hAnsi="Times New Roman" w:cs="Times New Roman"/>
          <w:color w:val="000000" w:themeColor="text1"/>
          <w:sz w:val="28"/>
          <w:szCs w:val="28"/>
        </w:rPr>
        <w:t>, Jinhui Jeanne Huang</w:t>
      </w:r>
      <w:r w:rsidRPr="00CC4E68">
        <w:rPr>
          <w:rFonts w:ascii="Times New Roman" w:eastAsia="宋体" w:hAnsi="Times New Roman" w:cs="Times New Roman"/>
          <w:color w:val="000000" w:themeColor="text1"/>
          <w:sz w:val="28"/>
          <w:szCs w:val="28"/>
          <w:vertAlign w:val="superscript"/>
        </w:rPr>
        <w:t>1,2*</w:t>
      </w:r>
    </w:p>
    <w:p w14:paraId="563C26EE" w14:textId="77777777" w:rsidR="00310056" w:rsidRPr="00CC4E68" w:rsidRDefault="00310056" w:rsidP="00310056">
      <w:pPr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  <w:r w:rsidRPr="00CC4E68">
        <w:rPr>
          <w:rFonts w:ascii="Times New Roman" w:eastAsia="宋体" w:hAnsi="Times New Roman" w:cs="Times New Roman"/>
          <w:color w:val="000000" w:themeColor="text1"/>
          <w:szCs w:val="21"/>
          <w:vertAlign w:val="superscript"/>
          <w:lang w:eastAsia="en-US"/>
        </w:rPr>
        <w:t>1</w:t>
      </w:r>
      <w:r w:rsidRPr="00CC4E68">
        <w:rPr>
          <w:rFonts w:ascii="Times New Roman" w:eastAsia="宋体" w:hAnsi="Times New Roman" w:cs="Times New Roman"/>
          <w:color w:val="000000" w:themeColor="text1"/>
          <w:szCs w:val="21"/>
          <w:lang w:eastAsia="en-US"/>
        </w:rPr>
        <w:t>College of Environmental Science and Engineering/Sino-Canada Joint R&amp;D Centre for Water and Environmental Safety, Nankai University, Tianjin 300071, PR China</w:t>
      </w:r>
      <w:r w:rsidRPr="00CC4E68">
        <w:rPr>
          <w:rFonts w:ascii="Times New Roman" w:eastAsia="宋体" w:hAnsi="Times New Roman" w:cs="Times New Roman"/>
          <w:color w:val="000000" w:themeColor="text1"/>
          <w:szCs w:val="21"/>
        </w:rPr>
        <w:t xml:space="preserve"> </w:t>
      </w:r>
    </w:p>
    <w:p w14:paraId="5CAE6C13" w14:textId="77777777" w:rsidR="00310056" w:rsidRPr="00CC4E68" w:rsidRDefault="00310056" w:rsidP="00310056">
      <w:pPr>
        <w:spacing w:line="360" w:lineRule="auto"/>
        <w:rPr>
          <w:rFonts w:ascii="Times New Roman" w:eastAsia="宋体" w:hAnsi="Times New Roman" w:cs="Times New Roman"/>
          <w:b/>
          <w:color w:val="000000" w:themeColor="text1"/>
          <w:szCs w:val="24"/>
        </w:rPr>
      </w:pPr>
      <w:r w:rsidRPr="00CC4E68">
        <w:rPr>
          <w:rFonts w:ascii="Times New Roman" w:eastAsia="宋体" w:hAnsi="Times New Roman" w:cs="Times New Roman"/>
          <w:b/>
          <w:color w:val="000000" w:themeColor="text1"/>
          <w:szCs w:val="24"/>
        </w:rPr>
        <w:t>Corresponding author:Jinhui Jeanne Huang</w:t>
      </w:r>
    </w:p>
    <w:p w14:paraId="2A74F928" w14:textId="77777777" w:rsidR="00310056" w:rsidRPr="00CC4E68" w:rsidRDefault="00310056" w:rsidP="00310056">
      <w:pPr>
        <w:rPr>
          <w:rFonts w:ascii="Times New Roman" w:eastAsia="宋体" w:hAnsi="Times New Roman" w:cs="Times New Roman"/>
          <w:color w:val="000000" w:themeColor="text1"/>
          <w:szCs w:val="24"/>
        </w:rPr>
      </w:pPr>
      <w:r w:rsidRPr="00CC4E68">
        <w:rPr>
          <w:rFonts w:ascii="Times New Roman" w:eastAsia="宋体" w:hAnsi="Times New Roman" w:cs="Times New Roman"/>
          <w:color w:val="000000" w:themeColor="text1"/>
          <w:szCs w:val="24"/>
          <w:vertAlign w:val="superscript"/>
        </w:rPr>
        <w:t>1</w:t>
      </w:r>
      <w:r w:rsidRPr="00CC4E68">
        <w:rPr>
          <w:rFonts w:ascii="Times New Roman" w:eastAsia="宋体" w:hAnsi="Times New Roman" w:cs="Times New Roman"/>
          <w:color w:val="000000" w:themeColor="text1"/>
          <w:szCs w:val="24"/>
        </w:rPr>
        <w:t>Sino-Canada R&amp;D Centre on Water and Environmental Safety, College of Environmental Science and Engineering, Nankai University, Tianjin 300071, PR China;</w:t>
      </w:r>
    </w:p>
    <w:p w14:paraId="64874EB8" w14:textId="77777777" w:rsidR="00310056" w:rsidRPr="00CC4E68" w:rsidRDefault="00310056" w:rsidP="00310056">
      <w:pPr>
        <w:rPr>
          <w:rFonts w:ascii="Times New Roman" w:eastAsia="宋体" w:hAnsi="Times New Roman" w:cs="Times New Roman"/>
          <w:color w:val="000000" w:themeColor="text1"/>
          <w:szCs w:val="21"/>
          <w:lang w:eastAsia="en-US"/>
        </w:rPr>
      </w:pPr>
      <w:r w:rsidRPr="00CC4E68">
        <w:rPr>
          <w:rFonts w:ascii="Times New Roman" w:eastAsia="宋体" w:hAnsi="Times New Roman" w:cs="Times New Roman"/>
          <w:color w:val="000000" w:themeColor="text1"/>
          <w:szCs w:val="21"/>
          <w:vertAlign w:val="superscript"/>
          <w:lang w:eastAsia="en-US"/>
        </w:rPr>
        <w:t>2</w:t>
      </w:r>
      <w:r w:rsidRPr="00CC4E68">
        <w:rPr>
          <w:rFonts w:ascii="Times New Roman" w:eastAsia="宋体" w:hAnsi="Times New Roman" w:cs="Times New Roman"/>
          <w:color w:val="000000" w:themeColor="text1"/>
          <w:szCs w:val="21"/>
          <w:lang w:eastAsia="en-US"/>
        </w:rPr>
        <w:t>Shenzhen Research Institute of Nankai University, Shenzhen 518057, China</w:t>
      </w:r>
    </w:p>
    <w:p w14:paraId="7E03E17E" w14:textId="567435FD" w:rsidR="00310056" w:rsidRPr="00B602DE" w:rsidRDefault="00310056" w:rsidP="00D01016">
      <w:pPr>
        <w:widowControl/>
        <w:spacing w:line="48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de-DE"/>
        </w:rPr>
      </w:pPr>
      <w:r w:rsidRPr="00CC4E68">
        <w:rPr>
          <w:rFonts w:ascii="Times New Roman" w:eastAsia="宋体" w:hAnsi="Times New Roman" w:cs="Times New Roman"/>
          <w:color w:val="000000" w:themeColor="text1"/>
          <w:szCs w:val="21"/>
          <w:lang w:eastAsia="en-US"/>
        </w:rPr>
        <w:t>Email: huangj@nankai.edu.cn</w:t>
      </w:r>
      <w:r w:rsidRPr="00B602DE">
        <w:rPr>
          <w:rFonts w:ascii="Times New Roman" w:eastAsia="Times New Roman" w:hAnsi="Times New Roman" w:cs="Times New Roman" w:hint="eastAsia"/>
          <w:color w:val="000000" w:themeColor="text1"/>
          <w:kern w:val="0"/>
          <w:sz w:val="24"/>
          <w:szCs w:val="24"/>
        </w:rPr>
        <w:br w:type="page"/>
      </w:r>
    </w:p>
    <w:p w14:paraId="397BE12B" w14:textId="77777777" w:rsidR="006B156B" w:rsidRPr="00CC4E68" w:rsidRDefault="006B156B" w:rsidP="006B156B">
      <w:pPr>
        <w:keepNext/>
        <w:keepLines/>
        <w:widowControl/>
        <w:spacing w:before="240" w:after="120" w:line="48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44"/>
          <w:sz w:val="30"/>
          <w:szCs w:val="30"/>
          <w:lang w:eastAsia="de-DE"/>
        </w:rPr>
      </w:pPr>
      <w:r w:rsidRPr="00CC4E68">
        <w:rPr>
          <w:rFonts w:ascii="Times New Roman" w:eastAsia="Times New Roman" w:hAnsi="Times New Roman" w:cs="Times New Roman"/>
          <w:b/>
          <w:bCs/>
          <w:color w:val="000000" w:themeColor="text1"/>
          <w:kern w:val="44"/>
          <w:sz w:val="30"/>
          <w:szCs w:val="30"/>
          <w:lang w:eastAsia="de-DE"/>
        </w:rPr>
        <w:lastRenderedPageBreak/>
        <w:t>Supplementary Figures</w:t>
      </w:r>
    </w:p>
    <w:p w14:paraId="0DCC7B44" w14:textId="60FD6AD5" w:rsidR="00370F6C" w:rsidRPr="00CC4E68" w:rsidRDefault="00370F6C" w:rsidP="00370F6C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/>
          <w:noProof/>
          <w:snapToGrid w:val="0"/>
          <w:color w:val="000000" w:themeColor="text1"/>
          <w:sz w:val="24"/>
          <w:szCs w:val="24"/>
          <w:lang w:bidi="en-US"/>
        </w:rPr>
        <w:drawing>
          <wp:inline distT="0" distB="0" distL="114300" distR="114300" wp14:anchorId="27456791" wp14:editId="2CA2E3F1">
            <wp:extent cx="3971925" cy="2753360"/>
            <wp:effectExtent l="0" t="0" r="3175" b="2540"/>
            <wp:docPr id="6" name="图片 6" descr="新建 Microsoft Visio Draw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新建 Microsoft Visio Drawing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1A23C" w14:textId="3D53B869" w:rsidR="00370F6C" w:rsidRPr="00CC4E68" w:rsidRDefault="00370F6C" w:rsidP="00766E1C">
      <w:pPr>
        <w:widowControl/>
        <w:spacing w:line="360" w:lineRule="auto"/>
        <w:rPr>
          <w:rFonts w:ascii="Times New Roman" w:hAnsi="Times New Roman" w:cs="Times New Roman"/>
          <w:snapToGrid w:val="0"/>
          <w:color w:val="000000" w:themeColor="text1"/>
          <w:sz w:val="22"/>
          <w:lang w:bidi="en-US"/>
        </w:rPr>
      </w:pP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>Supplementary Figure 1.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 xml:space="preserve"> Ranked importance of variables driving vegetation change trends in cities of developed and developing countries</w:t>
      </w:r>
      <w:r w:rsidR="00766E1C" w:rsidRPr="00CC4E68">
        <w:rPr>
          <w:rFonts w:ascii="Times New Roman" w:hAnsi="Times New Roman" w:cs="Times New Roman" w:hint="eastAsia"/>
          <w:snapToGrid w:val="0"/>
          <w:color w:val="000000" w:themeColor="text1"/>
          <w:sz w:val="22"/>
          <w:lang w:bidi="en-US"/>
        </w:rPr>
        <w:t>.</w:t>
      </w:r>
    </w:p>
    <w:p w14:paraId="6BD9E363" w14:textId="77777777" w:rsidR="00370F6C" w:rsidRPr="00CC4E68" w:rsidRDefault="00370F6C" w:rsidP="00370F6C">
      <w:pPr>
        <w:widowControl/>
        <w:spacing w:line="34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</w:pPr>
      <w:r w:rsidRPr="00CC4E68">
        <w:rPr>
          <w:rFonts w:ascii="Times New Roman" w:eastAsia="Times New Roman" w:hAnsi="Times New Roman" w:cs="Times New Roman"/>
          <w:noProof/>
          <w:color w:val="000000" w:themeColor="text1"/>
          <w:kern w:val="0"/>
          <w:sz w:val="32"/>
          <w:szCs w:val="32"/>
        </w:rPr>
        <w:drawing>
          <wp:inline distT="0" distB="0" distL="114300" distR="114300" wp14:anchorId="000F6C39" wp14:editId="6AB767C0">
            <wp:extent cx="3888740" cy="3098800"/>
            <wp:effectExtent l="0" t="0" r="10160" b="0"/>
            <wp:docPr id="20" name="图片 20" descr="LEslope_distribution display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LEslope_distribution display_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8874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53617" w14:textId="77777777" w:rsidR="00370F6C" w:rsidRPr="00CC4E68" w:rsidRDefault="00370F6C" w:rsidP="00766E1C">
      <w:pPr>
        <w:widowControl/>
        <w:spacing w:line="360" w:lineRule="auto"/>
        <w:rPr>
          <w:rFonts w:ascii="Times New Roman" w:eastAsia="Times New Roman" w:hAnsi="Times New Roman" w:cs="Times New Roman"/>
          <w:snapToGrid w:val="0"/>
          <w:color w:val="000000" w:themeColor="text1"/>
          <w:sz w:val="22"/>
          <w:lang w:bidi="en-US"/>
        </w:rPr>
      </w:pP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>Supplementary Figure 2.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 xml:space="preserve"> Distribution of urban LE flux trends (1990-2022) across different surface types in global cities.</w:t>
      </w:r>
      <w:r w:rsidRPr="00CC4E68">
        <w:rPr>
          <w:rFonts w:ascii="Times New Roman" w:eastAsia="宋体" w:hAnsi="Times New Roman" w:cs="Times New Roman" w:hint="eastAsia"/>
          <w:snapToGrid w:val="0"/>
          <w:color w:val="000000" w:themeColor="text1"/>
          <w:sz w:val="22"/>
          <w:lang w:bidi="en-US"/>
        </w:rPr>
        <w:t xml:space="preserve"> 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>City abbreviations: BJ = Beijing, TK = Tokyo, SH = Shanghai, SY = Sydney, HK = Hong Kong–Shenzhen, NY = New York, LD = London, PA = Paris.</w:t>
      </w:r>
    </w:p>
    <w:p w14:paraId="7A28E432" w14:textId="77777777" w:rsidR="00370F6C" w:rsidRPr="00CC4E68" w:rsidRDefault="00370F6C" w:rsidP="00370F6C">
      <w:pPr>
        <w:widowControl/>
        <w:spacing w:line="34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2"/>
          <w:szCs w:val="32"/>
        </w:rPr>
      </w:pPr>
      <w:r w:rsidRPr="00CC4E68">
        <w:rPr>
          <w:rFonts w:ascii="Times New Roman" w:eastAsia="Times New Roman" w:hAnsi="Times New Roman" w:cs="Times New Roman"/>
          <w:noProof/>
          <w:color w:val="000000" w:themeColor="text1"/>
          <w:kern w:val="0"/>
          <w:sz w:val="32"/>
          <w:szCs w:val="32"/>
        </w:rPr>
        <w:lastRenderedPageBreak/>
        <w:drawing>
          <wp:inline distT="0" distB="0" distL="114300" distR="114300" wp14:anchorId="19140E90" wp14:editId="7C0050ED">
            <wp:extent cx="3604702" cy="2865573"/>
            <wp:effectExtent l="0" t="0" r="0" b="0"/>
            <wp:docPr id="23" name="图片 23" descr="LE_distribution display_NatureStyle_Alig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LE_distribution display_NatureStyle_Aligne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8509" cy="286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75C2F" w14:textId="77777777" w:rsidR="00370F6C" w:rsidRPr="00CC4E68" w:rsidRDefault="00370F6C" w:rsidP="00766E1C">
      <w:pPr>
        <w:widowControl/>
        <w:spacing w:after="120" w:line="360" w:lineRule="auto"/>
        <w:rPr>
          <w:rFonts w:ascii="Times New Roman" w:hAnsi="Times New Roman" w:cs="Times New Roman"/>
          <w:snapToGrid w:val="0"/>
          <w:color w:val="000000" w:themeColor="text1"/>
          <w:sz w:val="22"/>
          <w:lang w:bidi="en-US"/>
        </w:rPr>
      </w:pP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>Supplementary Figure 3.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 xml:space="preserve"> Distribution of urban LE flux values in 2022 across different surface types in global cities. City abbreviations: BJ = Beijing, TK = Tokyo, SH = Shanghai, SY = Sydney, HK = Hong Kong–Shenzhen, NY = New York, LD = London, PA = Paris.</w:t>
      </w:r>
    </w:p>
    <w:p w14:paraId="18D04DD7" w14:textId="77777777" w:rsidR="002137A7" w:rsidRPr="00CC4E68" w:rsidRDefault="002137A7" w:rsidP="002137A7">
      <w:pPr>
        <w:widowControl/>
        <w:spacing w:line="480" w:lineRule="auto"/>
        <w:jc w:val="center"/>
        <w:rPr>
          <w:rFonts w:ascii="Times New Roman" w:eastAsia="宋体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宋体" w:hAnsi="Times New Roman" w:cs="Times New Roman" w:hint="eastAsia"/>
          <w:noProof/>
          <w:snapToGrid w:val="0"/>
          <w:color w:val="000000" w:themeColor="text1"/>
          <w:sz w:val="24"/>
          <w:szCs w:val="24"/>
          <w:lang w:bidi="en-US"/>
        </w:rPr>
        <w:lastRenderedPageBreak/>
        <w:drawing>
          <wp:inline distT="0" distB="0" distL="114300" distR="114300" wp14:anchorId="5E514790" wp14:editId="6F335971">
            <wp:extent cx="5110858" cy="7369889"/>
            <wp:effectExtent l="0" t="0" r="0" b="2540"/>
            <wp:docPr id="7" name="图片 7" descr="新建 Microsoft Visio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新建 Microsoft Visio Drawi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8550" cy="738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6EF26" w14:textId="39760A7D" w:rsidR="002137A7" w:rsidRPr="00CC4E68" w:rsidRDefault="002137A7" w:rsidP="00766E1C">
      <w:pPr>
        <w:widowControl/>
        <w:spacing w:after="120" w:line="360" w:lineRule="auto"/>
        <w:rPr>
          <w:rFonts w:ascii="Times New Roman" w:hAnsi="Times New Roman" w:cs="Times New Roman"/>
          <w:snapToGrid w:val="0"/>
          <w:color w:val="000000" w:themeColor="text1"/>
          <w:sz w:val="22"/>
          <w:lang w:bidi="en-US"/>
        </w:rPr>
      </w:pP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 xml:space="preserve">Supplementary Figure </w:t>
      </w:r>
      <w:r w:rsidR="00D659D1" w:rsidRPr="00CC4E68">
        <w:rPr>
          <w:rFonts w:ascii="Times New Roman" w:eastAsia="宋体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>4</w:t>
      </w: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>.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 xml:space="preserve"> Spatial distribution of annual average LE across eight representative cities from 1990 to 2022. Each row corresponds to a specific city, and each column represents one of five selected years (1990, 1997, 2005, 2013, and 2022).</w:t>
      </w:r>
    </w:p>
    <w:p w14:paraId="6F818AE9" w14:textId="77777777" w:rsidR="002730B9" w:rsidRPr="00CC4E68" w:rsidRDefault="002730B9" w:rsidP="002730B9">
      <w:pPr>
        <w:widowControl/>
        <w:spacing w:line="480" w:lineRule="auto"/>
        <w:jc w:val="center"/>
        <w:rPr>
          <w:rFonts w:ascii="Times New Roman" w:eastAsia="宋体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宋体" w:hAnsi="Times New Roman" w:cs="Times New Roman" w:hint="eastAsia"/>
          <w:noProof/>
          <w:snapToGrid w:val="0"/>
          <w:color w:val="000000" w:themeColor="text1"/>
          <w:sz w:val="24"/>
          <w:szCs w:val="24"/>
          <w:lang w:bidi="en-US"/>
        </w:rPr>
        <w:lastRenderedPageBreak/>
        <w:drawing>
          <wp:inline distT="0" distB="0" distL="114300" distR="114300" wp14:anchorId="3AF1D4B9" wp14:editId="6A7A84FC">
            <wp:extent cx="5261610" cy="1934210"/>
            <wp:effectExtent l="0" t="0" r="8890" b="8890"/>
            <wp:docPr id="1" name="图片 1" descr="新建 Microsoft Visio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建 Microsoft Visio Drawi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9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AF911" w14:textId="01AAA562" w:rsidR="002730B9" w:rsidRPr="00CC4E68" w:rsidRDefault="002730B9" w:rsidP="00B8133A">
      <w:pPr>
        <w:widowControl/>
        <w:spacing w:after="120" w:line="360" w:lineRule="auto"/>
        <w:rPr>
          <w:rFonts w:ascii="Times New Roman" w:eastAsia="宋体" w:hAnsi="Times New Roman" w:cs="Times New Roman"/>
          <w:snapToGrid w:val="0"/>
          <w:color w:val="000000" w:themeColor="text1"/>
          <w:sz w:val="22"/>
          <w:lang w:bidi="en-US"/>
        </w:rPr>
      </w:pP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 xml:space="preserve">Supplementary Figure </w:t>
      </w:r>
      <w:r w:rsidR="009D443B" w:rsidRPr="00CC4E68">
        <w:rPr>
          <w:rFonts w:ascii="Times New Roman" w:eastAsia="宋体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>5</w:t>
      </w: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>.</w:t>
      </w:r>
      <w:r w:rsidRPr="00CC4E68">
        <w:rPr>
          <w:rFonts w:ascii="Times New Roman" w:eastAsia="宋体" w:hAnsi="Times New Roman" w:cs="Times New Roman" w:hint="eastAsia"/>
          <w:snapToGrid w:val="0"/>
          <w:color w:val="000000" w:themeColor="text1"/>
          <w:sz w:val="22"/>
          <w:lang w:bidi="en-US"/>
        </w:rPr>
        <w:t xml:space="preserve"> (a) Comparison of functional forms for fitting the relationship between vegetation fraction and LE</w:t>
      </w:r>
      <w:r w:rsidRPr="00CC4E68">
        <w:rPr>
          <w:rFonts w:ascii="Times New Roman" w:eastAsia="宋体" w:hAnsi="Times New Roman" w:cs="Times New Roman" w:hint="eastAsia"/>
          <w:snapToGrid w:val="0"/>
          <w:color w:val="000000" w:themeColor="text1"/>
          <w:sz w:val="22"/>
          <w:vertAlign w:val="subscript"/>
          <w:lang w:bidi="en-US"/>
        </w:rPr>
        <w:t>slope</w:t>
      </w:r>
      <w:r w:rsidRPr="00CC4E68">
        <w:rPr>
          <w:rFonts w:ascii="Times New Roman" w:eastAsia="宋体" w:hAnsi="Times New Roman" w:cs="Times New Roman" w:hint="eastAsia"/>
          <w:snapToGrid w:val="0"/>
          <w:color w:val="000000" w:themeColor="text1"/>
          <w:sz w:val="22"/>
          <w:lang w:bidi="en-US"/>
        </w:rPr>
        <w:t>. (b) Normalized radar chart comparing fitting performance across functions</w:t>
      </w:r>
      <w:r w:rsidR="00B8133A" w:rsidRPr="00CC4E68">
        <w:rPr>
          <w:rFonts w:ascii="Times New Roman" w:eastAsia="宋体" w:hAnsi="Times New Roman" w:cs="Times New Roman" w:hint="eastAsia"/>
          <w:snapToGrid w:val="0"/>
          <w:color w:val="000000" w:themeColor="text1"/>
          <w:sz w:val="22"/>
          <w:lang w:bidi="en-US"/>
        </w:rPr>
        <w:t>.</w:t>
      </w:r>
    </w:p>
    <w:p w14:paraId="7D956873" w14:textId="77777777" w:rsidR="009D443B" w:rsidRPr="00CC4E68" w:rsidRDefault="009D443B" w:rsidP="009D443B">
      <w:pPr>
        <w:widowControl/>
        <w:spacing w:line="34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</w:rPr>
      </w:pPr>
      <w:r w:rsidRPr="00CC4E68">
        <w:rPr>
          <w:rFonts w:ascii="Times New Roman" w:eastAsia="Times New Roman" w:hAnsi="Times New Roman" w:cs="Times New Roman" w:hint="eastAsia"/>
          <w:noProof/>
          <w:color w:val="000000" w:themeColor="text1"/>
          <w:kern w:val="0"/>
          <w:sz w:val="24"/>
          <w:szCs w:val="20"/>
        </w:rPr>
        <w:drawing>
          <wp:inline distT="0" distB="0" distL="114300" distR="114300" wp14:anchorId="7093B6B0" wp14:editId="39D0BB40">
            <wp:extent cx="3393435" cy="3649648"/>
            <wp:effectExtent l="0" t="0" r="0" b="8255"/>
            <wp:docPr id="12" name="图片 12" descr="Landues_change_globe_cit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Landues_change_globe_city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00704" cy="3657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4FA50" w14:textId="6D502D7D" w:rsidR="009D443B" w:rsidRPr="00CC4E68" w:rsidRDefault="009D443B" w:rsidP="00B8133A">
      <w:pPr>
        <w:widowControl/>
        <w:spacing w:after="120" w:line="360" w:lineRule="auto"/>
        <w:rPr>
          <w:rFonts w:ascii="Times New Roman" w:eastAsia="Times New Roman" w:hAnsi="Times New Roman" w:cs="Times New Roman"/>
          <w:snapToGrid w:val="0"/>
          <w:color w:val="000000" w:themeColor="text1"/>
          <w:sz w:val="22"/>
          <w:lang w:bidi="en-US"/>
        </w:rPr>
      </w:pP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 xml:space="preserve">Supplementary Figure </w:t>
      </w:r>
      <w:r w:rsidRPr="00CC4E68">
        <w:rPr>
          <w:rFonts w:ascii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>6</w:t>
      </w: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>.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 xml:space="preserve"> Changes in land cover composition (vegetation, impervious surfaces, and water) from 2001 to 2021 in eight global cities.</w:t>
      </w:r>
    </w:p>
    <w:p w14:paraId="2710A3D8" w14:textId="77777777" w:rsidR="009D443B" w:rsidRPr="00CC4E68" w:rsidRDefault="009D443B" w:rsidP="002730B9">
      <w:pPr>
        <w:widowControl/>
        <w:spacing w:line="480" w:lineRule="auto"/>
        <w:rPr>
          <w:rFonts w:ascii="Times New Roman" w:eastAsia="宋体" w:hAnsi="Times New Roman" w:cs="Times New Roman"/>
          <w:snapToGrid w:val="0"/>
          <w:color w:val="000000" w:themeColor="text1"/>
          <w:sz w:val="24"/>
          <w:szCs w:val="24"/>
          <w:lang w:bidi="en-US"/>
        </w:rPr>
      </w:pPr>
    </w:p>
    <w:p w14:paraId="7A7B77B2" w14:textId="77777777" w:rsidR="003939FF" w:rsidRPr="00CC4E68" w:rsidRDefault="003939FF" w:rsidP="003939FF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/>
          <w:noProof/>
          <w:snapToGrid w:val="0"/>
          <w:color w:val="000000" w:themeColor="text1"/>
          <w:sz w:val="24"/>
          <w:szCs w:val="24"/>
          <w:lang w:bidi="en-US"/>
        </w:rPr>
        <w:lastRenderedPageBreak/>
        <w:drawing>
          <wp:inline distT="0" distB="0" distL="114300" distR="114300" wp14:anchorId="77D996BC" wp14:editId="717894EB">
            <wp:extent cx="5269230" cy="1535430"/>
            <wp:effectExtent l="0" t="0" r="1270" b="1270"/>
            <wp:docPr id="3" name="图片 3" descr="LC_NDVI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C_NDVI_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BEE15" w14:textId="27DA1823" w:rsidR="003939FF" w:rsidRPr="00CC4E68" w:rsidRDefault="00CB409C" w:rsidP="00CB409C">
      <w:pPr>
        <w:widowControl/>
        <w:spacing w:after="120" w:line="360" w:lineRule="auto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2"/>
          <w:lang w:bidi="en-US"/>
        </w:rPr>
      </w:pP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 xml:space="preserve">Supplementary </w:t>
      </w:r>
      <w:r w:rsidR="003939FF"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 xml:space="preserve">Figure </w:t>
      </w:r>
      <w:r w:rsidR="00BA0AF3"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>7</w:t>
      </w:r>
      <w:r w:rsidR="003939FF"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 xml:space="preserve">. </w:t>
      </w:r>
      <w:r w:rsidR="003939FF"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>(a) Proportional composition of vegetation, impervious surfaces, and water bodies in eight representative global cities. (b) Temporal variation in NDVI of vegetated areas from 1990 to 2022, reflecting long-term greenness trends.</w:t>
      </w:r>
    </w:p>
    <w:p w14:paraId="11AD7262" w14:textId="77777777" w:rsidR="003939FF" w:rsidRPr="00CC4E68" w:rsidRDefault="003939FF" w:rsidP="002730B9">
      <w:pPr>
        <w:widowControl/>
        <w:spacing w:line="480" w:lineRule="auto"/>
        <w:rPr>
          <w:rFonts w:ascii="Times New Roman" w:eastAsia="宋体" w:hAnsi="Times New Roman" w:cs="Times New Roman"/>
          <w:snapToGrid w:val="0"/>
          <w:color w:val="000000" w:themeColor="text1"/>
          <w:sz w:val="24"/>
          <w:szCs w:val="24"/>
          <w:lang w:bidi="en-US"/>
        </w:rPr>
      </w:pPr>
    </w:p>
    <w:p w14:paraId="7A37D257" w14:textId="77777777" w:rsidR="00414DE2" w:rsidRPr="00CC4E68" w:rsidRDefault="00414DE2" w:rsidP="00414DE2">
      <w:pPr>
        <w:widowControl/>
        <w:adjustRightInd w:val="0"/>
        <w:snapToGrid w:val="0"/>
        <w:jc w:val="center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/>
          <w:noProof/>
          <w:snapToGrid w:val="0"/>
          <w:color w:val="000000" w:themeColor="text1"/>
          <w:sz w:val="24"/>
          <w:szCs w:val="24"/>
          <w:lang w:bidi="en-US"/>
        </w:rPr>
        <w:drawing>
          <wp:inline distT="0" distB="0" distL="0" distR="0" wp14:anchorId="2A90010D" wp14:editId="71851FE5">
            <wp:extent cx="5011093" cy="2515803"/>
            <wp:effectExtent l="0" t="0" r="0" b="0"/>
            <wp:docPr id="60677346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338" cy="251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D5202" w14:textId="0FCBA6F9" w:rsidR="00414DE2" w:rsidRPr="00CC4E68" w:rsidRDefault="00EA6C35" w:rsidP="00EA6C35">
      <w:pPr>
        <w:widowControl/>
        <w:spacing w:after="120" w:line="360" w:lineRule="auto"/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2"/>
          <w:lang w:bidi="en-US"/>
        </w:rPr>
      </w:pP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 xml:space="preserve">Supplementary </w:t>
      </w:r>
      <w:r w:rsidR="00414DE2"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 xml:space="preserve">Figure </w:t>
      </w:r>
      <w:r w:rsidR="00555DFC"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>8</w:t>
      </w:r>
      <w:r w:rsidRPr="00CC4E68">
        <w:rPr>
          <w:rFonts w:ascii="宋体" w:eastAsia="宋体" w:hAnsi="宋体" w:cs="宋体" w:hint="eastAsia"/>
          <w:b/>
          <w:bCs/>
          <w:snapToGrid w:val="0"/>
          <w:color w:val="000000" w:themeColor="text1"/>
          <w:sz w:val="22"/>
          <w:lang w:bidi="en-US"/>
        </w:rPr>
        <w:t>.</w:t>
      </w:r>
      <w:r w:rsidR="00414DE2"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 xml:space="preserve"> </w:t>
      </w:r>
      <w:r w:rsidR="00414DE2"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>Performance of AI models and variable combinations in simulating vegetation LE flux (a, b) R² and RMSE of ten artificial intelligence models used to simulate vegetation LE flux. (c, d) R² and MSE of the optimal variable combinations across different combination sizes. Performance metrics were evaluated using cross-validation across global city samples.</w:t>
      </w:r>
    </w:p>
    <w:p w14:paraId="61B86199" w14:textId="77777777" w:rsidR="00414DE2" w:rsidRPr="00CC4E68" w:rsidRDefault="00414DE2" w:rsidP="002730B9">
      <w:pPr>
        <w:widowControl/>
        <w:spacing w:line="480" w:lineRule="auto"/>
        <w:rPr>
          <w:rFonts w:ascii="Times New Roman" w:eastAsia="宋体" w:hAnsi="Times New Roman" w:cs="Times New Roman"/>
          <w:snapToGrid w:val="0"/>
          <w:color w:val="000000" w:themeColor="text1"/>
          <w:sz w:val="24"/>
          <w:szCs w:val="24"/>
          <w:lang w:bidi="en-US"/>
        </w:rPr>
      </w:pPr>
    </w:p>
    <w:p w14:paraId="0C09B4C9" w14:textId="3E63AEF4" w:rsidR="006B156B" w:rsidRPr="00CC4E68" w:rsidRDefault="006B156B" w:rsidP="00834EE7">
      <w:pPr>
        <w:widowControl/>
        <w:spacing w:line="48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  <w:br w:type="page"/>
      </w:r>
    </w:p>
    <w:p w14:paraId="427EBD4D" w14:textId="74171265" w:rsidR="006B156B" w:rsidRPr="00CC4E68" w:rsidRDefault="006B156B" w:rsidP="006B156B">
      <w:pPr>
        <w:keepNext/>
        <w:keepLines/>
        <w:widowControl/>
        <w:spacing w:before="240" w:after="120" w:line="480" w:lineRule="auto"/>
        <w:outlineLvl w:val="0"/>
        <w:rPr>
          <w:rFonts w:ascii="Times New Roman" w:hAnsi="Times New Roman" w:cs="Times New Roman"/>
          <w:b/>
          <w:bCs/>
          <w:color w:val="000000" w:themeColor="text1"/>
          <w:kern w:val="44"/>
          <w:sz w:val="30"/>
          <w:szCs w:val="30"/>
        </w:rPr>
      </w:pPr>
      <w:r w:rsidRPr="00CC4E68">
        <w:rPr>
          <w:rFonts w:ascii="Times New Roman" w:eastAsia="Times New Roman" w:hAnsi="Times New Roman" w:cs="Times New Roman" w:hint="eastAsia"/>
          <w:b/>
          <w:bCs/>
          <w:color w:val="000000" w:themeColor="text1"/>
          <w:kern w:val="44"/>
          <w:sz w:val="30"/>
          <w:szCs w:val="30"/>
          <w:lang w:eastAsia="de-DE"/>
        </w:rPr>
        <w:lastRenderedPageBreak/>
        <w:t>Supplementary Tables</w:t>
      </w:r>
    </w:p>
    <w:p w14:paraId="7F171B04" w14:textId="58452B5D" w:rsidR="00370F6C" w:rsidRPr="00CC4E68" w:rsidRDefault="00370F6C" w:rsidP="00290908">
      <w:pPr>
        <w:widowControl/>
        <w:spacing w:after="120" w:line="360" w:lineRule="auto"/>
        <w:rPr>
          <w:rFonts w:ascii="Times New Roman" w:hAnsi="Times New Roman" w:cs="Times New Roman"/>
          <w:b/>
          <w:bCs/>
          <w:snapToGrid w:val="0"/>
          <w:color w:val="000000" w:themeColor="text1"/>
          <w:sz w:val="22"/>
          <w:lang w:bidi="en-US"/>
        </w:rPr>
      </w:pP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 xml:space="preserve">Supplementary Table 1. </w:t>
      </w:r>
      <w:r w:rsidR="00423EB0"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>Variables and data sources for urban LE analysis</w:t>
      </w:r>
      <w:r w:rsidR="00290908" w:rsidRPr="00CC4E68">
        <w:rPr>
          <w:rFonts w:ascii="Times New Roman" w:hAnsi="Times New Roman" w:cs="Times New Roman" w:hint="eastAsia"/>
          <w:snapToGrid w:val="0"/>
          <w:color w:val="000000" w:themeColor="text1"/>
          <w:sz w:val="22"/>
          <w:lang w:bidi="en-US"/>
        </w:rPr>
        <w:t>.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1413"/>
        <w:gridCol w:w="4536"/>
        <w:gridCol w:w="2344"/>
      </w:tblGrid>
      <w:tr w:rsidR="00CC4E68" w:rsidRPr="00CC4E68" w14:paraId="221B87A7" w14:textId="77777777" w:rsidTr="005C163A">
        <w:trPr>
          <w:cantSplit/>
          <w:trHeight w:hRule="exact" w:val="286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46A9B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lang w:eastAsia="de-DE"/>
              </w:rPr>
            </w:pPr>
          </w:p>
          <w:p w14:paraId="712A836A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lang w:eastAsia="de-DE"/>
              </w:rPr>
            </w:pP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61D0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lang w:bidi="ar"/>
              </w:rPr>
              <w:t>Description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5160C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2"/>
                <w:lang w:bidi="ar"/>
              </w:rPr>
              <w:t>Data Source</w:t>
            </w:r>
          </w:p>
        </w:tc>
      </w:tr>
      <w:tr w:rsidR="00CC4E68" w:rsidRPr="00CC4E68" w14:paraId="227559C0" w14:textId="77777777" w:rsidTr="00DC0C89">
        <w:trPr>
          <w:cantSplit/>
          <w:trHeight w:hRule="exact" w:val="693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DB7A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LAI_mean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8792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Mean annual urban Leaf Area Index (LAI) from 2001 to 2022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EB57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MODIS/061/MCD15A3H</w:t>
            </w:r>
          </w:p>
        </w:tc>
      </w:tr>
      <w:tr w:rsidR="00CC4E68" w:rsidRPr="00CC4E68" w14:paraId="34710F87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D8DE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LAI_slope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8661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Temporal trend in annual urban LAI from 2001 to 2022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06E3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MODIS/061/MCD15A3H</w:t>
            </w:r>
          </w:p>
        </w:tc>
      </w:tr>
      <w:tr w:rsidR="00CC4E68" w:rsidRPr="00CC4E68" w14:paraId="0A56E93F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D7872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LST_mean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956A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Mean annual urban land surface temperature (LST) from 2001 to 2022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E1D9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MODIS/006/MOD11A2</w:t>
            </w:r>
          </w:p>
        </w:tc>
      </w:tr>
      <w:tr w:rsidR="00CC4E68" w:rsidRPr="00CC4E68" w14:paraId="1C3DEACA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DE31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LST_slope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EE281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Temporal trend in annual urban LST from 2001 to 2022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44D7F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MODIS/006/MOD11A2</w:t>
            </w:r>
          </w:p>
        </w:tc>
      </w:tr>
      <w:tr w:rsidR="00CC4E68" w:rsidRPr="00CC4E68" w14:paraId="54C02DA8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4FF35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Pop_mean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F5418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Mean annual urban population count from 2001 to 2022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ED45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WorldPop/GP/100m/pop</w:t>
            </w:r>
          </w:p>
        </w:tc>
      </w:tr>
      <w:tr w:rsidR="00CC4E68" w:rsidRPr="00CC4E68" w14:paraId="5D2FD2FE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6BB5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Pop_slope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4EB41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Temporal trend in urban population count from 2001 to 2022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1D0B1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WorldPop/GP/100m/pop</w:t>
            </w:r>
          </w:p>
        </w:tc>
      </w:tr>
      <w:tr w:rsidR="00CC4E68" w:rsidRPr="00CC4E68" w14:paraId="622E958C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E3910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ISF_mean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C5AC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Mean annual fraction of impervious surfaces in urban areas from 2001 to 2022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F2D6E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MODIS/006/MCD12Q1</w:t>
            </w:r>
          </w:p>
        </w:tc>
      </w:tr>
      <w:tr w:rsidR="00CC4E68" w:rsidRPr="00CC4E68" w14:paraId="4F29FBB5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0BBB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ISF_slope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BFAE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Temporal trend in impervious surface fraction in urban areas from 2001 to 2022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3946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MODIS/006/MCD12Q1</w:t>
            </w:r>
          </w:p>
        </w:tc>
      </w:tr>
      <w:tr w:rsidR="00CC4E68" w:rsidRPr="00CC4E68" w14:paraId="16DE297C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A4152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Rad_2020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8B636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Average nighttime light radiance in urban areas in 2020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32423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NOAA/VIIRS/DNB/MONTHLY_V1/VCMSLCFG</w:t>
            </w:r>
          </w:p>
        </w:tc>
      </w:tr>
      <w:tr w:rsidR="00CC4E68" w:rsidRPr="00CC4E68" w14:paraId="48A15280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3A8F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Tair_mean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68DA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Mean annual air temperature at 2 m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3210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0DD9CC06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6C54D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Tair_slope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BFBC9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Temporal trend of air temperature at 2 m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6F535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4D27CD0B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BD85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Tmax_mean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921F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Mean annual maximum air temperature at 2 m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A460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78661C17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1F47E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Tmax_slope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42E9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Temporal trend of maximum air temperature at 2 m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ED3D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133A1346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0A3F5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Tmin_mean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E9C63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Mean annual minimum air temperature at 2 m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24627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001A399B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1462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Tmin_slope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D709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Temporal trend of minimum air temperature at 2 m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292B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43C38735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A0C4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Precip_mean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42E2F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Mean annual total precipitation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A505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57DB66E1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E6A7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Precip_slope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6BCF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Temporal trend of total precipitation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C78D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3805BDA9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6ACEB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Uwind_mean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46B6A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Mean annual east</w:t>
            </w:r>
            <w:r w:rsidRPr="00CC4E68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-</w:t>
            </w: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west wind speed at 10 m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9BC9D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018D546F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C227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Uwind_slope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A3020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Temporal trend of east</w:t>
            </w:r>
            <w:r w:rsidRPr="00CC4E68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-</w:t>
            </w: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west wind speed at 10 m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53349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4B6B7916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CE2CB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Vwind_mean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54FA1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Mean annual north</w:t>
            </w:r>
            <w:r w:rsidRPr="00CC4E68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-</w:t>
            </w: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south wind speed at 10 m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9637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18E76FD3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10C8E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Vwind_slope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B97BA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Temporal trend of north</w:t>
            </w:r>
            <w:r w:rsidRPr="00CC4E68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:sz w:val="22"/>
                <w:lang w:bidi="ar"/>
              </w:rPr>
              <w:t>-</w:t>
            </w: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south wind speed at 10 m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88306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7CE48B53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9A1D6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SP_mean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3A5A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Mean annual surface pressure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5D99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0A5D4990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D9B3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SP_slope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8D42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Temporal trend of surface pressure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CDFAA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1AAD2E68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BD3C2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DPT_mean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8708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Mean annual dew point temperature at 2 m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F14F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  <w:tr w:rsidR="00CC4E68" w:rsidRPr="00CC4E68" w14:paraId="46DC2D4A" w14:textId="77777777" w:rsidTr="00DC0C89">
        <w:trPr>
          <w:cantSplit/>
          <w:trHeight w:hRule="exact" w:val="482"/>
        </w:trPr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02EF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DPT_slope</w:t>
            </w:r>
          </w:p>
        </w:tc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3250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Temporal trend of dew point temperature at 2 m</w:t>
            </w:r>
          </w:p>
        </w:tc>
        <w:tc>
          <w:tcPr>
            <w:tcW w:w="1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9F656" w14:textId="77777777" w:rsidR="00370F6C" w:rsidRPr="00CC4E68" w:rsidRDefault="00370F6C" w:rsidP="00370F6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lang w:bidi="ar"/>
              </w:rPr>
              <w:t>ECMWF/ERA5_LAND/MONTHLY_AGGR</w:t>
            </w:r>
          </w:p>
        </w:tc>
      </w:tr>
    </w:tbl>
    <w:p w14:paraId="4325D4CB" w14:textId="77777777" w:rsidR="00370F6C" w:rsidRPr="00CC4E68" w:rsidRDefault="00370F6C" w:rsidP="00423EB0">
      <w:pPr>
        <w:widowControl/>
        <w:spacing w:line="48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  <w:sectPr w:rsidR="00370F6C" w:rsidRPr="00CC4E68" w:rsidSect="00370F6C">
          <w:footerReference w:type="default" r:id="rId14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14:paraId="1D614C49" w14:textId="20A10539" w:rsidR="00370F6C" w:rsidRPr="00CC4E68" w:rsidRDefault="00370F6C" w:rsidP="007E06D6">
      <w:pPr>
        <w:widowControl/>
        <w:spacing w:line="360" w:lineRule="auto"/>
        <w:rPr>
          <w:rFonts w:ascii="Times New Roman" w:hAnsi="Times New Roman" w:cs="Times New Roman"/>
          <w:b/>
          <w:bCs/>
          <w:snapToGrid w:val="0"/>
          <w:color w:val="000000" w:themeColor="text1"/>
          <w:sz w:val="22"/>
          <w:lang w:bidi="en-US"/>
        </w:rPr>
      </w:pP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lastRenderedPageBreak/>
        <w:t>Supplementary Table 2</w:t>
      </w:r>
      <w:r w:rsidR="00612A8A" w:rsidRPr="00CC4E68">
        <w:rPr>
          <w:rFonts w:ascii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>.</w:t>
      </w:r>
      <w:r w:rsidRPr="00CC4E68">
        <w:rPr>
          <w:rFonts w:ascii="Times New Roman" w:eastAsia="Times New Roman" w:hAnsi="Times New Roman" w:cs="Times New Roman"/>
          <w:b/>
          <w:bCs/>
          <w:snapToGrid w:val="0"/>
          <w:color w:val="000000" w:themeColor="text1"/>
          <w:sz w:val="22"/>
          <w:lang w:bidi="en-US"/>
        </w:rPr>
        <w:t xml:space="preserve"> </w:t>
      </w:r>
      <w:r w:rsidRPr="00CC4E68">
        <w:rPr>
          <w:rFonts w:ascii="Times New Roman" w:eastAsia="Times New Roman" w:hAnsi="Times New Roman" w:cs="Times New Roman"/>
          <w:snapToGrid w:val="0"/>
          <w:color w:val="000000" w:themeColor="text1"/>
          <w:sz w:val="22"/>
          <w:lang w:bidi="en-US"/>
        </w:rPr>
        <w:t>Parameter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>s</w:t>
      </w:r>
      <w:r w:rsidRPr="00CC4E68">
        <w:rPr>
          <w:rFonts w:ascii="Times New Roman" w:eastAsia="Times New Roman" w:hAnsi="Times New Roman" w:cs="Times New Roman"/>
          <w:snapToGrid w:val="0"/>
          <w:color w:val="000000" w:themeColor="text1"/>
          <w:sz w:val="22"/>
          <w:lang w:bidi="en-US"/>
        </w:rPr>
        <w:t xml:space="preserve"> potentially associated with 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>LE</w:t>
      </w:r>
      <w:r w:rsidRPr="00CC4E68">
        <w:rPr>
          <w:rFonts w:ascii="Times New Roman" w:eastAsia="Times New Roman" w:hAnsi="Times New Roman" w:cs="Times New Roman"/>
          <w:snapToGrid w:val="0"/>
          <w:color w:val="000000" w:themeColor="text1"/>
          <w:sz w:val="22"/>
          <w:lang w:bidi="en-US"/>
        </w:rPr>
        <w:t xml:space="preserve"> from ERA5-land</w:t>
      </w:r>
      <w:r w:rsidR="00612A8A" w:rsidRPr="00CC4E68">
        <w:rPr>
          <w:rFonts w:ascii="Times New Roman" w:hAnsi="Times New Roman" w:cs="Times New Roman" w:hint="eastAsia"/>
          <w:snapToGrid w:val="0"/>
          <w:color w:val="000000" w:themeColor="text1"/>
          <w:sz w:val="22"/>
          <w:lang w:bidi="en-US"/>
        </w:rPr>
        <w:t>.</w:t>
      </w:r>
    </w:p>
    <w:tbl>
      <w:tblPr>
        <w:tblW w:w="14197" w:type="dxa"/>
        <w:tblLayout w:type="fixed"/>
        <w:tblLook w:val="04A0" w:firstRow="1" w:lastRow="0" w:firstColumn="1" w:lastColumn="0" w:noHBand="0" w:noVBand="1"/>
      </w:tblPr>
      <w:tblGrid>
        <w:gridCol w:w="983"/>
        <w:gridCol w:w="2126"/>
        <w:gridCol w:w="992"/>
        <w:gridCol w:w="2693"/>
        <w:gridCol w:w="993"/>
        <w:gridCol w:w="2126"/>
        <w:gridCol w:w="954"/>
        <w:gridCol w:w="3330"/>
      </w:tblGrid>
      <w:tr w:rsidR="00CC4E68" w:rsidRPr="00CC4E68" w14:paraId="152B1409" w14:textId="77777777" w:rsidTr="000F0D66">
        <w:trPr>
          <w:trHeight w:hRule="exact" w:val="71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B84C82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Serial number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BF5B7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Parameter Name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EE22D5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Abbreviation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BB0571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Description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CCA581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Serial number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F61D75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Parameter Name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4D1F2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Abbreviation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86EC7C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Description</w:t>
            </w:r>
          </w:p>
        </w:tc>
      </w:tr>
      <w:tr w:rsidR="00CC4E68" w:rsidRPr="00CC4E68" w14:paraId="7D17C0B7" w14:textId="77777777" w:rsidTr="00750176">
        <w:trPr>
          <w:trHeight w:hRule="exact" w:val="55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0AC5F95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BA773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temperature_2m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B3DC32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T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30F7A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Temperature at 2 meters above ground level.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45A6B2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12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18B961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soil_temperature_level_4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8C995A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ST4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3E6BC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Soil temperature at depth approximately 100-289 cm.</w:t>
            </w:r>
          </w:p>
        </w:tc>
      </w:tr>
      <w:tr w:rsidR="00CC4E68" w:rsidRPr="00CC4E68" w14:paraId="73BC9647" w14:textId="77777777" w:rsidTr="00750176">
        <w:trPr>
          <w:trHeight w:hRule="exact" w:val="559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3492797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80901D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dewpoint_temperature_2m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259494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DT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C1EF44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Dewpoint temperature at 2 meters above ground level.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050D7F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39C79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skin_temperature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6B7E8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ST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A1320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Skin temperature (temperature of the Earth's surface).</w:t>
            </w:r>
          </w:p>
        </w:tc>
      </w:tr>
      <w:tr w:rsidR="00CC4E68" w:rsidRPr="00CC4E68" w14:paraId="6C023364" w14:textId="77777777" w:rsidTr="00750176">
        <w:trPr>
          <w:trHeight w:hRule="exact" w:val="849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DE121D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69A0CC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u_component_of_wind_10m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AB023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UW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41CA2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Eastward wind component at 10 meters above ground level.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DB5E99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C8F510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surface_latent_heat_flux_sum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6E4CB8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SLE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81E385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Total sum of </w:t>
            </w:r>
            <w:r w:rsidRPr="00CC4E68">
              <w:rPr>
                <w:rFonts w:ascii="Times New Roman" w:eastAsia="Times New Roman" w:hAnsi="Times New Roman" w:cs="Times New Roman" w:hint="eastAsia"/>
                <w:color w:val="000000" w:themeColor="text1"/>
                <w:kern w:val="0"/>
                <w:szCs w:val="21"/>
                <w:lang w:bidi="ar"/>
              </w:rPr>
              <w:t>LE</w:t>
            </w: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 xml:space="preserve"> at the surface.</w:t>
            </w:r>
          </w:p>
        </w:tc>
      </w:tr>
      <w:tr w:rsidR="00CC4E68" w:rsidRPr="00CC4E68" w14:paraId="7A343BCE" w14:textId="77777777" w:rsidTr="004F4B1E">
        <w:trPr>
          <w:trHeight w:hRule="exact" w:val="720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7A7303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9AF6B6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v_component_of_wind_10m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75592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VW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9A9762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Northward wind component at 10 meters above ground level.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AE602B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AC3C18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surface_net_thermal_radiation_sum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A42E8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STR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57E1F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Total net thermal radiation at the surface.</w:t>
            </w:r>
          </w:p>
        </w:tc>
      </w:tr>
      <w:tr w:rsidR="00CC4E68" w:rsidRPr="00CC4E68" w14:paraId="2FF1D158" w14:textId="77777777" w:rsidTr="00E547B5">
        <w:trPr>
          <w:trHeight w:hRule="exact" w:val="62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0E75827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DB600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surface_pressure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ABCBB5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SP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2B0F4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Air pressure at the surface.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3B3E14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16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9835F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surface_sensible_heat_flux_sum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C1A1E2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SSH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6C5B28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Total sum of sensible heat flux at the surface.</w:t>
            </w:r>
          </w:p>
        </w:tc>
      </w:tr>
      <w:tr w:rsidR="00CC4E68" w:rsidRPr="00CC4E68" w14:paraId="27E5F2A7" w14:textId="77777777" w:rsidTr="00E547B5">
        <w:trPr>
          <w:trHeight w:hRule="exact" w:val="62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F8DF34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97BD9B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leaf_area_index_high_vegetation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1DCEB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LIH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94F5A4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Leaf area index for high vegetation.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07F5B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17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427363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surface_solar_radiation_downwards_sum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51990C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SRD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693368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Total downward solar radiation at the surface.</w:t>
            </w:r>
          </w:p>
        </w:tc>
      </w:tr>
      <w:tr w:rsidR="00CC4E68" w:rsidRPr="00CC4E68" w14:paraId="3E69D31E" w14:textId="77777777" w:rsidTr="00E547B5">
        <w:trPr>
          <w:trHeight w:hRule="exact" w:val="62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B9AAA4A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83A682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leaf_area_index_low_vegetation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7A9F5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LIL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008F3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Leaf area index for low vegetation.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4302A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18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F88596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volumetric_soil_water_layer_1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29AC86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SW1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CC7324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Volumetric soil water content at depth approximately 0-7 cm.</w:t>
            </w:r>
          </w:p>
        </w:tc>
      </w:tr>
      <w:tr w:rsidR="00CC4E68" w:rsidRPr="00CC4E68" w14:paraId="03FE8F55" w14:textId="77777777" w:rsidTr="004F4B1E">
        <w:trPr>
          <w:trHeight w:hRule="exact" w:val="532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CD4F1B9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A4AFC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surface_net_solar_radiation_sum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B53EE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R</w:t>
            </w: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vertAlign w:val="subscript"/>
                <w:lang w:bidi="ar"/>
              </w:rPr>
              <w:t>n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3F95A5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Total net solar radiation at the surface.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5CC004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19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F5AEE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volumetric_soil_water_layer_2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03181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SW2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C801EC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Volumetric soil water content at depth approximately 7-28 cm.</w:t>
            </w:r>
          </w:p>
        </w:tc>
      </w:tr>
      <w:tr w:rsidR="00CC4E68" w:rsidRPr="00CC4E68" w14:paraId="17E7C4FD" w14:textId="77777777" w:rsidTr="00E547B5">
        <w:trPr>
          <w:trHeight w:hRule="exact" w:val="62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7CD6620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9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3C6F1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soil_temperature_level_1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40C47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ST1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D7DC08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Soil temperature at depth approximately 0-7 cm.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20E964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A64391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volumetric_soil_water_layer_3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7B1241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SW3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7815C4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Volumetric soil water content at depth approximately 28-100 cm.</w:t>
            </w:r>
          </w:p>
        </w:tc>
      </w:tr>
      <w:tr w:rsidR="00CC4E68" w:rsidRPr="00CC4E68" w14:paraId="048C32AA" w14:textId="77777777" w:rsidTr="00E547B5">
        <w:trPr>
          <w:trHeight w:hRule="exact" w:val="62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7CEE02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10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3A33D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soil_temperature_level_2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5A0CD7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ST2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AB57FD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Soil temperature at depth approximately 7-28 cm.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5B747A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21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057FE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volumetric_soil_water_layer_4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8C85C9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SW4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F55A0A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Volumetric soil water content at depth approximately 100-289 cm.</w:t>
            </w:r>
          </w:p>
        </w:tc>
      </w:tr>
      <w:tr w:rsidR="00CC4E68" w:rsidRPr="00CC4E68" w14:paraId="4C2FC9AE" w14:textId="77777777" w:rsidTr="00E547B5">
        <w:trPr>
          <w:trHeight w:hRule="exact" w:val="624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804EFF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338B3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soil_temperature_level_3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82D703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ST3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7F5978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Soil temperature at depth approximately 28-100 cm.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983718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22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68024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forecast_albedo</w:t>
            </w:r>
          </w:p>
        </w:tc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EEB88D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FA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ABA09" w14:textId="77777777" w:rsidR="00370F6C" w:rsidRPr="00CC4E68" w:rsidRDefault="00370F6C" w:rsidP="00E547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eastAsia="de-DE"/>
              </w:rPr>
            </w:pPr>
            <w:r w:rsidRPr="00CC4E68">
              <w:rPr>
                <w:rFonts w:ascii="Times New Roman" w:eastAsia="Times New Roman" w:hAnsi="Times New Roman" w:cs="Times New Roman"/>
                <w:color w:val="000000" w:themeColor="text1"/>
                <w:kern w:val="0"/>
                <w:szCs w:val="21"/>
                <w:lang w:bidi="ar"/>
              </w:rPr>
              <w:t>The reflectivity of the Earth's surface.</w:t>
            </w:r>
          </w:p>
        </w:tc>
      </w:tr>
    </w:tbl>
    <w:p w14:paraId="6058ECF4" w14:textId="77777777" w:rsidR="00370F6C" w:rsidRPr="00CC4E68" w:rsidRDefault="00370F6C" w:rsidP="00370F6C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  <w:sectPr w:rsidR="00370F6C" w:rsidRPr="00CC4E68" w:rsidSect="00370F6C">
          <w:footerReference w:type="default" r:id="rId15"/>
          <w:pgSz w:w="16838" w:h="11906" w:orient="landscape"/>
          <w:pgMar w:top="1800" w:right="1440" w:bottom="1800" w:left="1440" w:header="851" w:footer="992" w:gutter="0"/>
          <w:lnNumType w:countBy="1" w:restart="continuous"/>
          <w:cols w:space="425"/>
          <w:docGrid w:type="lines" w:linePitch="312"/>
        </w:sectPr>
      </w:pPr>
    </w:p>
    <w:p w14:paraId="4E873730" w14:textId="64795F12" w:rsidR="00370F6C" w:rsidRPr="00CC4E68" w:rsidRDefault="00370F6C" w:rsidP="00612A8A">
      <w:pPr>
        <w:widowControl/>
        <w:spacing w:after="120" w:line="360" w:lineRule="auto"/>
        <w:rPr>
          <w:rFonts w:ascii="Times New Roman" w:hAnsi="Times New Roman" w:cs="Times New Roman"/>
          <w:snapToGrid w:val="0"/>
          <w:color w:val="000000" w:themeColor="text1"/>
          <w:sz w:val="22"/>
          <w:lang w:bidi="en-US"/>
        </w:rPr>
      </w:pP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lastRenderedPageBreak/>
        <w:t>Supplementary Table 3</w:t>
      </w:r>
      <w:r w:rsidR="00612A8A" w:rsidRPr="00CC4E68">
        <w:rPr>
          <w:rFonts w:ascii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>.</w:t>
      </w:r>
      <w:r w:rsidRPr="00CC4E68">
        <w:rPr>
          <w:rFonts w:ascii="Times New Roman" w:eastAsia="Times New Roman" w:hAnsi="Times New Roman" w:cs="Times New Roman" w:hint="eastAsia"/>
          <w:b/>
          <w:bCs/>
          <w:snapToGrid w:val="0"/>
          <w:color w:val="000000" w:themeColor="text1"/>
          <w:sz w:val="22"/>
          <w:lang w:bidi="en-US"/>
        </w:rPr>
        <w:t xml:space="preserve"> 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>Summary of LE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vertAlign w:val="subscript"/>
          <w:lang w:bidi="en-US"/>
        </w:rPr>
        <w:t>slope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 xml:space="preserve"> model thresholds and rationale for eight global cities</w:t>
      </w:r>
      <w:r w:rsidR="00612A8A" w:rsidRPr="00CC4E68">
        <w:rPr>
          <w:rFonts w:ascii="Times New Roman" w:hAnsi="Times New Roman" w:cs="Times New Roman" w:hint="eastAsia"/>
          <w:snapToGrid w:val="0"/>
          <w:color w:val="000000" w:themeColor="text1"/>
          <w:sz w:val="22"/>
          <w:lang w:bidi="en-US"/>
        </w:rPr>
        <w:t>.</w:t>
      </w:r>
    </w:p>
    <w:tbl>
      <w:tblPr>
        <w:tblStyle w:val="af2"/>
        <w:tblW w:w="8522" w:type="dxa"/>
        <w:tblLayout w:type="fixed"/>
        <w:tblLook w:val="04A0" w:firstRow="1" w:lastRow="0" w:firstColumn="1" w:lastColumn="0" w:noHBand="0" w:noVBand="1"/>
      </w:tblPr>
      <w:tblGrid>
        <w:gridCol w:w="1232"/>
        <w:gridCol w:w="1315"/>
        <w:gridCol w:w="1178"/>
        <w:gridCol w:w="979"/>
        <w:gridCol w:w="843"/>
        <w:gridCol w:w="2975"/>
      </w:tblGrid>
      <w:tr w:rsidR="00CC4E68" w:rsidRPr="00CC4E68" w14:paraId="565FFC4A" w14:textId="77777777" w:rsidTr="0035428C">
        <w:tc>
          <w:tcPr>
            <w:tcW w:w="1232" w:type="dxa"/>
            <w:vAlign w:val="center"/>
          </w:tcPr>
          <w:p w14:paraId="345D1184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City</w:t>
            </w:r>
          </w:p>
        </w:tc>
        <w:tc>
          <w:tcPr>
            <w:tcW w:w="1315" w:type="dxa"/>
            <w:vAlign w:val="center"/>
          </w:tcPr>
          <w:p w14:paraId="7175D010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Climate type</w:t>
            </w:r>
          </w:p>
        </w:tc>
        <w:tc>
          <w:tcPr>
            <w:tcW w:w="1178" w:type="dxa"/>
            <w:vAlign w:val="center"/>
          </w:tcPr>
          <w:p w14:paraId="4FBBF138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LEA (W m⁻² yr⁻¹)</w:t>
            </w:r>
          </w:p>
        </w:tc>
        <w:tc>
          <w:tcPr>
            <w:tcW w:w="979" w:type="dxa"/>
            <w:vAlign w:val="center"/>
          </w:tcPr>
          <w:p w14:paraId="7821D179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DIT (veg to build)</w:t>
            </w:r>
          </w:p>
        </w:tc>
        <w:tc>
          <w:tcPr>
            <w:tcW w:w="843" w:type="dxa"/>
            <w:vAlign w:val="center"/>
          </w:tcPr>
          <w:p w14:paraId="446E10E2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ST (veg to build)</w:t>
            </w:r>
          </w:p>
        </w:tc>
        <w:tc>
          <w:tcPr>
            <w:tcW w:w="2975" w:type="dxa"/>
            <w:vAlign w:val="center"/>
          </w:tcPr>
          <w:p w14:paraId="4D8A86BE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Rationale</w:t>
            </w:r>
          </w:p>
        </w:tc>
      </w:tr>
      <w:tr w:rsidR="00CC4E68" w:rsidRPr="00CC4E68" w14:paraId="00DB1E1A" w14:textId="77777777" w:rsidTr="0035428C">
        <w:tc>
          <w:tcPr>
            <w:tcW w:w="1232" w:type="dxa"/>
            <w:vAlign w:val="center"/>
          </w:tcPr>
          <w:p w14:paraId="3B5E97D9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Beijing</w:t>
            </w:r>
          </w:p>
        </w:tc>
        <w:tc>
          <w:tcPr>
            <w:tcW w:w="1315" w:type="dxa"/>
            <w:vAlign w:val="center"/>
          </w:tcPr>
          <w:p w14:paraId="36F42810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Semi-arid continental</w:t>
            </w:r>
          </w:p>
        </w:tc>
        <w:tc>
          <w:tcPr>
            <w:tcW w:w="1178" w:type="dxa"/>
            <w:vAlign w:val="center"/>
          </w:tcPr>
          <w:p w14:paraId="4FB1CB8C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0.03</w:t>
            </w:r>
          </w:p>
        </w:tc>
        <w:tc>
          <w:tcPr>
            <w:tcW w:w="979" w:type="dxa"/>
            <w:vAlign w:val="center"/>
          </w:tcPr>
          <w:p w14:paraId="72DA9C9D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0.58</w:t>
            </w:r>
          </w:p>
        </w:tc>
        <w:tc>
          <w:tcPr>
            <w:tcW w:w="843" w:type="dxa"/>
            <w:vAlign w:val="center"/>
          </w:tcPr>
          <w:p w14:paraId="47B71C4F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3.01</w:t>
            </w:r>
          </w:p>
        </w:tc>
        <w:tc>
          <w:tcPr>
            <w:tcW w:w="2975" w:type="dxa"/>
            <w:vAlign w:val="center"/>
          </w:tcPr>
          <w:p w14:paraId="56C5E47B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LEA is low, DIT and ST are high, indicating limited vegetation effect and high greening requirements.</w:t>
            </w:r>
          </w:p>
        </w:tc>
      </w:tr>
      <w:tr w:rsidR="00CC4E68" w:rsidRPr="00CC4E68" w14:paraId="67C47C7A" w14:textId="77777777" w:rsidTr="0035428C">
        <w:tc>
          <w:tcPr>
            <w:tcW w:w="1232" w:type="dxa"/>
            <w:vAlign w:val="center"/>
          </w:tcPr>
          <w:p w14:paraId="711E6FA2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Tokyo</w:t>
            </w:r>
          </w:p>
        </w:tc>
        <w:tc>
          <w:tcPr>
            <w:tcW w:w="1315" w:type="dxa"/>
            <w:vAlign w:val="center"/>
          </w:tcPr>
          <w:p w14:paraId="37AD8FCA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Temperate humid</w:t>
            </w:r>
          </w:p>
        </w:tc>
        <w:tc>
          <w:tcPr>
            <w:tcW w:w="1178" w:type="dxa"/>
            <w:vAlign w:val="center"/>
          </w:tcPr>
          <w:p w14:paraId="18721A04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0.08</w:t>
            </w:r>
          </w:p>
        </w:tc>
        <w:tc>
          <w:tcPr>
            <w:tcW w:w="979" w:type="dxa"/>
            <w:vAlign w:val="center"/>
          </w:tcPr>
          <w:p w14:paraId="6C5CD8ED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0.38</w:t>
            </w:r>
          </w:p>
        </w:tc>
        <w:tc>
          <w:tcPr>
            <w:tcW w:w="843" w:type="dxa"/>
            <w:vAlign w:val="center"/>
          </w:tcPr>
          <w:p w14:paraId="40FAF542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2.81</w:t>
            </w:r>
          </w:p>
        </w:tc>
        <w:tc>
          <w:tcPr>
            <w:tcW w:w="2975" w:type="dxa"/>
            <w:vAlign w:val="center"/>
          </w:tcPr>
          <w:p w14:paraId="769FB3E0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 xml:space="preserve">Moderate LEA, low DIT indicates sensitive </w:t>
            </w:r>
            <w:r w:rsidRPr="00CC4E68">
              <w:rPr>
                <w:color w:val="000000" w:themeColor="text1"/>
                <w:sz w:val="22"/>
                <w:szCs w:val="22"/>
              </w:rPr>
              <w:t>LE_slope</w:t>
            </w: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 xml:space="preserve"> response to vegetation change.</w:t>
            </w:r>
          </w:p>
        </w:tc>
      </w:tr>
      <w:tr w:rsidR="00CC4E68" w:rsidRPr="00CC4E68" w14:paraId="1F749DFE" w14:textId="77777777" w:rsidTr="0035428C">
        <w:tc>
          <w:tcPr>
            <w:tcW w:w="1232" w:type="dxa"/>
            <w:vAlign w:val="center"/>
          </w:tcPr>
          <w:p w14:paraId="77E847EE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Shanghai</w:t>
            </w:r>
          </w:p>
        </w:tc>
        <w:tc>
          <w:tcPr>
            <w:tcW w:w="1315" w:type="dxa"/>
            <w:vAlign w:val="center"/>
          </w:tcPr>
          <w:p w14:paraId="251C8015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Subtropical humid</w:t>
            </w:r>
          </w:p>
        </w:tc>
        <w:tc>
          <w:tcPr>
            <w:tcW w:w="1178" w:type="dxa"/>
            <w:vAlign w:val="center"/>
          </w:tcPr>
          <w:p w14:paraId="516A5A9A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0.09</w:t>
            </w:r>
          </w:p>
        </w:tc>
        <w:tc>
          <w:tcPr>
            <w:tcW w:w="979" w:type="dxa"/>
            <w:vAlign w:val="center"/>
          </w:tcPr>
          <w:p w14:paraId="7822AFE4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0.66</w:t>
            </w:r>
          </w:p>
        </w:tc>
        <w:tc>
          <w:tcPr>
            <w:tcW w:w="843" w:type="dxa"/>
            <w:vAlign w:val="center"/>
          </w:tcPr>
          <w:p w14:paraId="65C2B7E2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2.92</w:t>
            </w:r>
          </w:p>
        </w:tc>
        <w:tc>
          <w:tcPr>
            <w:tcW w:w="2975" w:type="dxa"/>
            <w:vAlign w:val="center"/>
          </w:tcPr>
          <w:p w14:paraId="7A155541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High LEA with slightly elevated DIT, suggesting morphological suppression of vegetative effects.</w:t>
            </w:r>
          </w:p>
        </w:tc>
      </w:tr>
      <w:tr w:rsidR="00CC4E68" w:rsidRPr="00CC4E68" w14:paraId="16A3959A" w14:textId="77777777" w:rsidTr="0035428C">
        <w:tc>
          <w:tcPr>
            <w:tcW w:w="1232" w:type="dxa"/>
            <w:vAlign w:val="center"/>
          </w:tcPr>
          <w:p w14:paraId="57DDEB05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Sydney</w:t>
            </w:r>
          </w:p>
        </w:tc>
        <w:tc>
          <w:tcPr>
            <w:tcW w:w="1315" w:type="dxa"/>
            <w:vAlign w:val="center"/>
          </w:tcPr>
          <w:p w14:paraId="778DFF2C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Temperate oceanic</w:t>
            </w:r>
          </w:p>
        </w:tc>
        <w:tc>
          <w:tcPr>
            <w:tcW w:w="1178" w:type="dxa"/>
            <w:vAlign w:val="center"/>
          </w:tcPr>
          <w:p w14:paraId="1D832B74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0.08</w:t>
            </w:r>
          </w:p>
        </w:tc>
        <w:tc>
          <w:tcPr>
            <w:tcW w:w="979" w:type="dxa"/>
            <w:vAlign w:val="center"/>
          </w:tcPr>
          <w:p w14:paraId="4C26CD58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0.63</w:t>
            </w:r>
          </w:p>
        </w:tc>
        <w:tc>
          <w:tcPr>
            <w:tcW w:w="843" w:type="dxa"/>
            <w:vAlign w:val="center"/>
          </w:tcPr>
          <w:p w14:paraId="07A07866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3.06</w:t>
            </w:r>
          </w:p>
        </w:tc>
        <w:tc>
          <w:tcPr>
            <w:tcW w:w="2975" w:type="dxa"/>
            <w:vAlign w:val="center"/>
          </w:tcPr>
          <w:p w14:paraId="323782D9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 xml:space="preserve">Similar to Shanghai, with a flatter </w:t>
            </w:r>
            <w:r w:rsidRPr="00CC4E68">
              <w:rPr>
                <w:color w:val="000000" w:themeColor="text1"/>
                <w:sz w:val="22"/>
                <w:szCs w:val="22"/>
              </w:rPr>
              <w:t>LE_slope</w:t>
            </w: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 xml:space="preserve"> curve and delayed saturation benefits.</w:t>
            </w:r>
          </w:p>
        </w:tc>
      </w:tr>
      <w:tr w:rsidR="00CC4E68" w:rsidRPr="00CC4E68" w14:paraId="7F88CFC2" w14:textId="77777777" w:rsidTr="0035428C">
        <w:tc>
          <w:tcPr>
            <w:tcW w:w="1232" w:type="dxa"/>
            <w:vAlign w:val="center"/>
          </w:tcPr>
          <w:p w14:paraId="1CAEF576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Hong Kong</w:t>
            </w:r>
            <w:r w:rsidRPr="00CC4E68">
              <w:rPr>
                <w:color w:val="000000" w:themeColor="text1"/>
                <w:sz w:val="22"/>
                <w:szCs w:val="22"/>
              </w:rPr>
              <w:t>-</w:t>
            </w: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Shenzhen</w:t>
            </w:r>
          </w:p>
        </w:tc>
        <w:tc>
          <w:tcPr>
            <w:tcW w:w="1315" w:type="dxa"/>
            <w:vAlign w:val="center"/>
          </w:tcPr>
          <w:p w14:paraId="7F0B7266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Subtropical humid + anthropogenic heat</w:t>
            </w:r>
          </w:p>
        </w:tc>
        <w:tc>
          <w:tcPr>
            <w:tcW w:w="1178" w:type="dxa"/>
            <w:vAlign w:val="center"/>
          </w:tcPr>
          <w:p w14:paraId="7530BEA5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0.12</w:t>
            </w:r>
          </w:p>
        </w:tc>
        <w:tc>
          <w:tcPr>
            <w:tcW w:w="979" w:type="dxa"/>
            <w:vAlign w:val="center"/>
          </w:tcPr>
          <w:p w14:paraId="6A0EA910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0.35</w:t>
            </w:r>
          </w:p>
        </w:tc>
        <w:tc>
          <w:tcPr>
            <w:tcW w:w="843" w:type="dxa"/>
            <w:vAlign w:val="center"/>
          </w:tcPr>
          <w:p w14:paraId="4F78C505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2.78</w:t>
            </w:r>
          </w:p>
        </w:tc>
        <w:tc>
          <w:tcPr>
            <w:tcW w:w="2975" w:type="dxa"/>
            <w:vAlign w:val="center"/>
          </w:tcPr>
          <w:p w14:paraId="672B3478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High LEA and low DIT, indicative of a highly sensitive and vegetation-dependent urban heat regulation system.</w:t>
            </w:r>
          </w:p>
        </w:tc>
      </w:tr>
      <w:tr w:rsidR="00CC4E68" w:rsidRPr="00CC4E68" w14:paraId="601FEF98" w14:textId="77777777" w:rsidTr="0035428C">
        <w:tc>
          <w:tcPr>
            <w:tcW w:w="1232" w:type="dxa"/>
            <w:vAlign w:val="center"/>
          </w:tcPr>
          <w:p w14:paraId="3E974275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New York</w:t>
            </w:r>
          </w:p>
        </w:tc>
        <w:tc>
          <w:tcPr>
            <w:tcW w:w="1315" w:type="dxa"/>
            <w:vAlign w:val="center"/>
          </w:tcPr>
          <w:p w14:paraId="4BDD5B72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Temperate continental</w:t>
            </w:r>
          </w:p>
        </w:tc>
        <w:tc>
          <w:tcPr>
            <w:tcW w:w="1178" w:type="dxa"/>
            <w:vAlign w:val="center"/>
          </w:tcPr>
          <w:p w14:paraId="0609EF32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0.10</w:t>
            </w:r>
          </w:p>
        </w:tc>
        <w:tc>
          <w:tcPr>
            <w:tcW w:w="979" w:type="dxa"/>
            <w:vAlign w:val="center"/>
          </w:tcPr>
          <w:p w14:paraId="462A0F48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0.38</w:t>
            </w:r>
          </w:p>
        </w:tc>
        <w:tc>
          <w:tcPr>
            <w:tcW w:w="843" w:type="dxa"/>
            <w:vAlign w:val="center"/>
          </w:tcPr>
          <w:p w14:paraId="569906E2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2.81</w:t>
            </w:r>
          </w:p>
        </w:tc>
        <w:tc>
          <w:tcPr>
            <w:tcW w:w="2975" w:type="dxa"/>
            <w:vAlign w:val="center"/>
          </w:tcPr>
          <w:p w14:paraId="47AA021D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Slightly higher LEA, with moderate DIT reflecting a stable ecological response.</w:t>
            </w:r>
          </w:p>
        </w:tc>
      </w:tr>
      <w:tr w:rsidR="00CC4E68" w:rsidRPr="00CC4E68" w14:paraId="42223CF9" w14:textId="77777777" w:rsidTr="0035428C">
        <w:tc>
          <w:tcPr>
            <w:tcW w:w="1232" w:type="dxa"/>
            <w:vAlign w:val="center"/>
          </w:tcPr>
          <w:p w14:paraId="44378AFC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London</w:t>
            </w:r>
          </w:p>
        </w:tc>
        <w:tc>
          <w:tcPr>
            <w:tcW w:w="1315" w:type="dxa"/>
            <w:vAlign w:val="center"/>
          </w:tcPr>
          <w:p w14:paraId="21DBCD8D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Temperate oceanic</w:t>
            </w:r>
          </w:p>
        </w:tc>
        <w:tc>
          <w:tcPr>
            <w:tcW w:w="1178" w:type="dxa"/>
            <w:vAlign w:val="center"/>
          </w:tcPr>
          <w:p w14:paraId="08695233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0.10</w:t>
            </w:r>
          </w:p>
        </w:tc>
        <w:tc>
          <w:tcPr>
            <w:tcW w:w="979" w:type="dxa"/>
            <w:vAlign w:val="center"/>
          </w:tcPr>
          <w:p w14:paraId="4B8315F0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0.28</w:t>
            </w:r>
          </w:p>
        </w:tc>
        <w:tc>
          <w:tcPr>
            <w:tcW w:w="843" w:type="dxa"/>
            <w:vAlign w:val="center"/>
          </w:tcPr>
          <w:p w14:paraId="7EED86DA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2.71</w:t>
            </w:r>
          </w:p>
        </w:tc>
        <w:tc>
          <w:tcPr>
            <w:tcW w:w="2975" w:type="dxa"/>
            <w:vAlign w:val="center"/>
          </w:tcPr>
          <w:p w14:paraId="795B6442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 xml:space="preserve">Very sensitive city with the lowest DIT, indicating that minor greening variations rapidly affect </w:t>
            </w:r>
            <w:r w:rsidRPr="00CC4E68">
              <w:rPr>
                <w:color w:val="000000" w:themeColor="text1"/>
                <w:sz w:val="22"/>
                <w:szCs w:val="22"/>
              </w:rPr>
              <w:t>LE_slope</w:t>
            </w: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 xml:space="preserve"> behavior.</w:t>
            </w:r>
          </w:p>
        </w:tc>
      </w:tr>
      <w:tr w:rsidR="00CC4E68" w:rsidRPr="00CC4E68" w14:paraId="0A17D649" w14:textId="77777777" w:rsidTr="0035428C">
        <w:tc>
          <w:tcPr>
            <w:tcW w:w="1232" w:type="dxa"/>
            <w:vAlign w:val="center"/>
          </w:tcPr>
          <w:p w14:paraId="368A062F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Paris</w:t>
            </w:r>
          </w:p>
        </w:tc>
        <w:tc>
          <w:tcPr>
            <w:tcW w:w="1315" w:type="dxa"/>
            <w:vAlign w:val="center"/>
          </w:tcPr>
          <w:p w14:paraId="681BF7DD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Temperate oceanic</w:t>
            </w:r>
          </w:p>
        </w:tc>
        <w:tc>
          <w:tcPr>
            <w:tcW w:w="1178" w:type="dxa"/>
            <w:vAlign w:val="center"/>
          </w:tcPr>
          <w:p w14:paraId="1400BB5F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0.08</w:t>
            </w:r>
          </w:p>
        </w:tc>
        <w:tc>
          <w:tcPr>
            <w:tcW w:w="979" w:type="dxa"/>
            <w:vAlign w:val="center"/>
          </w:tcPr>
          <w:p w14:paraId="7B20D611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0.49</w:t>
            </w:r>
          </w:p>
        </w:tc>
        <w:tc>
          <w:tcPr>
            <w:tcW w:w="843" w:type="dxa"/>
            <w:vAlign w:val="center"/>
          </w:tcPr>
          <w:p w14:paraId="35C150F9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2.92</w:t>
            </w:r>
          </w:p>
        </w:tc>
        <w:tc>
          <w:tcPr>
            <w:tcW w:w="2975" w:type="dxa"/>
            <w:vAlign w:val="center"/>
          </w:tcPr>
          <w:p w14:paraId="544C319A" w14:textId="77777777" w:rsidR="00370F6C" w:rsidRPr="00CC4E68" w:rsidRDefault="00370F6C" w:rsidP="00D92502">
            <w:pPr>
              <w:widowControl/>
              <w:adjustRightInd w:val="0"/>
              <w:snapToGrid w:val="0"/>
              <w:spacing w:line="288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CC4E68">
              <w:rPr>
                <w:color w:val="000000" w:themeColor="text1"/>
                <w:sz w:val="22"/>
                <w:szCs w:val="22"/>
                <w:lang w:eastAsia="en-US"/>
              </w:rPr>
              <w:t>Stable profile with moderate vegetation response and a slightly higher saturation threshold.</w:t>
            </w:r>
          </w:p>
        </w:tc>
      </w:tr>
    </w:tbl>
    <w:p w14:paraId="4F84733A" w14:textId="5B74D89B" w:rsidR="00370F6C" w:rsidRPr="00CC4E68" w:rsidRDefault="00370F6C" w:rsidP="00370F6C">
      <w:pPr>
        <w:widowControl/>
        <w:spacing w:after="200" w:line="276" w:lineRule="auto"/>
        <w:jc w:val="left"/>
        <w:rPr>
          <w:rFonts w:ascii="Times New Roman" w:eastAsia="宋体" w:hAnsi="Times New Roman" w:cs="Times New Roman"/>
          <w:color w:val="000000" w:themeColor="text1"/>
          <w:kern w:val="0"/>
          <w:sz w:val="22"/>
          <w:lang w:eastAsia="en-US"/>
        </w:rPr>
      </w:pPr>
      <w:r w:rsidRPr="00CC4E68">
        <w:rPr>
          <w:rFonts w:ascii="Times New Roman" w:eastAsia="宋体" w:hAnsi="Times New Roman" w:cs="Times New Roman"/>
          <w:color w:val="000000" w:themeColor="text1"/>
          <w:kern w:val="0"/>
          <w:sz w:val="22"/>
          <w:lang w:eastAsia="en-US"/>
        </w:rPr>
        <w:t xml:space="preserve">Table Notes: This table summarizes the theoretical </w:t>
      </w:r>
      <w:r w:rsidRPr="00CC4E68">
        <w:rPr>
          <w:rFonts w:ascii="Times New Roman" w:eastAsia="宋体" w:hAnsi="Times New Roman" w:cs="Times New Roman"/>
          <w:color w:val="000000" w:themeColor="text1"/>
          <w:kern w:val="0"/>
          <w:sz w:val="22"/>
        </w:rPr>
        <w:t>LE</w:t>
      </w:r>
      <w:r w:rsidRPr="00CC4E68">
        <w:rPr>
          <w:rFonts w:ascii="Times New Roman" w:eastAsia="宋体" w:hAnsi="Times New Roman" w:cs="Times New Roman"/>
          <w:color w:val="000000" w:themeColor="text1"/>
          <w:kern w:val="0"/>
          <w:sz w:val="22"/>
          <w:lang w:eastAsia="en-US"/>
        </w:rPr>
        <w:t xml:space="preserve"> response capacity (LEA), vegetation sensitivity threshold (DIT), and saturation point (ST) derived from nonlinear curve fitting of the </w:t>
      </w:r>
      <w:r w:rsidRPr="00CC4E68">
        <w:rPr>
          <w:rFonts w:ascii="Times New Roman" w:eastAsia="宋体" w:hAnsi="Times New Roman" w:cs="Times New Roman"/>
          <w:color w:val="000000" w:themeColor="text1"/>
          <w:kern w:val="0"/>
          <w:sz w:val="22"/>
        </w:rPr>
        <w:t>LE</w:t>
      </w:r>
      <w:r w:rsidRPr="00CC4E68">
        <w:rPr>
          <w:rFonts w:ascii="Times New Roman" w:eastAsia="宋体" w:hAnsi="Times New Roman" w:cs="Times New Roman"/>
          <w:color w:val="000000" w:themeColor="text1"/>
          <w:kern w:val="0"/>
          <w:sz w:val="22"/>
          <w:vertAlign w:val="subscript"/>
        </w:rPr>
        <w:t>slope</w:t>
      </w:r>
      <w:r w:rsidRPr="00CC4E68">
        <w:rPr>
          <w:rFonts w:ascii="Times New Roman" w:eastAsia="宋体" w:hAnsi="Times New Roman" w:cs="Times New Roman"/>
          <w:color w:val="000000" w:themeColor="text1"/>
          <w:kern w:val="0"/>
          <w:sz w:val="22"/>
        </w:rPr>
        <w:t>-</w:t>
      </w:r>
      <w:r w:rsidRPr="00CC4E68">
        <w:rPr>
          <w:rFonts w:ascii="Times New Roman" w:eastAsia="宋体" w:hAnsi="Times New Roman" w:cs="Times New Roman"/>
          <w:color w:val="000000" w:themeColor="text1"/>
          <w:kern w:val="0"/>
          <w:sz w:val="22"/>
          <w:lang w:eastAsia="en-US"/>
        </w:rPr>
        <w:t>vegetation relationship. The final column provides interpretative assessments of each city’s ecological and climatic response characteristics, contextualizing their position along the urbanization</w:t>
      </w:r>
      <w:r w:rsidRPr="00CC4E68">
        <w:rPr>
          <w:rFonts w:ascii="Times New Roman" w:eastAsia="宋体" w:hAnsi="Times New Roman" w:cs="Times New Roman"/>
          <w:color w:val="000000" w:themeColor="text1"/>
          <w:kern w:val="0"/>
          <w:sz w:val="22"/>
        </w:rPr>
        <w:t>-</w:t>
      </w:r>
      <w:r w:rsidRPr="00CC4E68">
        <w:rPr>
          <w:rFonts w:ascii="Times New Roman" w:eastAsia="宋体" w:hAnsi="Times New Roman" w:cs="Times New Roman"/>
          <w:color w:val="000000" w:themeColor="text1"/>
          <w:kern w:val="0"/>
          <w:sz w:val="22"/>
          <w:lang w:eastAsia="en-US"/>
        </w:rPr>
        <w:t>climate adaptation spectrum.</w:t>
      </w:r>
    </w:p>
    <w:p w14:paraId="115AA9AF" w14:textId="5E2C4C47" w:rsidR="002730B9" w:rsidRPr="00CC4E68" w:rsidRDefault="004D6DEE" w:rsidP="002730B9">
      <w:pPr>
        <w:widowControl/>
        <w:jc w:val="left"/>
        <w:rPr>
          <w:rFonts w:ascii="Times New Roman" w:hAnsi="Times New Roman" w:cs="Times New Roman"/>
          <w:b/>
          <w:bCs/>
          <w:color w:val="000000" w:themeColor="text1"/>
          <w:kern w:val="44"/>
          <w:sz w:val="30"/>
          <w:szCs w:val="30"/>
        </w:rPr>
      </w:pPr>
      <w:r w:rsidRPr="00CC4E68">
        <w:rPr>
          <w:rFonts w:ascii="Times New Roman" w:hAnsi="Times New Roman" w:cs="Times New Roman"/>
          <w:b/>
          <w:bCs/>
          <w:color w:val="000000" w:themeColor="text1"/>
          <w:kern w:val="44"/>
          <w:sz w:val="30"/>
          <w:szCs w:val="30"/>
        </w:rPr>
        <w:br w:type="page"/>
      </w:r>
    </w:p>
    <w:p w14:paraId="2836A796" w14:textId="53C7EA5A" w:rsidR="002730B9" w:rsidRPr="00CC4E68" w:rsidRDefault="002730B9" w:rsidP="002730B9">
      <w:pPr>
        <w:keepNext/>
        <w:keepLines/>
        <w:widowControl/>
        <w:spacing w:before="240" w:after="120" w:line="480" w:lineRule="auto"/>
        <w:outlineLvl w:val="0"/>
        <w:rPr>
          <w:rFonts w:ascii="Times New Roman" w:hAnsi="Times New Roman" w:cs="Times New Roman"/>
          <w:b/>
          <w:bCs/>
          <w:color w:val="000000" w:themeColor="text1"/>
          <w:kern w:val="44"/>
          <w:sz w:val="30"/>
          <w:szCs w:val="30"/>
        </w:rPr>
      </w:pPr>
      <w:r w:rsidRPr="00CC4E68">
        <w:rPr>
          <w:rFonts w:ascii="Times New Roman" w:eastAsia="Times New Roman" w:hAnsi="Times New Roman" w:cs="Times New Roman"/>
          <w:b/>
          <w:bCs/>
          <w:color w:val="000000" w:themeColor="text1"/>
          <w:kern w:val="44"/>
          <w:sz w:val="30"/>
          <w:szCs w:val="30"/>
          <w:lang w:eastAsia="de-DE"/>
        </w:rPr>
        <w:lastRenderedPageBreak/>
        <w:t>Supplementary Methods</w:t>
      </w:r>
    </w:p>
    <w:p w14:paraId="51F22D81" w14:textId="33148AB4" w:rsidR="00437362" w:rsidRPr="00CC4E68" w:rsidRDefault="00647401" w:rsidP="009E2694">
      <w:pPr>
        <w:pStyle w:val="2"/>
        <w:widowControl/>
        <w:spacing w:before="240" w:after="120" w:line="48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CC4E68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Supplementary Method </w:t>
      </w:r>
      <w:r w:rsidRPr="00CC4E68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1</w:t>
      </w:r>
      <w:r w:rsidR="00CE4E18" w:rsidRPr="00CC4E68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 xml:space="preserve"> </w:t>
      </w:r>
      <w:r w:rsidR="00437362" w:rsidRPr="00CC4E68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ERA5-Land Variable Selection and Combination Strategy</w:t>
      </w:r>
    </w:p>
    <w:p w14:paraId="52C89F61" w14:textId="391B2196" w:rsidR="00437362" w:rsidRPr="00CC4E68" w:rsidRDefault="00437362" w:rsidP="00437362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A total of 22 ERA5-Land variables potentially associated with </w:t>
      </w:r>
      <w:r w:rsidR="00647817" w:rsidRPr="00CC4E68">
        <w:rPr>
          <w:rFonts w:ascii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LE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 flux—including air temperature, radiation, soil moisture at multiple depths, and wind components—were considered (Supplementary Table 1). These variables were grouped into five categories: atmospheric conditions, surface energy balance, soil thermal properties, hydrological variables, and near-surface meteorology.</w:t>
      </w:r>
    </w:p>
    <w:p w14:paraId="75972D31" w14:textId="77777777" w:rsidR="00437362" w:rsidRPr="00CC4E68" w:rsidRDefault="00437362" w:rsidP="00437362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To identify the most effective input combinations, we conducted a brute-force variable combination analysis covering all 4,194,304 non-redundant subsets (1–22 variables). For each subset, models were trained and validated using ten machine-learning algorithms representing seven major categories:</w:t>
      </w:r>
    </w:p>
    <w:p w14:paraId="43ADB2A7" w14:textId="764A1ABC" w:rsidR="00437362" w:rsidRPr="00CC4E68" w:rsidRDefault="00437362" w:rsidP="00437362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(1) Tree-based (Random Forest 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begin"/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instrText xml:space="preserve"> ADDIN NE.Ref.{6ADFD3B7-16E8-4121-8831-AF8240482238}</w:instrTex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separate"/>
      </w:r>
      <w:r w:rsidR="0059278A"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(Breiman 2001)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end"/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; XGBoost 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begin"/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instrText xml:space="preserve"> ADDIN NE.Ref.{C830D708-2B2C-41E9-9851-FBCA45503FEC}</w:instrTex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separate"/>
      </w:r>
      <w:r w:rsidR="0059278A"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(Chen and Guestrin 2016)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end"/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; Gradient Boosting Trees 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begin"/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instrText xml:space="preserve"> ADDIN NE.Ref.{2EAB1096-5C8B-47C3-8682-5E118749D298}</w:instrTex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separate"/>
      </w:r>
      <w:r w:rsidR="0059278A"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(Friedman 2001)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end"/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),</w:t>
      </w:r>
    </w:p>
    <w:p w14:paraId="79AB8243" w14:textId="70A7B006" w:rsidR="00437362" w:rsidRPr="00CC4E68" w:rsidRDefault="00437362" w:rsidP="00437362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(2) Kernel-based (Support Vector Regressor 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begin"/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instrText xml:space="preserve"> ADDIN NE.Ref.{DF1D241A-1B6E-4A48-9B86-09B125AFE3E2}</w:instrTex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separate"/>
      </w:r>
      <w:r w:rsidR="0059278A"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(Cortes and Vapnik 1995)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end"/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),</w:t>
      </w:r>
    </w:p>
    <w:p w14:paraId="43B13D20" w14:textId="09593F61" w:rsidR="00437362" w:rsidRPr="00CC4E68" w:rsidRDefault="00437362" w:rsidP="00437362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(3) Ensemble methods (Adaptive Boosting 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begin"/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instrText xml:space="preserve"> ADDIN NE.Ref.{932D9E12-5348-4193-AB29-7451DE2FDE48}</w:instrTex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separate"/>
      </w:r>
      <w:r w:rsidR="0059278A"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(Margineantu and Dietterich 1997)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end"/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),</w:t>
      </w:r>
    </w:p>
    <w:p w14:paraId="0182C6FA" w14:textId="09CAF323" w:rsidR="00437362" w:rsidRPr="00CC4E68" w:rsidRDefault="00437362" w:rsidP="00437362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(4) Nearest-neighbor-based (K-Nearest Neighbors 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begin"/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instrText xml:space="preserve"> ADDIN NE.Ref.{9C2CBE99-B611-47A3-AD75-28554F44B8BC}</w:instrTex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separate"/>
      </w:r>
      <w:r w:rsidR="0059278A"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(Cover and Hart 1967)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end"/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),</w:t>
      </w:r>
    </w:p>
    <w:p w14:paraId="111809D7" w14:textId="37C880D2" w:rsidR="00437362" w:rsidRPr="00CC4E68" w:rsidRDefault="00437362" w:rsidP="00437362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(5) Bayesian,</w:t>
      </w:r>
    </w:p>
    <w:p w14:paraId="623E263E" w14:textId="67B934A8" w:rsidR="00437362" w:rsidRPr="00CC4E68" w:rsidRDefault="00437362" w:rsidP="00437362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(6) Neural networks (Multi-layer Perceptron 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begin"/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instrText xml:space="preserve"> ADDIN NE.Ref.{2DA486BC-312F-4390-87A2-44694D3E44E4}</w:instrTex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separate"/>
      </w:r>
      <w:r w:rsidR="0059278A"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(Taud and Mas 2018)</w:t>
      </w:r>
      <w:r w:rsidR="0059278A" w:rsidRPr="00CC4E68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0"/>
          <w:lang w:eastAsia="de-DE"/>
        </w:rPr>
        <w:fldChar w:fldCharType="end"/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), and</w:t>
      </w:r>
    </w:p>
    <w:p w14:paraId="054DF327" w14:textId="77777777" w:rsidR="00437362" w:rsidRPr="00CC4E68" w:rsidRDefault="00437362" w:rsidP="00437362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(7) Deep learning (VGGNet, Inception Network).</w:t>
      </w:r>
    </w:p>
    <w:p w14:paraId="1A75DA10" w14:textId="77777777" w:rsidR="00437362" w:rsidRPr="00CC4E68" w:rsidRDefault="00437362" w:rsidP="00437362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Each model underwent 100 iterations of 10-fold cross-validation, and the best-performing subset was identified based on mean R² and RMSE.</w:t>
      </w:r>
    </w:p>
    <w:p w14:paraId="0A9B4DE1" w14:textId="25D2B15E" w:rsidR="00437362" w:rsidRPr="00CC4E68" w:rsidRDefault="00437362" w:rsidP="00437362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lastRenderedPageBreak/>
        <w:t xml:space="preserve">The resulting model was further validated against FLUXNET2015 tower measurements, and all trained models are openly available at </w:t>
      </w:r>
      <w:r w:rsidR="00FC2238" w:rsidRPr="00FC223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https://zenodo.org/records/17430581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.</w:t>
      </w:r>
    </w:p>
    <w:p w14:paraId="008C293B" w14:textId="728189AA" w:rsidR="004D6DEE" w:rsidRPr="00CC4E68" w:rsidRDefault="005968C1" w:rsidP="009E2694">
      <w:pPr>
        <w:pStyle w:val="2"/>
        <w:widowControl/>
        <w:spacing w:before="240" w:after="120" w:line="48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  <w:r w:rsidRPr="00CC4E68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 xml:space="preserve">Supplementary Method </w:t>
      </w:r>
      <w:r w:rsidRPr="00CC4E68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 xml:space="preserve">2 </w:t>
      </w:r>
      <w:r w:rsidR="004D6DEE" w:rsidRPr="00CC4E68">
        <w:rPr>
          <w:rFonts w:ascii="Times New Roman" w:hAnsi="Times New Roman" w:cs="Times New Roman" w:hint="eastAsia"/>
          <w:b/>
          <w:bCs/>
          <w:color w:val="000000" w:themeColor="text1"/>
          <w:kern w:val="0"/>
          <w:sz w:val="24"/>
          <w:szCs w:val="24"/>
        </w:rPr>
        <w:t>Function Selection and Fitting Analysis of LE Response</w:t>
      </w:r>
    </w:p>
    <w:p w14:paraId="1C165DA1" w14:textId="77777777" w:rsidR="004D6DEE" w:rsidRPr="00CC4E68" w:rsidRDefault="004D6DEE" w:rsidP="004D6DEE">
      <w:pPr>
        <w:widowControl/>
        <w:spacing w:line="480" w:lineRule="auto"/>
        <w:ind w:firstLineChars="200" w:firstLine="480"/>
        <w:rPr>
          <w:rFonts w:ascii="Times New Roman" w:eastAsia="宋体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宋体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To assess the nonlinear relationship between LE and the vegetation-to-impervious surface ratio, we compared four candidate functions: a shifted inverse-square, an exponential decay, a hyperbolic tangent, and a logarithmic function. Each function is defined as a nonlinear response y = f(x), where x is the normalized vegetation-to-impervious surface ratio, y is the corresponding LE value, and a, b, and c are fitted parameters. A small constant (</w:t>
      </w:r>
      <w:r w:rsidRPr="00CC4E68">
        <w:rPr>
          <w:rFonts w:ascii="Times New Roman" w:eastAsia="宋体" w:hAnsi="Times New Roman" w:cs="Times New Roman"/>
          <w:snapToGrid w:val="0"/>
          <w:color w:val="000000" w:themeColor="text1"/>
          <w:sz w:val="24"/>
          <w:szCs w:val="24"/>
          <w:lang w:bidi="en-US"/>
        </w:rPr>
        <w:t>ε</w:t>
      </w:r>
      <w:r w:rsidRPr="00CC4E68">
        <w:rPr>
          <w:rFonts w:ascii="Times New Roman" w:eastAsia="宋体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 = 10</w:t>
      </w:r>
      <w:r w:rsidRPr="00CC4E68">
        <w:rPr>
          <w:rFonts w:ascii="Times New Roman" w:eastAsia="宋体" w:hAnsi="Times New Roman" w:cs="Times New Roman" w:hint="eastAsia"/>
          <w:snapToGrid w:val="0"/>
          <w:color w:val="000000" w:themeColor="text1"/>
          <w:sz w:val="24"/>
          <w:szCs w:val="24"/>
          <w:vertAlign w:val="superscript"/>
          <w:lang w:bidi="en-US"/>
        </w:rPr>
        <w:t>-6</w:t>
      </w:r>
      <w:r w:rsidRPr="00CC4E68">
        <w:rPr>
          <w:rFonts w:ascii="Times New Roman" w:eastAsia="宋体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) was introduced to avoid division or logarithmic errors near zero. Observations with x </w:t>
      </w:r>
      <w:r w:rsidRPr="00CC4E68">
        <w:rPr>
          <w:rFonts w:ascii="Times New Roman" w:eastAsia="宋体" w:hAnsi="Times New Roman" w:cs="Times New Roman"/>
          <w:snapToGrid w:val="0"/>
          <w:color w:val="000000" w:themeColor="text1"/>
          <w:sz w:val="24"/>
          <w:szCs w:val="24"/>
          <w:lang w:bidi="en-US"/>
        </w:rPr>
        <w:t>≤</w:t>
      </w:r>
      <w:r w:rsidRPr="00CC4E68">
        <w:rPr>
          <w:rFonts w:ascii="Times New Roman" w:eastAsia="宋体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 0 were excluded, and model </w:t>
      </w:r>
      <w:r w:rsidRPr="00CC4E68">
        <w:rPr>
          <w:rFonts w:ascii="Times New Roman" w:eastAsia="宋体" w:hAnsi="Times New Roman" w:cs="Times New Roman"/>
          <w:snapToGrid w:val="0"/>
          <w:color w:val="000000" w:themeColor="text1"/>
          <w:sz w:val="24"/>
          <w:szCs w:val="24"/>
          <w:lang w:bidi="en-US"/>
        </w:rPr>
        <w:t>fitting was performed using nonlinear least squares via Python’s curve_fit.</w:t>
      </w:r>
    </w:p>
    <w:p w14:paraId="2112AEE0" w14:textId="77777777" w:rsidR="004D6DEE" w:rsidRPr="00CC4E68" w:rsidRDefault="004D6DEE" w:rsidP="004D6DE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C4E6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Shifted inverse-square function:</w:t>
      </w:r>
    </w:p>
    <w:p w14:paraId="64CB8DFE" w14:textId="77777777" w:rsidR="004D6DEE" w:rsidRPr="00CC4E68" w:rsidRDefault="004D6DEE" w:rsidP="004D6DEE">
      <w:pPr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m:oMathPara>
        <m:oMath>
          <m:r>
            <w:rPr>
              <w:rFonts w:ascii="Cambria Math" w:eastAsia="宋体" w:hAnsi="Cambria Math" w:cs="Times New Roman"/>
              <w:color w:val="000000" w:themeColor="text1"/>
              <w:kern w:val="0"/>
              <w:sz w:val="24"/>
              <w:szCs w:val="20"/>
              <w:lang w:eastAsia="de-DE"/>
            </w:rPr>
            <m:t>f(x)=-</m:t>
          </m:r>
          <m:f>
            <m:fPr>
              <m:ctrlPr>
                <w:rPr>
                  <w:rFonts w:ascii="Cambria Math" w:eastAsia="宋体" w:hAnsi="Cambria Math" w:cs="Times New Roman"/>
                  <w:i/>
                  <w:color w:val="000000" w:themeColor="text1"/>
                  <w:kern w:val="0"/>
                  <w:sz w:val="24"/>
                  <w:szCs w:val="20"/>
                  <w:lang w:eastAsia="de-DE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  <m:t>a</m:t>
              </m:r>
              <m:ctrlP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</m:ctrlPr>
            </m:num>
            <m:den>
              <m: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  <m:t>(x+c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color w:val="000000" w:themeColor="text1"/>
                      <w:kern w:val="0"/>
                      <w:sz w:val="24"/>
                      <w:szCs w:val="20"/>
                      <w:lang w:eastAsia="de-DE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color w:val="000000" w:themeColor="text1"/>
                      <w:kern w:val="0"/>
                      <w:sz w:val="24"/>
                      <w:szCs w:val="20"/>
                      <w:lang w:eastAsia="de-DE"/>
                    </w:rPr>
                    <m:t>)</m:t>
                  </m:r>
                </m:e>
                <m:sup>
                  <m:r>
                    <w:rPr>
                      <w:rFonts w:ascii="Cambria Math" w:eastAsia="宋体" w:hAnsi="Cambria Math" w:cs="Times New Roman"/>
                      <w:color w:val="000000" w:themeColor="text1"/>
                      <w:kern w:val="0"/>
                      <w:sz w:val="24"/>
                      <w:szCs w:val="20"/>
                      <w:lang w:eastAsia="de-DE"/>
                    </w:rPr>
                    <m:t>2</m:t>
                  </m:r>
                </m:sup>
              </m:sSup>
              <m: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  <m:t>+1</m:t>
              </m:r>
              <m:sSup>
                <m:sSupPr>
                  <m:ctrlPr>
                    <w:rPr>
                      <w:rFonts w:ascii="Cambria Math" w:eastAsia="宋体" w:hAnsi="Cambria Math" w:cs="Times New Roman"/>
                      <w:color w:val="000000" w:themeColor="text1"/>
                      <w:kern w:val="0"/>
                      <w:sz w:val="24"/>
                      <w:szCs w:val="20"/>
                      <w:lang w:eastAsia="de-DE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color w:val="000000" w:themeColor="text1"/>
                      <w:kern w:val="0"/>
                      <w:sz w:val="24"/>
                      <w:szCs w:val="20"/>
                      <w:lang w:eastAsia="de-DE"/>
                    </w:rPr>
                    <m:t>0</m:t>
                  </m:r>
                </m:e>
                <m:sup>
                  <m:r>
                    <w:rPr>
                      <w:rFonts w:ascii="Cambria Math" w:eastAsia="宋体" w:hAnsi="Cambria Math" w:cs="Times New Roman"/>
                      <w:color w:val="000000" w:themeColor="text1"/>
                      <w:kern w:val="0"/>
                      <w:sz w:val="24"/>
                      <w:szCs w:val="20"/>
                      <w:lang w:eastAsia="de-DE"/>
                    </w:rPr>
                    <m:t>-6</m:t>
                  </m:r>
                </m:sup>
              </m:sSup>
              <m:ctrlP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</m:ctrlPr>
            </m:den>
          </m:f>
          <m:r>
            <w:rPr>
              <w:rFonts w:ascii="Cambria Math" w:eastAsia="宋体" w:hAnsi="Cambria Math" w:cs="Times New Roman"/>
              <w:color w:val="000000" w:themeColor="text1"/>
              <w:kern w:val="0"/>
              <w:sz w:val="24"/>
              <w:szCs w:val="20"/>
              <w:lang w:eastAsia="de-DE"/>
            </w:rPr>
            <m:t>+b</m:t>
          </m:r>
        </m:oMath>
      </m:oMathPara>
    </w:p>
    <w:p w14:paraId="70133DD2" w14:textId="77777777" w:rsidR="004D6DEE" w:rsidRPr="00CC4E68" w:rsidRDefault="004D6DEE" w:rsidP="004D6DE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C4E6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E</w:t>
      </w:r>
      <w:r w:rsidRPr="00CC4E6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xponential decay function</w:t>
      </w:r>
      <w:r w:rsidRPr="00CC4E6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:</w:t>
      </w:r>
    </w:p>
    <w:p w14:paraId="2D37A311" w14:textId="77777777" w:rsidR="004D6DEE" w:rsidRPr="00CC4E68" w:rsidRDefault="004D6DEE" w:rsidP="004D6DE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m:oMathPara>
        <m:oMath>
          <m:r>
            <w:rPr>
              <w:rFonts w:ascii="Cambria Math" w:eastAsia="宋体" w:hAnsi="Cambria Math" w:cs="Times New Roman"/>
              <w:color w:val="000000" w:themeColor="text1"/>
              <w:kern w:val="0"/>
              <w:sz w:val="24"/>
              <w:szCs w:val="20"/>
              <w:lang w:eastAsia="de-DE"/>
            </w:rPr>
            <m:t>f(x)=a⋅</m:t>
          </m:r>
          <m:sSup>
            <m:sSupPr>
              <m:ctrlP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</m:ctrlPr>
            </m:sSupPr>
            <m:e>
              <m: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  <m:t>e</m:t>
              </m:r>
            </m:e>
            <m:sup>
              <m: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  <m:t>-bx</m:t>
              </m:r>
            </m:sup>
          </m:sSup>
          <m:r>
            <w:rPr>
              <w:rFonts w:ascii="Cambria Math" w:eastAsia="宋体" w:hAnsi="Cambria Math" w:cs="Times New Roman"/>
              <w:color w:val="000000" w:themeColor="text1"/>
              <w:kern w:val="0"/>
              <w:sz w:val="24"/>
              <w:szCs w:val="20"/>
              <w:lang w:eastAsia="de-DE"/>
            </w:rPr>
            <m:t>+c</m:t>
          </m:r>
        </m:oMath>
      </m:oMathPara>
    </w:p>
    <w:p w14:paraId="4A778DBB" w14:textId="77777777" w:rsidR="004D6DEE" w:rsidRPr="00CC4E68" w:rsidRDefault="004D6DEE" w:rsidP="004D6DE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C4E6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H</w:t>
      </w:r>
      <w:r w:rsidRPr="00CC4E6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yperbolic tangent function:</w:t>
      </w:r>
    </w:p>
    <w:p w14:paraId="67850E81" w14:textId="77777777" w:rsidR="004D6DEE" w:rsidRPr="00CC4E68" w:rsidRDefault="004D6DEE" w:rsidP="004D6DE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m:oMathPara>
        <m:oMath>
          <m:r>
            <w:rPr>
              <w:rFonts w:ascii="Cambria Math" w:eastAsia="宋体" w:hAnsi="Cambria Math" w:cs="Times New Roman"/>
              <w:color w:val="000000" w:themeColor="text1"/>
              <w:kern w:val="0"/>
              <w:sz w:val="24"/>
              <w:szCs w:val="20"/>
              <w:lang w:eastAsia="de-DE"/>
            </w:rPr>
            <m:t>f(x)=a⋅</m:t>
          </m:r>
          <m:func>
            <m:funcPr>
              <m:ctrlP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  <m:t>tanh</m:t>
              </m:r>
            </m:fName>
            <m:e>
              <m: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  <m:t>(</m:t>
              </m:r>
            </m:e>
          </m:func>
          <m:r>
            <w:rPr>
              <w:rFonts w:ascii="Cambria Math" w:eastAsia="宋体" w:hAnsi="Cambria Math" w:cs="Times New Roman"/>
              <w:color w:val="000000" w:themeColor="text1"/>
              <w:kern w:val="0"/>
              <w:sz w:val="24"/>
              <w:szCs w:val="20"/>
              <w:lang w:eastAsia="de-DE"/>
            </w:rPr>
            <m:t>-bx)+c</m:t>
          </m:r>
        </m:oMath>
      </m:oMathPara>
    </w:p>
    <w:p w14:paraId="768A6751" w14:textId="77777777" w:rsidR="004D6DEE" w:rsidRPr="00CC4E68" w:rsidRDefault="004D6DEE" w:rsidP="004D6DE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CC4E68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L</w:t>
      </w:r>
      <w:r w:rsidRPr="00CC4E68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ogarithmic function function:</w:t>
      </w:r>
    </w:p>
    <w:p w14:paraId="36AA8351" w14:textId="77777777" w:rsidR="004D6DEE" w:rsidRPr="00CC4E68" w:rsidRDefault="004D6DEE" w:rsidP="004D6DEE">
      <w:pPr>
        <w:spacing w:line="400" w:lineRule="exac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m:oMathPara>
        <m:oMath>
          <m:r>
            <w:rPr>
              <w:rFonts w:ascii="Cambria Math" w:eastAsia="宋体" w:hAnsi="Cambria Math" w:cs="Times New Roman"/>
              <w:color w:val="000000" w:themeColor="text1"/>
              <w:kern w:val="0"/>
              <w:sz w:val="24"/>
              <w:szCs w:val="20"/>
              <w:lang w:eastAsia="de-DE"/>
            </w:rPr>
            <m:t>f(x)=-a⋅</m:t>
          </m:r>
          <m:func>
            <m:funcPr>
              <m:ctrlP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  <m:t>log</m:t>
              </m:r>
            </m:fName>
            <m:e>
              <m: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  <m:t>(</m:t>
              </m:r>
            </m:e>
          </m:func>
          <m:r>
            <w:rPr>
              <w:rFonts w:ascii="Cambria Math" w:eastAsia="宋体" w:hAnsi="Cambria Math" w:cs="Times New Roman"/>
              <w:color w:val="000000" w:themeColor="text1"/>
              <w:kern w:val="0"/>
              <w:sz w:val="24"/>
              <w:szCs w:val="20"/>
              <w:lang w:eastAsia="de-DE"/>
            </w:rPr>
            <m:t>x+c+1</m:t>
          </m:r>
          <m:sSup>
            <m:sSupPr>
              <m:ctrlP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</m:ctrlPr>
            </m:sSupPr>
            <m:e>
              <m: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  <m:t>0</m:t>
              </m:r>
            </m:e>
            <m:sup>
              <m:r>
                <w:rPr>
                  <w:rFonts w:ascii="Cambria Math" w:eastAsia="宋体" w:hAnsi="Cambria Math" w:cs="Times New Roman"/>
                  <w:color w:val="000000" w:themeColor="text1"/>
                  <w:kern w:val="0"/>
                  <w:sz w:val="24"/>
                  <w:szCs w:val="20"/>
                  <w:lang w:eastAsia="de-DE"/>
                </w:rPr>
                <m:t>-6</m:t>
              </m:r>
            </m:sup>
          </m:sSup>
          <m:r>
            <w:rPr>
              <w:rFonts w:ascii="Cambria Math" w:eastAsia="宋体" w:hAnsi="Cambria Math" w:cs="Times New Roman"/>
              <w:color w:val="000000" w:themeColor="text1"/>
              <w:kern w:val="0"/>
              <w:sz w:val="24"/>
              <w:szCs w:val="20"/>
              <w:lang w:eastAsia="de-DE"/>
            </w:rPr>
            <m:t>)+b</m:t>
          </m:r>
        </m:oMath>
      </m:oMathPara>
    </w:p>
    <w:p w14:paraId="467C7BB0" w14:textId="0C8E5CD3" w:rsidR="004D6DEE" w:rsidRPr="00CC4E68" w:rsidRDefault="004D6DEE" w:rsidP="004D6DEE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Model performance was evaluated using five metrics—RMSE, MAE, MSE, MAPE(%), and R²—all normalized to [0, 1]</w:t>
      </w:r>
      <w:r w:rsidR="00E24ED8" w:rsidRPr="00CC4E68">
        <w:rPr>
          <w:rFonts w:ascii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 (</w:t>
      </w:r>
      <w:r w:rsidR="00E24ED8"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2"/>
          <w:lang w:bidi="en-US"/>
        </w:rPr>
        <w:t xml:space="preserve">Supplementary Figure </w:t>
      </w:r>
      <w:r w:rsidR="00E24ED8" w:rsidRPr="00CC4E68">
        <w:rPr>
          <w:rFonts w:ascii="Times New Roman" w:eastAsia="宋体" w:hAnsi="Times New Roman" w:cs="Times New Roman" w:hint="eastAsia"/>
          <w:snapToGrid w:val="0"/>
          <w:color w:val="000000" w:themeColor="text1"/>
          <w:sz w:val="22"/>
          <w:lang w:bidi="en-US"/>
        </w:rPr>
        <w:t>5</w:t>
      </w:r>
      <w:r w:rsidR="00E24ED8" w:rsidRPr="00CC4E68">
        <w:rPr>
          <w:rFonts w:ascii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)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. A more outward and uniform radar shape indicates stronger overall performance. The shifted inverse-square function outperformed the others (RMSE = 0.776, R² = 0.210), followed by the 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lastRenderedPageBreak/>
        <w:t>exponential decay and hyperbolic tangent models. The logarithmic function had the weakest fit (R² = 0.153), indicating limited suitability.</w:t>
      </w:r>
    </w:p>
    <w:p w14:paraId="30A1F0CC" w14:textId="77777777" w:rsidR="004D6DEE" w:rsidRPr="00CC4E68" w:rsidRDefault="004D6DEE" w:rsidP="004D6DEE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  <w:t>To guide model selection beyond statistical fit, we introduced three physical criteria: (1) LE slope should asymptotically stabilize at high x, reflecting saturation; (2) a sharp decline should occur below a threshold, indicating loss of evaporative regulation;</w:t>
      </w: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 xml:space="preserve"> (3) as x approaches zero, the LE slope should diverge negatively, capturing degradation in sealed urban surfaces.</w:t>
      </w:r>
    </w:p>
    <w:p w14:paraId="4F9F7E20" w14:textId="77777777" w:rsidR="004D6DEE" w:rsidRPr="00CC4E68" w:rsidRDefault="004D6DEE" w:rsidP="004D6DEE">
      <w:pPr>
        <w:widowControl/>
        <w:spacing w:line="480" w:lineRule="auto"/>
        <w:ind w:firstLineChars="200" w:firstLine="480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bidi="en-US"/>
        </w:rPr>
      </w:pPr>
      <w:r w:rsidRPr="00CC4E68">
        <w:rPr>
          <w:rFonts w:ascii="Times New Roman" w:eastAsia="Times New Roman" w:hAnsi="Times New Roman" w:cs="Times New Roman" w:hint="eastAsia"/>
          <w:snapToGrid w:val="0"/>
          <w:color w:val="000000" w:themeColor="text1"/>
          <w:sz w:val="24"/>
          <w:szCs w:val="24"/>
          <w:lang w:bidi="en-US"/>
        </w:rPr>
        <w:t>Taken together, the shifted inverse-square function was selected as the most suitable model. It captures key nonlinearities, aligns with physical expectations, and enables robust application in mechanistic interpretation and spatial modeling.</w:t>
      </w:r>
    </w:p>
    <w:p w14:paraId="7A81A5DE" w14:textId="77777777" w:rsidR="0059278A" w:rsidRPr="00CC4E68" w:rsidRDefault="0059278A">
      <w:pPr>
        <w:widowControl/>
        <w:jc w:val="left"/>
        <w:rPr>
          <w:rFonts w:hint="eastAsia"/>
          <w:color w:val="000000" w:themeColor="text1"/>
        </w:rPr>
      </w:pPr>
      <w:r w:rsidRPr="00CC4E68">
        <w:rPr>
          <w:rFonts w:hint="eastAsia"/>
          <w:color w:val="000000" w:themeColor="text1"/>
        </w:rPr>
        <w:br w:type="page"/>
      </w:r>
    </w:p>
    <w:p w14:paraId="6A1D2FDB" w14:textId="13C50754" w:rsidR="0059278A" w:rsidRPr="00CC4E68" w:rsidRDefault="0059278A" w:rsidP="0059278A">
      <w:pPr>
        <w:keepNext/>
        <w:keepLines/>
        <w:widowControl/>
        <w:spacing w:before="240" w:after="120" w:line="48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44"/>
          <w:sz w:val="30"/>
          <w:szCs w:val="30"/>
          <w:lang w:eastAsia="de-DE"/>
        </w:rPr>
      </w:pPr>
      <w:r w:rsidRPr="00CC4E68">
        <w:rPr>
          <w:rFonts w:ascii="Times New Roman" w:eastAsia="Times New Roman" w:hAnsi="Times New Roman" w:cs="Times New Roman"/>
          <w:b/>
          <w:bCs/>
          <w:color w:val="000000" w:themeColor="text1"/>
          <w:kern w:val="44"/>
          <w:sz w:val="30"/>
          <w:szCs w:val="30"/>
          <w:lang w:eastAsia="de-DE"/>
        </w:rPr>
        <w:lastRenderedPageBreak/>
        <w:t xml:space="preserve">Supplementary </w:t>
      </w:r>
      <w:bookmarkStart w:id="0" w:name="_Hlk212043643"/>
      <w:r w:rsidRPr="00CC4E68">
        <w:rPr>
          <w:rFonts w:ascii="Times New Roman" w:eastAsia="Times New Roman" w:hAnsi="Times New Roman" w:cs="Times New Roman"/>
          <w:b/>
          <w:bCs/>
          <w:color w:val="000000" w:themeColor="text1"/>
          <w:kern w:val="44"/>
          <w:sz w:val="30"/>
          <w:szCs w:val="30"/>
          <w:lang w:eastAsia="de-DE"/>
        </w:rPr>
        <w:t>References</w:t>
      </w:r>
      <w:bookmarkEnd w:id="0"/>
      <w:r w:rsidRPr="00CC4E68">
        <w:rPr>
          <w:rFonts w:ascii="Times New Roman" w:eastAsia="Times New Roman" w:hAnsi="Times New Roman" w:cs="Times New Roman" w:hint="eastAsia"/>
          <w:b/>
          <w:bCs/>
          <w:color w:val="000000" w:themeColor="text1"/>
          <w:kern w:val="44"/>
          <w:sz w:val="30"/>
          <w:szCs w:val="30"/>
          <w:lang w:eastAsia="de-DE"/>
        </w:rPr>
        <w:t xml:space="preserve"> </w:t>
      </w:r>
      <w:r w:rsidRPr="00CC4E68">
        <w:rPr>
          <w:rFonts w:ascii="Times New Roman" w:eastAsia="Times New Roman" w:hAnsi="Times New Roman" w:cs="Times New Roman" w:hint="eastAsia"/>
          <w:b/>
          <w:bCs/>
          <w:color w:val="000000" w:themeColor="text1"/>
          <w:kern w:val="44"/>
          <w:sz w:val="30"/>
          <w:szCs w:val="30"/>
          <w:lang w:eastAsia="de-DE"/>
        </w:rPr>
        <w:fldChar w:fldCharType="begin"/>
      </w:r>
      <w:r w:rsidRPr="00CC4E68">
        <w:rPr>
          <w:rFonts w:ascii="Times New Roman" w:eastAsia="Times New Roman" w:hAnsi="Times New Roman" w:cs="Times New Roman" w:hint="eastAsia"/>
          <w:b/>
          <w:bCs/>
          <w:color w:val="000000" w:themeColor="text1"/>
          <w:kern w:val="44"/>
          <w:sz w:val="30"/>
          <w:szCs w:val="30"/>
          <w:lang w:eastAsia="de-DE"/>
        </w:rPr>
        <w:instrText xml:space="preserve"> ADDIN NE.Bib</w:instrText>
      </w:r>
      <w:r w:rsidRPr="00CC4E68">
        <w:rPr>
          <w:rFonts w:ascii="Times New Roman" w:eastAsia="Times New Roman" w:hAnsi="Times New Roman" w:cs="Times New Roman" w:hint="eastAsia"/>
          <w:b/>
          <w:bCs/>
          <w:color w:val="000000" w:themeColor="text1"/>
          <w:kern w:val="44"/>
          <w:sz w:val="30"/>
          <w:szCs w:val="30"/>
          <w:lang w:eastAsia="de-DE"/>
        </w:rPr>
        <w:fldChar w:fldCharType="separate"/>
      </w:r>
    </w:p>
    <w:p w14:paraId="7CC1D027" w14:textId="77777777" w:rsidR="0059278A" w:rsidRPr="00CC4E68" w:rsidRDefault="0059278A" w:rsidP="0059278A">
      <w:pPr>
        <w:autoSpaceDE w:val="0"/>
        <w:autoSpaceDN w:val="0"/>
        <w:adjustRightInd w:val="0"/>
        <w:spacing w:before="260" w:after="260" w:line="480" w:lineRule="auto"/>
        <w:ind w:left="400" w:hanging="400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bookmarkStart w:id="1" w:name="_neb35C890D3_8AA3_4FB4_AB52_AEE8A11F66AA"/>
      <w:r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Breiman L, 2001. Random Forests</w:t>
      </w:r>
      <w:r w:rsidRPr="00CC4E68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 xml:space="preserve">. </w:t>
      </w:r>
      <w:r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Mach Learn. 45, 5-32. 10.1023/A:1010933404324.</w:t>
      </w:r>
      <w:bookmarkEnd w:id="1"/>
    </w:p>
    <w:p w14:paraId="325B6214" w14:textId="77777777" w:rsidR="0059278A" w:rsidRPr="00CC4E68" w:rsidRDefault="0059278A" w:rsidP="0059278A">
      <w:pPr>
        <w:autoSpaceDE w:val="0"/>
        <w:autoSpaceDN w:val="0"/>
        <w:adjustRightInd w:val="0"/>
        <w:spacing w:before="260" w:after="260" w:line="480" w:lineRule="auto"/>
        <w:ind w:left="400" w:hanging="400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bookmarkStart w:id="2" w:name="_neb67414644_D54F_46CB_B878_7A0ED1ABB271"/>
      <w:r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Chen T, Guestrin C (2016) Xgboost: A scalable tree boosting system. In. pp. 785--794. </w:t>
      </w:r>
      <w:bookmarkEnd w:id="2"/>
    </w:p>
    <w:p w14:paraId="76CE611E" w14:textId="77777777" w:rsidR="0059278A" w:rsidRPr="00CC4E68" w:rsidRDefault="0059278A" w:rsidP="0059278A">
      <w:pPr>
        <w:autoSpaceDE w:val="0"/>
        <w:autoSpaceDN w:val="0"/>
        <w:adjustRightInd w:val="0"/>
        <w:spacing w:before="260" w:after="260" w:line="480" w:lineRule="auto"/>
        <w:ind w:left="400" w:hanging="400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bookmarkStart w:id="3" w:name="_neb84680EE8_B404_40D6_8F01_065266764194"/>
      <w:r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Cortes C, Vapnik V, 1995. Support-vector networks</w:t>
      </w:r>
      <w:r w:rsidRPr="00CC4E68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 xml:space="preserve">. </w:t>
      </w:r>
      <w:r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Mach Learn. 20, 273-297. https://doi.org/10.1007/BF00994018.</w:t>
      </w:r>
      <w:bookmarkEnd w:id="3"/>
    </w:p>
    <w:p w14:paraId="6670C384" w14:textId="77777777" w:rsidR="0059278A" w:rsidRPr="00CC4E68" w:rsidRDefault="0059278A" w:rsidP="0059278A">
      <w:pPr>
        <w:autoSpaceDE w:val="0"/>
        <w:autoSpaceDN w:val="0"/>
        <w:adjustRightInd w:val="0"/>
        <w:spacing w:before="260" w:after="260" w:line="480" w:lineRule="auto"/>
        <w:ind w:left="400" w:hanging="400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bookmarkStart w:id="4" w:name="_neb6485E246_3EB4_4E1B_8FD0_36B65D649B62"/>
      <w:r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Cover T, Hart P, 1967. Nearest neighbor pattern classification</w:t>
      </w:r>
      <w:r w:rsidRPr="00CC4E68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 xml:space="preserve">. </w:t>
      </w:r>
      <w:r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Ieee T Inform Theory. 13, 21--27. https://doi.org/10.1109/TIT.1967.1053964.</w:t>
      </w:r>
      <w:bookmarkEnd w:id="4"/>
    </w:p>
    <w:p w14:paraId="0F099678" w14:textId="77777777" w:rsidR="0059278A" w:rsidRPr="00CC4E68" w:rsidRDefault="0059278A" w:rsidP="0059278A">
      <w:pPr>
        <w:autoSpaceDE w:val="0"/>
        <w:autoSpaceDN w:val="0"/>
        <w:adjustRightInd w:val="0"/>
        <w:spacing w:before="260" w:after="260" w:line="480" w:lineRule="auto"/>
        <w:ind w:left="400" w:hanging="400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bookmarkStart w:id="5" w:name="_neb99E6409F_E29D_4556_94B5_656F016C895B"/>
      <w:r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Friedman JH, 2001. Greedy function approximation: a gradient boosting machine</w:t>
      </w:r>
      <w:r w:rsidRPr="00CC4E68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 xml:space="preserve">. </w:t>
      </w:r>
      <w:r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Ann Stat., 1189--1232. http://www.jstor.org/stable/2699986.</w:t>
      </w:r>
      <w:bookmarkEnd w:id="5"/>
    </w:p>
    <w:p w14:paraId="7DDE2234" w14:textId="77777777" w:rsidR="0059278A" w:rsidRPr="00CC4E68" w:rsidRDefault="0059278A" w:rsidP="0059278A">
      <w:pPr>
        <w:autoSpaceDE w:val="0"/>
        <w:autoSpaceDN w:val="0"/>
        <w:adjustRightInd w:val="0"/>
        <w:spacing w:before="260" w:after="260" w:line="480" w:lineRule="auto"/>
        <w:ind w:left="400" w:hanging="400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bookmarkStart w:id="6" w:name="_nebBD7D53AB_A60D_4E69_A2BC_7B321566F50B"/>
      <w:r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Margineantu DD, Dietterich TG (1997) Pruning adaptive boosting. In. pp. 211--218. (Citeseer)</w:t>
      </w:r>
      <w:bookmarkEnd w:id="6"/>
    </w:p>
    <w:p w14:paraId="4DD30FF6" w14:textId="77777777" w:rsidR="0059278A" w:rsidRPr="00CC4E68" w:rsidRDefault="0059278A" w:rsidP="0059278A">
      <w:pPr>
        <w:autoSpaceDE w:val="0"/>
        <w:autoSpaceDN w:val="0"/>
        <w:adjustRightInd w:val="0"/>
        <w:spacing w:before="260" w:after="260" w:line="480" w:lineRule="auto"/>
        <w:ind w:left="400" w:hanging="400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bookmarkStart w:id="7" w:name="_nebDF635C12_D5C1_4817_9BD7_42E7098F5A4F"/>
      <w:r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Taud H, Mas J, 2018. Multilayer perceptron (MLP)</w:t>
      </w:r>
      <w:r w:rsidRPr="00CC4E68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</w:rPr>
        <w:t xml:space="preserve">. </w:t>
      </w:r>
      <w:r w:rsidRPr="00CC4E68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Geomatic Approaches for Modeling Land Change Scenarios., 451--455. https://doi.org/10.1007/978-3-319-60801-3_27.</w:t>
      </w:r>
      <w:bookmarkEnd w:id="7"/>
    </w:p>
    <w:p w14:paraId="46E3A122" w14:textId="5ADE28D4" w:rsidR="00040404" w:rsidRPr="00CC4E68" w:rsidRDefault="0059278A" w:rsidP="0059278A">
      <w:pPr>
        <w:rPr>
          <w:rFonts w:hint="eastAsia"/>
          <w:color w:val="000000" w:themeColor="text1"/>
        </w:rPr>
      </w:pPr>
      <w:r w:rsidRPr="00CC4E68">
        <w:rPr>
          <w:rFonts w:hint="eastAsia"/>
          <w:color w:val="000000" w:themeColor="text1"/>
        </w:rPr>
        <w:fldChar w:fldCharType="end"/>
      </w:r>
    </w:p>
    <w:sectPr w:rsidR="00040404" w:rsidRPr="00CC4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20DF" w14:textId="77777777" w:rsidR="00290935" w:rsidRDefault="00290935" w:rsidP="00370F6C">
      <w:pPr>
        <w:rPr>
          <w:rFonts w:hint="eastAsia"/>
        </w:rPr>
      </w:pPr>
      <w:r>
        <w:separator/>
      </w:r>
    </w:p>
  </w:endnote>
  <w:endnote w:type="continuationSeparator" w:id="0">
    <w:p w14:paraId="2B4B64A4" w14:textId="77777777" w:rsidR="00290935" w:rsidRDefault="00290935" w:rsidP="00370F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0448" w14:textId="77777777" w:rsidR="00370F6C" w:rsidRDefault="00370F6C">
    <w:pPr>
      <w:pStyle w:val="af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64A3F1" wp14:editId="30F24FA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sz w:val="24"/>
                            </w:rPr>
                            <w:id w:val="147473962"/>
                          </w:sdtPr>
                          <w:sdtContent>
                            <w:p w14:paraId="70F886ED" w14:textId="77777777" w:rsidR="00370F6C" w:rsidRDefault="00370F6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95D2318" w14:textId="77777777" w:rsidR="00370F6C" w:rsidRDefault="00370F6C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4A3F1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sdt>
                    <w:sdtPr>
                      <w:rPr>
                        <w:sz w:val="24"/>
                      </w:rPr>
                      <w:id w:val="147473962"/>
                    </w:sdtPr>
                    <w:sdtContent>
                      <w:p w14:paraId="70F886ED" w14:textId="77777777" w:rsidR="00370F6C" w:rsidRDefault="00370F6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95D2318" w14:textId="77777777" w:rsidR="00370F6C" w:rsidRDefault="00370F6C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3582269" w14:textId="77777777" w:rsidR="00370F6C" w:rsidRDefault="00370F6C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25E3" w14:textId="77777777" w:rsidR="00370F6C" w:rsidRDefault="00370F6C">
    <w:pPr>
      <w:pStyle w:val="af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6CAA7" wp14:editId="62F954B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sz w:val="24"/>
                            </w:rPr>
                            <w:id w:val="147464823"/>
                          </w:sdtPr>
                          <w:sdtContent>
                            <w:p w14:paraId="14C0EC87" w14:textId="77777777" w:rsidR="00370F6C" w:rsidRDefault="00370F6C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83EC5F1" w14:textId="77777777" w:rsidR="00370F6C" w:rsidRDefault="00370F6C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6CAA7"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" filled="f" stroked="f" strokeweight=".5pt">
              <v:textbox style="mso-fit-shape-to-text:t" inset="0,0,0,0">
                <w:txbxContent>
                  <w:sdt>
                    <w:sdtPr>
                      <w:rPr>
                        <w:sz w:val="24"/>
                      </w:rPr>
                      <w:id w:val="147464823"/>
                    </w:sdtPr>
                    <w:sdtContent>
                      <w:p w14:paraId="14C0EC87" w14:textId="77777777" w:rsidR="00370F6C" w:rsidRDefault="00370F6C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83EC5F1" w14:textId="77777777" w:rsidR="00370F6C" w:rsidRDefault="00370F6C">
                    <w:pPr>
                      <w:rPr>
                        <w:rFonts w:hint="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F4177C4" w14:textId="77777777" w:rsidR="00370F6C" w:rsidRDefault="00370F6C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1107D" w14:textId="77777777" w:rsidR="00290935" w:rsidRDefault="00290935" w:rsidP="00370F6C">
      <w:pPr>
        <w:rPr>
          <w:rFonts w:hint="eastAsia"/>
        </w:rPr>
      </w:pPr>
      <w:r>
        <w:separator/>
      </w:r>
    </w:p>
  </w:footnote>
  <w:footnote w:type="continuationSeparator" w:id="0">
    <w:p w14:paraId="222AAA13" w14:textId="77777777" w:rsidR="00290935" w:rsidRDefault="00290935" w:rsidP="00370F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ADDIN NE.CacheBib" w:val="{\rtf1\ansi\ansicpg936\pard\plain{\fonttbl{\f0\fnil\fcharset0\fprq2 Times New Roman;}}{\colortbl;\red0\green0\blue0;}\par\pard\plain \fi-400\li400\sl480\slmult1\sb260\sa260\qj{\bkmkstart _neb35C890D3_8AA3_4FB4_AB52_AEE8A11F66AA}{\f0\fs24\cf1 Breiman L}{\f0\fs24\cf1 , }{\f0\fs24\cf1 2001}{\f0\fs24\cf1 . }{\f0\fs24\cf1 Random Forests}{\f0\fs24\i\cf1 . }{\f0\fs24\cf1 Mach Learn}{\f0\fs24\cf1 . }{\f0\fs24\cf1 45}{\f0\fs24\cf1 , }{\f0\fs24\cf1 5-32}{\f0\fs24\cf1 .}{\f0\fs24\cf1  }{\f0\fs24\cf1 10.1023/A:1010933404324}{\f0\fs24\cf1 .}{\bkmkend _neb35C890D3_8AA3_4FB4_AB52_AEE8A11F66AA}\par\pard\plain \fi-400\li400\sl480\slmult1\sb260\sa260\qj{\bkmkstart _neb67414644_D54F_46CB_B878_7A0ED1ABB271}{\f0\fs24\cf1 Chen T}{\f0\fs24\cf1 , }{\f0\fs24\cf1 Guestrin C}{\f0\fs24\cf1  }{\f0\fs24\cf1 (}{\f0\fs24\cf1 2016}{\f0\fs24\cf1 ) }{\f0\fs24\cf1 Xgboost: A scalable tree boosting system}{\f0\fs24\cf1 . In}{\f0\fs24\cf1 .}{\f0\fs24\cf1  pp. }{\f0\fs24\cf1 785--794}{\f0\fs24\cf1 . }{\bkmkend _neb67414644_D54F_46CB_B878_7A0ED1ABB271}\par\pard\plain \fi-400\li400\sl480\slmult1\sb260\sa260\qj{\bkmkstart _neb84680EE8_B404_40D6_8F01_065266764194}{\f0\fs24\cf1 Cortes C}{\f0\fs24\cf1 , }{\f0\fs24\cf1 Vapnik V}{\f0\fs24\cf1 , }{\f0\fs24\cf1 1995}{\f0\fs24\cf1 . }{\f0\fs24\cf1 Support-vector networks}{\f0\fs24\i\cf1 . }{\f0\fs24\cf1 Mach Learn}{\f0\fs24\cf1 . }{\f0\fs24\cf1 20}{\f0\fs24\cf1 , }{\f0\fs24\cf1 273-297}{\f0\fs24\cf1 .}{\f0\fs24\cf1  }{\f0\fs24\cf1 https://doi.org/10.1007/BF00994018}{\f0\fs24\cf1 .}{\bkmkend _neb84680EE8_B404_40D6_8F01_065266764194}\par\pard\plain \fi-400\li400\sl480\slmult1\sb260\sa260\qj{\bkmkstart _neb6485E246_3EB4_4E1B_8FD0_36B65D649B62}{\f0\fs24\cf1 Cover T}{\f0\fs24\cf1 , }{\f0\fs24\cf1 Hart P}{\f0\fs24\cf1 , }{\f0\fs24\cf1 1967}{\f0\fs24\cf1 . }{\f0\fs24\cf1 Nearest neighbor pattern classification}{\f0\fs24\i\cf1 . }{\f0\fs24\cf1 Ieee T Inform Theory}{\f0\fs24\cf1 . }{\f0\fs24\cf1 13}{\f0\fs24\cf1 , }{\f0\fs24\cf1 21--27}{\f0\fs24\cf1 .}{\f0\fs24\cf1  }{\f0\fs24\cf1 https://doi.org/10.1109/TIT.1967.1053964}{\f0\fs24\cf1 .}{\bkmkend _neb6485E246_3EB4_4E1B_8FD0_36B65D649B62}\par\pard\plain \fi-400\li400\sl480\slmult1\sb260\sa260\qj{\bkmkstart _neb99E6409F_E29D_4556_94B5_656F016C895B}{\f0\fs24\cf1 Friedman JH}{\f0\fs24\cf1 , }{\f0\fs24\cf1 2001}{\f0\fs24\cf1 . }{\f0\fs24\cf1 Greedy function approximation: a gradient boosting machine}{\f0\fs24\i\cf1 . }{\f0\fs24\cf1 Ann Stat}{\f0\fs24\cf1 .}{\f0\fs24\cf1 , }{\f0\fs24\cf1 1189--1232}{\f0\fs24\cf1 .}{\f0\fs24\cf1  }{\f0\fs24\cf1 http://www.jstor.org/stable/2699986}{\f0\fs24\cf1 .}{\bkmkend _neb99E6409F_E29D_4556_94B5_656F016C895B}\par\pard\plain \fi-400\li400\sl480\slmult1\sb260\sa260\qj{\bkmkstart _nebBD7D53AB_A60D_4E69_A2BC_7B321566F50B}{\f0\fs24\cf1 Margineantu DD}{\f0\fs24\cf1 , }{\f0\fs24\cf1 Dietterich TG}{\f0\fs24\cf1  }{\f0\fs24\cf1 (}{\f0\fs24\cf1 1997}{\f0\fs24\cf1 ) }{\f0\fs24\cf1 Pruning adaptive boosting}{\f0\fs24\cf1 . In}{\f0\fs24\cf1 .}{\f0\fs24\cf1  pp. }{\f0\fs24\cf1 211--218}{\f0\fs24\cf1 . (}{\f0\fs24\cf1 Citeseer}{\f0\fs24\cf1 )}{\bkmkend _nebBD7D53AB_A60D_4E69_A2BC_7B321566F50B}\par\pard\plain \fi-400\li400\sl480\slmult1\sb260\sa260\qj{\bkmkstart _nebDF635C12_D5C1_4817_9BD7_42E7098F5A4F}{\f0\fs24\cf1 Taud H}{\f0\fs24\cf1 , }{\f0\fs24\cf1 Mas J}{\f0\fs24\cf1 , }{\f0\fs24\cf1 2018}{\f0\fs24\cf1 . }{\f0\fs24\cf1 Multilayer perceptron (MLP)}{\f0\fs24\i\cf1 . }{\f0\fs24\cf1 Geomatic Approaches for Modeling Land Change Scenarios}{\f0\fs24\cf1 .}{\f0\fs24\cf1 , }{\f0\fs24\cf1 451--455}{\f0\fs24\cf1 .}{\f0\fs24\cf1  }{\f0\fs24\cf1 https://doi.org/10.1007/978-3-319-60801-3_27}{\f0\fs24\cf1 .}{\bkmkend _nebDF635C12_D5C1_4817_9BD7_42E7098F5A4F}\par\pard\plain \fi-400\li400\sl480\slmult1\sb260\sa260\qj}"/>
    <w:docVar w:name=" ADDIN NE.CacheRef.{2DA486BC-312F-4390-87A2-44694D3E44E4}" w:val="{\rtf1\ansi\ansicpg936\pard\plain{\fonttbl{\f0\fnil\fcharset0\fprq2 Times New Roman;}}{\colortbl;\red8\green0\blue0;}{\f0\fs24\cf1 (}{\f0\fs24\cf1 Taud}{\f0\fs24\cf1  and }{\f0\fs24\cf1 Mas}{\f0\fs24\cf1  }{\f0\fs24\cf1 2018}{\f0\fs24\cf1 )}}"/>
    <w:docVar w:name=" ADDIN NE.CacheRef.{2EAB1096-5C8B-47C3-8682-5E118749D298}" w:val="{\rtf1\ansi\ansicpg936\pard\plain{\fonttbl{\f0\fnil\fcharset0\fprq2 Times New Roman;}}{\colortbl;\red8\green0\blue0;}{\f0\fs24\cf1 (}{\f0\fs24\cf1 Friedman}{\f0\fs24\cf1  }{\f0\fs24\cf1 2001}{\f0\fs24\cf1 )}}"/>
    <w:docVar w:name=" ADDIN NE.CacheRef.{6ADFD3B7-16E8-4121-8831-AF8240482238}" w:val="{\rtf1\ansi\ansicpg936\pard\plain{\fonttbl{\f0\fnil\fcharset0\fprq2 Times New Roman;}}{\colortbl;\red8\green0\blue0;}{\f0\fs24\cf1 (}{\f0\fs24\cf1 Breiman}{\f0\fs24\cf1  }{\f0\fs24\cf1 2001}{\f0\fs24\cf1 )}}"/>
    <w:docVar w:name=" ADDIN NE.CacheRef.{932D9E12-5348-4193-AB29-7451DE2FDE48}" w:val="{\rtf1\ansi\ansicpg936\pard\plain{\fonttbl{\f0\fnil\fcharset0\fprq2 Times New Roman;}}{\colortbl;\red8\green0\blue0;}{\f0\fs24\cf1 (}{\f0\fs24\cf1 Margineantu}{\f0\fs24\cf1  and }{\f0\fs24\cf1 Dietterich}{\f0\fs24\cf1  }{\f0\fs24\cf1 1997}{\f0\fs24\cf1 )}}"/>
    <w:docVar w:name=" ADDIN NE.CacheRef.{9C2CBE99-B611-47A3-AD75-28554F44B8BC}" w:val="{\rtf1\ansi\ansicpg936\pard\plain{\fonttbl{\f0\fnil\fcharset0\fprq2 Times New Roman;}}{\colortbl;\red8\green0\blue0;}{\f0\fs24\cf1 (}{\f0\fs24\cf1 Cover}{\f0\fs24\cf1  and }{\f0\fs24\cf1 Hart}{\f0\fs24\cf1  }{\f0\fs24\cf1 1967}{\f0\fs24\cf1 )}}"/>
    <w:docVar w:name=" ADDIN NE.CacheRef.{C830D708-2B2C-41E9-9851-FBCA45503FEC}" w:val="{\rtf1\ansi\ansicpg936\pard\plain{\fonttbl{\f0\fnil\fcharset0\fprq2 Times New Roman;}}{\colortbl;\red8\green0\blue0;}{\f0\fs24\cf1 (}{\f0\fs24\cf1 Chen}{\f0\fs24\cf1  and }{\f0\fs24\cf1 Guestrin}{\f0\fs24\cf1  }{\f0\fs24\cf1 2016}{\f0\fs24\cf1 )}}"/>
    <w:docVar w:name=" ADDIN NE.CacheRef.{DF1D241A-1B6E-4A48-9B86-09B125AFE3E2}" w:val="{\rtf1\ansi\ansicpg936\pard\plain{\fonttbl{\f0\fnil\fcharset0\fprq2 Times New Roman;}}{\colortbl;\red8\green0\blue0;}{\f0\fs24\cf1 (}{\f0\fs24\cf1 Cortes}{\f0\fs24\cf1  and }{\f0\fs24\cf1 Vapnik}{\f0\fs24\cf1  }{\f0\fs24\cf1 1995}{\f0\fs24\cf1 )}}"/>
    <w:docVar w:name="NE.Ref{2DA486BC-312F-4390-87A2-44694D3E44E4}" w:val=" ADDIN NE.Ref.{2DA486BC-312F-4390-87A2-44694D3E44E4}&lt;Citation&gt;&lt;Group&gt;&lt;References&gt;&lt;Item&gt;&lt;ID&gt;2079&lt;/ID&gt;&lt;UID&gt;{DF635C12-D5C1-4817-9BD7-42E7098F5A4F}&lt;/UID&gt;&lt;Title&gt;Multilayer perceptron (MLP)&lt;/Title&gt;&lt;Template&gt;Journal Article&lt;/Template&gt;&lt;Star&gt;0&lt;/Star&gt;&lt;Tag&gt;0&lt;/Tag&gt;&lt;Author&gt;Taud, Hind; Mas, Jean-Franccois&lt;/Author&gt;&lt;Year&gt;2018&lt;/Year&gt;&lt;Details&gt;&lt;_created&gt;65427419&lt;/_created&gt;&lt;_doi&gt;https://doi.org/10.1007/978-3-319-60801-3_27&lt;/_doi&gt;&lt;_journal&gt;Geomatic approaches for modeling land change scenarios&lt;/_journal&gt;&lt;_modified&gt;65866603&lt;/_modified&gt;&lt;_pages&gt;451--455&lt;/_pages&gt;&lt;_language&gt;English&lt;/_language&gt;&lt;/Details&gt;&lt;Extra&gt;&lt;DBUID&gt;{7E4F8DA7-F112-4D6F-95DE-A714087F44A8}&lt;/DBUID&gt;&lt;/Extra&gt;&lt;/Item&gt;&lt;/References&gt;&lt;/Group&gt;&lt;/Citation&gt;_x000a_"/>
    <w:docVar w:name="NE.Ref{2EAB1096-5C8B-47C3-8682-5E118749D298}" w:val=" ADDIN NE.Ref.{2EAB1096-5C8B-47C3-8682-5E118749D298}&lt;Citation&gt;&lt;Group&gt;&lt;References&gt;&lt;Item&gt;&lt;ID&gt;2076&lt;/ID&gt;&lt;UID&gt;{99E6409F-E29D-4556-94B5-656F016C895B}&lt;/UID&gt;&lt;Title&gt;Greedy function approximation: a gradient boosting machine&lt;/Title&gt;&lt;Template&gt;Journal Article&lt;/Template&gt;&lt;Star&gt;0&lt;/Star&gt;&lt;Tag&gt;0&lt;/Tag&gt;&lt;Author&gt;Friedman, Jerome H&lt;/Author&gt;&lt;Year&gt;2001&lt;/Year&gt;&lt;Details&gt;&lt;_collection_scope&gt;SCIE&lt;/_collection_scope&gt;&lt;_created&gt;65427416&lt;/_created&gt;&lt;_doi&gt;http://www.jstor.org/stable/2699986&lt;/_doi&gt;&lt;_impact_factor&gt;   3.200&lt;/_impact_factor&gt;&lt;_journal&gt;Annals of statistics&lt;/_journal&gt;&lt;_modified&gt;65866589&lt;/_modified&gt;&lt;_pages&gt;1189--1232&lt;/_pages&gt;&lt;_social_category&gt;数学(1)&lt;/_social_category&gt;&lt;_language&gt;English&lt;/_language&gt;&lt;/Details&gt;&lt;Extra&gt;&lt;DBUID&gt;{7E4F8DA7-F112-4D6F-95DE-A714087F44A8}&lt;/DBUID&gt;&lt;/Extra&gt;&lt;/Item&gt;&lt;/References&gt;&lt;/Group&gt;&lt;/Citation&gt;_x000a_"/>
    <w:docVar w:name="NE.Ref{6ADFD3B7-16E8-4121-8831-AF8240482238}" w:val=" ADDIN NE.Ref.{6ADFD3B7-16E8-4121-8831-AF8240482238}&lt;Citation&gt;&lt;Group&gt;&lt;References&gt;&lt;Item&gt;&lt;ID&gt;2072&lt;/ID&gt;&lt;UID&gt;{35C890D3-8AA3-4FB4-AB52-AEE8A11F66AA}&lt;/UID&gt;&lt;Title&gt;Random Forests&lt;/Title&gt;&lt;Template&gt;Journal Article&lt;/Template&gt;&lt;Star&gt;0&lt;/Star&gt;&lt;Tag&gt;0&lt;/Tag&gt;&lt;Author&gt;Breiman, Leo&lt;/Author&gt;&lt;Year&gt;2001&lt;/Year&gt;&lt;Details&gt;&lt;_alternate_title&gt;Machine Learning&lt;/_alternate_title&gt;&lt;_collection_scope&gt;SCIE;EI&lt;/_collection_scope&gt;&lt;_created&gt;65427411&lt;/_created&gt;&lt;_date&gt;2001-01-01&lt;/_date&gt;&lt;_date_display&gt;2001&lt;/_date_display&gt;&lt;_doi&gt;10.1023/A:1010933404324&lt;/_doi&gt;&lt;_impact_factor&gt;   5.414&lt;/_impact_factor&gt;&lt;_isbn&gt;1573-0565&lt;/_isbn&gt;&lt;_issue&gt;1&lt;/_issue&gt;&lt;_journal&gt;Machine Learning&lt;/_journal&gt;&lt;_modified&gt;65427411&lt;/_modified&gt;&lt;_number&gt;Breiman2001&lt;/_number&gt;&lt;_pages&gt;5-32&lt;/_pages&gt;&lt;_social_category&gt;计算机科学(3)&lt;/_social_category&gt;&lt;_url&gt;https://doi.org/10.1023/A:1010933404324&lt;/_url&gt;&lt;_volume&gt;45&lt;/_volume&gt;&lt;_language&gt;English&lt;/_language&gt;&lt;/Details&gt;&lt;Extra&gt;&lt;DBUID&gt;{7E4F8DA7-F112-4D6F-95DE-A714087F44A8}&lt;/DBUID&gt;&lt;/Extra&gt;&lt;/Item&gt;&lt;/References&gt;&lt;/Group&gt;&lt;/Citation&gt;_x000a_"/>
    <w:docVar w:name="NE.Ref{932D9E12-5348-4193-AB29-7451DE2FDE48}" w:val=" ADDIN NE.Ref.{932D9E12-5348-4193-AB29-7451DE2FDE48}&lt;Citation&gt;&lt;Group&gt;&lt;References&gt;&lt;Item&gt;&lt;ID&gt;2254&lt;/ID&gt;&lt;UID&gt;{BD7D53AB-A60D-4E69-A2BC-7B321566F50B}&lt;/UID&gt;&lt;Title&gt;Pruning adaptive boosting&lt;/Title&gt;&lt;Template&gt;Conference Paper&lt;/Template&gt;&lt;Star&gt;0&lt;/Star&gt;&lt;Tag&gt;0&lt;/Tag&gt;&lt;Author&gt;Margineantu, Dragos D; Dietterich, Thomas G&lt;/Author&gt;&lt;Year&gt;1997&lt;/Year&gt;&lt;Details&gt;&lt;_created&gt;65893969&lt;/_created&gt;&lt;_modified&gt;65893969&lt;/_modified&gt;&lt;_pages&gt;211--218&lt;/_pages&gt;&lt;_publisher&gt;Citeseer&lt;/_publisher&gt;&lt;_tertiary_title&gt;ICML&lt;/_tertiary_title&gt;&lt;_language&gt;English&lt;/_language&gt;&lt;/Details&gt;&lt;Extra&gt;&lt;DBUID&gt;{7E4F8DA7-F112-4D6F-95DE-A714087F44A8}&lt;/DBUID&gt;&lt;/Extra&gt;&lt;/Item&gt;&lt;/References&gt;&lt;/Group&gt;&lt;/Citation&gt;_x000a_"/>
    <w:docVar w:name="NE.Ref{9C2CBE99-B611-47A3-AD75-28554F44B8BC}" w:val=" ADDIN NE.Ref.{9C2CBE99-B611-47A3-AD75-28554F44B8BC}&lt;Citation&gt;&lt;Group&gt;&lt;References&gt;&lt;Item&gt;&lt;ID&gt;2078&lt;/ID&gt;&lt;UID&gt;{6485E246-3EB4-4E1B-8FD0-36B65D649B62}&lt;/UID&gt;&lt;Title&gt;Nearest neighbor pattern classification&lt;/Title&gt;&lt;Template&gt;Journal Article&lt;/Template&gt;&lt;Star&gt;0&lt;/Star&gt;&lt;Tag&gt;0&lt;/Tag&gt;&lt;Author&gt;Cover, Thomas; Hart, Peter&lt;/Author&gt;&lt;Year&gt;1967&lt;/Year&gt;&lt;Details&gt;&lt;_collection_scope&gt;SCIE;EI&lt;/_collection_scope&gt;&lt;_created&gt;65427418&lt;/_created&gt;&lt;_doi&gt;https://doi.org/10.1109/TIT.1967.1053964&lt;/_doi&gt;&lt;_impact_factor&gt;   2.200&lt;/_impact_factor&gt;&lt;_issue&gt;1&lt;/_issue&gt;&lt;_journal&gt;IEEE transactions on information theory&lt;/_journal&gt;&lt;_modified&gt;65866584&lt;/_modified&gt;&lt;_pages&gt;21--27&lt;/_pages&gt;&lt;_social_category&gt;计算机科学(3)&lt;/_social_category&gt;&lt;_volume&gt;13&lt;/_volume&gt;&lt;_language&gt;English&lt;/_language&gt;&lt;/Details&gt;&lt;Extra&gt;&lt;DBUID&gt;{7E4F8DA7-F112-4D6F-95DE-A714087F44A8}&lt;/DBUID&gt;&lt;/Extra&gt;&lt;/Item&gt;&lt;/References&gt;&lt;/Group&gt;&lt;/Citation&gt;_x000a_"/>
    <w:docVar w:name="NE.Ref{C830D708-2B2C-41E9-9851-FBCA45503FEC}" w:val=" ADDIN NE.Ref.{C830D708-2B2C-41E9-9851-FBCA45503FEC}&lt;Citation&gt;&lt;Group&gt;&lt;References&gt;&lt;Item&gt;&lt;ID&gt;2077&lt;/ID&gt;&lt;UID&gt;{67414644-D54F-46CB-B878-7A0ED1ABB271}&lt;/UID&gt;&lt;Title&gt;Xgboost: A scalable tree boosting system&lt;/Title&gt;&lt;Template&gt;Conference Paper&lt;/Template&gt;&lt;Star&gt;0&lt;/Star&gt;&lt;Tag&gt;0&lt;/Tag&gt;&lt;Author&gt;Chen, Tianqi; Guestrin, Carlos&lt;/Author&gt;&lt;Year&gt;2016&lt;/Year&gt;&lt;Details&gt;&lt;_created&gt;65427417&lt;/_created&gt;&lt;_modified&gt;65427417&lt;/_modified&gt;&lt;_pages&gt;785--794&lt;/_pages&gt;&lt;_tertiary_title&gt;Proceedings of the 22nd acm sigkdd international conference on knowledge discovery and data mining&lt;/_tertiary_title&gt;&lt;_language&gt;English&lt;/_language&gt;&lt;/Details&gt;&lt;Extra&gt;&lt;DBUID&gt;{7E4F8DA7-F112-4D6F-95DE-A714087F44A8}&lt;/DBUID&gt;&lt;/Extra&gt;&lt;/Item&gt;&lt;/References&gt;&lt;/Group&gt;&lt;/Citation&gt;_x000a_"/>
    <w:docVar w:name="NE.Ref{DF1D241A-1B6E-4A48-9B86-09B125AFE3E2}" w:val=" ADDIN NE.Ref.{DF1D241A-1B6E-4A48-9B86-09B125AFE3E2}&lt;Citation&gt;&lt;Group&gt;&lt;References&gt;&lt;Item&gt;&lt;ID&gt;2074&lt;/ID&gt;&lt;UID&gt;{84680EE8-B404-40D6-8F01-065266764194}&lt;/UID&gt;&lt;Title&gt;Support-vector networks&lt;/Title&gt;&lt;Template&gt;Journal Article&lt;/Template&gt;&lt;Star&gt;0&lt;/Star&gt;&lt;Tag&gt;0&lt;/Tag&gt;&lt;Author&gt;Cortes, Corinna; Vapnik, Vladimir&lt;/Author&gt;&lt;Year&gt;1995&lt;/Year&gt;&lt;Details&gt;&lt;_alternate_title&gt;Machine Learning&lt;/_alternate_title&gt;&lt;_collection_scope&gt;SCIE;EI&lt;/_collection_scope&gt;&lt;_created&gt;65427415&lt;/_created&gt;&lt;_date&gt;1995-01-01&lt;/_date&gt;&lt;_date_display&gt;1995&lt;/_date_display&gt;&lt;_doi&gt;https://doi.org/10.1007/BF00994018&lt;/_doi&gt;&lt;_impact_factor&gt;   4.300&lt;/_impact_factor&gt;&lt;_isbn&gt;1573-0565&lt;/_isbn&gt;&lt;_issue&gt;3&lt;/_issue&gt;&lt;_journal&gt;Machine Learning&lt;/_journal&gt;&lt;_modified&gt;65866586&lt;/_modified&gt;&lt;_number&gt;Cortes1995&lt;/_number&gt;&lt;_pages&gt;273-297&lt;/_pages&gt;&lt;_social_category&gt;计算机科学(3)&lt;/_social_category&gt;&lt;_url&gt;https://doi.org/10.1007/BF00994018&lt;/_url&gt;&lt;_volume&gt;20&lt;/_volume&gt;&lt;_language&gt;English&lt;/_language&gt;&lt;/Details&gt;&lt;Extra&gt;&lt;DBUID&gt;{7E4F8DA7-F112-4D6F-95DE-A714087F44A8}&lt;/DBUID&gt;&lt;/Extra&gt;&lt;/Item&gt;&lt;/References&gt;&lt;/Group&gt;&lt;/Citation&gt;_x000a_"/>
    <w:docVar w:name="ne_build" w:val="16.0.19231"/>
    <w:docVar w:name="ne_os" w:val="Mircrosoft"/>
    <w:docVar w:name="ne_platform" w:val="Word"/>
    <w:docVar w:name="ne_stylename" w:val="Remote Sensing of Environment"/>
  </w:docVars>
  <w:rsids>
    <w:rsidRoot w:val="00A97225"/>
    <w:rsid w:val="00015074"/>
    <w:rsid w:val="00040404"/>
    <w:rsid w:val="000F0D66"/>
    <w:rsid w:val="00104BB6"/>
    <w:rsid w:val="001253AE"/>
    <w:rsid w:val="002137A7"/>
    <w:rsid w:val="00270CB8"/>
    <w:rsid w:val="002730B9"/>
    <w:rsid w:val="00273F6F"/>
    <w:rsid w:val="00287F60"/>
    <w:rsid w:val="00290908"/>
    <w:rsid w:val="00290935"/>
    <w:rsid w:val="00310056"/>
    <w:rsid w:val="003158E4"/>
    <w:rsid w:val="0035428C"/>
    <w:rsid w:val="00370F6C"/>
    <w:rsid w:val="003939FF"/>
    <w:rsid w:val="003C56E9"/>
    <w:rsid w:val="00414DE2"/>
    <w:rsid w:val="00423EB0"/>
    <w:rsid w:val="00437362"/>
    <w:rsid w:val="004675CF"/>
    <w:rsid w:val="00470276"/>
    <w:rsid w:val="004D6DEE"/>
    <w:rsid w:val="004F4B1E"/>
    <w:rsid w:val="005406B7"/>
    <w:rsid w:val="00555DFC"/>
    <w:rsid w:val="0059278A"/>
    <w:rsid w:val="005968C1"/>
    <w:rsid w:val="005C163A"/>
    <w:rsid w:val="005C4618"/>
    <w:rsid w:val="0060195D"/>
    <w:rsid w:val="00612A8A"/>
    <w:rsid w:val="00631C32"/>
    <w:rsid w:val="00647401"/>
    <w:rsid w:val="00647817"/>
    <w:rsid w:val="00692505"/>
    <w:rsid w:val="006B156B"/>
    <w:rsid w:val="006D3C27"/>
    <w:rsid w:val="00750176"/>
    <w:rsid w:val="00766E1C"/>
    <w:rsid w:val="007E06D6"/>
    <w:rsid w:val="00834EE7"/>
    <w:rsid w:val="0089238F"/>
    <w:rsid w:val="0094676C"/>
    <w:rsid w:val="009D443B"/>
    <w:rsid w:val="009E2694"/>
    <w:rsid w:val="009E5EA6"/>
    <w:rsid w:val="00A97225"/>
    <w:rsid w:val="00AE5021"/>
    <w:rsid w:val="00B602DE"/>
    <w:rsid w:val="00B67C89"/>
    <w:rsid w:val="00B8133A"/>
    <w:rsid w:val="00BA0AF3"/>
    <w:rsid w:val="00CA090B"/>
    <w:rsid w:val="00CB409C"/>
    <w:rsid w:val="00CC4E68"/>
    <w:rsid w:val="00CE4E18"/>
    <w:rsid w:val="00D01016"/>
    <w:rsid w:val="00D04D52"/>
    <w:rsid w:val="00D619C1"/>
    <w:rsid w:val="00D659D1"/>
    <w:rsid w:val="00D7428D"/>
    <w:rsid w:val="00D8482C"/>
    <w:rsid w:val="00D92502"/>
    <w:rsid w:val="00DC0C89"/>
    <w:rsid w:val="00E24ED8"/>
    <w:rsid w:val="00E547B5"/>
    <w:rsid w:val="00E605E1"/>
    <w:rsid w:val="00EA6C35"/>
    <w:rsid w:val="00EB21A9"/>
    <w:rsid w:val="00EB612C"/>
    <w:rsid w:val="00EF6FAF"/>
    <w:rsid w:val="00F1180A"/>
    <w:rsid w:val="00FB4254"/>
    <w:rsid w:val="00FC2238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F4E528"/>
  <w15:chartTrackingRefBased/>
  <w15:docId w15:val="{28B9CE93-85AE-4E1D-9BD4-DB9C88DE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7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9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22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2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2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2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22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97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2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2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2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22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0F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70F6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0F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70F6C"/>
    <w:rPr>
      <w:sz w:val="18"/>
      <w:szCs w:val="18"/>
    </w:rPr>
  </w:style>
  <w:style w:type="table" w:styleId="af2">
    <w:name w:val="Table Grid"/>
    <w:basedOn w:val="a1"/>
    <w:qFormat/>
    <w:rsid w:val="00370F6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line number"/>
    <w:basedOn w:val="a0"/>
    <w:uiPriority w:val="99"/>
    <w:semiHidden/>
    <w:unhideWhenUsed/>
    <w:rsid w:val="0037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1778</Words>
  <Characters>11616</Characters>
  <Application>Microsoft Office Word</Application>
  <DocSecurity>0</DocSecurity>
  <Lines>505</Lines>
  <Paragraphs>334</Paragraphs>
  <ScaleCrop>false</ScaleCrop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一钊 魏</dc:creator>
  <cp:keywords/>
  <dc:description>NE.Bib</dc:description>
  <cp:lastModifiedBy>一钊 魏</cp:lastModifiedBy>
  <cp:revision>50</cp:revision>
  <dcterms:created xsi:type="dcterms:W3CDTF">2025-10-14T04:27:00Z</dcterms:created>
  <dcterms:modified xsi:type="dcterms:W3CDTF">2025-10-24T05:38:00Z</dcterms:modified>
</cp:coreProperties>
</file>