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C79D" w14:textId="193A025B" w:rsidR="00A06BB5" w:rsidRPr="00752072" w:rsidRDefault="00A06BB5" w:rsidP="00A06BB5">
      <w:pPr>
        <w:spacing w:after="0"/>
        <w:jc w:val="both"/>
        <w:rPr>
          <w:rFonts w:ascii="Palatino Linotype" w:hAnsi="Palatino Linotype"/>
          <w:b/>
          <w:bCs/>
          <w:color w:val="000000" w:themeColor="text1"/>
        </w:rPr>
      </w:pPr>
      <w:r>
        <w:rPr>
          <w:rFonts w:ascii="Palatino Linotype" w:hAnsi="Palatino Linotype"/>
          <w:b/>
          <w:bCs/>
          <w:color w:val="000000" w:themeColor="text1"/>
        </w:rPr>
        <w:t xml:space="preserve">Supplementary </w:t>
      </w:r>
      <w:r w:rsidRPr="00752072">
        <w:rPr>
          <w:rFonts w:ascii="Palatino Linotype" w:hAnsi="Palatino Linotype"/>
          <w:b/>
          <w:bCs/>
          <w:color w:val="000000" w:themeColor="text1"/>
        </w:rPr>
        <w:t>Table 3</w:t>
      </w:r>
      <w:r>
        <w:rPr>
          <w:rFonts w:ascii="Palatino Linotype" w:hAnsi="Palatino Linotype"/>
          <w:b/>
          <w:bCs/>
          <w:color w:val="000000" w:themeColor="text1"/>
        </w:rPr>
        <w:t xml:space="preserve"> </w:t>
      </w:r>
      <w:r w:rsidRPr="00752072">
        <w:rPr>
          <w:rFonts w:ascii="Palatino Linotype" w:hAnsi="Palatino Linotype"/>
          <w:color w:val="000000" w:themeColor="text1"/>
        </w:rPr>
        <w:t xml:space="preserve">Toxicity profile of </w:t>
      </w:r>
      <w:proofErr w:type="spellStart"/>
      <w:r w:rsidRPr="00752072">
        <w:rPr>
          <w:rFonts w:ascii="Palatino Linotype" w:hAnsi="Palatino Linotype"/>
          <w:color w:val="000000" w:themeColor="text1"/>
        </w:rPr>
        <w:t>Fisetin</w:t>
      </w:r>
      <w:proofErr w:type="spellEnd"/>
      <w:r w:rsidRPr="00752072">
        <w:rPr>
          <w:rFonts w:ascii="Palatino Linotype" w:hAnsi="Palatino Linotype"/>
          <w:color w:val="000000" w:themeColor="text1"/>
        </w:rPr>
        <w:t>.</w:t>
      </w:r>
    </w:p>
    <w:tbl>
      <w:tblPr>
        <w:tblStyle w:val="Style2"/>
        <w:tblW w:w="935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4249"/>
        <w:gridCol w:w="1277"/>
        <w:gridCol w:w="1380"/>
      </w:tblGrid>
      <w:tr w:rsidR="00A06BB5" w:rsidRPr="00752072" w14:paraId="26D228E3" w14:textId="77777777" w:rsidTr="00647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4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  <w:hideMark/>
          </w:tcPr>
          <w:p w14:paraId="42F7BB1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Classification</w:t>
            </w:r>
          </w:p>
        </w:tc>
        <w:tc>
          <w:tcPr>
            <w:tcW w:w="43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  <w:hideMark/>
          </w:tcPr>
          <w:p w14:paraId="34D107F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Target</w:t>
            </w:r>
          </w:p>
        </w:tc>
        <w:tc>
          <w:tcPr>
            <w:tcW w:w="12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  <w:hideMark/>
          </w:tcPr>
          <w:p w14:paraId="522A974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Prediction</w:t>
            </w:r>
          </w:p>
        </w:tc>
        <w:tc>
          <w:tcPr>
            <w:tcW w:w="13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  <w:hideMark/>
          </w:tcPr>
          <w:p w14:paraId="46FB03E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Probability</w:t>
            </w:r>
          </w:p>
        </w:tc>
      </w:tr>
      <w:tr w:rsidR="00A06BB5" w:rsidRPr="00752072" w14:paraId="39BF3128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777501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Organ toxicity</w:t>
            </w:r>
          </w:p>
        </w:tc>
        <w:tc>
          <w:tcPr>
            <w:tcW w:w="4300" w:type="dxa"/>
            <w:noWrap/>
            <w:hideMark/>
          </w:tcPr>
          <w:p w14:paraId="6749B64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Hepatotoxicity</w:t>
            </w:r>
          </w:p>
        </w:tc>
        <w:tc>
          <w:tcPr>
            <w:tcW w:w="1260" w:type="dxa"/>
            <w:noWrap/>
            <w:hideMark/>
          </w:tcPr>
          <w:p w14:paraId="11E3067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4D7C6F1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0.69</w:t>
            </w:r>
          </w:p>
        </w:tc>
      </w:tr>
      <w:tr w:rsidR="00A06BB5" w:rsidRPr="00752072" w14:paraId="0E2595EF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76CD96E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Organ toxicity</w:t>
            </w:r>
          </w:p>
        </w:tc>
        <w:tc>
          <w:tcPr>
            <w:tcW w:w="4300" w:type="dxa"/>
            <w:noWrap/>
            <w:hideMark/>
          </w:tcPr>
          <w:p w14:paraId="4823382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Neurotoxicity</w:t>
            </w:r>
          </w:p>
        </w:tc>
        <w:tc>
          <w:tcPr>
            <w:tcW w:w="1260" w:type="dxa"/>
            <w:noWrap/>
            <w:hideMark/>
          </w:tcPr>
          <w:p w14:paraId="0A2DB2A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162B173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0.87</w:t>
            </w:r>
          </w:p>
        </w:tc>
      </w:tr>
      <w:tr w:rsidR="00A06BB5" w:rsidRPr="00752072" w14:paraId="5668013B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2F5B13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Organ toxicity</w:t>
            </w:r>
          </w:p>
        </w:tc>
        <w:tc>
          <w:tcPr>
            <w:tcW w:w="4300" w:type="dxa"/>
            <w:noWrap/>
            <w:hideMark/>
          </w:tcPr>
          <w:p w14:paraId="369C581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Nephrotoxicity</w:t>
            </w:r>
          </w:p>
        </w:tc>
        <w:tc>
          <w:tcPr>
            <w:tcW w:w="1260" w:type="dxa"/>
            <w:noWrap/>
            <w:hideMark/>
          </w:tcPr>
          <w:p w14:paraId="26EBF3F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44FA6E5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0.90</w:t>
            </w:r>
          </w:p>
        </w:tc>
      </w:tr>
      <w:tr w:rsidR="00A06BB5" w:rsidRPr="00752072" w14:paraId="08C8C2DE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F04176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Organ toxicity</w:t>
            </w:r>
          </w:p>
        </w:tc>
        <w:tc>
          <w:tcPr>
            <w:tcW w:w="4300" w:type="dxa"/>
            <w:noWrap/>
            <w:hideMark/>
          </w:tcPr>
          <w:p w14:paraId="0B03155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Respiratory toxicity</w:t>
            </w:r>
          </w:p>
        </w:tc>
        <w:tc>
          <w:tcPr>
            <w:tcW w:w="1260" w:type="dxa"/>
            <w:noWrap/>
            <w:hideMark/>
          </w:tcPr>
          <w:p w14:paraId="1055E68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4A786BB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0.98</w:t>
            </w:r>
          </w:p>
        </w:tc>
      </w:tr>
      <w:tr w:rsidR="00A06BB5" w:rsidRPr="00752072" w14:paraId="49D44EDB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18E8766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Organ toxicity</w:t>
            </w:r>
          </w:p>
        </w:tc>
        <w:tc>
          <w:tcPr>
            <w:tcW w:w="4300" w:type="dxa"/>
            <w:noWrap/>
            <w:hideMark/>
          </w:tcPr>
          <w:p w14:paraId="2912DFE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Cardiotoxicity</w:t>
            </w:r>
          </w:p>
        </w:tc>
        <w:tc>
          <w:tcPr>
            <w:tcW w:w="1260" w:type="dxa"/>
            <w:noWrap/>
            <w:hideMark/>
          </w:tcPr>
          <w:p w14:paraId="54255BC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383E51C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0.77</w:t>
            </w:r>
          </w:p>
        </w:tc>
      </w:tr>
      <w:tr w:rsidR="00A06BB5" w:rsidRPr="00752072" w14:paraId="533E692E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70E2024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Toxicity end points</w:t>
            </w:r>
          </w:p>
        </w:tc>
        <w:tc>
          <w:tcPr>
            <w:tcW w:w="4300" w:type="dxa"/>
            <w:noWrap/>
            <w:hideMark/>
          </w:tcPr>
          <w:p w14:paraId="297EF62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Carcinogenicity</w:t>
            </w:r>
          </w:p>
        </w:tc>
        <w:tc>
          <w:tcPr>
            <w:tcW w:w="1260" w:type="dxa"/>
            <w:noWrap/>
            <w:hideMark/>
          </w:tcPr>
          <w:p w14:paraId="06B6EAC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325A74C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0.62</w:t>
            </w:r>
          </w:p>
        </w:tc>
      </w:tr>
      <w:tr w:rsidR="00A06BB5" w:rsidRPr="00752072" w14:paraId="139C831C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1C55EBB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Toxicity end points</w:t>
            </w:r>
          </w:p>
        </w:tc>
        <w:tc>
          <w:tcPr>
            <w:tcW w:w="4300" w:type="dxa"/>
            <w:noWrap/>
            <w:hideMark/>
          </w:tcPr>
          <w:p w14:paraId="2740BBC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Immunotoxicity</w:t>
            </w:r>
          </w:p>
        </w:tc>
        <w:tc>
          <w:tcPr>
            <w:tcW w:w="1260" w:type="dxa"/>
            <w:noWrap/>
            <w:hideMark/>
          </w:tcPr>
          <w:p w14:paraId="797165A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0E55FB7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0.96</w:t>
            </w:r>
          </w:p>
        </w:tc>
      </w:tr>
      <w:tr w:rsidR="00A06BB5" w:rsidRPr="00752072" w14:paraId="543BE524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765E873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Toxicity end points</w:t>
            </w:r>
          </w:p>
        </w:tc>
        <w:tc>
          <w:tcPr>
            <w:tcW w:w="4300" w:type="dxa"/>
            <w:noWrap/>
            <w:hideMark/>
          </w:tcPr>
          <w:p w14:paraId="23760BB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Mutagenicity</w:t>
            </w:r>
          </w:p>
        </w:tc>
        <w:tc>
          <w:tcPr>
            <w:tcW w:w="1260" w:type="dxa"/>
            <w:noWrap/>
            <w:hideMark/>
          </w:tcPr>
          <w:p w14:paraId="02AD4BD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4D44674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0.97</w:t>
            </w:r>
          </w:p>
        </w:tc>
      </w:tr>
      <w:tr w:rsidR="00A06BB5" w:rsidRPr="00752072" w14:paraId="5FE753F7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18D283B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Toxicity end points</w:t>
            </w:r>
          </w:p>
        </w:tc>
        <w:tc>
          <w:tcPr>
            <w:tcW w:w="4300" w:type="dxa"/>
            <w:noWrap/>
            <w:hideMark/>
          </w:tcPr>
          <w:p w14:paraId="5F1339E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Cytotoxicity</w:t>
            </w:r>
          </w:p>
        </w:tc>
        <w:tc>
          <w:tcPr>
            <w:tcW w:w="1260" w:type="dxa"/>
            <w:noWrap/>
            <w:hideMark/>
          </w:tcPr>
          <w:p w14:paraId="7FA11E8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631CB8B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0.93</w:t>
            </w:r>
          </w:p>
        </w:tc>
      </w:tr>
      <w:tr w:rsidR="00A06BB5" w:rsidRPr="00752072" w14:paraId="4C565FEE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488D24D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Toxicity end points</w:t>
            </w:r>
          </w:p>
        </w:tc>
        <w:tc>
          <w:tcPr>
            <w:tcW w:w="4300" w:type="dxa"/>
            <w:noWrap/>
            <w:hideMark/>
          </w:tcPr>
          <w:p w14:paraId="69CC0EF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Clinical toxicity</w:t>
            </w:r>
          </w:p>
        </w:tc>
        <w:tc>
          <w:tcPr>
            <w:tcW w:w="1260" w:type="dxa"/>
            <w:noWrap/>
            <w:hideMark/>
          </w:tcPr>
          <w:p w14:paraId="5467346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165169D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0.56</w:t>
            </w:r>
          </w:p>
        </w:tc>
      </w:tr>
      <w:tr w:rsidR="00A06BB5" w:rsidRPr="00752072" w14:paraId="568380DE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28AB0CD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Toxicity end points</w:t>
            </w:r>
          </w:p>
        </w:tc>
        <w:tc>
          <w:tcPr>
            <w:tcW w:w="4300" w:type="dxa"/>
            <w:noWrap/>
            <w:hideMark/>
          </w:tcPr>
          <w:p w14:paraId="45189D1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Nutritional toxicity</w:t>
            </w:r>
          </w:p>
        </w:tc>
        <w:tc>
          <w:tcPr>
            <w:tcW w:w="1260" w:type="dxa"/>
            <w:noWrap/>
            <w:hideMark/>
          </w:tcPr>
          <w:p w14:paraId="5C4EBD3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53BEB71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0.74</w:t>
            </w:r>
          </w:p>
        </w:tc>
      </w:tr>
      <w:tr w:rsidR="00A06BB5" w:rsidRPr="00752072" w14:paraId="628EB874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0DF39A5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Tox21-Nuclear receptor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signalling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pathways</w:t>
            </w:r>
          </w:p>
        </w:tc>
        <w:tc>
          <w:tcPr>
            <w:tcW w:w="4300" w:type="dxa"/>
            <w:noWrap/>
            <w:hideMark/>
          </w:tcPr>
          <w:p w14:paraId="5575DA3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Aryl hydrocarbon Receptor (AhR)</w:t>
            </w:r>
          </w:p>
        </w:tc>
        <w:tc>
          <w:tcPr>
            <w:tcW w:w="1260" w:type="dxa"/>
            <w:noWrap/>
            <w:hideMark/>
          </w:tcPr>
          <w:p w14:paraId="2540860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3762C0E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0.97</w:t>
            </w:r>
          </w:p>
        </w:tc>
      </w:tr>
      <w:tr w:rsidR="00A06BB5" w:rsidRPr="00752072" w14:paraId="7215E16E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18471AE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Tox21-Nuclear receptor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signalling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pathways</w:t>
            </w:r>
          </w:p>
        </w:tc>
        <w:tc>
          <w:tcPr>
            <w:tcW w:w="4300" w:type="dxa"/>
            <w:noWrap/>
            <w:hideMark/>
          </w:tcPr>
          <w:p w14:paraId="7ADEC9F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Androgen Receptor (AR)</w:t>
            </w:r>
          </w:p>
        </w:tc>
        <w:tc>
          <w:tcPr>
            <w:tcW w:w="1260" w:type="dxa"/>
            <w:noWrap/>
            <w:hideMark/>
          </w:tcPr>
          <w:p w14:paraId="4FF699E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427A8A3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0.99</w:t>
            </w:r>
          </w:p>
        </w:tc>
      </w:tr>
      <w:tr w:rsidR="00A06BB5" w:rsidRPr="00752072" w14:paraId="591D6A25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4C763DA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Tox21-Nuclear receptor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signalling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pathways</w:t>
            </w:r>
          </w:p>
        </w:tc>
        <w:tc>
          <w:tcPr>
            <w:tcW w:w="4300" w:type="dxa"/>
            <w:noWrap/>
            <w:hideMark/>
          </w:tcPr>
          <w:p w14:paraId="6F284A3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Androgen Receptor Ligand Binding Domain (AR-LBD)</w:t>
            </w:r>
          </w:p>
        </w:tc>
        <w:tc>
          <w:tcPr>
            <w:tcW w:w="1260" w:type="dxa"/>
            <w:noWrap/>
            <w:hideMark/>
          </w:tcPr>
          <w:p w14:paraId="77B5222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7AEC5FA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0.99</w:t>
            </w:r>
          </w:p>
        </w:tc>
      </w:tr>
      <w:tr w:rsidR="00A06BB5" w:rsidRPr="00752072" w14:paraId="292B7B0A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87DF25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Tox21-Nuclear receptor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signalling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pathways</w:t>
            </w:r>
          </w:p>
        </w:tc>
        <w:tc>
          <w:tcPr>
            <w:tcW w:w="4300" w:type="dxa"/>
            <w:noWrap/>
            <w:hideMark/>
          </w:tcPr>
          <w:p w14:paraId="72C7F3A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Aromatase</w:t>
            </w:r>
          </w:p>
        </w:tc>
        <w:tc>
          <w:tcPr>
            <w:tcW w:w="1260" w:type="dxa"/>
            <w:noWrap/>
            <w:hideMark/>
          </w:tcPr>
          <w:p w14:paraId="7BDC843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55C95E1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1</w:t>
            </w:r>
          </w:p>
        </w:tc>
      </w:tr>
      <w:tr w:rsidR="00A06BB5" w:rsidRPr="00752072" w14:paraId="11903C42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041BEA9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Tox21-Nuclear receptor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signalling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pathways</w:t>
            </w:r>
          </w:p>
        </w:tc>
        <w:tc>
          <w:tcPr>
            <w:tcW w:w="4300" w:type="dxa"/>
            <w:noWrap/>
            <w:hideMark/>
          </w:tcPr>
          <w:p w14:paraId="3E02EF3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Estrogen Receptor Alpha (ER)</w:t>
            </w:r>
          </w:p>
        </w:tc>
        <w:tc>
          <w:tcPr>
            <w:tcW w:w="1260" w:type="dxa"/>
            <w:noWrap/>
            <w:hideMark/>
          </w:tcPr>
          <w:p w14:paraId="11A07E8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5521ED0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0.99</w:t>
            </w:r>
          </w:p>
        </w:tc>
      </w:tr>
      <w:tr w:rsidR="00A06BB5" w:rsidRPr="00752072" w14:paraId="1A359E12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564615A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Tox21-Nuclear receptor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signalling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pathways</w:t>
            </w:r>
          </w:p>
        </w:tc>
        <w:tc>
          <w:tcPr>
            <w:tcW w:w="4300" w:type="dxa"/>
            <w:noWrap/>
            <w:hideMark/>
          </w:tcPr>
          <w:p w14:paraId="56F7AE6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Estrogen Receptor Ligand Binding Domain (ER-LBD)</w:t>
            </w:r>
          </w:p>
        </w:tc>
        <w:tc>
          <w:tcPr>
            <w:tcW w:w="1260" w:type="dxa"/>
            <w:noWrap/>
            <w:hideMark/>
          </w:tcPr>
          <w:p w14:paraId="76EBB20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4B19073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1</w:t>
            </w:r>
          </w:p>
        </w:tc>
      </w:tr>
      <w:tr w:rsidR="00A06BB5" w:rsidRPr="00752072" w14:paraId="10216702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15FDE60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Tox21-Nuclear receptor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signalling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pathways</w:t>
            </w:r>
          </w:p>
        </w:tc>
        <w:tc>
          <w:tcPr>
            <w:tcW w:w="4300" w:type="dxa"/>
            <w:noWrap/>
            <w:hideMark/>
          </w:tcPr>
          <w:p w14:paraId="486DFA4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Peroxisome Proliferator Activated Receptor Gamma (PPAR-Gamma)</w:t>
            </w:r>
          </w:p>
        </w:tc>
        <w:tc>
          <w:tcPr>
            <w:tcW w:w="1260" w:type="dxa"/>
            <w:noWrap/>
            <w:hideMark/>
          </w:tcPr>
          <w:p w14:paraId="3E26381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5B420E0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0.99</w:t>
            </w:r>
          </w:p>
        </w:tc>
      </w:tr>
      <w:tr w:rsidR="00A06BB5" w:rsidRPr="00752072" w14:paraId="62477B98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C79753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Tox21-Stress response pathways</w:t>
            </w:r>
          </w:p>
        </w:tc>
        <w:tc>
          <w:tcPr>
            <w:tcW w:w="4300" w:type="dxa"/>
            <w:noWrap/>
            <w:hideMark/>
          </w:tcPr>
          <w:p w14:paraId="0A93AA3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Nuclear factor (erythroid-derived 2)-like 2/antioxidant responsive element (nrf2/ARE)</w:t>
            </w:r>
          </w:p>
        </w:tc>
        <w:tc>
          <w:tcPr>
            <w:tcW w:w="1260" w:type="dxa"/>
            <w:noWrap/>
            <w:hideMark/>
          </w:tcPr>
          <w:p w14:paraId="5DF68A0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561AEEC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0.88</w:t>
            </w:r>
          </w:p>
        </w:tc>
      </w:tr>
      <w:tr w:rsidR="00A06BB5" w:rsidRPr="00752072" w14:paraId="06A0DE9D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B5D699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Tox21-Stress response pathways</w:t>
            </w:r>
          </w:p>
        </w:tc>
        <w:tc>
          <w:tcPr>
            <w:tcW w:w="4300" w:type="dxa"/>
            <w:noWrap/>
            <w:hideMark/>
          </w:tcPr>
          <w:p w14:paraId="79A9550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Heat shock factor response element (HSE)</w:t>
            </w:r>
          </w:p>
        </w:tc>
        <w:tc>
          <w:tcPr>
            <w:tcW w:w="1260" w:type="dxa"/>
            <w:noWrap/>
            <w:hideMark/>
          </w:tcPr>
          <w:p w14:paraId="702F887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6A9238F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0.88</w:t>
            </w:r>
          </w:p>
        </w:tc>
      </w:tr>
      <w:tr w:rsidR="00A06BB5" w:rsidRPr="00752072" w14:paraId="276E621A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488CFF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lastRenderedPageBreak/>
              <w:t>Tox21-Stress response pathways</w:t>
            </w:r>
          </w:p>
        </w:tc>
        <w:tc>
          <w:tcPr>
            <w:tcW w:w="4300" w:type="dxa"/>
            <w:noWrap/>
            <w:hideMark/>
          </w:tcPr>
          <w:p w14:paraId="6F9E8FD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Mitochondrial Membrane Potential (MMP)</w:t>
            </w:r>
          </w:p>
        </w:tc>
        <w:tc>
          <w:tcPr>
            <w:tcW w:w="1260" w:type="dxa"/>
            <w:noWrap/>
            <w:hideMark/>
          </w:tcPr>
          <w:p w14:paraId="310120E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1357B95A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0.70</w:t>
            </w:r>
          </w:p>
        </w:tc>
      </w:tr>
      <w:tr w:rsidR="00A06BB5" w:rsidRPr="00752072" w14:paraId="48661772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0B63FF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Tox21-Stress response pathways</w:t>
            </w:r>
          </w:p>
        </w:tc>
        <w:tc>
          <w:tcPr>
            <w:tcW w:w="4300" w:type="dxa"/>
            <w:noWrap/>
            <w:hideMark/>
          </w:tcPr>
          <w:p w14:paraId="7AC082E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Phosphoprotein (Tumor 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Supressor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) p53</w:t>
            </w:r>
          </w:p>
        </w:tc>
        <w:tc>
          <w:tcPr>
            <w:tcW w:w="1260" w:type="dxa"/>
            <w:noWrap/>
            <w:hideMark/>
          </w:tcPr>
          <w:p w14:paraId="466ABD2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07E71D9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0.96</w:t>
            </w:r>
          </w:p>
        </w:tc>
      </w:tr>
      <w:tr w:rsidR="00A06BB5" w:rsidRPr="00752072" w14:paraId="0CEF0CF0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0F9E4D1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Tox21-Stress response pathways</w:t>
            </w:r>
          </w:p>
        </w:tc>
        <w:tc>
          <w:tcPr>
            <w:tcW w:w="4300" w:type="dxa"/>
            <w:noWrap/>
            <w:hideMark/>
          </w:tcPr>
          <w:p w14:paraId="4700AC5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ATPase family AAA domain-containing protein 5 (ATAD5)</w:t>
            </w:r>
          </w:p>
        </w:tc>
        <w:tc>
          <w:tcPr>
            <w:tcW w:w="1260" w:type="dxa"/>
            <w:noWrap/>
            <w:hideMark/>
          </w:tcPr>
          <w:p w14:paraId="7FE18EC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0B2E5E9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0.99</w:t>
            </w:r>
          </w:p>
        </w:tc>
      </w:tr>
      <w:tr w:rsidR="00A06BB5" w:rsidRPr="00752072" w14:paraId="08770E4C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49D01D5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5003723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Thyroid hormone receptor alpha (THRα)</w:t>
            </w:r>
          </w:p>
        </w:tc>
        <w:tc>
          <w:tcPr>
            <w:tcW w:w="1260" w:type="dxa"/>
            <w:noWrap/>
            <w:hideMark/>
          </w:tcPr>
          <w:p w14:paraId="2F429F3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29E31A5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0.55</w:t>
            </w:r>
          </w:p>
        </w:tc>
      </w:tr>
      <w:tr w:rsidR="00A06BB5" w:rsidRPr="00752072" w14:paraId="509BA0BB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A6C290A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026F3DA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Thyroid hormone receptor beta (THRβ)</w:t>
            </w:r>
          </w:p>
        </w:tc>
        <w:tc>
          <w:tcPr>
            <w:tcW w:w="1260" w:type="dxa"/>
            <w:noWrap/>
            <w:hideMark/>
          </w:tcPr>
          <w:p w14:paraId="009CDB0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1C8C621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0.75</w:t>
            </w:r>
          </w:p>
        </w:tc>
      </w:tr>
      <w:tr w:rsidR="00A06BB5" w:rsidRPr="00752072" w14:paraId="5790AB37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7D71FC3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18E596B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Transtyretrin (TTR)</w:t>
            </w:r>
          </w:p>
        </w:tc>
        <w:tc>
          <w:tcPr>
            <w:tcW w:w="1260" w:type="dxa"/>
            <w:noWrap/>
            <w:hideMark/>
          </w:tcPr>
          <w:p w14:paraId="3AD3779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5D9FD3E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0.75</w:t>
            </w:r>
          </w:p>
        </w:tc>
      </w:tr>
      <w:tr w:rsidR="00A06BB5" w:rsidRPr="00752072" w14:paraId="1330E4E1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405519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3B1719C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Ryanodine receptor (RYR)</w:t>
            </w:r>
          </w:p>
        </w:tc>
        <w:tc>
          <w:tcPr>
            <w:tcW w:w="1260" w:type="dxa"/>
            <w:noWrap/>
            <w:hideMark/>
          </w:tcPr>
          <w:p w14:paraId="00454CBA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7D9D361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0.93</w:t>
            </w:r>
          </w:p>
        </w:tc>
      </w:tr>
      <w:tr w:rsidR="00A06BB5" w:rsidRPr="00752072" w14:paraId="51E275C8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5C9496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2611E11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GABA receptor (GABAR)</w:t>
            </w:r>
          </w:p>
        </w:tc>
        <w:tc>
          <w:tcPr>
            <w:tcW w:w="1260" w:type="dxa"/>
            <w:noWrap/>
            <w:hideMark/>
          </w:tcPr>
          <w:p w14:paraId="16F40B3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2B5E0B4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0.76</w:t>
            </w:r>
          </w:p>
        </w:tc>
      </w:tr>
      <w:tr w:rsidR="00A06BB5" w:rsidRPr="00752072" w14:paraId="6992E513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77CD6A3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1E6FF9A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Glutamate N-methyl-D-aspartate receptor (NMDAR)</w:t>
            </w:r>
          </w:p>
        </w:tc>
        <w:tc>
          <w:tcPr>
            <w:tcW w:w="1260" w:type="dxa"/>
            <w:noWrap/>
            <w:hideMark/>
          </w:tcPr>
          <w:p w14:paraId="48C8338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436DE26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0.89</w:t>
            </w:r>
          </w:p>
        </w:tc>
      </w:tr>
      <w:tr w:rsidR="00A06BB5" w:rsidRPr="00752072" w14:paraId="4FDF32A9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436B066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7BE2A5D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alpha-amino-3-hydroxy-5-methyl-4-isoxazolepropionate receptor (AMPAR)</w:t>
            </w:r>
          </w:p>
        </w:tc>
        <w:tc>
          <w:tcPr>
            <w:tcW w:w="1260" w:type="dxa"/>
            <w:noWrap/>
            <w:hideMark/>
          </w:tcPr>
          <w:p w14:paraId="4100266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3DCF2C3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1</w:t>
            </w:r>
          </w:p>
        </w:tc>
      </w:tr>
      <w:tr w:rsidR="00A06BB5" w:rsidRPr="00752072" w14:paraId="50BC0882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40A7559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6E8B2D5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Kainate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receptor (KAR)</w:t>
            </w:r>
          </w:p>
        </w:tc>
        <w:tc>
          <w:tcPr>
            <w:tcW w:w="1260" w:type="dxa"/>
            <w:noWrap/>
            <w:hideMark/>
          </w:tcPr>
          <w:p w14:paraId="6C563D6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437DEB6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1</w:t>
            </w:r>
          </w:p>
        </w:tc>
      </w:tr>
      <w:tr w:rsidR="00A06BB5" w:rsidRPr="00752072" w14:paraId="52CAFD93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89F515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730183C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Achetylcholinesterase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AChE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260" w:type="dxa"/>
            <w:noWrap/>
            <w:hideMark/>
          </w:tcPr>
          <w:p w14:paraId="1C2A249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17CA9BE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0.60</w:t>
            </w:r>
          </w:p>
        </w:tc>
      </w:tr>
      <w:tr w:rsidR="00A06BB5" w:rsidRPr="00752072" w14:paraId="2B49B2F7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06ECD6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45CA38C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Constitutive androstane receptor (CAR)</w:t>
            </w:r>
          </w:p>
        </w:tc>
        <w:tc>
          <w:tcPr>
            <w:tcW w:w="1260" w:type="dxa"/>
            <w:noWrap/>
            <w:hideMark/>
          </w:tcPr>
          <w:p w14:paraId="79F07CF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19F6C754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0.99</w:t>
            </w:r>
          </w:p>
        </w:tc>
      </w:tr>
      <w:tr w:rsidR="00A06BB5" w:rsidRPr="00752072" w14:paraId="5C51F6BA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4563723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1321829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proofErr w:type="spellStart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Pregnane</w:t>
            </w:r>
            <w:proofErr w:type="spellEnd"/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 xml:space="preserve"> X receptor (PXR)</w:t>
            </w:r>
          </w:p>
        </w:tc>
        <w:tc>
          <w:tcPr>
            <w:tcW w:w="1260" w:type="dxa"/>
            <w:noWrap/>
            <w:hideMark/>
          </w:tcPr>
          <w:p w14:paraId="079AE5A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5C69A7A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0.69</w:t>
            </w:r>
          </w:p>
        </w:tc>
      </w:tr>
      <w:tr w:rsidR="00A06BB5" w:rsidRPr="00752072" w14:paraId="3F499379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4F7332D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1171F97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NADH-quinone oxidoreductase (NADHOX)</w:t>
            </w:r>
          </w:p>
        </w:tc>
        <w:tc>
          <w:tcPr>
            <w:tcW w:w="1260" w:type="dxa"/>
            <w:noWrap/>
            <w:hideMark/>
          </w:tcPr>
          <w:p w14:paraId="5C7CD74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3C5C62D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0.82</w:t>
            </w:r>
          </w:p>
        </w:tc>
      </w:tr>
      <w:tr w:rsidR="00A06BB5" w:rsidRPr="00752072" w14:paraId="04B870F3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04AB64F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3E4D5A0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Voltage gated sodium channel (VGSC)</w:t>
            </w:r>
          </w:p>
        </w:tc>
        <w:tc>
          <w:tcPr>
            <w:tcW w:w="1260" w:type="dxa"/>
            <w:noWrap/>
            <w:hideMark/>
          </w:tcPr>
          <w:p w14:paraId="3883B9E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307E9F7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0.64</w:t>
            </w:r>
          </w:p>
        </w:tc>
      </w:tr>
      <w:tr w:rsidR="00A06BB5" w:rsidRPr="00752072" w14:paraId="0C20DC13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32D1D02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Molecular Initiating Events</w:t>
            </w:r>
          </w:p>
        </w:tc>
        <w:tc>
          <w:tcPr>
            <w:tcW w:w="4300" w:type="dxa"/>
            <w:noWrap/>
            <w:hideMark/>
          </w:tcPr>
          <w:p w14:paraId="362B32A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Na+/I- symporter (NIS)</w:t>
            </w:r>
          </w:p>
        </w:tc>
        <w:tc>
          <w:tcPr>
            <w:tcW w:w="1260" w:type="dxa"/>
            <w:noWrap/>
            <w:hideMark/>
          </w:tcPr>
          <w:p w14:paraId="3242D2E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48A20EDC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0.79</w:t>
            </w:r>
          </w:p>
        </w:tc>
      </w:tr>
      <w:tr w:rsidR="00A06BB5" w:rsidRPr="00752072" w14:paraId="2D3EF334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3A789AF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Metabolism</w:t>
            </w:r>
          </w:p>
        </w:tc>
        <w:tc>
          <w:tcPr>
            <w:tcW w:w="4300" w:type="dxa"/>
            <w:noWrap/>
            <w:hideMark/>
          </w:tcPr>
          <w:p w14:paraId="2D59F50A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Cytochrome CYP1A2</w:t>
            </w:r>
          </w:p>
        </w:tc>
        <w:tc>
          <w:tcPr>
            <w:tcW w:w="1260" w:type="dxa"/>
            <w:noWrap/>
            <w:hideMark/>
          </w:tcPr>
          <w:p w14:paraId="6F1A3AC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5C4DBC5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0.76</w:t>
            </w:r>
          </w:p>
        </w:tc>
      </w:tr>
      <w:tr w:rsidR="00A06BB5" w:rsidRPr="00752072" w14:paraId="780478C3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6304E210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Metabolism</w:t>
            </w:r>
          </w:p>
        </w:tc>
        <w:tc>
          <w:tcPr>
            <w:tcW w:w="4300" w:type="dxa"/>
            <w:noWrap/>
            <w:hideMark/>
          </w:tcPr>
          <w:p w14:paraId="4D61674A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Cytochrome CYP2C19</w:t>
            </w:r>
          </w:p>
        </w:tc>
        <w:tc>
          <w:tcPr>
            <w:tcW w:w="1260" w:type="dxa"/>
            <w:noWrap/>
            <w:hideMark/>
          </w:tcPr>
          <w:p w14:paraId="2CC455C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031C841A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0.87</w:t>
            </w:r>
          </w:p>
        </w:tc>
      </w:tr>
      <w:tr w:rsidR="00A06BB5" w:rsidRPr="00752072" w14:paraId="66879BFB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5E99CE32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Metabolism</w:t>
            </w:r>
          </w:p>
        </w:tc>
        <w:tc>
          <w:tcPr>
            <w:tcW w:w="4300" w:type="dxa"/>
            <w:noWrap/>
            <w:hideMark/>
          </w:tcPr>
          <w:p w14:paraId="4D88409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Cytochrome CYP2C9</w:t>
            </w:r>
          </w:p>
        </w:tc>
        <w:tc>
          <w:tcPr>
            <w:tcW w:w="1260" w:type="dxa"/>
            <w:noWrap/>
            <w:hideMark/>
          </w:tcPr>
          <w:p w14:paraId="7F228DF5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6BACFD8B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0.56</w:t>
            </w:r>
          </w:p>
        </w:tc>
      </w:tr>
      <w:tr w:rsidR="00A06BB5" w:rsidRPr="00752072" w14:paraId="1DDF4331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7B77C7F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Metabolism</w:t>
            </w:r>
          </w:p>
        </w:tc>
        <w:tc>
          <w:tcPr>
            <w:tcW w:w="4300" w:type="dxa"/>
            <w:noWrap/>
            <w:hideMark/>
          </w:tcPr>
          <w:p w14:paraId="3D3F627D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Cytochrome CYP2D6</w:t>
            </w:r>
          </w:p>
        </w:tc>
        <w:tc>
          <w:tcPr>
            <w:tcW w:w="1260" w:type="dxa"/>
            <w:noWrap/>
            <w:hideMark/>
          </w:tcPr>
          <w:p w14:paraId="43B236B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noWrap/>
            <w:hideMark/>
          </w:tcPr>
          <w:p w14:paraId="26EAEEFE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0.63</w:t>
            </w:r>
          </w:p>
        </w:tc>
      </w:tr>
      <w:tr w:rsidR="00A06BB5" w:rsidRPr="00752072" w14:paraId="164259F8" w14:textId="77777777" w:rsidTr="00647D41">
        <w:trPr>
          <w:trHeight w:val="290"/>
        </w:trPr>
        <w:tc>
          <w:tcPr>
            <w:tcW w:w="2445" w:type="dxa"/>
            <w:noWrap/>
            <w:hideMark/>
          </w:tcPr>
          <w:p w14:paraId="19217C2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Metabolism</w:t>
            </w:r>
          </w:p>
        </w:tc>
        <w:tc>
          <w:tcPr>
            <w:tcW w:w="4300" w:type="dxa"/>
            <w:noWrap/>
            <w:hideMark/>
          </w:tcPr>
          <w:p w14:paraId="34A3C2D9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Cytochrome CYP3A4</w:t>
            </w:r>
          </w:p>
        </w:tc>
        <w:tc>
          <w:tcPr>
            <w:tcW w:w="1260" w:type="dxa"/>
            <w:noWrap/>
            <w:hideMark/>
          </w:tcPr>
          <w:p w14:paraId="0976D5E7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Active</w:t>
            </w:r>
          </w:p>
        </w:tc>
        <w:tc>
          <w:tcPr>
            <w:tcW w:w="1345" w:type="dxa"/>
            <w:noWrap/>
            <w:hideMark/>
          </w:tcPr>
          <w:p w14:paraId="2EF8B4F1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0.71</w:t>
            </w:r>
          </w:p>
        </w:tc>
      </w:tr>
      <w:tr w:rsidR="00A06BB5" w:rsidRPr="00752072" w14:paraId="5649095C" w14:textId="77777777" w:rsidTr="00647D41">
        <w:trPr>
          <w:trHeight w:val="290"/>
        </w:trPr>
        <w:tc>
          <w:tcPr>
            <w:tcW w:w="2445" w:type="dxa"/>
            <w:tcBorders>
              <w:bottom w:val="single" w:sz="8" w:space="0" w:color="000000" w:themeColor="text1"/>
            </w:tcBorders>
            <w:noWrap/>
            <w:hideMark/>
          </w:tcPr>
          <w:p w14:paraId="0A823F76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Metabolism</w:t>
            </w:r>
          </w:p>
        </w:tc>
        <w:tc>
          <w:tcPr>
            <w:tcW w:w="4300" w:type="dxa"/>
            <w:tcBorders>
              <w:bottom w:val="single" w:sz="8" w:space="0" w:color="000000" w:themeColor="text1"/>
            </w:tcBorders>
            <w:noWrap/>
            <w:hideMark/>
          </w:tcPr>
          <w:p w14:paraId="41C94678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Cytochrome CYP2E1</w:t>
            </w: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noWrap/>
            <w:hideMark/>
          </w:tcPr>
          <w:p w14:paraId="61A130B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Inactive</w:t>
            </w:r>
          </w:p>
        </w:tc>
        <w:tc>
          <w:tcPr>
            <w:tcW w:w="1345" w:type="dxa"/>
            <w:tcBorders>
              <w:bottom w:val="single" w:sz="8" w:space="0" w:color="000000" w:themeColor="text1"/>
            </w:tcBorders>
            <w:noWrap/>
            <w:hideMark/>
          </w:tcPr>
          <w:p w14:paraId="7FD62B53" w14:textId="77777777" w:rsidR="00A06BB5" w:rsidRPr="00752072" w:rsidRDefault="00A06BB5" w:rsidP="00647D41">
            <w:pPr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</w:pPr>
            <w:r w:rsidRPr="00752072">
              <w:rPr>
                <w:rFonts w:ascii="Palatino Linotype" w:eastAsia="Times New Roman" w:hAnsi="Palatino Linotype" w:cs="Calibri"/>
                <w:color w:val="000000" w:themeColor="text1"/>
                <w:kern w:val="0"/>
                <w14:ligatures w14:val="none"/>
              </w:rPr>
              <w:t>0.98</w:t>
            </w:r>
          </w:p>
        </w:tc>
      </w:tr>
    </w:tbl>
    <w:p w14:paraId="49C5E7AA" w14:textId="77777777" w:rsidR="00A06BB5" w:rsidRPr="00752072" w:rsidRDefault="00A06BB5" w:rsidP="00A06BB5">
      <w:pPr>
        <w:jc w:val="both"/>
        <w:rPr>
          <w:rFonts w:ascii="Palatino Linotype" w:hAnsi="Palatino Linotype"/>
          <w:b/>
          <w:bCs/>
          <w:color w:val="000000" w:themeColor="text1"/>
        </w:rPr>
      </w:pPr>
    </w:p>
    <w:sectPr w:rsidR="00A06BB5" w:rsidRPr="0075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B5"/>
    <w:rsid w:val="003B7102"/>
    <w:rsid w:val="00A0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B252"/>
  <w15:chartTrackingRefBased/>
  <w15:docId w15:val="{812B4D0E-F116-477C-84E2-5D4BB8FC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B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1"/>
    <w:uiPriority w:val="99"/>
    <w:rsid w:val="00A06BB5"/>
    <w:pPr>
      <w:spacing w:after="0" w:line="240" w:lineRule="auto"/>
    </w:pPr>
    <w:rPr>
      <w:kern w:val="2"/>
      <w14:ligatures w14:val="standardContextual"/>
    </w:rPr>
    <w:tblPr>
      <w:tblBorders>
        <w:top w:val="single" w:sz="6" w:space="0" w:color="000000" w:themeColor="text1"/>
        <w:left w:val="none" w:sz="0" w:space="0" w:color="auto"/>
        <w:bottom w:val="single" w:sz="6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4" w:space="0" w:color="000000" w:themeColor="text1"/>
          <w:bottom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06BB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ramjanbmb@outlook.com</dc:creator>
  <cp:keywords/>
  <dc:description/>
  <cp:lastModifiedBy>ramjanbmb@outlook.com</cp:lastModifiedBy>
  <cp:revision>1</cp:revision>
  <dcterms:created xsi:type="dcterms:W3CDTF">2025-10-17T13:37:00Z</dcterms:created>
  <dcterms:modified xsi:type="dcterms:W3CDTF">2025-10-17T13:39:00Z</dcterms:modified>
</cp:coreProperties>
</file>