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3"/>
        <w:spacing w:after="0" w:before="0" w:lineRule="auto"/>
        <w:ind w:left="0" w:firstLine="0"/>
        <w:jc w:val="center"/>
        <w:rPr>
          <w:rFonts w:ascii="Times New Roman" w:cs="Times New Roman" w:eastAsia="Times New Roman" w:hAnsi="Times New Roman"/>
          <w:color w:val="000000"/>
          <w:sz w:val="36"/>
          <w:szCs w:val="36"/>
        </w:rPr>
      </w:pPr>
      <w:bookmarkStart w:colFirst="0" w:colLast="0" w:name="_g9klpwhr9hj5" w:id="0"/>
      <w:bookmarkEnd w:id="0"/>
      <w:r w:rsidDel="00000000" w:rsidR="00000000" w:rsidRPr="00000000">
        <w:rPr>
          <w:rFonts w:ascii="Times New Roman" w:cs="Times New Roman" w:eastAsia="Times New Roman" w:hAnsi="Times New Roman"/>
          <w:color w:val="000000"/>
          <w:sz w:val="36"/>
          <w:szCs w:val="36"/>
          <w:rtl w:val="0"/>
        </w:rPr>
        <w:t xml:space="preserve">Supplementary Materials for</w:t>
      </w:r>
    </w:p>
    <w:p w:rsidR="00000000" w:rsidDel="00000000" w:rsidP="00000000" w:rsidRDefault="00000000" w:rsidRPr="00000000" w14:paraId="00000002">
      <w:pPr>
        <w:pStyle w:val="Heading3"/>
        <w:spacing w:after="0" w:before="0" w:lineRule="auto"/>
        <w:rPr>
          <w:rFonts w:ascii="Times New Roman" w:cs="Times New Roman" w:eastAsia="Times New Roman" w:hAnsi="Times New Roman"/>
          <w:b w:val="1"/>
          <w:color w:val="000000"/>
          <w:sz w:val="24"/>
          <w:szCs w:val="24"/>
        </w:rPr>
      </w:pPr>
      <w:bookmarkStart w:colFirst="0" w:colLast="0" w:name="_g9klpwhr9hj5" w:id="0"/>
      <w:bookmarkEnd w:id="0"/>
      <w:r w:rsidDel="00000000" w:rsidR="00000000" w:rsidRPr="00000000">
        <w:rPr>
          <w:rFonts w:ascii="Times New Roman" w:cs="Times New Roman" w:eastAsia="Times New Roman" w:hAnsi="Times New Roman"/>
          <w:b w:val="1"/>
          <w:color w:val="000000"/>
          <w:sz w:val="24"/>
          <w:szCs w:val="24"/>
          <w:rtl w:val="0"/>
        </w:rPr>
        <w:t xml:space="preserve"> </w:t>
      </w:r>
    </w:p>
    <w:p w:rsidR="00000000" w:rsidDel="00000000" w:rsidP="00000000" w:rsidRDefault="00000000" w:rsidRPr="00000000" w14:paraId="00000003">
      <w:pPr>
        <w:pStyle w:val="Heading3"/>
        <w:spacing w:after="0" w:before="0" w:lineRule="auto"/>
        <w:jc w:val="center"/>
        <w:rPr>
          <w:rFonts w:ascii="Times New Roman" w:cs="Times New Roman" w:eastAsia="Times New Roman" w:hAnsi="Times New Roman"/>
          <w:b w:val="1"/>
          <w:color w:val="000000"/>
        </w:rPr>
      </w:pPr>
      <w:bookmarkStart w:colFirst="0" w:colLast="0" w:name="_g9klpwhr9hj5" w:id="0"/>
      <w:bookmarkEnd w:id="0"/>
      <w:r w:rsidDel="00000000" w:rsidR="00000000" w:rsidRPr="00000000">
        <w:rPr>
          <w:rFonts w:ascii="Times New Roman" w:cs="Times New Roman" w:eastAsia="Times New Roman" w:hAnsi="Times New Roman"/>
          <w:b w:val="1"/>
          <w:color w:val="000000"/>
          <w:rtl w:val="0"/>
        </w:rPr>
        <w:t xml:space="preserve">De Novo Design of Miniprotein Inhibitors of Bacterial Adhesins</w:t>
      </w:r>
    </w:p>
    <w:p w:rsidR="00000000" w:rsidDel="00000000" w:rsidP="00000000" w:rsidRDefault="00000000" w:rsidRPr="00000000" w14:paraId="00000004">
      <w:pPr>
        <w:pStyle w:val="Heading3"/>
        <w:spacing w:after="0" w:before="0" w:lineRule="auto"/>
        <w:jc w:val="center"/>
        <w:rPr>
          <w:rFonts w:ascii="Times New Roman" w:cs="Times New Roman" w:eastAsia="Times New Roman" w:hAnsi="Times New Roman"/>
          <w:b w:val="1"/>
          <w:color w:val="000000"/>
        </w:rPr>
      </w:pPr>
      <w:bookmarkStart w:colFirst="0" w:colLast="0" w:name="_g9klpwhr9hj5" w:id="0"/>
      <w:bookmarkEnd w:id="0"/>
      <w:r w:rsidDel="00000000" w:rsidR="00000000" w:rsidRPr="00000000">
        <w:rPr>
          <w:rFonts w:ascii="Times New Roman" w:cs="Times New Roman" w:eastAsia="Times New Roman" w:hAnsi="Times New Roman"/>
          <w:b w:val="1"/>
          <w:color w:val="000000"/>
          <w:rtl w:val="0"/>
        </w:rPr>
        <w:t xml:space="preserve"> </w:t>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Authors:  </w:t>
      </w:r>
      <w:r w:rsidDel="00000000" w:rsidR="00000000" w:rsidRPr="00000000">
        <w:rPr>
          <w:rFonts w:ascii="Times New Roman" w:cs="Times New Roman" w:eastAsia="Times New Roman" w:hAnsi="Times New Roman"/>
          <w:sz w:val="24"/>
          <w:szCs w:val="24"/>
          <w:rtl w:val="0"/>
        </w:rPr>
        <w:t xml:space="preserve">Adam M. Chazin-Gray</w:t>
      </w:r>
      <w:r w:rsidDel="00000000" w:rsidR="00000000" w:rsidRPr="00000000">
        <w:rPr>
          <w:rFonts w:ascii="Times New Roman" w:cs="Times New Roman" w:eastAsia="Times New Roman" w:hAnsi="Times New Roman"/>
          <w:sz w:val="24"/>
          <w:szCs w:val="24"/>
          <w:vertAlign w:val="superscript"/>
          <w:rtl w:val="0"/>
        </w:rPr>
        <w:t xml:space="preserve">1,2,3</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4"/>
          <w:szCs w:val="24"/>
          <w:rtl w:val="0"/>
        </w:rPr>
        <w:t xml:space="preserve">, Tuscan R. Thompson</w:t>
      </w:r>
      <w:r w:rsidDel="00000000" w:rsidR="00000000" w:rsidRPr="00000000">
        <w:rPr>
          <w:rFonts w:ascii="Times New Roman" w:cs="Times New Roman" w:eastAsia="Times New Roman" w:hAnsi="Times New Roman"/>
          <w:sz w:val="24"/>
          <w:szCs w:val="24"/>
          <w:vertAlign w:val="superscript"/>
          <w:rtl w:val="0"/>
        </w:rPr>
        <w:t xml:space="preserve">1,2,4</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4"/>
          <w:szCs w:val="24"/>
          <w:rtl w:val="0"/>
        </w:rPr>
        <w:t xml:space="preserve">, Edward D. B. Lopatto</w:t>
      </w:r>
      <w:r w:rsidDel="00000000" w:rsidR="00000000" w:rsidRPr="00000000">
        <w:rPr>
          <w:rFonts w:ascii="Times New Roman" w:cs="Times New Roman" w:eastAsia="Times New Roman" w:hAnsi="Times New Roman"/>
          <w:sz w:val="24"/>
          <w:szCs w:val="24"/>
          <w:vertAlign w:val="superscript"/>
          <w:rtl w:val="0"/>
        </w:rPr>
        <w:t xml:space="preserve">5,6</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4"/>
          <w:szCs w:val="24"/>
          <w:rtl w:val="0"/>
        </w:rPr>
        <w:t xml:space="preserve">, Pearl</w:t>
      </w:r>
      <w:r w:rsidDel="00000000" w:rsidR="00000000" w:rsidRPr="00000000">
        <w:rPr>
          <w:rFonts w:ascii="Times New Roman" w:cs="Times New Roman" w:eastAsia="Times New Roman" w:hAnsi="Times New Roman"/>
          <w:sz w:val="24"/>
          <w:szCs w:val="24"/>
          <w:rtl w:val="0"/>
        </w:rPr>
        <w:t xml:space="preserve"> Magala</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Patrick W. Erickson</w:t>
      </w:r>
      <w:r w:rsidDel="00000000" w:rsidR="00000000" w:rsidRPr="00000000">
        <w:rPr>
          <w:rFonts w:ascii="Times New Roman" w:cs="Times New Roman" w:eastAsia="Times New Roman" w:hAnsi="Times New Roman"/>
          <w:sz w:val="24"/>
          <w:szCs w:val="24"/>
          <w:vertAlign w:val="superscript"/>
          <w:rtl w:val="0"/>
        </w:rPr>
        <w:t xml:space="preserve">1,2</w:t>
      </w:r>
      <w:r w:rsidDel="00000000" w:rsidR="00000000" w:rsidRPr="00000000">
        <w:rPr>
          <w:rFonts w:ascii="Times New Roman" w:cs="Times New Roman" w:eastAsia="Times New Roman" w:hAnsi="Times New Roman"/>
          <w:sz w:val="24"/>
          <w:szCs w:val="24"/>
          <w:rtl w:val="0"/>
        </w:rPr>
        <w:t xml:space="preserve">, Andrew C. Hunt</w:t>
      </w:r>
      <w:r w:rsidDel="00000000" w:rsidR="00000000" w:rsidRPr="00000000">
        <w:rPr>
          <w:rFonts w:ascii="Times New Roman" w:cs="Times New Roman" w:eastAsia="Times New Roman" w:hAnsi="Times New Roman"/>
          <w:sz w:val="24"/>
          <w:szCs w:val="24"/>
          <w:vertAlign w:val="superscript"/>
          <w:rtl w:val="0"/>
        </w:rPr>
        <w:t xml:space="preserve">1,2</w:t>
      </w:r>
      <w:r w:rsidDel="00000000" w:rsidR="00000000" w:rsidRPr="00000000">
        <w:rPr>
          <w:rFonts w:ascii="Times New Roman" w:cs="Times New Roman" w:eastAsia="Times New Roman" w:hAnsi="Times New Roman"/>
          <w:sz w:val="24"/>
          <w:szCs w:val="24"/>
          <w:rtl w:val="0"/>
        </w:rPr>
        <w:t xml:space="preserve">, Anna Manchenko</w:t>
      </w:r>
      <w:r w:rsidDel="00000000" w:rsidR="00000000" w:rsidRPr="00000000">
        <w:rPr>
          <w:rFonts w:ascii="Times New Roman" w:cs="Times New Roman" w:eastAsia="Times New Roman" w:hAnsi="Times New Roman"/>
          <w:sz w:val="24"/>
          <w:szCs w:val="24"/>
          <w:vertAlign w:val="superscript"/>
          <w:rtl w:val="0"/>
        </w:rPr>
        <w:t xml:space="preserve">7</w:t>
      </w:r>
      <w:r w:rsidDel="00000000" w:rsidR="00000000" w:rsidRPr="00000000">
        <w:rPr>
          <w:rFonts w:ascii="Times New Roman" w:cs="Times New Roman" w:eastAsia="Times New Roman" w:hAnsi="Times New Roman"/>
          <w:sz w:val="24"/>
          <w:szCs w:val="24"/>
          <w:rtl w:val="0"/>
        </w:rPr>
        <w:t xml:space="preserve">, Pavel Aprikian</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Veronika Tchesnokova</w:t>
      </w:r>
      <w:r w:rsidDel="00000000" w:rsidR="00000000" w:rsidRPr="00000000">
        <w:rPr>
          <w:rFonts w:ascii="Times New Roman" w:cs="Times New Roman" w:eastAsia="Times New Roman" w:hAnsi="Times New Roman"/>
          <w:sz w:val="24"/>
          <w:szCs w:val="24"/>
          <w:vertAlign w:val="superscript"/>
          <w:rtl w:val="0"/>
        </w:rPr>
        <w:t xml:space="preserve">7</w:t>
      </w:r>
      <w:r w:rsidDel="00000000" w:rsidR="00000000" w:rsidRPr="00000000">
        <w:rPr>
          <w:rFonts w:ascii="Times New Roman" w:cs="Times New Roman" w:eastAsia="Times New Roman" w:hAnsi="Times New Roman"/>
          <w:sz w:val="24"/>
          <w:szCs w:val="24"/>
          <w:rtl w:val="0"/>
        </w:rPr>
        <w:t xml:space="preserve">, Irina Basova</w:t>
      </w:r>
      <w:r w:rsidDel="00000000" w:rsidR="00000000" w:rsidRPr="00000000">
        <w:rPr>
          <w:rFonts w:ascii="Times New Roman" w:cs="Times New Roman" w:eastAsia="Times New Roman" w:hAnsi="Times New Roman"/>
          <w:sz w:val="24"/>
          <w:szCs w:val="24"/>
          <w:vertAlign w:val="superscript"/>
          <w:rtl w:val="0"/>
        </w:rPr>
        <w:t xml:space="preserve">7</w:t>
      </w:r>
      <w:r w:rsidDel="00000000" w:rsidR="00000000" w:rsidRPr="00000000">
        <w:rPr>
          <w:rFonts w:ascii="Times New Roman" w:cs="Times New Roman" w:eastAsia="Times New Roman" w:hAnsi="Times New Roman"/>
          <w:sz w:val="24"/>
          <w:szCs w:val="24"/>
          <w:rtl w:val="0"/>
        </w:rPr>
        <w:t xml:space="preserve">, Denise A. Sanick</w:t>
      </w:r>
      <w:r w:rsidDel="00000000" w:rsidR="00000000" w:rsidRPr="00000000">
        <w:rPr>
          <w:rFonts w:ascii="Times New Roman" w:cs="Times New Roman" w:eastAsia="Times New Roman" w:hAnsi="Times New Roman"/>
          <w:sz w:val="24"/>
          <w:szCs w:val="24"/>
          <w:vertAlign w:val="superscript"/>
          <w:rtl w:val="0"/>
        </w:rPr>
        <w:t xml:space="preserve">5,6</w:t>
      </w:r>
      <w:r w:rsidDel="00000000" w:rsidR="00000000" w:rsidRPr="00000000">
        <w:rPr>
          <w:rFonts w:ascii="Times New Roman" w:cs="Times New Roman" w:eastAsia="Times New Roman" w:hAnsi="Times New Roman"/>
          <w:sz w:val="24"/>
          <w:szCs w:val="24"/>
          <w:rtl w:val="0"/>
        </w:rPr>
        <w:t xml:space="preserve">, Kevin O. Tamadonfar</w:t>
      </w:r>
      <w:r w:rsidDel="00000000" w:rsidR="00000000" w:rsidRPr="00000000">
        <w:rPr>
          <w:rFonts w:ascii="Times New Roman" w:cs="Times New Roman" w:eastAsia="Times New Roman" w:hAnsi="Times New Roman"/>
          <w:sz w:val="24"/>
          <w:szCs w:val="24"/>
          <w:vertAlign w:val="superscript"/>
          <w:rtl w:val="0"/>
        </w:rPr>
        <w:t xml:space="preserve">5,6</w:t>
      </w:r>
      <w:r w:rsidDel="00000000" w:rsidR="00000000" w:rsidRPr="00000000">
        <w:rPr>
          <w:rFonts w:ascii="Times New Roman" w:cs="Times New Roman" w:eastAsia="Times New Roman" w:hAnsi="Times New Roman"/>
          <w:sz w:val="24"/>
          <w:szCs w:val="24"/>
          <w:rtl w:val="0"/>
        </w:rPr>
        <w:t xml:space="preserve">, Morgan R. Timm</w:t>
      </w:r>
      <w:r w:rsidDel="00000000" w:rsidR="00000000" w:rsidRPr="00000000">
        <w:rPr>
          <w:rFonts w:ascii="Times New Roman" w:cs="Times New Roman" w:eastAsia="Times New Roman" w:hAnsi="Times New Roman"/>
          <w:sz w:val="24"/>
          <w:szCs w:val="24"/>
          <w:vertAlign w:val="superscript"/>
          <w:rtl w:val="0"/>
        </w:rPr>
        <w:t xml:space="preserve">5,6</w:t>
      </w:r>
      <w:r w:rsidDel="00000000" w:rsidR="00000000" w:rsidRPr="00000000">
        <w:rPr>
          <w:rFonts w:ascii="Times New Roman" w:cs="Times New Roman" w:eastAsia="Times New Roman" w:hAnsi="Times New Roman"/>
          <w:sz w:val="24"/>
          <w:szCs w:val="24"/>
          <w:rtl w:val="0"/>
        </w:rPr>
        <w:t xml:space="preserve">, Jerome S. Pinkner</w:t>
      </w:r>
      <w:r w:rsidDel="00000000" w:rsidR="00000000" w:rsidRPr="00000000">
        <w:rPr>
          <w:rFonts w:ascii="Times New Roman" w:cs="Times New Roman" w:eastAsia="Times New Roman" w:hAnsi="Times New Roman"/>
          <w:sz w:val="24"/>
          <w:szCs w:val="24"/>
          <w:vertAlign w:val="superscript"/>
          <w:rtl w:val="0"/>
        </w:rPr>
        <w:t xml:space="preserve">5,6</w:t>
      </w:r>
      <w:r w:rsidDel="00000000" w:rsidR="00000000" w:rsidRPr="00000000">
        <w:rPr>
          <w:rFonts w:ascii="Times New Roman" w:cs="Times New Roman" w:eastAsia="Times New Roman" w:hAnsi="Times New Roman"/>
          <w:sz w:val="24"/>
          <w:szCs w:val="24"/>
          <w:rtl w:val="0"/>
        </w:rPr>
        <w:t xml:space="preserve">, Karen W. Dodson</w:t>
      </w:r>
      <w:r w:rsidDel="00000000" w:rsidR="00000000" w:rsidRPr="00000000">
        <w:rPr>
          <w:rFonts w:ascii="Times New Roman" w:cs="Times New Roman" w:eastAsia="Times New Roman" w:hAnsi="Times New Roman"/>
          <w:sz w:val="24"/>
          <w:szCs w:val="24"/>
          <w:vertAlign w:val="superscript"/>
          <w:rtl w:val="0"/>
        </w:rPr>
        <w:t xml:space="preserve">5,6</w:t>
      </w:r>
      <w:r w:rsidDel="00000000" w:rsidR="00000000" w:rsidRPr="00000000">
        <w:rPr>
          <w:rFonts w:ascii="Times New Roman" w:cs="Times New Roman" w:eastAsia="Times New Roman" w:hAnsi="Times New Roman"/>
          <w:sz w:val="24"/>
          <w:szCs w:val="24"/>
          <w:rtl w:val="0"/>
        </w:rPr>
        <w:t xml:space="preserve">, Alex Kang</w:t>
      </w:r>
      <w:r w:rsidDel="00000000" w:rsidR="00000000" w:rsidRPr="00000000">
        <w:rPr>
          <w:rFonts w:ascii="Times New Roman" w:cs="Times New Roman" w:eastAsia="Times New Roman" w:hAnsi="Times New Roman"/>
          <w:sz w:val="24"/>
          <w:szCs w:val="24"/>
          <w:vertAlign w:val="superscript"/>
          <w:rtl w:val="0"/>
        </w:rPr>
        <w:t xml:space="preserve">1,2</w:t>
      </w:r>
      <w:r w:rsidDel="00000000" w:rsidR="00000000" w:rsidRPr="00000000">
        <w:rPr>
          <w:rFonts w:ascii="Times New Roman" w:cs="Times New Roman" w:eastAsia="Times New Roman" w:hAnsi="Times New Roman"/>
          <w:sz w:val="24"/>
          <w:szCs w:val="24"/>
          <w:rtl w:val="0"/>
        </w:rPr>
        <w:t xml:space="preserve">, Emily Joyce</w:t>
      </w:r>
      <w:r w:rsidDel="00000000" w:rsidR="00000000" w:rsidRPr="00000000">
        <w:rPr>
          <w:rFonts w:ascii="Times New Roman" w:cs="Times New Roman" w:eastAsia="Times New Roman" w:hAnsi="Times New Roman"/>
          <w:sz w:val="24"/>
          <w:szCs w:val="24"/>
          <w:vertAlign w:val="superscript"/>
          <w:rtl w:val="0"/>
        </w:rPr>
        <w:t xml:space="preserve">1,2</w:t>
      </w:r>
      <w:r w:rsidDel="00000000" w:rsidR="00000000" w:rsidRPr="00000000">
        <w:rPr>
          <w:rFonts w:ascii="Times New Roman" w:cs="Times New Roman" w:eastAsia="Times New Roman" w:hAnsi="Times New Roman"/>
          <w:sz w:val="24"/>
          <w:szCs w:val="24"/>
          <w:rtl w:val="0"/>
        </w:rPr>
        <w:t xml:space="preserve">, Asim K. Bera</w:t>
      </w:r>
      <w:r w:rsidDel="00000000" w:rsidR="00000000" w:rsidRPr="00000000">
        <w:rPr>
          <w:rFonts w:ascii="Times New Roman" w:cs="Times New Roman" w:eastAsia="Times New Roman" w:hAnsi="Times New Roman"/>
          <w:sz w:val="24"/>
          <w:szCs w:val="24"/>
          <w:vertAlign w:val="superscript"/>
          <w:rtl w:val="0"/>
        </w:rPr>
        <w:t xml:space="preserve">1,2</w:t>
      </w:r>
      <w:r w:rsidDel="00000000" w:rsidR="00000000" w:rsidRPr="00000000">
        <w:rPr>
          <w:rFonts w:ascii="Times New Roman" w:cs="Times New Roman" w:eastAsia="Times New Roman" w:hAnsi="Times New Roman"/>
          <w:sz w:val="24"/>
          <w:szCs w:val="24"/>
          <w:rtl w:val="0"/>
        </w:rPr>
        <w:t xml:space="preserve">, Aaron J. Schmitz</w:t>
      </w:r>
      <w:r w:rsidDel="00000000" w:rsidR="00000000" w:rsidRPr="00000000">
        <w:rPr>
          <w:rFonts w:ascii="Times New Roman" w:cs="Times New Roman" w:eastAsia="Times New Roman" w:hAnsi="Times New Roman"/>
          <w:sz w:val="24"/>
          <w:szCs w:val="24"/>
          <w:vertAlign w:val="superscript"/>
          <w:rtl w:val="0"/>
        </w:rPr>
        <w:t xml:space="preserve">8</w:t>
      </w:r>
      <w:r w:rsidDel="00000000" w:rsidR="00000000" w:rsidRPr="00000000">
        <w:rPr>
          <w:rFonts w:ascii="Times New Roman" w:cs="Times New Roman" w:eastAsia="Times New Roman" w:hAnsi="Times New Roman"/>
          <w:sz w:val="24"/>
          <w:szCs w:val="24"/>
          <w:rtl w:val="0"/>
        </w:rPr>
        <w:t xml:space="preserve">, Ali H. Ellebedy</w:t>
      </w:r>
      <w:r w:rsidDel="00000000" w:rsidR="00000000" w:rsidRPr="00000000">
        <w:rPr>
          <w:rFonts w:ascii="Times New Roman" w:cs="Times New Roman" w:eastAsia="Times New Roman" w:hAnsi="Times New Roman"/>
          <w:sz w:val="24"/>
          <w:szCs w:val="24"/>
          <w:vertAlign w:val="superscript"/>
          <w:rtl w:val="0"/>
        </w:rPr>
        <w:t xml:space="preserve">8</w:t>
      </w:r>
      <w:r w:rsidDel="00000000" w:rsidR="00000000" w:rsidRPr="00000000">
        <w:rPr>
          <w:rFonts w:ascii="Times New Roman" w:cs="Times New Roman" w:eastAsia="Times New Roman" w:hAnsi="Times New Roman"/>
          <w:sz w:val="24"/>
          <w:szCs w:val="24"/>
          <w:rtl w:val="0"/>
        </w:rPr>
        <w:t xml:space="preserve">, Kelli L. Hvorecny</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Gianluca Interlandi</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 Mark J. Cartwright</w:t>
      </w:r>
      <w:r w:rsidDel="00000000" w:rsidR="00000000" w:rsidRPr="00000000">
        <w:rPr>
          <w:rFonts w:ascii="Times New Roman" w:cs="Times New Roman" w:eastAsia="Times New Roman" w:hAnsi="Times New Roman"/>
          <w:sz w:val="24"/>
          <w:szCs w:val="24"/>
          <w:vertAlign w:val="superscript"/>
          <w:rtl w:val="0"/>
        </w:rPr>
        <w:t xml:space="preserve">10</w:t>
      </w:r>
      <w:r w:rsidDel="00000000" w:rsidR="00000000" w:rsidRPr="00000000">
        <w:rPr>
          <w:rFonts w:ascii="Times New Roman" w:cs="Times New Roman" w:eastAsia="Times New Roman" w:hAnsi="Times New Roman"/>
          <w:sz w:val="24"/>
          <w:szCs w:val="24"/>
          <w:rtl w:val="0"/>
        </w:rPr>
        <w:t xml:space="preserve">, Andyna Vernet</w:t>
      </w:r>
      <w:r w:rsidDel="00000000" w:rsidR="00000000" w:rsidRPr="00000000">
        <w:rPr>
          <w:rFonts w:ascii="Times New Roman" w:cs="Times New Roman" w:eastAsia="Times New Roman" w:hAnsi="Times New Roman"/>
          <w:sz w:val="24"/>
          <w:szCs w:val="24"/>
          <w:vertAlign w:val="superscript"/>
          <w:rtl w:val="0"/>
        </w:rPr>
        <w:t xml:space="preserve">10</w:t>
      </w:r>
      <w:r w:rsidDel="00000000" w:rsidR="00000000" w:rsidRPr="00000000">
        <w:rPr>
          <w:rFonts w:ascii="Times New Roman" w:cs="Times New Roman" w:eastAsia="Times New Roman" w:hAnsi="Times New Roman"/>
          <w:sz w:val="24"/>
          <w:szCs w:val="24"/>
          <w:rtl w:val="0"/>
        </w:rPr>
        <w:t xml:space="preserve">, Sarai Bardales</w:t>
      </w:r>
      <w:r w:rsidDel="00000000" w:rsidR="00000000" w:rsidRPr="00000000">
        <w:rPr>
          <w:rFonts w:ascii="Times New Roman" w:cs="Times New Roman" w:eastAsia="Times New Roman" w:hAnsi="Times New Roman"/>
          <w:sz w:val="24"/>
          <w:szCs w:val="24"/>
          <w:vertAlign w:val="superscript"/>
          <w:rtl w:val="0"/>
        </w:rPr>
        <w:t xml:space="preserve">10</w:t>
      </w:r>
      <w:r w:rsidDel="00000000" w:rsidR="00000000" w:rsidRPr="00000000">
        <w:rPr>
          <w:rFonts w:ascii="Times New Roman" w:cs="Times New Roman" w:eastAsia="Times New Roman" w:hAnsi="Times New Roman"/>
          <w:sz w:val="24"/>
          <w:szCs w:val="24"/>
          <w:rtl w:val="0"/>
        </w:rPr>
        <w:t xml:space="preserve">, Desmond White</w:t>
      </w:r>
      <w:r w:rsidDel="00000000" w:rsidR="00000000" w:rsidRPr="00000000">
        <w:rPr>
          <w:rFonts w:ascii="Times New Roman" w:cs="Times New Roman" w:eastAsia="Times New Roman" w:hAnsi="Times New Roman"/>
          <w:sz w:val="24"/>
          <w:szCs w:val="24"/>
          <w:vertAlign w:val="superscript"/>
          <w:rtl w:val="0"/>
        </w:rPr>
        <w:t xml:space="preserve">10</w:t>
      </w:r>
      <w:r w:rsidDel="00000000" w:rsidR="00000000" w:rsidRPr="00000000">
        <w:rPr>
          <w:rFonts w:ascii="Times New Roman" w:cs="Times New Roman" w:eastAsia="Times New Roman" w:hAnsi="Times New Roman"/>
          <w:sz w:val="24"/>
          <w:szCs w:val="24"/>
          <w:rtl w:val="0"/>
        </w:rPr>
        <w:t xml:space="preserve">, Rachel E. Klevit</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Evgeni V. Sokurenko</w:t>
      </w:r>
      <w:r w:rsidDel="00000000" w:rsidR="00000000" w:rsidRPr="00000000">
        <w:rPr>
          <w:rFonts w:ascii="Times New Roman" w:cs="Times New Roman" w:eastAsia="Times New Roman" w:hAnsi="Times New Roman"/>
          <w:sz w:val="24"/>
          <w:szCs w:val="24"/>
          <w:vertAlign w:val="superscript"/>
          <w:rtl w:val="0"/>
        </w:rPr>
        <w:t xml:space="preserve">7</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4"/>
          <w:szCs w:val="24"/>
          <w:rtl w:val="0"/>
        </w:rPr>
        <w:t xml:space="preserve">, Scott J. Hultgren</w:t>
      </w:r>
      <w:r w:rsidDel="00000000" w:rsidR="00000000" w:rsidRPr="00000000">
        <w:rPr>
          <w:rFonts w:ascii="Times New Roman" w:cs="Times New Roman" w:eastAsia="Times New Roman" w:hAnsi="Times New Roman"/>
          <w:sz w:val="24"/>
          <w:szCs w:val="24"/>
          <w:vertAlign w:val="superscript"/>
          <w:rtl w:val="0"/>
        </w:rPr>
        <w:t xml:space="preserve">5,6</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4"/>
          <w:szCs w:val="24"/>
          <w:rtl w:val="0"/>
        </w:rPr>
        <w:t xml:space="preserve">, and David Baker</w:t>
      </w:r>
      <w:r w:rsidDel="00000000" w:rsidR="00000000" w:rsidRPr="00000000">
        <w:rPr>
          <w:rFonts w:ascii="Times New Roman" w:cs="Times New Roman" w:eastAsia="Times New Roman" w:hAnsi="Times New Roman"/>
          <w:sz w:val="24"/>
          <w:szCs w:val="24"/>
          <w:vertAlign w:val="superscript"/>
          <w:rtl w:val="0"/>
        </w:rPr>
        <w:t xml:space="preserve">1,2,11</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06">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ind w:left="720"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4"/>
          <w:szCs w:val="24"/>
          <w:rtl w:val="0"/>
        </w:rPr>
        <w:t xml:space="preserve">Corresponding authors: David Baker (</w:t>
      </w:r>
      <w:hyperlink r:id="rId7">
        <w:r w:rsidDel="00000000" w:rsidR="00000000" w:rsidRPr="00000000">
          <w:rPr>
            <w:rFonts w:ascii="Times New Roman" w:cs="Times New Roman" w:eastAsia="Times New Roman" w:hAnsi="Times New Roman"/>
            <w:color w:val="1155cc"/>
            <w:sz w:val="24"/>
            <w:szCs w:val="24"/>
            <w:u w:val="single"/>
            <w:rtl w:val="0"/>
          </w:rPr>
          <w:t xml:space="preserve">dabaker@uw.edu</w:t>
        </w:r>
      </w:hyperlink>
      <w:r w:rsidDel="00000000" w:rsidR="00000000" w:rsidRPr="00000000">
        <w:rPr>
          <w:rFonts w:ascii="Times New Roman" w:cs="Times New Roman" w:eastAsia="Times New Roman" w:hAnsi="Times New Roman"/>
          <w:sz w:val="24"/>
          <w:szCs w:val="24"/>
          <w:rtl w:val="0"/>
        </w:rPr>
        <w:t xml:space="preserve">), Scott J. Hultgren (</w:t>
      </w:r>
      <w:hyperlink r:id="rId8">
        <w:r w:rsidDel="00000000" w:rsidR="00000000" w:rsidRPr="00000000">
          <w:rPr>
            <w:rFonts w:ascii="Times New Roman" w:cs="Times New Roman" w:eastAsia="Times New Roman" w:hAnsi="Times New Roman"/>
            <w:color w:val="1155cc"/>
            <w:sz w:val="24"/>
            <w:szCs w:val="24"/>
            <w:u w:val="single"/>
            <w:rtl w:val="0"/>
          </w:rPr>
          <w:t xml:space="preserve">hultgren@wustl.edu</w:t>
        </w:r>
      </w:hyperlink>
      <w:r w:rsidDel="00000000" w:rsidR="00000000" w:rsidRPr="00000000">
        <w:rPr>
          <w:rFonts w:ascii="Times New Roman" w:cs="Times New Roman" w:eastAsia="Times New Roman" w:hAnsi="Times New Roman"/>
          <w:sz w:val="24"/>
          <w:szCs w:val="24"/>
          <w:rtl w:val="0"/>
        </w:rPr>
        <w:t xml:space="preserve">), and Evgeni V. Sokurenko (</w:t>
      </w:r>
      <w:hyperlink r:id="rId9">
        <w:r w:rsidDel="00000000" w:rsidR="00000000" w:rsidRPr="00000000">
          <w:rPr>
            <w:rFonts w:ascii="Times New Roman" w:cs="Times New Roman" w:eastAsia="Times New Roman" w:hAnsi="Times New Roman"/>
            <w:color w:val="1155cc"/>
            <w:sz w:val="24"/>
            <w:szCs w:val="24"/>
            <w:u w:val="single"/>
            <w:rtl w:val="0"/>
          </w:rPr>
          <w:t xml:space="preserve">evs@uw.edu</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 </w:t>
      </w:r>
    </w:p>
    <w:p w:rsidR="00000000" w:rsidDel="00000000" w:rsidP="00000000" w:rsidRDefault="00000000" w:rsidRPr="00000000" w14:paraId="00000008">
      <w:pPr>
        <w:pStyle w:val="Heading3"/>
        <w:spacing w:after="0" w:before="0" w:lineRule="auto"/>
        <w:rPr>
          <w:rFonts w:ascii="Times New Roman" w:cs="Times New Roman" w:eastAsia="Times New Roman" w:hAnsi="Times New Roman"/>
          <w:b w:val="1"/>
          <w:color w:val="000000"/>
          <w:sz w:val="24"/>
          <w:szCs w:val="24"/>
        </w:rPr>
      </w:pPr>
      <w:bookmarkStart w:colFirst="0" w:colLast="0" w:name="_s1w9e4gzz9wd" w:id="1"/>
      <w:bookmarkEnd w:id="1"/>
      <w:r w:rsidDel="00000000" w:rsidR="00000000" w:rsidRPr="00000000">
        <w:rPr>
          <w:rtl w:val="0"/>
        </w:rPr>
      </w:r>
    </w:p>
    <w:p w:rsidR="00000000" w:rsidDel="00000000" w:rsidP="00000000" w:rsidRDefault="00000000" w:rsidRPr="00000000" w14:paraId="00000009">
      <w:pPr>
        <w:pStyle w:val="Heading3"/>
        <w:spacing w:after="0" w:before="0" w:lineRule="auto"/>
        <w:rPr>
          <w:rFonts w:ascii="Times New Roman" w:cs="Times New Roman" w:eastAsia="Times New Roman" w:hAnsi="Times New Roman"/>
          <w:b w:val="1"/>
          <w:color w:val="000000"/>
          <w:sz w:val="24"/>
          <w:szCs w:val="24"/>
        </w:rPr>
      </w:pPr>
      <w:bookmarkStart w:colFirst="0" w:colLast="0" w:name="_g9klpwhr9hj5" w:id="0"/>
      <w:bookmarkEnd w:id="0"/>
      <w:r w:rsidDel="00000000" w:rsidR="00000000" w:rsidRPr="00000000">
        <w:rPr>
          <w:rFonts w:ascii="Times New Roman" w:cs="Times New Roman" w:eastAsia="Times New Roman" w:hAnsi="Times New Roman"/>
          <w:b w:val="1"/>
          <w:color w:val="000000"/>
          <w:sz w:val="24"/>
          <w:szCs w:val="24"/>
          <w:rtl w:val="0"/>
        </w:rPr>
        <w:t xml:space="preserve">The PDF file includes:</w:t>
      </w:r>
    </w:p>
    <w:p w:rsidR="00000000" w:rsidDel="00000000" w:rsidP="00000000" w:rsidRDefault="00000000" w:rsidRPr="00000000" w14:paraId="0000000A">
      <w:pPr>
        <w:pStyle w:val="Heading3"/>
        <w:spacing w:after="0" w:before="0" w:lineRule="auto"/>
        <w:rPr>
          <w:rFonts w:ascii="Times New Roman" w:cs="Times New Roman" w:eastAsia="Times New Roman" w:hAnsi="Times New Roman"/>
          <w:b w:val="1"/>
          <w:color w:val="000000"/>
          <w:sz w:val="24"/>
          <w:szCs w:val="24"/>
        </w:rPr>
      </w:pPr>
      <w:bookmarkStart w:colFirst="0" w:colLast="0" w:name="_g9klpwhr9hj5" w:id="0"/>
      <w:bookmarkEnd w:id="0"/>
      <w:r w:rsidDel="00000000" w:rsidR="00000000" w:rsidRPr="00000000">
        <w:rPr>
          <w:rFonts w:ascii="Times New Roman" w:cs="Times New Roman" w:eastAsia="Times New Roman" w:hAnsi="Times New Roman"/>
          <w:b w:val="1"/>
          <w:color w:val="000000"/>
          <w:sz w:val="24"/>
          <w:szCs w:val="24"/>
          <w:rtl w:val="0"/>
        </w:rPr>
        <w:t xml:space="preserve"> </w:t>
      </w:r>
    </w:p>
    <w:p w:rsidR="00000000" w:rsidDel="00000000" w:rsidP="00000000" w:rsidRDefault="00000000" w:rsidRPr="00000000" w14:paraId="0000000B">
      <w:pPr>
        <w:pStyle w:val="Heading3"/>
        <w:spacing w:after="0" w:before="0" w:lineRule="auto"/>
        <w:ind w:left="720" w:firstLine="0"/>
        <w:rPr>
          <w:rFonts w:ascii="Times New Roman" w:cs="Times New Roman" w:eastAsia="Times New Roman" w:hAnsi="Times New Roman"/>
          <w:color w:val="000000"/>
          <w:sz w:val="24"/>
          <w:szCs w:val="24"/>
        </w:rPr>
      </w:pPr>
      <w:bookmarkStart w:colFirst="0" w:colLast="0" w:name="_g9klpwhr9hj5" w:id="0"/>
      <w:bookmarkEnd w:id="0"/>
      <w:r w:rsidDel="00000000" w:rsidR="00000000" w:rsidRPr="00000000">
        <w:rPr>
          <w:rFonts w:ascii="Times New Roman" w:cs="Times New Roman" w:eastAsia="Times New Roman" w:hAnsi="Times New Roman"/>
          <w:color w:val="000000"/>
          <w:sz w:val="24"/>
          <w:szCs w:val="24"/>
          <w:rtl w:val="0"/>
        </w:rPr>
        <w:t xml:space="preserve">Materials and Methods</w:t>
      </w:r>
    </w:p>
    <w:p w:rsidR="00000000" w:rsidDel="00000000" w:rsidP="00000000" w:rsidRDefault="00000000" w:rsidRPr="00000000" w14:paraId="0000000C">
      <w:pPr>
        <w:pStyle w:val="Heading3"/>
        <w:spacing w:after="0" w:before="0" w:lineRule="auto"/>
        <w:ind w:left="720" w:firstLine="0"/>
        <w:rPr>
          <w:rFonts w:ascii="Times New Roman" w:cs="Times New Roman" w:eastAsia="Times New Roman" w:hAnsi="Times New Roman"/>
          <w:color w:val="000000"/>
          <w:sz w:val="24"/>
          <w:szCs w:val="24"/>
        </w:rPr>
      </w:pPr>
      <w:bookmarkStart w:colFirst="0" w:colLast="0" w:name="_g9klpwhr9hj5" w:id="0"/>
      <w:bookmarkEnd w:id="0"/>
      <w:r w:rsidDel="00000000" w:rsidR="00000000" w:rsidRPr="00000000">
        <w:rPr>
          <w:rFonts w:ascii="Times New Roman" w:cs="Times New Roman" w:eastAsia="Times New Roman" w:hAnsi="Times New Roman"/>
          <w:color w:val="000000"/>
          <w:sz w:val="24"/>
          <w:szCs w:val="24"/>
          <w:rtl w:val="0"/>
        </w:rPr>
        <w:t xml:space="preserve">Figs. S1 to S17</w:t>
      </w:r>
    </w:p>
    <w:p w:rsidR="00000000" w:rsidDel="00000000" w:rsidP="00000000" w:rsidRDefault="00000000" w:rsidRPr="00000000" w14:paraId="0000000D">
      <w:pPr>
        <w:pStyle w:val="Heading3"/>
        <w:spacing w:after="0" w:before="0" w:lineRule="auto"/>
        <w:ind w:left="720" w:firstLine="0"/>
        <w:rPr>
          <w:rFonts w:ascii="Times New Roman" w:cs="Times New Roman" w:eastAsia="Times New Roman" w:hAnsi="Times New Roman"/>
          <w:b w:val="1"/>
          <w:color w:val="000000"/>
          <w:sz w:val="24"/>
          <w:szCs w:val="24"/>
        </w:rPr>
      </w:pPr>
      <w:bookmarkStart w:colFirst="0" w:colLast="0" w:name="_g9klpwhr9hj5" w:id="0"/>
      <w:bookmarkEnd w:id="0"/>
      <w:r w:rsidDel="00000000" w:rsidR="00000000" w:rsidRPr="00000000">
        <w:rPr>
          <w:rFonts w:ascii="Times New Roman" w:cs="Times New Roman" w:eastAsia="Times New Roman" w:hAnsi="Times New Roman"/>
          <w:color w:val="000000"/>
          <w:sz w:val="24"/>
          <w:szCs w:val="24"/>
          <w:rtl w:val="0"/>
        </w:rPr>
        <w:t xml:space="preserve">Tables S1 to S5</w:t>
      </w:r>
      <w:r w:rsidDel="00000000" w:rsidR="00000000" w:rsidRPr="00000000">
        <w:rPr>
          <w:rtl w:val="0"/>
        </w:rPr>
      </w:r>
    </w:p>
    <w:p w:rsidR="00000000" w:rsidDel="00000000" w:rsidP="00000000" w:rsidRDefault="00000000" w:rsidRPr="00000000" w14:paraId="0000000E">
      <w:pPr>
        <w:pStyle w:val="Heading3"/>
        <w:spacing w:after="240" w:before="240" w:lineRule="auto"/>
        <w:rPr>
          <w:rFonts w:ascii="Times New Roman" w:cs="Times New Roman" w:eastAsia="Times New Roman" w:hAnsi="Times New Roman"/>
          <w:b w:val="1"/>
          <w:color w:val="000000"/>
          <w:sz w:val="24"/>
          <w:szCs w:val="24"/>
        </w:rPr>
      </w:pPr>
      <w:bookmarkStart w:colFirst="0" w:colLast="0" w:name="_kh2ve3b1x9ta" w:id="2"/>
      <w:bookmarkEnd w:id="2"/>
      <w:r w:rsidDel="00000000" w:rsidR="00000000" w:rsidRPr="00000000">
        <w:rPr>
          <w:rtl w:val="0"/>
        </w:rPr>
      </w:r>
    </w:p>
    <w:p w:rsidR="00000000" w:rsidDel="00000000" w:rsidP="00000000" w:rsidRDefault="00000000" w:rsidRPr="00000000" w14:paraId="0000000F">
      <w:pPr>
        <w:pStyle w:val="Heading3"/>
        <w:spacing w:after="240" w:before="240" w:lineRule="auto"/>
        <w:rPr>
          <w:rFonts w:ascii="Times New Roman" w:cs="Times New Roman" w:eastAsia="Times New Roman" w:hAnsi="Times New Roman"/>
          <w:b w:val="1"/>
          <w:color w:val="000000"/>
          <w:sz w:val="24"/>
          <w:szCs w:val="24"/>
        </w:rPr>
      </w:pPr>
      <w:bookmarkStart w:colFirst="0" w:colLast="0" w:name="_xtp0q2r3umnt" w:id="3"/>
      <w:bookmarkEnd w:id="3"/>
      <w:r w:rsidDel="00000000" w:rsidR="00000000" w:rsidRPr="00000000">
        <w:rPr>
          <w:rtl w:val="0"/>
        </w:rPr>
      </w:r>
    </w:p>
    <w:p w:rsidR="00000000" w:rsidDel="00000000" w:rsidP="00000000" w:rsidRDefault="00000000" w:rsidRPr="00000000" w14:paraId="00000010">
      <w:pPr>
        <w:pStyle w:val="Heading3"/>
        <w:spacing w:after="240" w:before="240" w:lineRule="auto"/>
        <w:rPr>
          <w:rFonts w:ascii="Times New Roman" w:cs="Times New Roman" w:eastAsia="Times New Roman" w:hAnsi="Times New Roman"/>
          <w:b w:val="1"/>
          <w:color w:val="000000"/>
          <w:sz w:val="24"/>
          <w:szCs w:val="24"/>
        </w:rPr>
      </w:pPr>
      <w:bookmarkStart w:colFirst="0" w:colLast="0" w:name="_nn2c9r59shc1" w:id="4"/>
      <w:bookmarkEnd w:id="4"/>
      <w:r w:rsidDel="00000000" w:rsidR="00000000" w:rsidRPr="00000000">
        <w:rPr>
          <w:rtl w:val="0"/>
        </w:rPr>
      </w:r>
    </w:p>
    <w:p w:rsidR="00000000" w:rsidDel="00000000" w:rsidP="00000000" w:rsidRDefault="00000000" w:rsidRPr="00000000" w14:paraId="00000011">
      <w:pPr>
        <w:pStyle w:val="Heading3"/>
        <w:spacing w:after="240" w:before="240" w:lineRule="auto"/>
        <w:rPr>
          <w:rFonts w:ascii="Times New Roman" w:cs="Times New Roman" w:eastAsia="Times New Roman" w:hAnsi="Times New Roman"/>
          <w:b w:val="1"/>
          <w:color w:val="000000"/>
          <w:sz w:val="24"/>
          <w:szCs w:val="24"/>
        </w:rPr>
      </w:pPr>
      <w:bookmarkStart w:colFirst="0" w:colLast="0" w:name="_ilvmz3umz595" w:id="5"/>
      <w:bookmarkEnd w:id="5"/>
      <w:r w:rsidDel="00000000" w:rsidR="00000000" w:rsidRPr="00000000">
        <w:rPr>
          <w:rtl w:val="0"/>
        </w:rPr>
      </w:r>
    </w:p>
    <w:p w:rsidR="00000000" w:rsidDel="00000000" w:rsidP="00000000" w:rsidRDefault="00000000" w:rsidRPr="00000000" w14:paraId="00000012">
      <w:pPr>
        <w:pStyle w:val="Heading3"/>
        <w:spacing w:after="240" w:before="240" w:lineRule="auto"/>
        <w:rPr>
          <w:rFonts w:ascii="Times New Roman" w:cs="Times New Roman" w:eastAsia="Times New Roman" w:hAnsi="Times New Roman"/>
          <w:b w:val="1"/>
          <w:color w:val="000000"/>
          <w:sz w:val="24"/>
          <w:szCs w:val="24"/>
        </w:rPr>
      </w:pPr>
      <w:bookmarkStart w:colFirst="0" w:colLast="0" w:name="_tnd9oc54u493" w:id="6"/>
      <w:bookmarkEnd w:id="6"/>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pStyle w:val="Heading3"/>
        <w:spacing w:after="240" w:before="240" w:lineRule="auto"/>
        <w:rPr>
          <w:rFonts w:ascii="Times New Roman" w:cs="Times New Roman" w:eastAsia="Times New Roman" w:hAnsi="Times New Roman"/>
          <w:b w:val="1"/>
          <w:color w:val="000000"/>
          <w:sz w:val="24"/>
          <w:szCs w:val="24"/>
        </w:rPr>
      </w:pPr>
      <w:bookmarkStart w:colFirst="0" w:colLast="0" w:name="_m3rvm5qotih5" w:id="7"/>
      <w:bookmarkEnd w:id="7"/>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pStyle w:val="Heading3"/>
        <w:spacing w:after="240" w:before="240" w:lineRule="auto"/>
        <w:rPr>
          <w:rFonts w:ascii="Times New Roman" w:cs="Times New Roman" w:eastAsia="Times New Roman" w:hAnsi="Times New Roman"/>
          <w:b w:val="1"/>
          <w:color w:val="000000"/>
          <w:sz w:val="24"/>
          <w:szCs w:val="24"/>
        </w:rPr>
      </w:pPr>
      <w:bookmarkStart w:colFirst="0" w:colLast="0" w:name="_g9klpwhr9hj5" w:id="0"/>
      <w:bookmarkEnd w:id="0"/>
      <w:r w:rsidDel="00000000" w:rsidR="00000000" w:rsidRPr="00000000">
        <w:rPr>
          <w:rFonts w:ascii="Times New Roman" w:cs="Times New Roman" w:eastAsia="Times New Roman" w:hAnsi="Times New Roman"/>
          <w:b w:val="1"/>
          <w:color w:val="000000"/>
          <w:sz w:val="24"/>
          <w:szCs w:val="24"/>
          <w:rtl w:val="0"/>
        </w:rPr>
        <w:t xml:space="preserve">Materials and Methods</w:t>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Design</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Gungsuh" w:cs="Gungsuh" w:eastAsia="Gungsuh" w:hAnsi="Gungsuh"/>
          <w:sz w:val="24"/>
          <w:szCs w:val="24"/>
          <w:rtl w:val="0"/>
        </w:rPr>
        <w:t xml:space="preserve">Ten thousand backbone designs were generated per target using the target crystal structure as input (PDB codes; Abp1d: 8DEZ, Abp2d: 8DF0, FimH HAS: 1UWF, FimH LAS: 3JWN) as well as hotspots (Abp1d: residues 55/93/110, Abp2d: 55/93/110, FimH: residues 54/133/137/51 or 1/13/48/138 or 52/55/135/140/164) corresponding to the substrate binding pocket residues. 20 sequences were assigned per backbone with ProteinMPNN before AF2 filtering. Designs with pAE under 10 and pLDDT over 80 were then resampled using partial diffusion, followed by MPNN and AF2 as before. This partial diffusion process was repeated once more. Abp backbones were then filtered to confirm their proximity (residues within 5 Å of the hotspots) to these “hotspot” residues and their likelihood of forming stable monomers, assessed by secondary structure topology analysis.  Final designs were selected using AF2 Initial Guess metrics for the complex (pLDDT_binder ≥ 90, pAE_interaction ≤ 6.5), Rosetta interface metrics (DDG ≤ -30, SAP_score ≤ 40), and AF2 monomer metrics for the </w:t>
      </w:r>
      <w:r w:rsidDel="00000000" w:rsidR="00000000" w:rsidRPr="00000000">
        <w:rPr>
          <w:rFonts w:ascii="Times New Roman" w:cs="Times New Roman" w:eastAsia="Times New Roman" w:hAnsi="Times New Roman"/>
          <w:sz w:val="24"/>
          <w:szCs w:val="24"/>
          <w:rtl w:val="0"/>
        </w:rPr>
        <w:t xml:space="preserve">minibinder</w:t>
      </w:r>
      <w:r w:rsidDel="00000000" w:rsidR="00000000" w:rsidRPr="00000000">
        <w:rPr>
          <w:rFonts w:ascii="Gungsuh" w:cs="Gungsuh" w:eastAsia="Gungsuh" w:hAnsi="Gungsuh"/>
          <w:sz w:val="24"/>
          <w:szCs w:val="24"/>
          <w:rtl w:val="0"/>
        </w:rPr>
        <w:t xml:space="preserve"> alone (pLDDT_monomer ≥ 90). </w:t>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FimH expression, purification, and biotinylation</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The lectin domain plasmid, containing a gene for ampicillin resistance and a His-tag, was transformed into </w:t>
      </w:r>
      <w:r w:rsidDel="00000000" w:rsidR="00000000" w:rsidRPr="00000000">
        <w:rPr>
          <w:rFonts w:ascii="Times New Roman" w:cs="Times New Roman" w:eastAsia="Times New Roman" w:hAnsi="Times New Roman"/>
          <w:i w:val="1"/>
          <w:sz w:val="24"/>
          <w:szCs w:val="24"/>
          <w:rtl w:val="0"/>
        </w:rPr>
        <w:t xml:space="preserve">E. coli</w:t>
      </w:r>
      <w:r w:rsidDel="00000000" w:rsidR="00000000" w:rsidRPr="00000000">
        <w:rPr>
          <w:rFonts w:ascii="Times New Roman" w:cs="Times New Roman" w:eastAsia="Times New Roman" w:hAnsi="Times New Roman"/>
          <w:sz w:val="24"/>
          <w:szCs w:val="24"/>
          <w:rtl w:val="0"/>
        </w:rPr>
        <w:t xml:space="preserve"> BL21 cells and grown overnight at 37°C on LB agar plates supplemented with ampicillin (100 μg/mL). The resulting colonies were used to inoculate 1 L LB cultures supplemented with ampicillin, and the cultures were grown at 37°C with shaking at 200 rpm until reaching an optical density at 600 nm (OD₆₀₀) of 0.6–0.7. The temperature was then reduced to 22°C for 1 hour prior to induction with 0.5 mM IPTG, followed by overnight incubation at 22°C. Cells were harvested by centrifugation at 6000 rpm for 15 minutes at 4°C. Periplasmic extraction was performed using osmotic shock. Specifically, the cell pellet was resuspended in 20 mM Tris-HCl, pH 8.0, containing 30% (w/v) sucrose (buffer B) and incubated at 4°C for 1 hour. Cells were pelleted by centrifugation at 12,000 rpm and resuspended in 20 mM Tris-HCl, pH 8.0 (buffer C), and incubated at 4°C for 1 hour. The suspension was centrifuged at 16,000 rpm for 15 minutes, and the resulting supernatant was collected as the periplasmic extract. The lysate was applied to a gravity-flow nickel affinity column and washed with 20 mM NaH₂PO₄, 300 mM NaCl, pH 8.0 (buffer D). Bound protein was eluted with the same buffer containing 500 mM imidazole. The eluate was further purified by size-exclusion chromatography using a Superdex 75 column equilibrated with 20 mM Na₂HPO₄, 100 mM NaCl, and 0.5 µM EDTA pH 6.0 (buffer E). The purified protein was concentrated using a 10 kDa molecular weight cutoff (MWCO) centrifugal filter at 4000 × g. Protein concentration was determined by measuring absorbance at 280 nm using a NanoDrop.</w:t>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Abp expression, purification, and biotinylation</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The target receptor-binding domain proteins were expressed and purified from C600 </w:t>
      </w:r>
      <w:r w:rsidDel="00000000" w:rsidR="00000000" w:rsidRPr="00000000">
        <w:rPr>
          <w:rFonts w:ascii="Times New Roman" w:cs="Times New Roman" w:eastAsia="Times New Roman" w:hAnsi="Times New Roman"/>
          <w:i w:val="1"/>
          <w:sz w:val="24"/>
          <w:szCs w:val="24"/>
          <w:rtl w:val="0"/>
        </w:rPr>
        <w:t xml:space="preserve">E. coli</w:t>
      </w:r>
      <w:r w:rsidDel="00000000" w:rsidR="00000000" w:rsidRPr="00000000">
        <w:rPr>
          <w:rFonts w:ascii="Times New Roman" w:cs="Times New Roman" w:eastAsia="Times New Roman" w:hAnsi="Times New Roman"/>
          <w:sz w:val="24"/>
          <w:szCs w:val="24"/>
          <w:rtl w:val="0"/>
        </w:rPr>
        <w:t xml:space="preserve"> with expression plasmids as described previously.</w:t>
      </w:r>
      <w:hyperlink r:id="rId10">
        <w:r w:rsidDel="00000000" w:rsidR="00000000" w:rsidRPr="00000000">
          <w:rPr>
            <w:rFonts w:ascii="Times New Roman" w:cs="Times New Roman" w:eastAsia="Times New Roman" w:hAnsi="Times New Roman"/>
            <w:color w:val="1155cc"/>
            <w:sz w:val="24"/>
            <w:szCs w:val="24"/>
            <w:u w:val="single"/>
            <w:rtl w:val="0"/>
          </w:rPr>
          <w:t xml:space="preserve">(34)</w:t>
        </w:r>
      </w:hyperlink>
      <w:r w:rsidDel="00000000" w:rsidR="00000000" w:rsidRPr="00000000">
        <w:rPr>
          <w:rFonts w:ascii="Times New Roman" w:cs="Times New Roman" w:eastAsia="Times New Roman" w:hAnsi="Times New Roman"/>
          <w:sz w:val="24"/>
          <w:szCs w:val="24"/>
          <w:rtl w:val="0"/>
        </w:rPr>
        <w:t xml:space="preserve"> Briefly, protein was expressed by addition of 100 µm IPTG for 1 h and harvested by periplasmic extraction. RBD protein constructs and mutants were first purified by cobalt affinity chromatography, followed by cation (S) exchange chromatography. Purified protein was subsequently dialyzed or buffer exchanged into the appropriate buffer. Protein was then biotinylated using the EZ-Link</w:t>
      </w:r>
      <w:r w:rsidDel="00000000" w:rsidR="00000000" w:rsidRPr="00000000">
        <w:rPr>
          <w:rFonts w:ascii="Times New Roman" w:cs="Times New Roman" w:eastAsia="Times New Roman" w:hAnsi="Times New Roman"/>
          <w:sz w:val="24"/>
          <w:szCs w:val="24"/>
          <w:vertAlign w:val="superscript"/>
          <w:rtl w:val="0"/>
        </w:rPr>
        <w:t xml:space="preserve">TM</w:t>
      </w:r>
      <w:r w:rsidDel="00000000" w:rsidR="00000000" w:rsidRPr="00000000">
        <w:rPr>
          <w:rFonts w:ascii="Times New Roman" w:cs="Times New Roman" w:eastAsia="Times New Roman" w:hAnsi="Times New Roman"/>
          <w:sz w:val="24"/>
          <w:szCs w:val="24"/>
          <w:rtl w:val="0"/>
        </w:rPr>
        <w:t xml:space="preserve"> NHS-PEG4 Biotinylation Kit (ThermoFisher, Cat#A39259) according to the manufacturer’s instructions.</w:t>
      </w:r>
    </w:p>
    <w:p w:rsidR="00000000" w:rsidDel="00000000" w:rsidP="00000000" w:rsidRDefault="00000000" w:rsidRPr="00000000" w14:paraId="0000001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cDNA display</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cDNA display was performed similarly to previously reported protocols for cDNA display</w:t>
      </w:r>
      <w:hyperlink r:id="rId11">
        <w:r w:rsidDel="00000000" w:rsidR="00000000" w:rsidRPr="00000000">
          <w:rPr>
            <w:rFonts w:ascii="Times New Roman" w:cs="Times New Roman" w:eastAsia="Times New Roman" w:hAnsi="Times New Roman"/>
            <w:color w:val="1155cc"/>
            <w:sz w:val="24"/>
            <w:szCs w:val="24"/>
            <w:u w:val="single"/>
            <w:rtl w:val="0"/>
          </w:rPr>
          <w:t xml:space="preserve">(45)</w:t>
        </w:r>
      </w:hyperlink>
      <w:r w:rsidDel="00000000" w:rsidR="00000000" w:rsidRPr="00000000">
        <w:rPr>
          <w:rFonts w:ascii="Times New Roman" w:cs="Times New Roman" w:eastAsia="Times New Roman" w:hAnsi="Times New Roman"/>
          <w:sz w:val="24"/>
          <w:szCs w:val="24"/>
          <w:rtl w:val="0"/>
        </w:rPr>
        <w:t xml:space="preserve"> and Click Display</w:t>
      </w:r>
      <w:hyperlink r:id="rId12">
        <w:r w:rsidDel="00000000" w:rsidR="00000000" w:rsidRPr="00000000">
          <w:rPr>
            <w:rFonts w:ascii="Times New Roman" w:cs="Times New Roman" w:eastAsia="Times New Roman" w:hAnsi="Times New Roman"/>
            <w:color w:val="1155cc"/>
            <w:sz w:val="24"/>
            <w:szCs w:val="24"/>
            <w:u w:val="single"/>
            <w:rtl w:val="0"/>
          </w:rPr>
          <w:t xml:space="preserve">(46)</w:t>
        </w:r>
      </w:hyperlink>
      <w:r w:rsidDel="00000000" w:rsidR="00000000" w:rsidRPr="00000000">
        <w:rPr>
          <w:rFonts w:ascii="Times New Roman" w:cs="Times New Roman" w:eastAsia="Times New Roman" w:hAnsi="Times New Roman"/>
          <w:sz w:val="24"/>
          <w:szCs w:val="24"/>
          <w:rtl w:val="0"/>
        </w:rPr>
        <w:t xml:space="preserve">, with major modifications. Note that the protocol used here was in development at the time of this project and may not represent the most efficient version of cDNA display, but it was sufficient for our work to identify binders. First, the library was amplified from Agilent oligo pool DNA using primers ACH_OLG_85_pETCON_F and ACH_OLG_86_pETCON_R and Kapa HiFi polymerase with 1× EvaGreen following the manufacturer’s instructions. A BioRAD C1000 Touch CFX96 Real-Time thermocycler was used to track amplification progress: hot‐start activation at 95°C for 2 min; 39 cycles of 98°C for 20 s (denaturation), 65°C for 15 s (annealing), and 72°C for 45 s (extension); and a final extension at 72°C for 30 s. An initial test reaction determined the cycle at which amplification was complete, and a second scaled reaction (50 µL) was stopped at the cycle corresponding to half of the maximum fluorescence signal observed in the test run. The product size was then verified on a 1 % agarose gel, and the library was purified using SPRIselect Bead-Based Reagent before elution in nuclease‐free water following the manufacturer’s instructions. For Golden Gate assembly, a 15 µL reaction containing the lCD9_1-3_inner (genbank file and sequence provided in supplementary data file XX) backbone (11 ng/µL) and the insert library (3.75 ng/µL) was incubated at 37°C for 1 h, followed by heat inactivation at 65°C for 5 min. Next, 0.75 µL of this Golden Gate reaction was added to a 50 µL Q5 PCR reaction (NEBNext Q5 Ultra II) using an annealing temperature of 65°C, and the mixture was amplified for 10 cycles. The final design library, which reintroduced the T7 promoter and display elements, was quantified by agarose gel and used without further purification in subsequent PUREfrex reactions.  For </w:t>
      </w:r>
      <w:r w:rsidDel="00000000" w:rsidR="00000000" w:rsidRPr="00000000">
        <w:rPr>
          <w:rFonts w:ascii="Times New Roman" w:cs="Times New Roman" w:eastAsia="Times New Roman" w:hAnsi="Times New Roman"/>
          <w:i w:val="1"/>
          <w:sz w:val="24"/>
          <w:szCs w:val="24"/>
          <w:rtl w:val="0"/>
        </w:rPr>
        <w:t xml:space="preserve">in vitro</w:t>
      </w:r>
      <w:r w:rsidDel="00000000" w:rsidR="00000000" w:rsidRPr="00000000">
        <w:rPr>
          <w:rFonts w:ascii="Times New Roman" w:cs="Times New Roman" w:eastAsia="Times New Roman" w:hAnsi="Times New Roman"/>
          <w:sz w:val="24"/>
          <w:szCs w:val="24"/>
          <w:rtl w:val="0"/>
        </w:rPr>
        <w:t xml:space="preserve"> transcription, translation, and mRNA–peptide conjugation, PUREfrex components were thawed on ice. In a low-binding PCR tube, a 25 µL PUREfrex reaction was assembled by combining 22.5 µL of PUREfrex Reaction Mix (including DnaK Mix used as a 20x stock), 2.5 µL of library DNA (approximately 15–25 ng), and 2 µM puromycin-modified cDNA oligo (which was prepared in the same manner as reported in click display.</w:t>
      </w:r>
      <w:hyperlink r:id="rId13">
        <w:r w:rsidDel="00000000" w:rsidR="00000000" w:rsidRPr="00000000">
          <w:rPr>
            <w:rFonts w:ascii="Times New Roman" w:cs="Times New Roman" w:eastAsia="Times New Roman" w:hAnsi="Times New Roman"/>
            <w:color w:val="1155cc"/>
            <w:sz w:val="24"/>
            <w:szCs w:val="24"/>
            <w:u w:val="single"/>
            <w:rtl w:val="0"/>
          </w:rPr>
          <w:t xml:space="preserve">(46)</w:t>
        </w:r>
      </w:hyperlink>
      <w:r w:rsidDel="00000000" w:rsidR="00000000" w:rsidRPr="00000000">
        <w:rPr>
          <w:rFonts w:ascii="Gungsuh" w:cs="Gungsuh" w:eastAsia="Gungsuh" w:hAnsi="Gungsuh"/>
          <w:sz w:val="24"/>
          <w:szCs w:val="24"/>
          <w:rtl w:val="0"/>
        </w:rPr>
        <w:t xml:space="preserve"> The tube was gently mixed, spun briefly (≤ 1,000×g for 10 s), then incubated at 37°C for 20 minutes to allow coupled transcription and translation. Without cooling, the reaction was immediately exposed to 365 nm UV light (UVP UVL-28 EL Series UV Lamp, 95-0248-01) for 30 seconds to induce covalent linkage between the mRNA and the puromycin moiety. Next, 0.5 U/µL AcuI restriction enzyme and 1 µL GroEL/GroES chaperonin complex (GroE Mix used as a 20x stock) were added directly to the reaction, which was incubated at 37°C for 40 minutes and then at room temperature (~ 23°C) for 20 minutes to promote proper folding of displayed peptides. Ribosome dissociation was achieved by adding EDTA (pH 8.0) to a final concentration of 30 mM and incubating at room temperature for 5 minutes to chelate Mg²⁺. MgCl₂ was then added to 30 mM to quench the remaining EDTA, followed by another 5-minute incubation at room temperature. Immediately thereafter, reverse transcription was initiated by diluting the reaction (42.5 µL) to 150 µL in SuperScript IV master mix (final concentrations of 1x SuperScript IV Buffer, 0.5 mM dNTPs, 10 mM DTT, and 2.66 U/μL SuperScript IV RT enzyme). The mixture was incubated at 50°C for 30 minutes. To purify the resulting cDNA–protein fusions via their N-terminal His-tags, the reverse transcription reaction was first diluted with 350 µL His Binding Buffer (10 mM Imidazole, 12 mM Phosphate, 500 mM Sodium Chloride, 2.7 mM Potassium Chloride, pH 7.4) and desalted using a 30 kDa cutoff Amicon spin concentrator and centrifuged at 14,000×g for 5 minutes at 4°C to reduce DTT concentration below 1 mM (for the His Mag Sepharose Beads). His Mag Sepharose Ni Beads were blocked with 100 µL of Starting Block buffer for 20 minutes before use. The retentate (~ 50 µL) was then incubated with blocked His Mag Sepharose Ni beads (50 µL bead slurry per 25 µL starting PUREfrex reaction) in His Binding Buffer for 1 minute. Beads were collected on a magnetic rack, washed four times with 100 µL Starting Block plus Tween and DNA buffer (SBTD, 1x Starting Block Buffer pH 7.4, 0.05 % Tween-20, 0.3 mg/mL sheared salmon sperm DNA) to remove unbound material, and then incubated in 100 µL His Elution Buffer (500 mM Imidazole, 12 mM Phosphate, 500 mM Sodium Chloride, 2.7 mM Potassium Chloride, pH 7.4) for 5 minutes at room temperature. The eluate containing purified cDNA–protein fusions was transferred to a fresh tube and subjected to three consecutive spin/dilute cycles (14,000×g, 15 minutes, 4°C) with 400 µL 1x PBS buffer pH 7.4 (137 mM NaCl, 2.7 mM KCl, 8 mM Na2HPO4, and 2 mM KH2PO4) each time to lower the imidazole concentration. For affinity panning, 10 µL Dynabeads Streptavidin T1 were transferred to a PCR tube and blocked with 100 µL Starting Block Buffer for 20 minutes on a rotator at room temperature. After placing the beads on a magnetic rack and discarding the supernatant, they were washed once with 100 µL SBTD buffer. The beads were then incubated with 100 µL SBTD containing 1000 nM biotinylated FimH (either the high‐affinity wild-type (HAS) or the V27C/L34C low-affinity mutant (LAS)) for 20 minutes at room temperature to immobilize the target via streptavidin–biotin binding. After removing the unbound target and washing once with SBTD, the beads were resuspended in 100 µL SBTD containing the purified cDNA–protein fusions and incubated for 10 minutes at room temperature. Beads were washed four times with 100 µL SBTD on the magnetic separator, then transferred to a fresh tube after the final wash. To recover bound cDNA templates, beads were resuspended in 42 µL 10 mM Tris buffer pH 8. For downstream library regeneration, two parallel PCRs were performed on 2 µL of the panned bead slurry: one “regeneration” PCR to reintroduce T7 promoter and display elements (primers ACH_OLG_16_lCD_template_full_1_R and ACH_OLG_28_lCD_template_full_3_F), and one “NGS” PCR with primers containing Illumina overhangs (ACH_OLG_68 to ACH_OLG_75 in an equimolar mix). NGS primers contained a blend of differing length N bases to improve read quality.</w:t>
      </w:r>
      <w:hyperlink r:id="rId14">
        <w:r w:rsidDel="00000000" w:rsidR="00000000" w:rsidRPr="00000000">
          <w:rPr>
            <w:rFonts w:ascii="Times New Roman" w:cs="Times New Roman" w:eastAsia="Times New Roman" w:hAnsi="Times New Roman"/>
            <w:color w:val="1155cc"/>
            <w:sz w:val="24"/>
            <w:szCs w:val="24"/>
            <w:u w:val="single"/>
            <w:rtl w:val="0"/>
          </w:rPr>
          <w:t xml:space="preserve">(47)</w:t>
        </w:r>
      </w:hyperlink>
      <w:r w:rsidDel="00000000" w:rsidR="00000000" w:rsidRPr="00000000">
        <w:rPr>
          <w:rFonts w:ascii="Times New Roman" w:cs="Times New Roman" w:eastAsia="Times New Roman" w:hAnsi="Times New Roman"/>
          <w:sz w:val="24"/>
          <w:szCs w:val="24"/>
          <w:rtl w:val="0"/>
        </w:rPr>
        <w:t xml:space="preserve"> Each 50 µL PCR contained 2 µL bead slurry, 25 µL NEBNext Q5 Ultra II 2× Master Mix, and 0.5 µM of each primer, with cycling conditions of 98°C for 30 seconds, 25 cycles of 98°C for 10 seconds/60°C for 20 seconds/72°C for 20 seconds, and a final extension at 72°C for 2 minutes. PCR products were verified on a 2 % agarose gel, gel-purified if necessary, and quantified by Qubit. The “Regeneration” amplicon was used directly in the next round of PUREfrex display without purification, while the “NGS” amplicon was submitted for high-throughput sequencing via Illumina MiSeq. Three total rounds of selection were performed, each with 1000 nM of either HAS or LAS antigens. Throughout the process, library recovery after antigen pull-down was monitored by qPCR but was not used for decision-making about when to stop performing selections. qPCR was performed on a BioRAD C1000 Touch CFX96 Real-Time thermocycler using the Luna® Universal Probe qPCR Master Mix from NEB following the manufacturer's instructions. Primers ACH_OLG_9_lCD_qPCR_F, ACH_OLG_10_lCD_qPCR_R, and ACH_OLG_11_lCD_qPCR_P were used to quantify the total amount of recovered display product. 2 μL of the bead slurry containing recovered displayed proteins was diluted in 78 μL of 10 mM Tris buffer pH 8. For qPCR reactions, 4 μL of this dilution was used in a 10 μL qPCR reaction.</w:t>
      </w:r>
    </w:p>
    <w:p w:rsidR="00000000" w:rsidDel="00000000" w:rsidP="00000000" w:rsidRDefault="00000000" w:rsidRPr="00000000" w14:paraId="0000002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Yeast surface display:</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For the yeast transformation, 50–60 ng of pETcon3, digested with NdeI and XhoI restriction enzymes, and 100 ng of the insert (PCR amplified from Twist oligonucleotide chip) were transformed into Saccharomyces cerevisiae EBY100 following the protocol previously described.</w:t>
      </w:r>
      <w:hyperlink r:id="rId15">
        <w:r w:rsidDel="00000000" w:rsidR="00000000" w:rsidRPr="00000000">
          <w:rPr>
            <w:rFonts w:ascii="Times New Roman" w:cs="Times New Roman" w:eastAsia="Times New Roman" w:hAnsi="Times New Roman"/>
            <w:color w:val="1155cc"/>
            <w:sz w:val="24"/>
            <w:szCs w:val="24"/>
            <w:u w:val="single"/>
            <w:rtl w:val="0"/>
          </w:rPr>
          <w:t xml:space="preserve">(2)</w:t>
        </w:r>
      </w:hyperlink>
      <w:r w:rsidDel="00000000" w:rsidR="00000000" w:rsidRPr="00000000">
        <w:rPr>
          <w:rFonts w:ascii="Times New Roman" w:cs="Times New Roman" w:eastAsia="Times New Roman" w:hAnsi="Times New Roman"/>
          <w:sz w:val="24"/>
          <w:szCs w:val="24"/>
          <w:rtl w:val="0"/>
        </w:rPr>
        <w:t xml:space="preserve"> EBY100 cultures were cultivated in C-Trp-Ura medium with 2% (w/v) glucose (CTUG). To induce expression, yeast cells initially grown in </w:t>
      </w:r>
      <w:r w:rsidDel="00000000" w:rsidR="00000000" w:rsidRPr="00000000">
        <w:rPr>
          <w:rFonts w:ascii="Times New Roman" w:cs="Times New Roman" w:eastAsia="Times New Roman" w:hAnsi="Times New Roman"/>
          <w:sz w:val="24"/>
          <w:szCs w:val="24"/>
          <w:rtl w:val="0"/>
        </w:rPr>
        <w:t xml:space="preserve">CTUG</w:t>
      </w:r>
      <w:r w:rsidDel="00000000" w:rsidR="00000000" w:rsidRPr="00000000">
        <w:rPr>
          <w:rFonts w:ascii="Times New Roman" w:cs="Times New Roman" w:eastAsia="Times New Roman" w:hAnsi="Times New Roman"/>
          <w:sz w:val="24"/>
          <w:szCs w:val="24"/>
          <w:rtl w:val="0"/>
        </w:rPr>
        <w:t xml:space="preserve"> were transferred to SGCAA medium with 0.2% (w/v) glucose and induced at 30°C for 16–24 h. During the “expression” sort, the induced yeast cells were washed with PBSF (PBS with 1% (w/v) BSA), stained for 30 minutes with a FITC-conjugated anti-Myc antibody and PE-conjugated streptavidin (SAPE) in the absence of a biotinylated ligand, and the FITC-positive/PE-negative population was collected using a FACS sorter (Sony).  The expression sort helps remove yeast cells that are not expressing any designed protein and cells that nonspecifically bind SAPE.  For sorts 1 and 2, induced cells were stained with avidity (coincubation with SAPE) at room temperature for 30 minutes using 1 µM of biotinylated adhesin targets and FITC Anti-Myc mAb. Subsequently, cells were washed, and resuspended in </w:t>
      </w:r>
      <w:r w:rsidDel="00000000" w:rsidR="00000000" w:rsidRPr="00000000">
        <w:rPr>
          <w:rFonts w:ascii="Times New Roman" w:cs="Times New Roman" w:eastAsia="Times New Roman" w:hAnsi="Times New Roman"/>
          <w:sz w:val="24"/>
          <w:szCs w:val="24"/>
          <w:rtl w:val="0"/>
        </w:rPr>
        <w:t xml:space="preserve">PBSF</w:t>
      </w:r>
      <w:r w:rsidDel="00000000" w:rsidR="00000000" w:rsidRPr="00000000">
        <w:rPr>
          <w:rFonts w:ascii="Times New Roman" w:cs="Times New Roman" w:eastAsia="Times New Roman" w:hAnsi="Times New Roman"/>
          <w:sz w:val="24"/>
          <w:szCs w:val="24"/>
          <w:rtl w:val="0"/>
        </w:rPr>
        <w:t xml:space="preserve">, and individually sorted based on each target on a FACS sorter. For sort 3, cells were stained without avidity first at room temperature for 30 minutes using 10-fold titrations of biotinylated adhesin targets (from 100 nM to 1 nM), followed by subsequent washes in PBSF, and then stained for an additional 30 minutes at room temperature with SAPE and FITC Anti-Myc mAb. Again, the stained cells were washed, resuspended in </w:t>
      </w:r>
      <w:r w:rsidDel="00000000" w:rsidR="00000000" w:rsidRPr="00000000">
        <w:rPr>
          <w:rFonts w:ascii="Times New Roman" w:cs="Times New Roman" w:eastAsia="Times New Roman" w:hAnsi="Times New Roman"/>
          <w:sz w:val="24"/>
          <w:szCs w:val="24"/>
          <w:rtl w:val="0"/>
        </w:rPr>
        <w:t xml:space="preserve">PBSF</w:t>
      </w:r>
      <w:r w:rsidDel="00000000" w:rsidR="00000000" w:rsidRPr="00000000">
        <w:rPr>
          <w:rFonts w:ascii="Times New Roman" w:cs="Times New Roman" w:eastAsia="Times New Roman" w:hAnsi="Times New Roman"/>
          <w:sz w:val="24"/>
          <w:szCs w:val="24"/>
          <w:rtl w:val="0"/>
        </w:rPr>
        <w:t xml:space="preserve">, and individually sorted based on each target on a FACS sorter.  Sorted cells were then grown to saturation in </w:t>
      </w:r>
      <w:r w:rsidDel="00000000" w:rsidR="00000000" w:rsidRPr="00000000">
        <w:rPr>
          <w:rFonts w:ascii="Times New Roman" w:cs="Times New Roman" w:eastAsia="Times New Roman" w:hAnsi="Times New Roman"/>
          <w:sz w:val="24"/>
          <w:szCs w:val="24"/>
          <w:rtl w:val="0"/>
        </w:rPr>
        <w:t xml:space="preserve">CTUG</w:t>
      </w:r>
      <w:r w:rsidDel="00000000" w:rsidR="00000000" w:rsidRPr="00000000">
        <w:rPr>
          <w:rFonts w:ascii="Times New Roman" w:cs="Times New Roman" w:eastAsia="Times New Roman" w:hAnsi="Times New Roman"/>
          <w:sz w:val="24"/>
          <w:szCs w:val="24"/>
          <w:rtl w:val="0"/>
        </w:rPr>
        <w:t xml:space="preserve">, harvested, and samples were prepared from them for next generation sequencing on a MiSeq (Illumina).</w:t>
      </w:r>
    </w:p>
    <w:p w:rsidR="00000000" w:rsidDel="00000000" w:rsidP="00000000" w:rsidRDefault="00000000" w:rsidRPr="00000000" w14:paraId="0000002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Minibinder protein expression and purification:</w:t>
      </w:r>
      <w:r w:rsidDel="00000000" w:rsidR="00000000" w:rsidRPr="00000000">
        <w:rPr>
          <w:rFonts w:ascii="Times New Roman" w:cs="Times New Roman" w:eastAsia="Times New Roman" w:hAnsi="Times New Roman"/>
          <w:sz w:val="24"/>
          <w:szCs w:val="24"/>
          <w:rtl w:val="0"/>
        </w:rPr>
        <w:t xml:space="preserve">  Minibinders were expressed in </w:t>
      </w:r>
      <w:r w:rsidDel="00000000" w:rsidR="00000000" w:rsidRPr="00000000">
        <w:rPr>
          <w:rFonts w:ascii="Times New Roman" w:cs="Times New Roman" w:eastAsia="Times New Roman" w:hAnsi="Times New Roman"/>
          <w:i w:val="1"/>
          <w:sz w:val="24"/>
          <w:szCs w:val="24"/>
          <w:rtl w:val="0"/>
        </w:rPr>
        <w:t xml:space="preserve">E. coli</w:t>
      </w:r>
      <w:r w:rsidDel="00000000" w:rsidR="00000000" w:rsidRPr="00000000">
        <w:rPr>
          <w:rFonts w:ascii="Times New Roman" w:cs="Times New Roman" w:eastAsia="Times New Roman" w:hAnsi="Times New Roman"/>
          <w:sz w:val="24"/>
          <w:szCs w:val="24"/>
          <w:rtl w:val="0"/>
        </w:rPr>
        <w:t xml:space="preserve"> BL21 (NEB). Briefly, the DNA fragments encoding the design sequences were assembled into pET-29 vectors via BsaI golden gate assembly (NEB) and further transformed into BL21 strain with heat-shock.  Protein expression was induced by the autoinduction system, and proteins were purified with immobilized metal affinity chromatography (IMAC). The elutions were further purified by FPLC SEC using Superdex 75 10/300 GL or Superdex 10/300 200 columns (GE Healthcare). Protein concentrations were determined by NanoDrop (Thermo Scientific) and normalized by extinction coefficients. Proteins were diluted to the appropriate concentrations in 1x PBS (for cell assays) or 1X HBS-EP+ buffer (for binding assays).  Endotoxin was removed during protein production for the </w:t>
      </w:r>
      <w:r w:rsidDel="00000000" w:rsidR="00000000" w:rsidRPr="00000000">
        <w:rPr>
          <w:rFonts w:ascii="Times New Roman" w:cs="Times New Roman" w:eastAsia="Times New Roman" w:hAnsi="Times New Roman"/>
          <w:i w:val="1"/>
          <w:sz w:val="24"/>
          <w:szCs w:val="24"/>
          <w:rtl w:val="0"/>
        </w:rPr>
        <w:t xml:space="preserve">in vivo</w:t>
      </w:r>
      <w:r w:rsidDel="00000000" w:rsidR="00000000" w:rsidRPr="00000000">
        <w:rPr>
          <w:rFonts w:ascii="Times New Roman" w:cs="Times New Roman" w:eastAsia="Times New Roman" w:hAnsi="Times New Roman"/>
          <w:sz w:val="24"/>
          <w:szCs w:val="24"/>
          <w:rtl w:val="0"/>
        </w:rPr>
        <w:t xml:space="preserve"> studies, following previously described methods </w:t>
      </w:r>
      <w:hyperlink r:id="rId16">
        <w:r w:rsidDel="00000000" w:rsidR="00000000" w:rsidRPr="00000000">
          <w:rPr>
            <w:rFonts w:ascii="Times New Roman" w:cs="Times New Roman" w:eastAsia="Times New Roman" w:hAnsi="Times New Roman"/>
            <w:color w:val="1155cc"/>
            <w:sz w:val="24"/>
            <w:szCs w:val="24"/>
            <w:u w:val="single"/>
            <w:rtl w:val="0"/>
          </w:rPr>
          <w:t xml:space="preserve">(48)</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Circular dichroism and thermal melts:</w:t>
      </w:r>
      <w:r w:rsidDel="00000000" w:rsidR="00000000" w:rsidRPr="00000000">
        <w:rPr>
          <w:rFonts w:ascii="Times New Roman" w:cs="Times New Roman" w:eastAsia="Times New Roman" w:hAnsi="Times New Roman"/>
          <w:sz w:val="24"/>
          <w:szCs w:val="24"/>
          <w:rtl w:val="0"/>
        </w:rPr>
        <w:t xml:space="preserve">  The secondary structure content was evaluated by CD in a Jasco J-1500 CD spectrometer coupled to a Peltier system (EXOS) for temperature control. The experiments were performed on quartz cells with an optical path of 0.1 cm, covering a wavelength range of 200–260 nm. The CD signal was reported as molar ellipticity (MRE). The thermal unfolding experiments were followed by a change in the ellipticity signal at 222 nm as a function of temperature. Proteins were denatured by heating at 1 °C per minute from 20 to 95 °C.</w:t>
      </w: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SPR binding assays:</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SPR experiments were conducted using a Biacore™ 8K instrument (Cytiva) and analyzed with the accompanying evaluation software. Biotinylated adhesins were immobilized on a streptavidin sensor chip (Cytiva) at a concentration of 0.4 μg/ml for Abp1D/Abp2D and 1.2 μg/ml for high-affinity state wild-type FimH and a low-affinity state mutant (L34K). Increasing concentrations of protein binders were flown over the chip in 1X HBS-EP+ buffer (Cytiva). Final fits were performed with Biacore™ Insight Software (Cytiva). FimH HAS fits were performed using the two-state reaction model. All other fits were done using the 1:1 binding model.</w:t>
      </w:r>
    </w:p>
    <w:p w:rsidR="00000000" w:rsidDel="00000000" w:rsidP="00000000" w:rsidRDefault="00000000" w:rsidRPr="00000000" w14:paraId="0000002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Crystallization sample prep and analysis:</w:t>
      </w:r>
      <w:r w:rsidDel="00000000" w:rsidR="00000000" w:rsidRPr="00000000">
        <w:rPr>
          <w:rFonts w:ascii="Times New Roman" w:cs="Times New Roman" w:eastAsia="Times New Roman" w:hAnsi="Times New Roman"/>
          <w:sz w:val="24"/>
          <w:szCs w:val="24"/>
          <w:rtl w:val="0"/>
        </w:rPr>
        <w:t xml:space="preserve"> Crystallization experiments for the binder complex were conducted using the sitting drop (for F7-FimH) or hanging drop (for A7-Abp2D) vapor diffusion method. Crystallization trials were set up in 200 nL drops using a 96-well format by Mosquito LCP from SPT Labtech. Crystal drops were imaged using the UVEX crystal plate hotel system by JANSi. For F7-FimH, diffraction quality crystals appeared in 0.2 M Sodium malonate, pH 7.0, 20% w/v Polyethylene glycol 3,350. Crystals were flash-cooled in liquid nitrogen before shipping to the synchrotron for diffraction experiments. Diffraction data were collected at the NSLS2 beamline FMX (17-ID-2). For A7-Abp2D, crystals appeared in 0.1M Sodium acetate, pH 4.6, 0.15 M Ammonium acetate, and 25% PEG4000. Diffraction data were collected at the ALS 4.2.2 beamline. X-ray intensities and data reduction were evaluated and integrated by XDS and merged/scaled by Pointless/Aimless in the CCP4i2 program suite. Structure determined by molecular replacement using a designed model using Phaser. Following molecular replacement, the model was improved and refined by Phenix. Model building was performed by COOT in between refinement cycles.</w:t>
      </w:r>
    </w:p>
    <w:p w:rsidR="00000000" w:rsidDel="00000000" w:rsidP="00000000" w:rsidRDefault="00000000" w:rsidRPr="00000000" w14:paraId="0000002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NMR Sample Preparation, Data Collection, and Analysis: </w:t>
      </w:r>
      <w:r w:rsidDel="00000000" w:rsidR="00000000" w:rsidRPr="00000000">
        <w:rPr>
          <w:rFonts w:ascii="Times New Roman" w:cs="Times New Roman" w:eastAsia="Times New Roman" w:hAnsi="Times New Roman"/>
          <w:sz w:val="24"/>
          <w:szCs w:val="24"/>
          <w:vertAlign w:val="superscript"/>
          <w:rtl w:val="0"/>
        </w:rPr>
        <w:t xml:space="preserve">15</w:t>
      </w:r>
      <w:r w:rsidDel="00000000" w:rsidR="00000000" w:rsidRPr="00000000">
        <w:rPr>
          <w:rFonts w:ascii="Times New Roman" w:cs="Times New Roman" w:eastAsia="Times New Roman" w:hAnsi="Times New Roman"/>
          <w:sz w:val="24"/>
          <w:szCs w:val="24"/>
          <w:rtl w:val="0"/>
        </w:rPr>
        <w:t xml:space="preserve">N-labeled FimH lectin domain (LD) was expressed in </w:t>
      </w:r>
      <w:r w:rsidDel="00000000" w:rsidR="00000000" w:rsidRPr="00000000">
        <w:rPr>
          <w:rFonts w:ascii="Times New Roman" w:cs="Times New Roman" w:eastAsia="Times New Roman" w:hAnsi="Times New Roman"/>
          <w:i w:val="1"/>
          <w:sz w:val="24"/>
          <w:szCs w:val="24"/>
          <w:rtl w:val="0"/>
        </w:rPr>
        <w:t xml:space="preserve">E. coli</w:t>
      </w:r>
      <w:r w:rsidDel="00000000" w:rsidR="00000000" w:rsidRPr="00000000">
        <w:rPr>
          <w:rFonts w:ascii="Times New Roman" w:cs="Times New Roman" w:eastAsia="Times New Roman" w:hAnsi="Times New Roman"/>
          <w:sz w:val="24"/>
          <w:szCs w:val="24"/>
          <w:rtl w:val="0"/>
        </w:rPr>
        <w:t xml:space="preserve"> grown in M9 minimal media containing </w:t>
      </w:r>
      <w:r w:rsidDel="00000000" w:rsidR="00000000" w:rsidRPr="00000000">
        <w:rPr>
          <w:rFonts w:ascii="Times New Roman" w:cs="Times New Roman" w:eastAsia="Times New Roman" w:hAnsi="Times New Roman"/>
          <w:sz w:val="24"/>
          <w:szCs w:val="24"/>
          <w:vertAlign w:val="superscript"/>
          <w:rtl w:val="0"/>
        </w:rPr>
        <w:t xml:space="preserve">15</w:t>
      </w:r>
      <w:r w:rsidDel="00000000" w:rsidR="00000000" w:rsidRPr="00000000">
        <w:rPr>
          <w:rFonts w:ascii="Times New Roman" w:cs="Times New Roman" w:eastAsia="Times New Roman" w:hAnsi="Times New Roman"/>
          <w:sz w:val="24"/>
          <w:szCs w:val="24"/>
          <w:rtl w:val="0"/>
        </w:rPr>
        <w:t xml:space="preserve">N-ammonium chloride as the sole nitrogen source. Protein expression was induced with 1 mM IPTG. Samples were prepared </w:t>
      </w:r>
      <w:r w:rsidDel="00000000" w:rsidR="00000000" w:rsidRPr="00000000">
        <w:rPr>
          <w:rFonts w:ascii="Times New Roman" w:cs="Times New Roman" w:eastAsia="Times New Roman" w:hAnsi="Times New Roman"/>
          <w:sz w:val="24"/>
          <w:szCs w:val="24"/>
          <w:rtl w:val="0"/>
        </w:rPr>
        <w:t xml:space="preserve">in NMR</w:t>
      </w:r>
      <w:r w:rsidDel="00000000" w:rsidR="00000000" w:rsidRPr="00000000">
        <w:rPr>
          <w:rFonts w:ascii="Times New Roman" w:cs="Times New Roman" w:eastAsia="Times New Roman" w:hAnsi="Times New Roman"/>
          <w:sz w:val="24"/>
          <w:szCs w:val="24"/>
          <w:rtl w:val="0"/>
        </w:rPr>
        <w:t xml:space="preserve"> buffer containing 20 mM sodium phosphate (pH 6.0), 0.5 µM EDTA, and 100 mM NaCl. The LD was prepared at a final concentration of 100 µM. To generate protein–ligand complexes, a 7-fold molar excess of the F7 minibinder was added to wild-type LD, and a 5-fold excess was added to L34K-LD. </w:t>
      </w:r>
      <w:r w:rsidDel="00000000" w:rsidR="00000000" w:rsidRPr="00000000">
        <w:rPr>
          <w:rFonts w:ascii="Times New Roman" w:cs="Times New Roman" w:eastAsia="Times New Roman" w:hAnsi="Times New Roman"/>
          <w:sz w:val="24"/>
          <w:szCs w:val="24"/>
          <w:vertAlign w:val="superscript"/>
          <w:rtl w:val="0"/>
        </w:rPr>
        <w:t xml:space="preserve">15</w:t>
      </w:r>
      <w:r w:rsidDel="00000000" w:rsidR="00000000" w:rsidRPr="00000000">
        <w:rPr>
          <w:rFonts w:ascii="Times New Roman" w:cs="Times New Roman" w:eastAsia="Times New Roman" w:hAnsi="Times New Roman"/>
          <w:sz w:val="24"/>
          <w:szCs w:val="24"/>
          <w:rtl w:val="0"/>
        </w:rPr>
        <w:t xml:space="preserve">N-HSQC spectra were acquired at 298 K on a Bruker AVANCE 800 MHz spectrometer equipped with a cryoprobe. Spectra were processed using NMRPipe and analyzed with NMRViewJ </w:t>
      </w:r>
      <w:hyperlink r:id="rId17">
        <w:r w:rsidDel="00000000" w:rsidR="00000000" w:rsidRPr="00000000">
          <w:rPr>
            <w:rFonts w:ascii="Times New Roman" w:cs="Times New Roman" w:eastAsia="Times New Roman" w:hAnsi="Times New Roman"/>
            <w:sz w:val="24"/>
            <w:szCs w:val="24"/>
            <w:rtl w:val="0"/>
          </w:rPr>
          <w:t xml:space="preserve">(49,50)</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Acinetobacter Abp2D Monoclonal Antibody Generation: </w:t>
      </w:r>
      <w:r w:rsidDel="00000000" w:rsidR="00000000" w:rsidRPr="00000000">
        <w:rPr>
          <w:rFonts w:ascii="Times New Roman" w:cs="Times New Roman" w:eastAsia="Times New Roman" w:hAnsi="Times New Roman"/>
          <w:sz w:val="24"/>
          <w:szCs w:val="24"/>
          <w:rtl w:val="0"/>
        </w:rPr>
        <w:t xml:space="preserve">All animal work was conducted with the approval of the Washington University Institutional Animal Care and Use Committee. Five 6-8 week old C57BL/6 mice (Jackson laboratories) received 2 doses 3 weeks apart of  50 μg of Abp2D mixed 1:1 by volume with a squalene oil-in-water adjuvant (Addavax, Invigen). 5 days after the second dose, mice were sacrificed and inguinal and iliac lymph nodes were collected into RPMI containing 2% fetal bovine serum and manually homogenized using the back of a syringe plunger. Cells were filtered through 75 μm mesh, washed 1x, and counted. All washes for the staining process were performed in PBS containing 2% fetal bovine serum and 2 mM EDTA. All cells for each sample were stained with the following panel: live/dead Zombie Aqua, CD3 APC-Cy7, CD19 PE, Fas APC, IgD FITC, CD38 PE-Cy7, CD138 Pacific Blue. CD3- CD19+/IgDlo Fas+/CD38- CD138+ cells were single-cell sorted on a BD FACSAria at the Washington University Flow Cytometry Core into 96-well plates. Lymph nodes from naïve mice were used to set gates. 2 plates of B cells were sorted on 08-21-20. A second B cell sort of 2 plates was conducted on 01-23-21. For the 2nd B cell sort, the flow panel used was CD4- CD19+/IgDlo/B220- CD138+. Mabs were cloned from sorted B cells as described previously.</w:t>
      </w:r>
      <w:hyperlink r:id="rId18">
        <w:r w:rsidDel="00000000" w:rsidR="00000000" w:rsidRPr="00000000">
          <w:rPr>
            <w:rFonts w:ascii="Times New Roman" w:cs="Times New Roman" w:eastAsia="Times New Roman" w:hAnsi="Times New Roman"/>
            <w:sz w:val="24"/>
            <w:szCs w:val="24"/>
            <w:rtl w:val="0"/>
          </w:rPr>
          <w:t xml:space="preserve">(51,52)</w:t>
        </w:r>
      </w:hyperlink>
      <w:r w:rsidDel="00000000" w:rsidR="00000000" w:rsidRPr="00000000">
        <w:rPr>
          <w:rFonts w:ascii="Times New Roman" w:cs="Times New Roman" w:eastAsia="Times New Roman" w:hAnsi="Times New Roman"/>
          <w:sz w:val="24"/>
          <w:szCs w:val="24"/>
          <w:rtl w:val="0"/>
        </w:rPr>
        <w:t xml:space="preserve"> Briefly, B cell RNA was converted to cDNA via RT-PCR. cDNA was used as template for 4 sets of nested PCR, one each with primers against IgG, IgM/IgA, Igκ and Igλ variable regions. Wells with successful amplification from heavy and light chains were sequenced (Azenta) and analyzed using the IMGT V-quest web tool (https://www.imgt.org/IMGT_vquest/input) to isolate clonally distinct mAbs. Heavy and light chain plasmids for each clone were co-transfected into Expi293 cells using the Expifectamine transfection reagent according to the manufacturer’s instructions. Antibodies were purified on protein A agarose. To determine Abp2D antigen specific mAbs, ELISA plates were coated with 1 μg/ml Abp2D, 0.1 μg/ml bovine serum albumin (as a negative control) or 0.1 μg/ml anti-Ig antibody (as a positive control for mAb expression) overnight at 4°C. The next morning, plates were washed 1x with PBS-T (1x PBS+ 0.05% Tween-20) and blocked with P10 (PBS + 10% fetal bovine serum) for 1.5 hours at room temperature. Supernatants were diluted 1:30 in P10 and incubated 1 hour at room temperature. After washing 3x with PBS-T, the secondary antibody (anti-human IgG-HRP, Jackson ImmuoResearch) was diluted 1:2,500 in P10 and incubated 1 hour at room temp in the dark. Plates were washed 3x with PBS-T followed by 3x with PBS. Detection reagent (10 ml phosphate-citrate buffer, 4 mg o-Phenylenediamine dihydrochloride, and 33 µl 3% H2O2 per plate) was added to the plates, incubated 5 minutes, and quenched with 1 M HCl. Absorbance (490 nM) was quantified using the BioTek ELx800 plate reader on the OD490 setting.</w:t>
      </w:r>
    </w:p>
    <w:p w:rsidR="00000000" w:rsidDel="00000000" w:rsidP="00000000" w:rsidRDefault="00000000" w:rsidRPr="00000000" w14:paraId="0000002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Fibrinogen ELISA with purified adhesins</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Flat-bottom microplates (Greiner Bio-One) were coated overnight at 4°C with human fibrinogen from plasma (150 µg/ml) (Sigma). The plates were blocked for an hour with 1.5% BSA in PBS, followed by washing with PBS (three times for 5 min each). Biotinylated adhesins at 500 nM were premixed with varying concentrations of Abp inhibitors (Fabs or minibinders), added to the coated wells, incubated 1 hour at room temperature or overnight at 4°C, and then washed three times to remove the unbound adhesins. After the washes, anti-streptavidin-HRP (1:5000 dilution, BD </w:t>
      </w:r>
      <w:r w:rsidDel="00000000" w:rsidR="00000000" w:rsidRPr="00000000">
        <w:rPr>
          <w:rFonts w:ascii="Times New Roman" w:cs="Times New Roman" w:eastAsia="Times New Roman" w:hAnsi="Times New Roman"/>
          <w:sz w:val="24"/>
          <w:szCs w:val="24"/>
          <w:rtl w:val="0"/>
        </w:rPr>
        <w:t xml:space="preserve">Pharmagen</w:t>
      </w:r>
      <w:r w:rsidDel="00000000" w:rsidR="00000000" w:rsidRPr="00000000">
        <w:rPr>
          <w:rFonts w:ascii="Times New Roman" w:cs="Times New Roman" w:eastAsia="Times New Roman" w:hAnsi="Times New Roman"/>
          <w:sz w:val="24"/>
          <w:szCs w:val="24"/>
          <w:rtl w:val="0"/>
        </w:rPr>
        <w:t xml:space="preserve">) was allowed to bind for 1 hour before washing 3 times with PBS-T and development with TMB substrate (BD </w:t>
      </w:r>
      <w:r w:rsidDel="00000000" w:rsidR="00000000" w:rsidRPr="00000000">
        <w:rPr>
          <w:rFonts w:ascii="Times New Roman" w:cs="Times New Roman" w:eastAsia="Times New Roman" w:hAnsi="Times New Roman"/>
          <w:sz w:val="24"/>
          <w:szCs w:val="24"/>
          <w:rtl w:val="0"/>
        </w:rPr>
        <w:t xml:space="preserve">Pharmagen</w:t>
      </w:r>
      <w:r w:rsidDel="00000000" w:rsidR="00000000" w:rsidRPr="00000000">
        <w:rPr>
          <w:rFonts w:ascii="Times New Roman" w:cs="Times New Roman" w:eastAsia="Times New Roman" w:hAnsi="Times New Roman"/>
          <w:sz w:val="24"/>
          <w:szCs w:val="24"/>
          <w:rtl w:val="0"/>
        </w:rPr>
        <w:t xml:space="preserve">). After reactions were quenched with 1M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absorbance at 450 nm was recorded.  </w:t>
      </w:r>
    </w:p>
    <w:p w:rsidR="00000000" w:rsidDel="00000000" w:rsidP="00000000" w:rsidRDefault="00000000" w:rsidRPr="00000000" w14:paraId="0000002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Fibrinogen bacterial ELISA assays</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Flat-bottom microplates (Greiner Bio-One) were coated overnight at 4°C with human fibrinogen from plasma (150 µg/ml, Sigma). The plates were blocked for an hour with 1.5% BSA in PBS, followed by washing with PBS (three times for 5 min each). Bacterial strains were grown statically overnight in LB broth and washed and resuspended in PBS. For “inhibition” assays, a total of 100 µL of bacteria (final OD600 of 0.5) were premixed with varying concentrations of Abp inhibitors, added to the coated wells, and incubated for 2 hours at 37 °C, followed by PBS washes to remove the unbound bacteria. For “detachment” assays, 100 µL of bacteria (final OD600 of 0.5) were directly added to the fibrinogen-coated wells, incubated for 2 hours at 37°C, and then the wells were washed with PBS.  Abp inhibitors were then added and allowed to incubate for 2 hours at 37°C, after which wells were washed with PBS to remove the unbound bacteria. Next, bacterial cells were fixed with formalin for 20 min at room temperature, followed by three washes with PBS containing 0.05% Tween 20 (PBS-T). Then, the plates were blocked overnight at 4°C with 1.5% BSA-PBS, followed by three washes with PBS-T. After the washes, the plates were incubated for 2 hours at room temperature with rabbit anti–Acinetobacter antisera (1:1,000). Plates were washed with PBS-T, incubated with anti-rabbit-HRP (1:1000, KPL) for 1 hour. After washing 3 times with PBS-T and development with TMB substrate (BD </w:t>
      </w:r>
      <w:r w:rsidDel="00000000" w:rsidR="00000000" w:rsidRPr="00000000">
        <w:rPr>
          <w:rFonts w:ascii="Times New Roman" w:cs="Times New Roman" w:eastAsia="Times New Roman" w:hAnsi="Times New Roman"/>
          <w:sz w:val="24"/>
          <w:szCs w:val="24"/>
          <w:rtl w:val="0"/>
        </w:rPr>
        <w:t xml:space="preserve">Pharmagen</w:t>
      </w:r>
      <w:r w:rsidDel="00000000" w:rsidR="00000000" w:rsidRPr="00000000">
        <w:rPr>
          <w:rFonts w:ascii="Times New Roman" w:cs="Times New Roman" w:eastAsia="Times New Roman" w:hAnsi="Times New Roman"/>
          <w:sz w:val="24"/>
          <w:szCs w:val="24"/>
          <w:rtl w:val="0"/>
        </w:rPr>
        <w:t xml:space="preserve">), reactions were quenched with 1M H2SO4 and absorbance at 450 nm was recorded.</w:t>
      </w:r>
    </w:p>
    <w:p w:rsidR="00000000" w:rsidDel="00000000" w:rsidP="00000000" w:rsidRDefault="00000000" w:rsidRPr="00000000" w14:paraId="0000003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Bacterial strains expressing FimH</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recombinant </w:t>
      </w:r>
      <w:r w:rsidDel="00000000" w:rsidR="00000000" w:rsidRPr="00000000">
        <w:rPr>
          <w:rFonts w:ascii="Times New Roman" w:cs="Times New Roman" w:eastAsia="Times New Roman" w:hAnsi="Times New Roman"/>
          <w:i w:val="1"/>
          <w:sz w:val="24"/>
          <w:szCs w:val="24"/>
          <w:rtl w:val="0"/>
        </w:rPr>
        <w:t xml:space="preserve">Escherichia coli</w:t>
      </w:r>
      <w:r w:rsidDel="00000000" w:rsidR="00000000" w:rsidRPr="00000000">
        <w:rPr>
          <w:rFonts w:ascii="Times New Roman" w:cs="Times New Roman" w:eastAsia="Times New Roman" w:hAnsi="Times New Roman"/>
          <w:sz w:val="24"/>
          <w:szCs w:val="24"/>
          <w:rtl w:val="0"/>
        </w:rPr>
        <w:t xml:space="preserve"> K12 strain (AAEC191A) carrying pPKL114 plasmid containing the entire </w:t>
      </w:r>
      <w:r w:rsidDel="00000000" w:rsidR="00000000" w:rsidRPr="00000000">
        <w:rPr>
          <w:rFonts w:ascii="Times New Roman" w:cs="Times New Roman" w:eastAsia="Times New Roman" w:hAnsi="Times New Roman"/>
          <w:i w:val="1"/>
          <w:sz w:val="24"/>
          <w:szCs w:val="24"/>
          <w:rtl w:val="0"/>
        </w:rPr>
        <w:t xml:space="preserve">fim</w:t>
      </w:r>
      <w:r w:rsidDel="00000000" w:rsidR="00000000" w:rsidRPr="00000000">
        <w:rPr>
          <w:rFonts w:ascii="Times New Roman" w:cs="Times New Roman" w:eastAsia="Times New Roman" w:hAnsi="Times New Roman"/>
          <w:sz w:val="24"/>
          <w:szCs w:val="24"/>
          <w:rtl w:val="0"/>
        </w:rPr>
        <w:t xml:space="preserve"> gene cluster from the </w:t>
      </w:r>
      <w:r w:rsidDel="00000000" w:rsidR="00000000" w:rsidRPr="00000000">
        <w:rPr>
          <w:rFonts w:ascii="Times New Roman" w:cs="Times New Roman" w:eastAsia="Times New Roman" w:hAnsi="Times New Roman"/>
          <w:i w:val="1"/>
          <w:sz w:val="24"/>
          <w:szCs w:val="24"/>
          <w:rtl w:val="0"/>
        </w:rPr>
        <w:t xml:space="preserve">E. coli</w:t>
      </w:r>
      <w:r w:rsidDel="00000000" w:rsidR="00000000" w:rsidRPr="00000000">
        <w:rPr>
          <w:rFonts w:ascii="Times New Roman" w:cs="Times New Roman" w:eastAsia="Times New Roman" w:hAnsi="Times New Roman"/>
          <w:sz w:val="24"/>
          <w:szCs w:val="24"/>
          <w:rtl w:val="0"/>
        </w:rPr>
        <w:t xml:space="preserve"> strain K12 (but with the inactivated </w:t>
      </w:r>
      <w:r w:rsidDel="00000000" w:rsidR="00000000" w:rsidRPr="00000000">
        <w:rPr>
          <w:rFonts w:ascii="Times New Roman" w:cs="Times New Roman" w:eastAsia="Times New Roman" w:hAnsi="Times New Roman"/>
          <w:i w:val="1"/>
          <w:sz w:val="24"/>
          <w:szCs w:val="24"/>
          <w:rtl w:val="0"/>
        </w:rPr>
        <w:t xml:space="preserve">fimH</w:t>
      </w:r>
      <w:r w:rsidDel="00000000" w:rsidR="00000000" w:rsidRPr="00000000">
        <w:rPr>
          <w:rFonts w:ascii="Times New Roman" w:cs="Times New Roman" w:eastAsia="Times New Roman" w:hAnsi="Times New Roman"/>
          <w:sz w:val="24"/>
          <w:szCs w:val="24"/>
          <w:rtl w:val="0"/>
        </w:rPr>
        <w:t xml:space="preserve"> gene) and pGB2-24 plasmid carrying </w:t>
      </w:r>
      <w:r w:rsidDel="00000000" w:rsidR="00000000" w:rsidRPr="00000000">
        <w:rPr>
          <w:rFonts w:ascii="Times New Roman" w:cs="Times New Roman" w:eastAsia="Times New Roman" w:hAnsi="Times New Roman"/>
          <w:i w:val="1"/>
          <w:sz w:val="24"/>
          <w:szCs w:val="24"/>
          <w:rtl w:val="0"/>
        </w:rPr>
        <w:t xml:space="preserve">fimH</w:t>
      </w:r>
      <w:r w:rsidDel="00000000" w:rsidR="00000000" w:rsidRPr="00000000">
        <w:rPr>
          <w:rFonts w:ascii="Times New Roman" w:cs="Times New Roman" w:eastAsia="Times New Roman" w:hAnsi="Times New Roman"/>
          <w:sz w:val="24"/>
          <w:szCs w:val="24"/>
          <w:rtl w:val="0"/>
        </w:rPr>
        <w:t xml:space="preserve"> from the model uropathogenic E. coli strain J96 (resulting in </w:t>
      </w:r>
      <w:r w:rsidDel="00000000" w:rsidR="00000000" w:rsidRPr="00000000">
        <w:rPr>
          <w:rFonts w:ascii="Times New Roman" w:cs="Times New Roman" w:eastAsia="Times New Roman" w:hAnsi="Times New Roman"/>
          <w:i w:val="1"/>
          <w:sz w:val="24"/>
          <w:szCs w:val="24"/>
          <w:rtl w:val="0"/>
        </w:rPr>
        <w:t xml:space="preserve">E. coli </w:t>
      </w:r>
      <w:r w:rsidDel="00000000" w:rsidR="00000000" w:rsidRPr="00000000">
        <w:rPr>
          <w:rFonts w:ascii="Times New Roman" w:cs="Times New Roman" w:eastAsia="Times New Roman" w:hAnsi="Times New Roman"/>
          <w:sz w:val="24"/>
          <w:szCs w:val="24"/>
          <w:rtl w:val="0"/>
        </w:rPr>
        <w:t xml:space="preserve">KB23) or </w:t>
      </w:r>
      <w:r w:rsidDel="00000000" w:rsidR="00000000" w:rsidRPr="00000000">
        <w:rPr>
          <w:rFonts w:ascii="Times New Roman" w:cs="Times New Roman" w:eastAsia="Times New Roman" w:hAnsi="Times New Roman"/>
          <w:i w:val="1"/>
          <w:sz w:val="24"/>
          <w:szCs w:val="24"/>
          <w:rtl w:val="0"/>
        </w:rPr>
        <w:t xml:space="preserve">Klebsiella pneumoniae </w:t>
      </w:r>
      <w:r w:rsidDel="00000000" w:rsidR="00000000" w:rsidRPr="00000000">
        <w:rPr>
          <w:rFonts w:ascii="Times New Roman" w:cs="Times New Roman" w:eastAsia="Times New Roman" w:hAnsi="Times New Roman"/>
          <w:sz w:val="24"/>
          <w:szCs w:val="24"/>
          <w:rtl w:val="0"/>
        </w:rPr>
        <w:t xml:space="preserve">strain (resulting in </w:t>
      </w:r>
      <w:r w:rsidDel="00000000" w:rsidR="00000000" w:rsidRPr="00000000">
        <w:rPr>
          <w:rFonts w:ascii="Times New Roman" w:cs="Times New Roman" w:eastAsia="Times New Roman" w:hAnsi="Times New Roman"/>
          <w:i w:val="1"/>
          <w:sz w:val="24"/>
          <w:szCs w:val="24"/>
          <w:rtl w:val="0"/>
        </w:rPr>
        <w:t xml:space="preserve">E. coli</w:t>
      </w:r>
      <w:r w:rsidDel="00000000" w:rsidR="00000000" w:rsidRPr="00000000">
        <w:rPr>
          <w:rFonts w:ascii="Times New Roman" w:cs="Times New Roman" w:eastAsia="Times New Roman" w:hAnsi="Times New Roman"/>
          <w:sz w:val="24"/>
          <w:szCs w:val="24"/>
          <w:rtl w:val="0"/>
        </w:rPr>
        <w:t xml:space="preserve"> cas665) were described previously </w:t>
      </w:r>
      <w:hyperlink r:id="rId19">
        <w:r w:rsidDel="00000000" w:rsidR="00000000" w:rsidRPr="00000000">
          <w:rPr>
            <w:rFonts w:ascii="Times New Roman" w:cs="Times New Roman" w:eastAsia="Times New Roman" w:hAnsi="Times New Roman"/>
            <w:color w:val="1155cc"/>
            <w:sz w:val="24"/>
            <w:szCs w:val="24"/>
            <w:u w:val="single"/>
            <w:rtl w:val="0"/>
          </w:rPr>
          <w:t xml:space="preserve">(53,54)</w:t>
        </w:r>
      </w:hyperlink>
      <w:r w:rsidDel="00000000" w:rsidR="00000000" w:rsidRPr="00000000">
        <w:rPr>
          <w:rFonts w:ascii="Times New Roman" w:cs="Times New Roman" w:eastAsia="Times New Roman" w:hAnsi="Times New Roman"/>
          <w:sz w:val="24"/>
          <w:szCs w:val="24"/>
          <w:rtl w:val="0"/>
        </w:rPr>
        <w:t xml:space="preserve">.  Clinical </w:t>
      </w:r>
      <w:r w:rsidDel="00000000" w:rsidR="00000000" w:rsidRPr="00000000">
        <w:rPr>
          <w:rFonts w:ascii="Times New Roman" w:cs="Times New Roman" w:eastAsia="Times New Roman" w:hAnsi="Times New Roman"/>
          <w:i w:val="1"/>
          <w:sz w:val="24"/>
          <w:szCs w:val="24"/>
          <w:rtl w:val="0"/>
        </w:rPr>
        <w:t xml:space="preserve">E. coli </w:t>
      </w:r>
      <w:r w:rsidDel="00000000" w:rsidR="00000000" w:rsidRPr="00000000">
        <w:rPr>
          <w:rFonts w:ascii="Times New Roman" w:cs="Times New Roman" w:eastAsia="Times New Roman" w:hAnsi="Times New Roman"/>
          <w:sz w:val="24"/>
          <w:szCs w:val="24"/>
          <w:rtl w:val="0"/>
        </w:rPr>
        <w:t xml:space="preserve">isolates from ST73 (strain 65-1H),  ST95 (51-6B) and ST69 (45-3G), as well as strains from the global pandemic multi-drug resistant clonal groups ST131-H30 (38-9H) and ST1193 (53-6E) obtained from urine of patients with suspected UTI submitted for analysis to the clinical microbiology laboratory of the Kaiser Permanente Washington, Seattle </w:t>
      </w:r>
      <w:hyperlink r:id="rId20">
        <w:r w:rsidDel="00000000" w:rsidR="00000000" w:rsidRPr="00000000">
          <w:rPr>
            <w:rFonts w:ascii="Times New Roman" w:cs="Times New Roman" w:eastAsia="Times New Roman" w:hAnsi="Times New Roman"/>
            <w:color w:val="1155cc"/>
            <w:sz w:val="24"/>
            <w:szCs w:val="24"/>
            <w:u w:val="single"/>
            <w:rtl w:val="0"/>
          </w:rPr>
          <w:t xml:space="preserve">(55)</w:t>
        </w:r>
      </w:hyperlink>
      <w:r w:rsidDel="00000000" w:rsidR="00000000" w:rsidRPr="00000000">
        <w:rPr>
          <w:rFonts w:ascii="Times New Roman" w:cs="Times New Roman" w:eastAsia="Times New Roman" w:hAnsi="Times New Roman"/>
          <w:sz w:val="24"/>
          <w:szCs w:val="24"/>
          <w:rtl w:val="0"/>
        </w:rPr>
        <w:t xml:space="preserve">. The clonal identity was determined by fumC:fimH Sequence Typing </w:t>
      </w:r>
      <w:hyperlink r:id="rId21">
        <w:r w:rsidDel="00000000" w:rsidR="00000000" w:rsidRPr="00000000">
          <w:rPr>
            <w:rFonts w:ascii="Times New Roman" w:cs="Times New Roman" w:eastAsia="Times New Roman" w:hAnsi="Times New Roman"/>
            <w:color w:val="1155cc"/>
            <w:sz w:val="24"/>
            <w:szCs w:val="24"/>
            <w:u w:val="single"/>
            <w:rtl w:val="0"/>
          </w:rPr>
          <w:t xml:space="preserve">(56)</w:t>
        </w:r>
      </w:hyperlink>
      <w:r w:rsidDel="00000000" w:rsidR="00000000" w:rsidRPr="00000000">
        <w:rPr>
          <w:rFonts w:ascii="Times New Roman" w:cs="Times New Roman" w:eastAsia="Times New Roman" w:hAnsi="Times New Roman"/>
          <w:sz w:val="24"/>
          <w:szCs w:val="24"/>
          <w:rtl w:val="0"/>
        </w:rPr>
        <w:t xml:space="preserve">.  To induce the type 1 fimbriae expression, bacteria were passed 3 times by overnight subculturing in Luria-Bertani broth without shaking. Before testing, bacteria were washed two times in PBS and adjusted for the desired OD</w:t>
      </w:r>
      <w:r w:rsidDel="00000000" w:rsidR="00000000" w:rsidRPr="00000000">
        <w:rPr>
          <w:rFonts w:ascii="Times New Roman" w:cs="Times New Roman" w:eastAsia="Times New Roman" w:hAnsi="Times New Roman"/>
          <w:sz w:val="24"/>
          <w:szCs w:val="24"/>
          <w:vertAlign w:val="subscript"/>
          <w:rtl w:val="0"/>
        </w:rPr>
        <w:t xml:space="preserve">540</w:t>
      </w:r>
      <w:r w:rsidDel="00000000" w:rsidR="00000000" w:rsidRPr="00000000">
        <w:rPr>
          <w:rFonts w:ascii="Times New Roman" w:cs="Times New Roman" w:eastAsia="Times New Roman" w:hAnsi="Times New Roman"/>
          <w:sz w:val="24"/>
          <w:szCs w:val="24"/>
          <w:rtl w:val="0"/>
        </w:rPr>
        <w:t xml:space="preserve"> in 0.1% BSA/PBS.</w:t>
      </w:r>
    </w:p>
    <w:p w:rsidR="00000000" w:rsidDel="00000000" w:rsidP="00000000" w:rsidRDefault="00000000" w:rsidRPr="00000000" w14:paraId="0000003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Red blood cell aggregation inhibition and dispersion assays: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Guinea pig red blood cells (RBC) were purchased from Colorado Serum Co (Denver, CO), were washed with PBS three times and diluted to 1% v/v. To normalize for the bacterial population expressing type 1 fimbriae, the washed bacteria were tested first for the working concentration to induce the RBC aggregation. Flat-bottom 96 well plates were quenched with 1% BSA-PBS, 30 μL of the 1:1 dilutions of bacteria (starting from OD=2) was placed in each well, mixed with 30 μL of RBC, the plate was placed into a shaker (Microplate Genie</w:t>
      </w:r>
      <w:r w:rsidDel="00000000" w:rsidR="00000000" w:rsidRPr="00000000">
        <w:rPr>
          <w:rFonts w:ascii="Times New Roman" w:cs="Times New Roman" w:eastAsia="Times New Roman" w:hAnsi="Times New Roman"/>
          <w:sz w:val="24"/>
          <w:szCs w:val="24"/>
          <w:vertAlign w:val="superscript"/>
          <w:rtl w:val="0"/>
        </w:rPr>
        <w:t xml:space="preserve">TM</w:t>
      </w:r>
      <w:r w:rsidDel="00000000" w:rsidR="00000000" w:rsidRPr="00000000">
        <w:rPr>
          <w:rFonts w:ascii="Times New Roman" w:cs="Times New Roman" w:eastAsia="Times New Roman" w:hAnsi="Times New Roman"/>
          <w:sz w:val="24"/>
          <w:szCs w:val="24"/>
          <w:rtl w:val="0"/>
        </w:rPr>
        <w:t xml:space="preserve">; Scientific Industries, Bohemia, NY) and subjected to shaking at 600 rpm for 20 minutes. The plate was taken out, gently tapped on the corners to homogenize the well content for recording.  The second highest dilution that induced a clear aggregation of RBC was chosen for the inhibition assays (for the recombinant bacteria, the working concentration was 4 x 10</w:t>
      </w:r>
      <w:r w:rsidDel="00000000" w:rsidR="00000000" w:rsidRPr="00000000">
        <w:rPr>
          <w:rFonts w:ascii="Times New Roman" w:cs="Times New Roman" w:eastAsia="Times New Roman" w:hAnsi="Times New Roman"/>
          <w:sz w:val="24"/>
          <w:szCs w:val="24"/>
          <w:vertAlign w:val="superscript"/>
          <w:rtl w:val="0"/>
        </w:rPr>
        <w:t xml:space="preserve">8</w:t>
      </w:r>
      <w:r w:rsidDel="00000000" w:rsidR="00000000" w:rsidRPr="00000000">
        <w:rPr>
          <w:rFonts w:ascii="Times New Roman" w:cs="Times New Roman" w:eastAsia="Times New Roman" w:hAnsi="Times New Roman"/>
          <w:sz w:val="24"/>
          <w:szCs w:val="24"/>
          <w:rtl w:val="0"/>
        </w:rPr>
        <w:t xml:space="preserve"> CFU/mL). The working concentration of bacteria was mixed 1:1 with the minibinder, mannose or monoclonal antibody solution at the indicated concentration, prepared in 0.1% BSA/PBS, and tested for the RBC aggregation as described. For the RBC aggregates dispersion assay, the aggregates were pre-formed with the working concentration of bacteria as described above. After the RBC aggregates were formed, 15 μL of different concentrations of the minibinders or monoclonal antibodies were added on the top of the RBC-bacteria suspension followed by immediately re-shaking for 10 min. </w:t>
      </w:r>
    </w:p>
    <w:p w:rsidR="00000000" w:rsidDel="00000000" w:rsidP="00000000" w:rsidRDefault="00000000" w:rsidRPr="00000000" w14:paraId="0000003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Inhibition of </w:t>
      </w:r>
      <w:r w:rsidDel="00000000" w:rsidR="00000000" w:rsidRPr="00000000">
        <w:rPr>
          <w:rFonts w:ascii="Times New Roman" w:cs="Times New Roman" w:eastAsia="Times New Roman" w:hAnsi="Times New Roman"/>
          <w:b w:val="1"/>
          <w:i w:val="1"/>
          <w:sz w:val="24"/>
          <w:szCs w:val="24"/>
          <w:u w:val="single"/>
          <w:rtl w:val="0"/>
        </w:rPr>
        <w:t xml:space="preserve">E. coli</w:t>
      </w:r>
      <w:r w:rsidDel="00000000" w:rsidR="00000000" w:rsidRPr="00000000">
        <w:rPr>
          <w:rFonts w:ascii="Times New Roman" w:cs="Times New Roman" w:eastAsia="Times New Roman" w:hAnsi="Times New Roman"/>
          <w:b w:val="1"/>
          <w:sz w:val="24"/>
          <w:szCs w:val="24"/>
          <w:u w:val="single"/>
          <w:rtl w:val="0"/>
        </w:rPr>
        <w:t xml:space="preserve"> adhesion:</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Microtiter 96-well plates were coated with 20 μg/ml of bovine RNAse B (Sigma-Aldrich) in 0.02 M NaHCO3 buffer at pH 9.6. The wells were quenched with 0.2% bovine serum albumin (BSA, Sigma-Aldrich) in PBS for 20 min. Bacteria expressing FimH-J96 (OD = 1) were mixed with different concentrations of minibinders for 30 min at 37°C and then allowed to adhere to the coated surface for another 1 h. After an extensive washing with PBS, plates were dried and bound bacteria were stained with 0.1% crystal violet (Becton Dickinson) for 20 min at room temperature (RT). The wells were washed with water and 50% ethanol was added to the wells. The absorbance was measured at 600 nm.</w:t>
      </w:r>
    </w:p>
    <w:p w:rsidR="00000000" w:rsidDel="00000000" w:rsidP="00000000" w:rsidRDefault="00000000" w:rsidRPr="00000000" w14:paraId="0000003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Detachment of </w:t>
      </w:r>
      <w:r w:rsidDel="00000000" w:rsidR="00000000" w:rsidRPr="00000000">
        <w:rPr>
          <w:rFonts w:ascii="Times New Roman" w:cs="Times New Roman" w:eastAsia="Times New Roman" w:hAnsi="Times New Roman"/>
          <w:b w:val="1"/>
          <w:i w:val="1"/>
          <w:sz w:val="24"/>
          <w:szCs w:val="24"/>
          <w:u w:val="single"/>
          <w:rtl w:val="0"/>
        </w:rPr>
        <w:t xml:space="preserve">E. coli</w:t>
      </w:r>
      <w:r w:rsidDel="00000000" w:rsidR="00000000" w:rsidRPr="00000000">
        <w:rPr>
          <w:rFonts w:ascii="Times New Roman" w:cs="Times New Roman" w:eastAsia="Times New Roman" w:hAnsi="Times New Roman"/>
          <w:b w:val="1"/>
          <w:sz w:val="24"/>
          <w:szCs w:val="24"/>
          <w:u w:val="single"/>
          <w:rtl w:val="0"/>
        </w:rPr>
        <w:t xml:space="preserve"> adhesion:</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Microtiter 96-well plates were coated with 20 μg/ml of yeast mannan (Sigma-Aldrich) in 0.02 M NaHCO3 buffer at pH 9.6. The wells were quenched with 0.2% bovine serum albumin (BSA, Sigma-Aldrich) in PBS for 20 min. Bacteria expressing FimH-J96 (OD = 1) were added into the wells and spun down at 5,000 rpm for 5 minutes. After washing with PBS from unbound bacteria, 100 μL of 0.1% BSA/PBS was added with different concentrations of minibinders or antibodies. The plate was incubated for 1 hour at 37°C without shaking, followed by washes with PBS and crystal violet staining as described above. </w:t>
      </w:r>
    </w:p>
    <w:p w:rsidR="00000000" w:rsidDel="00000000" w:rsidP="00000000" w:rsidRDefault="00000000" w:rsidRPr="00000000" w14:paraId="0000003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u w:val="single"/>
          <w:rtl w:val="0"/>
        </w:rPr>
        <w:t xml:space="preserve">E. coli </w:t>
      </w:r>
      <w:r w:rsidDel="00000000" w:rsidR="00000000" w:rsidRPr="00000000">
        <w:rPr>
          <w:rFonts w:ascii="Times New Roman" w:cs="Times New Roman" w:eastAsia="Times New Roman" w:hAnsi="Times New Roman"/>
          <w:b w:val="1"/>
          <w:sz w:val="24"/>
          <w:szCs w:val="24"/>
          <w:u w:val="single"/>
          <w:rtl w:val="0"/>
        </w:rPr>
        <w:t xml:space="preserve">bladder cell adhesion assays</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Bacterial cell suspensions (50 μL of 10</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 CFU/mL) were mixed 1:1 with McCoy’s 5A medium with 2% heat inactivated fetal bovine serum, without added inhibitors or with 0.5% α-methyl-D-mannopyranoside or 10 uM of the minibinders and were added to monolayers of T24 human bladder epithelial carcinoma cells grown in 12-well plates. Bacteria were allowed to interact with the cells for 2 h at 37°C in 5% CO2. The cells were washed six times with PBS, fixed with cold 100% methanol for 1 min, air dried and stained with eosin Y followed by Hema3, both dyes diluted 1:2 with water.</w:t>
      </w:r>
    </w:p>
    <w:p w:rsidR="00000000" w:rsidDel="00000000" w:rsidP="00000000" w:rsidRDefault="00000000" w:rsidRPr="00000000" w14:paraId="0000003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ACICU Biofilm assay</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Overnight static cultures were normalized to an OD600 of 0.01in Lennox LB media (Fisher) and inoculated into sterile, round-bottomed, PVC 96-well plates (Corning Inc.) with 200 µL final volume per well. For biofilm inhibition, treatment or control proteins in PBS were added before growth. Plates were incubated for 24 hours under static conditions at 37°C with humidity to prevent evaporation. For measuring detachment, bacteria were allowed to form biofilms for 24 hours and then were treated with minibinder or control protein for 2 hours at 37°C. Unbound cells in each well were washed 3 times with water. The adhered biofilm was stained with 300 µL of 0.5% crystal violet solution dissolved in water for 15 min. After staining, wells were washed 3 times with water and left to completely dry. Crystal violet staining was dissolved in 200 µL of 30% acetic acid, and absorbance was measured at 600 nm.</w:t>
      </w:r>
    </w:p>
    <w:p w:rsidR="00000000" w:rsidDel="00000000" w:rsidP="00000000" w:rsidRDefault="00000000" w:rsidRPr="00000000" w14:paraId="0000003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Dispersion of biofilm from fibrinogen-coated catheters:</w:t>
      </w:r>
      <w:r w:rsidDel="00000000" w:rsidR="00000000" w:rsidRPr="00000000">
        <w:rPr>
          <w:rFonts w:ascii="Times New Roman" w:cs="Times New Roman" w:eastAsia="Times New Roman" w:hAnsi="Times New Roman"/>
          <w:sz w:val="24"/>
          <w:szCs w:val="24"/>
          <w:rtl w:val="0"/>
        </w:rPr>
        <w:t xml:space="preserve"> For immunohistochemistry quantification of bacterial and fibrinogen deposition on catheters, we used a modified protocol from the methods outlined in Andersen et al. and Di Venanzio et al. (PMCIDS: PMC8986317; PMC6591400).</w:t>
      </w:r>
      <w:hyperlink r:id="rId22">
        <w:r w:rsidDel="00000000" w:rsidR="00000000" w:rsidRPr="00000000">
          <w:rPr>
            <w:rFonts w:ascii="Times New Roman" w:cs="Times New Roman" w:eastAsia="Times New Roman" w:hAnsi="Times New Roman"/>
            <w:sz w:val="24"/>
            <w:szCs w:val="24"/>
            <w:rtl w:val="0"/>
          </w:rPr>
          <w:t xml:space="preserve">(37,57)</w:t>
        </w:r>
      </w:hyperlink>
      <w:r w:rsidDel="00000000" w:rsidR="00000000" w:rsidRPr="00000000">
        <w:rPr>
          <w:rFonts w:ascii="Times New Roman" w:cs="Times New Roman" w:eastAsia="Times New Roman" w:hAnsi="Times New Roman"/>
          <w:sz w:val="24"/>
          <w:szCs w:val="24"/>
          <w:rtl w:val="0"/>
        </w:rPr>
        <w:t xml:space="preserve"> Silicon tubing (4 to 5 mm diameter; used in mouse catheter experiments) was cut into approximately 0.5 cm catheter sections and UV sterilized. Fibrinogen (150 ug/mL; Enzyme Research Laboratories) was allowed to coat the catheter sections overnight at 37°C. Catheters were then fixed in 10% formalin for 20 minutes at room temperature and washed 3x in PBS. Bacteria (OD = 0.5 in PBS) were added to catheters and allowed to bind at 37°C. For inhibition studies, bacteria and 100 nM of BSA or minibinder A7 were added simultaneously to the catheter sections and allowed to bind for 2 hours. For detachment studies, bacteria were first allowed to bind to the catheter for 1 hour, and then incubated for 1 hour with 100 nM of BSA or A7. Catheter sections were then washed 3x with PBS, fixed in 10% formalin for 20 min at room temperature, washed again 3x in PBS, and allowed to block overnight </w:t>
      </w:r>
      <w:r w:rsidDel="00000000" w:rsidR="00000000" w:rsidRPr="00000000">
        <w:rPr>
          <w:rFonts w:ascii="Times New Roman" w:cs="Times New Roman" w:eastAsia="Times New Roman" w:hAnsi="Times New Roman"/>
          <w:sz w:val="24"/>
          <w:szCs w:val="24"/>
          <w:rtl w:val="0"/>
        </w:rPr>
        <w:t xml:space="preserve">in blocking</w:t>
      </w:r>
      <w:r w:rsidDel="00000000" w:rsidR="00000000" w:rsidRPr="00000000">
        <w:rPr>
          <w:rFonts w:ascii="Times New Roman" w:cs="Times New Roman" w:eastAsia="Times New Roman" w:hAnsi="Times New Roman"/>
          <w:sz w:val="24"/>
          <w:szCs w:val="24"/>
          <w:rtl w:val="0"/>
        </w:rPr>
        <w:t xml:space="preserve"> buffer (PBS solution with 1.5% BSA and 0.1% sodium azide). Primary antibodies (1:500 goat anti-fibrinogen (Sigma-Aldrich Cat# F8512, RRID:AB_259765), and 1:1000 rabbit anti-acinetobacter from Di Venanzio et al.) </w:t>
      </w:r>
      <w:r w:rsidDel="00000000" w:rsidR="00000000" w:rsidRPr="00000000">
        <w:rPr>
          <w:rFonts w:ascii="Times New Roman" w:cs="Times New Roman" w:eastAsia="Times New Roman" w:hAnsi="Times New Roman"/>
          <w:sz w:val="24"/>
          <w:szCs w:val="24"/>
          <w:rtl w:val="0"/>
        </w:rPr>
        <w:t xml:space="preserve">in blocking</w:t>
      </w:r>
      <w:r w:rsidDel="00000000" w:rsidR="00000000" w:rsidRPr="00000000">
        <w:rPr>
          <w:rFonts w:ascii="Times New Roman" w:cs="Times New Roman" w:eastAsia="Times New Roman" w:hAnsi="Times New Roman"/>
          <w:sz w:val="24"/>
          <w:szCs w:val="24"/>
          <w:rtl w:val="0"/>
        </w:rPr>
        <w:t xml:space="preserve"> buffer were allowed to bind for 1 hour at room temperature. After washing 3x in wash buffer (PBS with 0.05% Tween-20), secondary antibodies (1:10,000 LI-COR donkey anti-goat IRDye 800CW (LI-COR Biosciences Cat# 926-32214, RRID:AB_621846) and 1:10,000 LI-COR donkey anti-rabbit IRdye 680LT (LI-COR Biosciences Cat# 926-68023, RRID:AB_10706167) in blocking </w:t>
      </w:r>
      <w:r w:rsidDel="00000000" w:rsidR="00000000" w:rsidRPr="00000000">
        <w:rPr>
          <w:rFonts w:ascii="Times New Roman" w:cs="Times New Roman" w:eastAsia="Times New Roman" w:hAnsi="Times New Roman"/>
          <w:sz w:val="24"/>
          <w:szCs w:val="24"/>
          <w:rtl w:val="0"/>
        </w:rPr>
        <w:t xml:space="preserve">buffer</w:t>
      </w:r>
      <w:r w:rsidDel="00000000" w:rsidR="00000000" w:rsidRPr="00000000">
        <w:rPr>
          <w:rFonts w:ascii="Times New Roman" w:cs="Times New Roman" w:eastAsia="Times New Roman" w:hAnsi="Times New Roman"/>
          <w:sz w:val="24"/>
          <w:szCs w:val="24"/>
          <w:rtl w:val="0"/>
        </w:rPr>
        <w:t xml:space="preserve"> were allowed to bind for 1 hour, followed by 3x washes. Catheters were allowed to dry overnight at 4°C and imaged on an Odyssey Imaging System (LI-COR Biosciences). Experiments were repeated four times and catheters within each represented in the figure are from one representative replicate were scanned together to have the same detection applied to each. For quantification, bacterial signal (red) on catheters was normalized by fibrinogen signal (green) using ImageJ</w:t>
      </w:r>
      <w:hyperlink r:id="rId23">
        <w:r w:rsidDel="00000000" w:rsidR="00000000" w:rsidRPr="00000000">
          <w:rPr>
            <w:rFonts w:ascii="Times New Roman" w:cs="Times New Roman" w:eastAsia="Times New Roman" w:hAnsi="Times New Roman"/>
            <w:sz w:val="24"/>
            <w:szCs w:val="24"/>
            <w:rtl w:val="0"/>
          </w:rPr>
          <w:t xml:space="preserve">(58)</w:t>
        </w:r>
      </w:hyperlink>
      <w:r w:rsidDel="00000000" w:rsidR="00000000" w:rsidRPr="00000000">
        <w:rPr>
          <w:rFonts w:ascii="Times New Roman" w:cs="Times New Roman" w:eastAsia="Times New Roman" w:hAnsi="Times New Roman"/>
          <w:sz w:val="24"/>
          <w:szCs w:val="24"/>
          <w:rtl w:val="0"/>
        </w:rPr>
        <w:t xml:space="preserve"> to account for variation in catheter size and fibrinogen coating.</w:t>
      </w:r>
    </w:p>
    <w:p w:rsidR="00000000" w:rsidDel="00000000" w:rsidP="00000000" w:rsidRDefault="00000000" w:rsidRPr="00000000" w14:paraId="0000003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u w:val="single"/>
          <w:rtl w:val="0"/>
        </w:rPr>
        <w:t xml:space="preserve">In vivo</w:t>
      </w:r>
      <w:r w:rsidDel="00000000" w:rsidR="00000000" w:rsidRPr="00000000">
        <w:rPr>
          <w:rFonts w:ascii="Times New Roman" w:cs="Times New Roman" w:eastAsia="Times New Roman" w:hAnsi="Times New Roman"/>
          <w:b w:val="1"/>
          <w:sz w:val="24"/>
          <w:szCs w:val="24"/>
          <w:u w:val="single"/>
          <w:rtl w:val="0"/>
        </w:rPr>
        <w:t xml:space="preserve"> UTI mouse model with UPEC</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Mice were sorted into 4 groups: 34 received a sham, 21 received Mab926, 10 received Mab475, and 5 received minibinder F7. Mice were passively immunized with 100 µg IP injections 24 hours before challenge with 10</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CFU of </w:t>
      </w:r>
      <w:r w:rsidDel="00000000" w:rsidR="00000000" w:rsidRPr="00000000">
        <w:rPr>
          <w:rFonts w:ascii="Times New Roman" w:cs="Times New Roman" w:eastAsia="Times New Roman" w:hAnsi="Times New Roman"/>
          <w:i w:val="1"/>
          <w:sz w:val="24"/>
          <w:szCs w:val="24"/>
          <w:rtl w:val="0"/>
        </w:rPr>
        <w:t xml:space="preserve">E. coli</w:t>
      </w:r>
      <w:r w:rsidDel="00000000" w:rsidR="00000000" w:rsidRPr="00000000">
        <w:rPr>
          <w:rFonts w:ascii="Times New Roman" w:cs="Times New Roman" w:eastAsia="Times New Roman" w:hAnsi="Times New Roman"/>
          <w:sz w:val="24"/>
          <w:szCs w:val="24"/>
          <w:rtl w:val="0"/>
        </w:rPr>
        <w:t xml:space="preserve"> CFT073. A second 100 µg dose of F7/IgG was administered IP 24 hours post-infection. The mice were euthanized 24 hours later (48 hours post-infection), after which their bladder and kidneys were collected for bacterial load determination. The bacterial load was determined in units of CFUs/g of organ tissue.</w:t>
      </w:r>
    </w:p>
    <w:p w:rsidR="00000000" w:rsidDel="00000000" w:rsidP="00000000" w:rsidRDefault="00000000" w:rsidRPr="00000000" w14:paraId="0000004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i w:val="1"/>
          <w:sz w:val="24"/>
          <w:szCs w:val="24"/>
          <w:u w:val="single"/>
          <w:rtl w:val="0"/>
        </w:rPr>
        <w:t xml:space="preserve">In vivo</w:t>
      </w:r>
      <w:r w:rsidDel="00000000" w:rsidR="00000000" w:rsidRPr="00000000">
        <w:rPr>
          <w:rFonts w:ascii="Times New Roman" w:cs="Times New Roman" w:eastAsia="Times New Roman" w:hAnsi="Times New Roman"/>
          <w:b w:val="1"/>
          <w:sz w:val="24"/>
          <w:szCs w:val="24"/>
          <w:u w:val="single"/>
          <w:rtl w:val="0"/>
        </w:rPr>
        <w:t xml:space="preserve"> CAUTI mouse model with </w:t>
      </w:r>
      <w:r w:rsidDel="00000000" w:rsidR="00000000" w:rsidRPr="00000000">
        <w:rPr>
          <w:rFonts w:ascii="Times New Roman" w:cs="Times New Roman" w:eastAsia="Times New Roman" w:hAnsi="Times New Roman"/>
          <w:b w:val="1"/>
          <w:i w:val="1"/>
          <w:sz w:val="24"/>
          <w:szCs w:val="24"/>
          <w:u w:val="single"/>
          <w:rtl w:val="0"/>
        </w:rPr>
        <w:t xml:space="preserve">A. baumannii</w:t>
      </w:r>
      <w:r w:rsidDel="00000000" w:rsidR="00000000" w:rsidRPr="00000000">
        <w:rPr>
          <w:rFonts w:ascii="Times New Roman" w:cs="Times New Roman" w:eastAsia="Times New Roman" w:hAnsi="Times New Roman"/>
          <w:b w:val="1"/>
          <w:sz w:val="24"/>
          <w:szCs w:val="24"/>
          <w:u w:val="single"/>
          <w:rtl w:val="0"/>
        </w:rPr>
        <w:t xml:space="preserve"> ACICU:</w:t>
      </w:r>
      <w:r w:rsidDel="00000000" w:rsidR="00000000" w:rsidRPr="00000000">
        <w:rPr>
          <w:rFonts w:ascii="Times New Roman" w:cs="Times New Roman" w:eastAsia="Times New Roman" w:hAnsi="Times New Roman"/>
          <w:sz w:val="24"/>
          <w:szCs w:val="24"/>
          <w:rtl w:val="0"/>
        </w:rPr>
        <w:t xml:space="preserve">  Six- to eight-week-old female C57BL/6 mice  (Charles River Laboratories) were infected in a catheter-associated UTI model as previously described </w:t>
      </w:r>
      <w:hyperlink r:id="rId24">
        <w:r w:rsidDel="00000000" w:rsidR="00000000" w:rsidRPr="00000000">
          <w:rPr>
            <w:rFonts w:ascii="Times New Roman" w:cs="Times New Roman" w:eastAsia="Times New Roman" w:hAnsi="Times New Roman"/>
            <w:color w:val="1155cc"/>
            <w:sz w:val="24"/>
            <w:szCs w:val="24"/>
            <w:u w:val="single"/>
            <w:rtl w:val="0"/>
          </w:rPr>
          <w:t xml:space="preserve">(34,59)</w:t>
        </w:r>
      </w:hyperlink>
      <w:r w:rsidDel="00000000" w:rsidR="00000000" w:rsidRPr="00000000">
        <w:rPr>
          <w:rFonts w:ascii="Gungsuh" w:cs="Gungsuh" w:eastAsia="Gungsuh" w:hAnsi="Gungsuh"/>
          <w:sz w:val="24"/>
          <w:szCs w:val="24"/>
          <w:rtl w:val="0"/>
        </w:rPr>
        <w:t xml:space="preserve">. Briefly, a 4- to 5-mm piece of silicone tubing (catheter) was placed in the bladder via transurethral insertion. Bacterial strains were grown twice overnight at 37 °C and resuspended in 1x PBS. Mice were infected immediately following implant placement with ∼2 × 10</w:t>
      </w:r>
      <w:r w:rsidDel="00000000" w:rsidR="00000000" w:rsidRPr="00000000">
        <w:rPr>
          <w:rFonts w:ascii="Times New Roman" w:cs="Times New Roman" w:eastAsia="Times New Roman" w:hAnsi="Times New Roman"/>
          <w:sz w:val="24"/>
          <w:szCs w:val="24"/>
          <w:vertAlign w:val="superscript"/>
          <w:rtl w:val="0"/>
        </w:rPr>
        <w:t xml:space="preserve">8</w:t>
      </w:r>
      <w:r w:rsidDel="00000000" w:rsidR="00000000" w:rsidRPr="00000000">
        <w:rPr>
          <w:rFonts w:ascii="Times New Roman" w:cs="Times New Roman" w:eastAsia="Times New Roman" w:hAnsi="Times New Roman"/>
          <w:sz w:val="24"/>
          <w:szCs w:val="24"/>
          <w:rtl w:val="0"/>
        </w:rPr>
        <w:t xml:space="preserve"> CFUs of bacteria. Where indicated, bacteria were premixed with 0.25 mg/mL of inhibitors (final concentration) in 50 μL total volume via transurethral inoculation. Mice were then immediately dosed with 100 µg of Abp inhibitors via intraperitoneal (IP) injection. At 3 hours post infection (HPI), mice were sacrificed, and bladders and implants were aseptically removed. The bacterial load present in each tissue was determined by homogenizing each organ in PBS and plating serial dilutions on LB agar supplemented with antibiotics when appropriate. All CAUTI  studies were approved and performed in accordance with the guidelines set by the Committee for Animal Studies at Washington University School of Medicine under IACUC protocols 24-0279. (IACUC Protocol Approval Animal Welfare Assurance # D16-00245).</w:t>
      </w: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pStyle w:val="Heading3"/>
        <w:spacing w:after="240" w:before="240" w:lineRule="auto"/>
        <w:rPr>
          <w:rFonts w:ascii="Times New Roman" w:cs="Times New Roman" w:eastAsia="Times New Roman" w:hAnsi="Times New Roman"/>
          <w:b w:val="1"/>
          <w:color w:val="000000"/>
          <w:sz w:val="24"/>
          <w:szCs w:val="24"/>
        </w:rPr>
      </w:pPr>
      <w:bookmarkStart w:colFirst="0" w:colLast="0" w:name="_pbq5xoxagx9h" w:id="8"/>
      <w:bookmarkEnd w:id="8"/>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spacing w:line="276"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277254" cy="3023402"/>
            <wp:effectExtent b="0" l="0" r="0" t="0"/>
            <wp:docPr id="2" name="image9.png"/>
            <a:graphic>
              <a:graphicData uri="http://schemas.openxmlformats.org/drawingml/2006/picture">
                <pic:pic>
                  <pic:nvPicPr>
                    <pic:cNvPr id="0" name="image9.png"/>
                    <pic:cNvPicPr preferRelativeResize="0"/>
                  </pic:nvPicPr>
                  <pic:blipFill>
                    <a:blip r:embed="rId25"/>
                    <a:srcRect b="61201" l="14743" r="22676" t="4586"/>
                    <a:stretch>
                      <a:fillRect/>
                    </a:stretch>
                  </pic:blipFill>
                  <pic:spPr>
                    <a:xfrm>
                      <a:off x="0" y="0"/>
                      <a:ext cx="4277254" cy="3023402"/>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E">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 S1: Initial RBC screen of designed FimH minibinders. </w:t>
      </w:r>
      <w:r w:rsidDel="00000000" w:rsidR="00000000" w:rsidRPr="00000000">
        <w:rPr>
          <w:rFonts w:ascii="Times New Roman" w:cs="Times New Roman" w:eastAsia="Times New Roman" w:hAnsi="Times New Roman"/>
          <w:sz w:val="24"/>
          <w:szCs w:val="24"/>
          <w:rtl w:val="0"/>
        </w:rPr>
        <w:t xml:space="preserve">Blue circles indicate binders that inhibit red blood cell aggregation.</w:t>
      </w:r>
    </w:p>
    <w:p w:rsidR="00000000" w:rsidDel="00000000" w:rsidP="00000000" w:rsidRDefault="00000000" w:rsidRPr="00000000" w14:paraId="0000004F">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spacing w:line="276" w:lineRule="auto"/>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1">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4829175"/>
            <wp:effectExtent b="0" l="0" r="0" t="0"/>
            <wp:docPr id="7" name="image12.png"/>
            <a:graphic>
              <a:graphicData uri="http://schemas.openxmlformats.org/drawingml/2006/picture">
                <pic:pic>
                  <pic:nvPicPr>
                    <pic:cNvPr id="0" name="image12.png"/>
                    <pic:cNvPicPr preferRelativeResize="0"/>
                  </pic:nvPicPr>
                  <pic:blipFill>
                    <a:blip r:embed="rId26"/>
                    <a:srcRect b="30198" l="0" r="0" t="7054"/>
                    <a:stretch>
                      <a:fillRect/>
                    </a:stretch>
                  </pic:blipFill>
                  <pic:spPr>
                    <a:xfrm>
                      <a:off x="0" y="0"/>
                      <a:ext cx="5943600" cy="4829175"/>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Fig. S2: RBC inhibition titration of initial hits.</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Concentrations shown in micromolar for all minibinders identified as inhibitory in the initial screen.</w:t>
      </w:r>
      <w:r w:rsidDel="00000000" w:rsidR="00000000" w:rsidRPr="00000000">
        <w:br w:type="page"/>
      </w:r>
      <w:r w:rsidDel="00000000" w:rsidR="00000000" w:rsidRPr="00000000">
        <w:rPr>
          <w:rtl w:val="0"/>
        </w:rPr>
      </w:r>
    </w:p>
    <w:p w:rsidR="00000000" w:rsidDel="00000000" w:rsidP="00000000" w:rsidRDefault="00000000" w:rsidRPr="00000000" w14:paraId="00000052">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547408"/>
            <wp:effectExtent b="0" l="0" r="0" t="0"/>
            <wp:docPr id="9" name="image4.png"/>
            <a:graphic>
              <a:graphicData uri="http://schemas.openxmlformats.org/drawingml/2006/picture">
                <pic:pic>
                  <pic:nvPicPr>
                    <pic:cNvPr id="0" name="image4.png"/>
                    <pic:cNvPicPr preferRelativeResize="0"/>
                  </pic:nvPicPr>
                  <pic:blipFill>
                    <a:blip r:embed="rId27"/>
                    <a:srcRect b="56188" l="0" r="0" t="10712"/>
                    <a:stretch>
                      <a:fillRect/>
                    </a:stretch>
                  </pic:blipFill>
                  <pic:spPr>
                    <a:xfrm>
                      <a:off x="0" y="0"/>
                      <a:ext cx="5943600" cy="2547408"/>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 S3: Cartoon overlay of FimH clamp loop. </w:t>
      </w:r>
      <w:r w:rsidDel="00000000" w:rsidR="00000000" w:rsidRPr="00000000">
        <w:rPr>
          <w:rFonts w:ascii="Times New Roman" w:cs="Times New Roman" w:eastAsia="Times New Roman" w:hAnsi="Times New Roman"/>
          <w:sz w:val="24"/>
          <w:szCs w:val="24"/>
          <w:rtl w:val="0"/>
        </w:rPr>
        <w:t xml:space="preserve">The fimH clamp loop is shown in the F7-FimH complex (cyan), mAb926-FimH complex (PDB code 9ME5; wheat), or apo-LAS (PDB code 3JWN; red).</w:t>
      </w:r>
      <w:r w:rsidDel="00000000" w:rsidR="00000000" w:rsidRPr="00000000">
        <w:rPr>
          <w:rtl w:val="0"/>
        </w:rPr>
      </w:r>
    </w:p>
    <w:p w:rsidR="00000000" w:rsidDel="00000000" w:rsidP="00000000" w:rsidRDefault="00000000" w:rsidRPr="00000000" w14:paraId="00000054">
      <w:pPr>
        <w:spacing w:line="276"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949112"/>
            <wp:effectExtent b="0" l="0" r="0" t="0"/>
            <wp:docPr id="17" name="image10.png"/>
            <a:graphic>
              <a:graphicData uri="http://schemas.openxmlformats.org/drawingml/2006/picture">
                <pic:pic>
                  <pic:nvPicPr>
                    <pic:cNvPr id="0" name="image10.png"/>
                    <pic:cNvPicPr preferRelativeResize="0"/>
                  </pic:nvPicPr>
                  <pic:blipFill>
                    <a:blip r:embed="rId28"/>
                    <a:srcRect b="48734" l="0" r="0" t="0"/>
                    <a:stretch>
                      <a:fillRect/>
                    </a:stretch>
                  </pic:blipFill>
                  <pic:spPr>
                    <a:xfrm>
                      <a:off x="0" y="0"/>
                      <a:ext cx="5943600" cy="3949112"/>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 S4:  Minibinder F7 shifts the FimH conformational equilibrium. (A)</w:t>
      </w:r>
      <w:r w:rsidDel="00000000" w:rsidR="00000000" w:rsidRPr="00000000">
        <w:rPr>
          <w:rFonts w:ascii="Times New Roman" w:cs="Times New Roman" w:eastAsia="Times New Roman" w:hAnsi="Times New Roman"/>
          <w:sz w:val="24"/>
          <w:szCs w:val="24"/>
          <w:rtl w:val="0"/>
        </w:rPr>
        <w:t xml:space="preserve"> Overlay of FimH LAS (orange) and HAS (grey). </w:t>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vertAlign w:val="superscript"/>
          <w:rtl w:val="0"/>
        </w:rPr>
        <w:t xml:space="preserve">15</w:t>
      </w:r>
      <w:r w:rsidDel="00000000" w:rsidR="00000000" w:rsidRPr="00000000">
        <w:rPr>
          <w:rFonts w:ascii="Times New Roman" w:cs="Times New Roman" w:eastAsia="Times New Roman" w:hAnsi="Times New Roman"/>
          <w:sz w:val="24"/>
          <w:szCs w:val="24"/>
          <w:rtl w:val="0"/>
        </w:rPr>
        <w:t xml:space="preserve">N-HSQC NMR Spectra of FimH HAS (black) and LAS (orange) in the absence of any inhibitor. Note the general lack of overlap between the two spectra, showing pronounced differences between the two states.</w:t>
      </w:r>
      <w:r w:rsidDel="00000000" w:rsidR="00000000" w:rsidRPr="00000000">
        <w:rPr>
          <w:rFonts w:ascii="Times New Roman" w:cs="Times New Roman" w:eastAsia="Times New Roman" w:hAnsi="Times New Roman"/>
          <w:b w:val="1"/>
          <w:sz w:val="24"/>
          <w:szCs w:val="24"/>
          <w:rtl w:val="0"/>
        </w:rPr>
        <w:t xml:space="preserve"> (C)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vertAlign w:val="superscript"/>
          <w:rtl w:val="0"/>
        </w:rPr>
        <w:t xml:space="preserve">15</w:t>
      </w:r>
      <w:r w:rsidDel="00000000" w:rsidR="00000000" w:rsidRPr="00000000">
        <w:rPr>
          <w:rFonts w:ascii="Times New Roman" w:cs="Times New Roman" w:eastAsia="Times New Roman" w:hAnsi="Times New Roman"/>
          <w:sz w:val="24"/>
          <w:szCs w:val="24"/>
          <w:rtl w:val="0"/>
        </w:rPr>
        <w:t xml:space="preserve">N-HSQC NMR Spectra of FimH HAS (black) and LAS (orange) in the presence of minibinder F7. Note the overlap induced by addition of F7, showing conversion of the HAS to the LAS.</w:t>
      </w:r>
    </w:p>
    <w:p w:rsidR="00000000" w:rsidDel="00000000" w:rsidP="00000000" w:rsidRDefault="00000000" w:rsidRPr="00000000" w14:paraId="00000059">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A">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2880783"/>
            <wp:effectExtent b="0" l="0" r="0" t="0"/>
            <wp:docPr id="13" name="image6.png"/>
            <a:graphic>
              <a:graphicData uri="http://schemas.openxmlformats.org/drawingml/2006/picture">
                <pic:pic>
                  <pic:nvPicPr>
                    <pic:cNvPr id="0" name="image6.png"/>
                    <pic:cNvPicPr preferRelativeResize="0"/>
                  </pic:nvPicPr>
                  <pic:blipFill>
                    <a:blip r:embed="rId29"/>
                    <a:srcRect b="53843" l="0" r="0" t="8730"/>
                    <a:stretch>
                      <a:fillRect/>
                    </a:stretch>
                  </pic:blipFill>
                  <pic:spPr>
                    <a:xfrm>
                      <a:off x="0" y="0"/>
                      <a:ext cx="5943600" cy="2880783"/>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 S5</w:t>
      </w:r>
      <w:r w:rsidDel="00000000" w:rsidR="00000000" w:rsidRPr="00000000">
        <w:rPr>
          <w:rFonts w:ascii="Times New Roman" w:cs="Times New Roman" w:eastAsia="Times New Roman" w:hAnsi="Times New Roman"/>
          <w:b w:val="1"/>
          <w:sz w:val="24"/>
          <w:szCs w:val="24"/>
          <w:rtl w:val="0"/>
        </w:rPr>
        <w:t xml:space="preserve">: Overlay of FimH NMR spectra in presence and absence of minibinder F7. (A) </w:t>
      </w:r>
      <w:r w:rsidDel="00000000" w:rsidR="00000000" w:rsidRPr="00000000">
        <w:rPr>
          <w:rFonts w:ascii="Times New Roman" w:cs="Times New Roman" w:eastAsia="Times New Roman" w:hAnsi="Times New Roman"/>
          <w:sz w:val="24"/>
          <w:szCs w:val="24"/>
          <w:vertAlign w:val="superscript"/>
          <w:rtl w:val="0"/>
        </w:rPr>
        <w:t xml:space="preserve">15</w:t>
      </w:r>
      <w:r w:rsidDel="00000000" w:rsidR="00000000" w:rsidRPr="00000000">
        <w:rPr>
          <w:rFonts w:ascii="Times New Roman" w:cs="Times New Roman" w:eastAsia="Times New Roman" w:hAnsi="Times New Roman"/>
          <w:sz w:val="24"/>
          <w:szCs w:val="24"/>
          <w:rtl w:val="0"/>
        </w:rPr>
        <w:t xml:space="preserve">N-HSQC NMR Spectra of FimH HAS (black) and HAS in the presence of minibinder F7 (orange). Note that the spectra shift markedly upon addition of F7. (</w:t>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vertAlign w:val="superscript"/>
          <w:rtl w:val="0"/>
        </w:rPr>
        <w:t xml:space="preserve">15</w:t>
      </w:r>
      <w:r w:rsidDel="00000000" w:rsidR="00000000" w:rsidRPr="00000000">
        <w:rPr>
          <w:rFonts w:ascii="Times New Roman" w:cs="Times New Roman" w:eastAsia="Times New Roman" w:hAnsi="Times New Roman"/>
          <w:sz w:val="24"/>
          <w:szCs w:val="24"/>
          <w:rtl w:val="0"/>
        </w:rPr>
        <w:t xml:space="preserve">N-HSQC NMR Spectra of FimH LAS (black) and LAS in the presence of minibinder F7 (orange). Note that the spectra remain largely unchanged upon addition of F7.</w:t>
      </w:r>
      <w:r w:rsidDel="00000000" w:rsidR="00000000" w:rsidRPr="00000000">
        <w:br w:type="page"/>
      </w:r>
      <w:r w:rsidDel="00000000" w:rsidR="00000000" w:rsidRPr="00000000">
        <w:rPr>
          <w:rtl w:val="0"/>
        </w:rPr>
      </w:r>
    </w:p>
    <w:p w:rsidR="00000000" w:rsidDel="00000000" w:rsidP="00000000" w:rsidRDefault="00000000" w:rsidRPr="00000000" w14:paraId="0000005C">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482725"/>
            <wp:effectExtent b="0" l="0" r="0" t="0"/>
            <wp:docPr id="16" name="image1.png"/>
            <a:graphic>
              <a:graphicData uri="http://schemas.openxmlformats.org/drawingml/2006/picture">
                <pic:pic>
                  <pic:nvPicPr>
                    <pic:cNvPr id="0" name="image1.png"/>
                    <pic:cNvPicPr preferRelativeResize="0"/>
                  </pic:nvPicPr>
                  <pic:blipFill>
                    <a:blip r:embed="rId30"/>
                    <a:srcRect b="75780" l="0" r="0" t="4964"/>
                    <a:stretch>
                      <a:fillRect/>
                    </a:stretch>
                  </pic:blipFill>
                  <pic:spPr>
                    <a:xfrm>
                      <a:off x="0" y="0"/>
                      <a:ext cx="5943600" cy="1482725"/>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 S6: RBC inhibition titration of mannose only. </w:t>
      </w:r>
      <w:r w:rsidDel="00000000" w:rsidR="00000000" w:rsidRPr="00000000">
        <w:rPr>
          <w:rFonts w:ascii="Times New Roman" w:cs="Times New Roman" w:eastAsia="Times New Roman" w:hAnsi="Times New Roman"/>
          <w:sz w:val="24"/>
          <w:szCs w:val="24"/>
          <w:rtl w:val="0"/>
        </w:rPr>
        <w:t xml:space="preserve">The minimum inhibitory concentration of mannose on RBC aggregation is 140µM, several thousand fold higher than F7 (69 nM).</w:t>
      </w:r>
      <w:r w:rsidDel="00000000" w:rsidR="00000000" w:rsidRPr="00000000">
        <w:br w:type="page"/>
      </w:r>
      <w:r w:rsidDel="00000000" w:rsidR="00000000" w:rsidRPr="00000000">
        <w:rPr>
          <w:rtl w:val="0"/>
        </w:rPr>
      </w:r>
    </w:p>
    <w:p w:rsidR="00000000" w:rsidDel="00000000" w:rsidP="00000000" w:rsidRDefault="00000000" w:rsidRPr="00000000" w14:paraId="0000005E">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951082"/>
            <wp:effectExtent b="0" l="0" r="0" t="0"/>
            <wp:docPr id="8" name="image13.png"/>
            <a:graphic>
              <a:graphicData uri="http://schemas.openxmlformats.org/drawingml/2006/picture">
                <pic:pic>
                  <pic:nvPicPr>
                    <pic:cNvPr id="0" name="image13.png"/>
                    <pic:cNvPicPr preferRelativeResize="0"/>
                  </pic:nvPicPr>
                  <pic:blipFill>
                    <a:blip r:embed="rId31"/>
                    <a:srcRect b="54846" l="0" r="0" t="6825"/>
                    <a:stretch>
                      <a:fillRect/>
                    </a:stretch>
                  </pic:blipFill>
                  <pic:spPr>
                    <a:xfrm>
                      <a:off x="0" y="0"/>
                      <a:ext cx="5943600" cy="2951082"/>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 S7:  Confocal microscopy image of the inhibition of UPEC adhesion to bladder epithelial cells.</w:t>
      </w:r>
      <w:r w:rsidDel="00000000" w:rsidR="00000000" w:rsidRPr="00000000">
        <w:rPr>
          <w:rFonts w:ascii="Times New Roman" w:cs="Times New Roman" w:eastAsia="Times New Roman" w:hAnsi="Times New Roman"/>
          <w:sz w:val="24"/>
          <w:szCs w:val="24"/>
          <w:rtl w:val="0"/>
        </w:rPr>
        <w:t xml:space="preserve"> Addition of high levels of mannose successfully inhibits colonization, depleting bacteria similarly to F7 (left). Addition of noninhibitory minibinder A4, meanwhile, fails to prevent bacterial colonization (right).</w:t>
      </w:r>
    </w:p>
    <w:p w:rsidR="00000000" w:rsidDel="00000000" w:rsidP="00000000" w:rsidRDefault="00000000" w:rsidRPr="00000000" w14:paraId="00000061">
      <w:pPr>
        <w:spacing w:line="276"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2">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612092" cy="2990850"/>
            <wp:effectExtent b="0" l="0" r="0" t="0"/>
            <wp:docPr id="14" name="image7.png"/>
            <a:graphic>
              <a:graphicData uri="http://schemas.openxmlformats.org/drawingml/2006/picture">
                <pic:pic>
                  <pic:nvPicPr>
                    <pic:cNvPr id="0" name="image7.png"/>
                    <pic:cNvPicPr preferRelativeResize="0"/>
                  </pic:nvPicPr>
                  <pic:blipFill>
                    <a:blip r:embed="rId32"/>
                    <a:srcRect b="54950" l="0" r="39227" t="6229"/>
                    <a:stretch>
                      <a:fillRect/>
                    </a:stretch>
                  </pic:blipFill>
                  <pic:spPr>
                    <a:xfrm>
                      <a:off x="0" y="0"/>
                      <a:ext cx="3612092" cy="299085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 S8: RBC inhibition titration of F7 against clinically relevant strains. </w:t>
      </w:r>
      <w:r w:rsidDel="00000000" w:rsidR="00000000" w:rsidRPr="00000000">
        <w:rPr>
          <w:rFonts w:ascii="Times New Roman" w:cs="Times New Roman" w:eastAsia="Times New Roman" w:hAnsi="Times New Roman"/>
          <w:sz w:val="24"/>
          <w:szCs w:val="24"/>
          <w:rtl w:val="0"/>
        </w:rPr>
        <w:t xml:space="preserve">F7 inhibition of RBC aggregation caused by clinical </w:t>
      </w:r>
      <w:r w:rsidDel="00000000" w:rsidR="00000000" w:rsidRPr="00000000">
        <w:rPr>
          <w:rFonts w:ascii="Times New Roman" w:cs="Times New Roman" w:eastAsia="Times New Roman" w:hAnsi="Times New Roman"/>
          <w:i w:val="1"/>
          <w:sz w:val="24"/>
          <w:szCs w:val="24"/>
          <w:rtl w:val="0"/>
        </w:rPr>
        <w:t xml:space="preserve">E. coli </w:t>
      </w:r>
      <w:r w:rsidDel="00000000" w:rsidR="00000000" w:rsidRPr="00000000">
        <w:rPr>
          <w:rFonts w:ascii="Times New Roman" w:cs="Times New Roman" w:eastAsia="Times New Roman" w:hAnsi="Times New Roman"/>
          <w:sz w:val="24"/>
          <w:szCs w:val="24"/>
          <w:rtl w:val="0"/>
        </w:rPr>
        <w:t xml:space="preserve">strains from the clonal groups (STs) of the major clinical importance and</w:t>
      </w:r>
      <w:r w:rsidDel="00000000" w:rsidR="00000000" w:rsidRPr="00000000">
        <w:rPr>
          <w:rFonts w:ascii="Times New Roman" w:cs="Times New Roman" w:eastAsia="Times New Roman" w:hAnsi="Times New Roman"/>
          <w:i w:val="1"/>
          <w:sz w:val="24"/>
          <w:szCs w:val="24"/>
          <w:rtl w:val="0"/>
        </w:rPr>
        <w:t xml:space="preserve"> E. coli </w:t>
      </w:r>
      <w:r w:rsidDel="00000000" w:rsidR="00000000" w:rsidRPr="00000000">
        <w:rPr>
          <w:rFonts w:ascii="Times New Roman" w:cs="Times New Roman" w:eastAsia="Times New Roman" w:hAnsi="Times New Roman"/>
          <w:sz w:val="24"/>
          <w:szCs w:val="24"/>
          <w:rtl w:val="0"/>
        </w:rPr>
        <w:t xml:space="preserve">cas665 expressing </w:t>
      </w:r>
      <w:r w:rsidDel="00000000" w:rsidR="00000000" w:rsidRPr="00000000">
        <w:rPr>
          <w:rFonts w:ascii="Times New Roman" w:cs="Times New Roman" w:eastAsia="Times New Roman" w:hAnsi="Times New Roman"/>
          <w:i w:val="1"/>
          <w:sz w:val="24"/>
          <w:szCs w:val="24"/>
          <w:rtl w:val="0"/>
        </w:rPr>
        <w:t xml:space="preserve">K. pneumoniae</w:t>
      </w:r>
      <w:r w:rsidDel="00000000" w:rsidR="00000000" w:rsidRPr="00000000">
        <w:rPr>
          <w:rFonts w:ascii="Times New Roman" w:cs="Times New Roman" w:eastAsia="Times New Roman" w:hAnsi="Times New Roman"/>
          <w:sz w:val="24"/>
          <w:szCs w:val="24"/>
          <w:rtl w:val="0"/>
        </w:rPr>
        <w:t xml:space="preserve"> FimH.</w:t>
      </w:r>
    </w:p>
    <w:p w:rsidR="00000000" w:rsidDel="00000000" w:rsidP="00000000" w:rsidRDefault="00000000" w:rsidRPr="00000000" w14:paraId="00000064">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spacing w:line="276"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6">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819525" cy="2999317"/>
            <wp:effectExtent b="0" l="0" r="0" t="0"/>
            <wp:docPr id="5" name="image2.png"/>
            <a:graphic>
              <a:graphicData uri="http://schemas.openxmlformats.org/drawingml/2006/picture">
                <pic:pic>
                  <pic:nvPicPr>
                    <pic:cNvPr id="0" name="image2.png"/>
                    <pic:cNvPicPr preferRelativeResize="0"/>
                  </pic:nvPicPr>
                  <pic:blipFill>
                    <a:blip r:embed="rId33"/>
                    <a:srcRect b="56559" l="8600" r="27027" t="4508"/>
                    <a:stretch>
                      <a:fillRect/>
                    </a:stretch>
                  </pic:blipFill>
                  <pic:spPr>
                    <a:xfrm>
                      <a:off x="0" y="0"/>
                      <a:ext cx="3819525" cy="2999317"/>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 S9:  Cartoon overlay between the crystal structure of Abp2D and its Alphafold2 model. </w:t>
      </w:r>
      <w:r w:rsidDel="00000000" w:rsidR="00000000" w:rsidRPr="00000000">
        <w:rPr>
          <w:rFonts w:ascii="Times New Roman" w:cs="Times New Roman" w:eastAsia="Times New Roman" w:hAnsi="Times New Roman"/>
          <w:sz w:val="24"/>
          <w:szCs w:val="24"/>
          <w:rtl w:val="0"/>
        </w:rPr>
        <w:t xml:space="preserve">The arrow identifies the flexible anterior binding loop of Abp2D that is part of its putative fibrinogen binding pocket.  </w:t>
      </w:r>
      <w:r w:rsidDel="00000000" w:rsidR="00000000" w:rsidRPr="00000000">
        <w:br w:type="page"/>
      </w:r>
      <w:r w:rsidDel="00000000" w:rsidR="00000000" w:rsidRPr="00000000">
        <w:rPr>
          <w:rtl w:val="0"/>
        </w:rPr>
      </w:r>
    </w:p>
    <w:p w:rsidR="00000000" w:rsidDel="00000000" w:rsidP="00000000" w:rsidRDefault="00000000" w:rsidRPr="00000000" w14:paraId="00000068">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461199"/>
            <wp:effectExtent b="0" l="0" r="0" t="0"/>
            <wp:docPr id="12" name="image3.png"/>
            <a:graphic>
              <a:graphicData uri="http://schemas.openxmlformats.org/drawingml/2006/picture">
                <pic:pic>
                  <pic:nvPicPr>
                    <pic:cNvPr id="0" name="image3.png"/>
                    <pic:cNvPicPr preferRelativeResize="0"/>
                  </pic:nvPicPr>
                  <pic:blipFill>
                    <a:blip r:embed="rId34"/>
                    <a:srcRect b="48638" l="0" r="0" t="6388"/>
                    <a:stretch>
                      <a:fillRect/>
                    </a:stretch>
                  </pic:blipFill>
                  <pic:spPr>
                    <a:xfrm>
                      <a:off x="0" y="0"/>
                      <a:ext cx="5943600" cy="3461199"/>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 S10</w:t>
      </w:r>
      <w:r w:rsidDel="00000000" w:rsidR="00000000" w:rsidRPr="00000000">
        <w:rPr>
          <w:rFonts w:ascii="Times New Roman" w:cs="Times New Roman" w:eastAsia="Times New Roman" w:hAnsi="Times New Roman"/>
          <w:b w:val="1"/>
          <w:sz w:val="24"/>
          <w:szCs w:val="24"/>
          <w:rtl w:val="0"/>
        </w:rPr>
        <w:t xml:space="preserve">:  Purified adhesin ELISA for </w:t>
      </w:r>
      <w:r w:rsidDel="00000000" w:rsidR="00000000" w:rsidRPr="00000000">
        <w:rPr>
          <w:rFonts w:ascii="Times New Roman" w:cs="Times New Roman" w:eastAsia="Times New Roman" w:hAnsi="Times New Roman"/>
          <w:b w:val="1"/>
          <w:sz w:val="24"/>
          <w:szCs w:val="24"/>
          <w:rtl w:val="0"/>
        </w:rPr>
        <w:t xml:space="preserve">noninhibitory</w:t>
      </w:r>
      <w:r w:rsidDel="00000000" w:rsidR="00000000" w:rsidRPr="00000000">
        <w:rPr>
          <w:rFonts w:ascii="Times New Roman" w:cs="Times New Roman" w:eastAsia="Times New Roman" w:hAnsi="Times New Roman"/>
          <w:b w:val="1"/>
          <w:sz w:val="24"/>
          <w:szCs w:val="24"/>
          <w:rtl w:val="0"/>
        </w:rPr>
        <w:t xml:space="preserve"> Abp2D mAbs.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ELISA results for mAb-mediated inhibition of purified Abp2D binding to fibrinogen. The d</w:t>
      </w:r>
      <w:r w:rsidDel="00000000" w:rsidR="00000000" w:rsidRPr="00000000">
        <w:rPr>
          <w:rFonts w:ascii="Times New Roman" w:cs="Times New Roman" w:eastAsia="Times New Roman" w:hAnsi="Times New Roman"/>
          <w:sz w:val="24"/>
          <w:szCs w:val="24"/>
          <w:rtl w:val="0"/>
        </w:rPr>
        <w:t xml:space="preserve">ata provided contains 3 replicates</w:t>
      </w:r>
      <w:r w:rsidDel="00000000" w:rsidR="00000000" w:rsidRPr="00000000">
        <w:rPr>
          <w:rFonts w:ascii="Times New Roman" w:cs="Times New Roman" w:eastAsia="Times New Roman" w:hAnsi="Times New Roman"/>
          <w:sz w:val="24"/>
          <w:szCs w:val="24"/>
          <w:rtl w:val="0"/>
        </w:rPr>
        <w:t xml:space="preserve">. Error bars show standard deviation.</w:t>
      </w:r>
      <w:r w:rsidDel="00000000" w:rsidR="00000000" w:rsidRPr="00000000">
        <w:br w:type="page"/>
      </w:r>
      <w:r w:rsidDel="00000000" w:rsidR="00000000" w:rsidRPr="00000000">
        <w:rPr>
          <w:rtl w:val="0"/>
        </w:rPr>
      </w:r>
    </w:p>
    <w:p w:rsidR="00000000" w:rsidDel="00000000" w:rsidP="00000000" w:rsidRDefault="00000000" w:rsidRPr="00000000" w14:paraId="0000006B">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257675" cy="2667000"/>
            <wp:effectExtent b="0" l="0" r="0" t="0"/>
            <wp:docPr id="3" name="image15.png"/>
            <a:graphic>
              <a:graphicData uri="http://schemas.openxmlformats.org/drawingml/2006/picture">
                <pic:pic>
                  <pic:nvPicPr>
                    <pic:cNvPr id="0" name="image15.png"/>
                    <pic:cNvPicPr preferRelativeResize="0"/>
                  </pic:nvPicPr>
                  <pic:blipFill>
                    <a:blip r:embed="rId35"/>
                    <a:srcRect b="61899" l="13764" r="14586" t="3444"/>
                    <a:stretch>
                      <a:fillRect/>
                    </a:stretch>
                  </pic:blipFill>
                  <pic:spPr>
                    <a:xfrm>
                      <a:off x="0" y="0"/>
                      <a:ext cx="4257675"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E">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 S</w:t>
      </w:r>
      <w:r w:rsidDel="00000000" w:rsidR="00000000" w:rsidRPr="00000000">
        <w:rPr>
          <w:rFonts w:ascii="Times New Roman" w:cs="Times New Roman" w:eastAsia="Times New Roman" w:hAnsi="Times New Roman"/>
          <w:b w:val="1"/>
          <w:sz w:val="24"/>
          <w:szCs w:val="24"/>
          <w:rtl w:val="0"/>
        </w:rPr>
        <w:t xml:space="preserve">11:  Titration sort results for yeast library and Abps. </w:t>
      </w:r>
      <w:r w:rsidDel="00000000" w:rsidR="00000000" w:rsidRPr="00000000">
        <w:rPr>
          <w:rFonts w:ascii="Times New Roman" w:cs="Times New Roman" w:eastAsia="Times New Roman" w:hAnsi="Times New Roman"/>
          <w:sz w:val="24"/>
          <w:szCs w:val="24"/>
          <w:rtl w:val="0"/>
        </w:rPr>
        <w:t xml:space="preserve">FACS results for sort 3 of the yeast display experiment using 10-fold titrations of Abp1D and Abp2D. </w:t>
      </w:r>
    </w:p>
    <w:p w:rsidR="00000000" w:rsidDel="00000000" w:rsidP="00000000" w:rsidRDefault="00000000" w:rsidRPr="00000000" w14:paraId="0000006F">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977342" cy="3286125"/>
            <wp:effectExtent b="0" l="0" r="0" t="0"/>
            <wp:docPr id="10" name="image8.png"/>
            <a:graphic>
              <a:graphicData uri="http://schemas.openxmlformats.org/drawingml/2006/picture">
                <pic:pic>
                  <pic:nvPicPr>
                    <pic:cNvPr id="0" name="image8.png"/>
                    <pic:cNvPicPr preferRelativeResize="0"/>
                  </pic:nvPicPr>
                  <pic:blipFill>
                    <a:blip r:embed="rId35"/>
                    <a:srcRect b="12542" l="10915" r="5358" t="44766"/>
                    <a:stretch>
                      <a:fillRect/>
                    </a:stretch>
                  </pic:blipFill>
                  <pic:spPr>
                    <a:xfrm>
                      <a:off x="0" y="0"/>
                      <a:ext cx="4977342" cy="3286125"/>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A">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 S</w:t>
      </w:r>
      <w:r w:rsidDel="00000000" w:rsidR="00000000" w:rsidRPr="00000000">
        <w:rPr>
          <w:rFonts w:ascii="Times New Roman" w:cs="Times New Roman" w:eastAsia="Times New Roman" w:hAnsi="Times New Roman"/>
          <w:b w:val="1"/>
          <w:sz w:val="24"/>
          <w:szCs w:val="24"/>
          <w:rtl w:val="0"/>
        </w:rPr>
        <w:t xml:space="preserve">12:  </w:t>
      </w:r>
      <w:r w:rsidDel="00000000" w:rsidR="00000000" w:rsidRPr="00000000">
        <w:rPr>
          <w:rFonts w:ascii="Times New Roman" w:cs="Times New Roman" w:eastAsia="Times New Roman" w:hAnsi="Times New Roman"/>
          <w:b w:val="1"/>
          <w:i w:val="1"/>
          <w:sz w:val="24"/>
          <w:szCs w:val="24"/>
          <w:rtl w:val="0"/>
        </w:rPr>
        <w:t xml:space="preserve">In vitro</w:t>
      </w:r>
      <w:r w:rsidDel="00000000" w:rsidR="00000000" w:rsidRPr="00000000">
        <w:rPr>
          <w:rFonts w:ascii="Times New Roman" w:cs="Times New Roman" w:eastAsia="Times New Roman" w:hAnsi="Times New Roman"/>
          <w:b w:val="1"/>
          <w:sz w:val="24"/>
          <w:szCs w:val="24"/>
          <w:rtl w:val="0"/>
        </w:rPr>
        <w:t xml:space="preserve"> specificity test for </w:t>
      </w:r>
      <w:r w:rsidDel="00000000" w:rsidR="00000000" w:rsidRPr="00000000">
        <w:rPr>
          <w:rFonts w:ascii="Times New Roman" w:cs="Times New Roman" w:eastAsia="Times New Roman" w:hAnsi="Times New Roman"/>
          <w:b w:val="1"/>
          <w:sz w:val="24"/>
          <w:szCs w:val="24"/>
          <w:rtl w:val="0"/>
        </w:rPr>
        <w:t xml:space="preserve">adhesin</w:t>
      </w:r>
      <w:r w:rsidDel="00000000" w:rsidR="00000000" w:rsidRPr="00000000">
        <w:rPr>
          <w:rFonts w:ascii="Times New Roman" w:cs="Times New Roman" w:eastAsia="Times New Roman" w:hAnsi="Times New Roman"/>
          <w:b w:val="1"/>
          <w:sz w:val="24"/>
          <w:szCs w:val="24"/>
          <w:rtl w:val="0"/>
        </w:rPr>
        <w:t xml:space="preserve"> minibinders.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SPR traces for Abp minibinder A7 and FimH minibinder F7 with Abp1D, Abp2D, FimH LAS, and FimH HAS.  </w:t>
      </w:r>
    </w:p>
    <w:p w:rsidR="00000000" w:rsidDel="00000000" w:rsidP="00000000" w:rsidRDefault="00000000" w:rsidRPr="00000000" w14:paraId="0000007B">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3260725"/>
            <wp:effectExtent b="0" l="0" r="0" t="0"/>
            <wp:docPr id="4" name="image11.png"/>
            <a:graphic>
              <a:graphicData uri="http://schemas.openxmlformats.org/drawingml/2006/picture">
                <pic:pic>
                  <pic:nvPicPr>
                    <pic:cNvPr id="0" name="image11.png"/>
                    <pic:cNvPicPr preferRelativeResize="0"/>
                  </pic:nvPicPr>
                  <pic:blipFill>
                    <a:blip r:embed="rId36"/>
                    <a:srcRect b="51481" l="0" r="0" t="6147"/>
                    <a:stretch>
                      <a:fillRect/>
                    </a:stretch>
                  </pic:blipFill>
                  <pic:spPr>
                    <a:xfrm>
                      <a:off x="0" y="0"/>
                      <a:ext cx="5943600" cy="3260725"/>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Fig. S13:</w:t>
      </w:r>
      <w:r w:rsidDel="00000000" w:rsidR="00000000" w:rsidRPr="00000000">
        <w:rPr>
          <w:rFonts w:ascii="Times New Roman" w:cs="Times New Roman" w:eastAsia="Times New Roman" w:hAnsi="Times New Roman"/>
          <w:sz w:val="24"/>
          <w:szCs w:val="24"/>
          <w:rtl w:val="0"/>
        </w:rPr>
        <w:t xml:space="preserve"> Quantification of </w:t>
      </w:r>
      <w:r w:rsidDel="00000000" w:rsidR="00000000" w:rsidRPr="00000000">
        <w:rPr>
          <w:rFonts w:ascii="Times New Roman" w:cs="Times New Roman" w:eastAsia="Times New Roman" w:hAnsi="Times New Roman"/>
          <w:i w:val="1"/>
          <w:sz w:val="24"/>
          <w:szCs w:val="24"/>
          <w:rtl w:val="0"/>
        </w:rPr>
        <w:t xml:space="preserve">A. baumannii</w:t>
      </w:r>
      <w:r w:rsidDel="00000000" w:rsidR="00000000" w:rsidRPr="00000000">
        <w:rPr>
          <w:rFonts w:ascii="Times New Roman" w:cs="Times New Roman" w:eastAsia="Times New Roman" w:hAnsi="Times New Roman"/>
          <w:sz w:val="24"/>
          <w:szCs w:val="24"/>
          <w:rtl w:val="0"/>
        </w:rPr>
        <w:t xml:space="preserve"> binding to treated catheters a) preincubated (left) with 100 nM of A7 inhibitor or b) applied to catheters after bacterial attachment (right). Normalized signal intensity of </w:t>
      </w:r>
      <w:r w:rsidDel="00000000" w:rsidR="00000000" w:rsidRPr="00000000">
        <w:rPr>
          <w:rFonts w:ascii="Times New Roman" w:cs="Times New Roman" w:eastAsia="Times New Roman" w:hAnsi="Times New Roman"/>
          <w:i w:val="1"/>
          <w:sz w:val="24"/>
          <w:szCs w:val="24"/>
          <w:rtl w:val="0"/>
        </w:rPr>
        <w:t xml:space="preserve">A. baumannii</w:t>
      </w:r>
      <w:r w:rsidDel="00000000" w:rsidR="00000000" w:rsidRPr="00000000">
        <w:rPr>
          <w:rFonts w:ascii="Times New Roman" w:cs="Times New Roman" w:eastAsia="Times New Roman" w:hAnsi="Times New Roman"/>
          <w:sz w:val="24"/>
          <w:szCs w:val="24"/>
          <w:rtl w:val="0"/>
        </w:rPr>
        <w:t xml:space="preserve"> bacteria (red signal) over fibrinogen coating (green signal) per catheter. n=4 for all groups, except for 100 nM BSA detachment where n=3. Error bars show standard deviation. One-way ANOVA test. </w:t>
      </w:r>
      <w:r w:rsidDel="00000000" w:rsidR="00000000" w:rsidRPr="00000000">
        <w:rPr>
          <w:rFonts w:ascii="Gungsuh" w:cs="Gungsuh" w:eastAsia="Gungsuh" w:hAnsi="Gungsuh"/>
          <w:sz w:val="24"/>
          <w:szCs w:val="24"/>
          <w:rtl w:val="0"/>
        </w:rPr>
        <w:t xml:space="preserve">***P ≤ 0.01, **P ≤ 0.01, *P ≤ 0.05</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A">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479675"/>
            <wp:effectExtent b="0" l="0" r="0" t="0"/>
            <wp:docPr id="1" name="image5.png"/>
            <a:graphic>
              <a:graphicData uri="http://schemas.openxmlformats.org/drawingml/2006/picture">
                <pic:pic>
                  <pic:nvPicPr>
                    <pic:cNvPr id="0" name="image5.png"/>
                    <pic:cNvPicPr preferRelativeResize="0"/>
                  </pic:nvPicPr>
                  <pic:blipFill>
                    <a:blip r:embed="rId37"/>
                    <a:srcRect b="62183" l="0" r="0" t="5547"/>
                    <a:stretch>
                      <a:fillRect/>
                    </a:stretch>
                  </pic:blipFill>
                  <pic:spPr>
                    <a:xfrm>
                      <a:off x="0" y="0"/>
                      <a:ext cx="5943600" cy="2479675"/>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 S14:</w:t>
      </w:r>
      <w:r w:rsidDel="00000000" w:rsidR="00000000" w:rsidRPr="00000000">
        <w:rPr>
          <w:rFonts w:ascii="Times New Roman" w:cs="Times New Roman" w:eastAsia="Times New Roman" w:hAnsi="Times New Roman"/>
          <w:b w:val="1"/>
          <w:sz w:val="24"/>
          <w:szCs w:val="24"/>
          <w:rtl w:val="0"/>
        </w:rPr>
        <w:t xml:space="preserve">  SPR Traces of FimH minibinder C8. </w:t>
      </w:r>
      <w:r w:rsidDel="00000000" w:rsidR="00000000" w:rsidRPr="00000000">
        <w:rPr>
          <w:rFonts w:ascii="Times New Roman" w:cs="Times New Roman" w:eastAsia="Times New Roman" w:hAnsi="Times New Roman"/>
          <w:sz w:val="24"/>
          <w:szCs w:val="24"/>
          <w:rtl w:val="0"/>
        </w:rPr>
        <w:t xml:space="preserve">Minibinder C8 binds with a higher affinity than F7 to both FimH LAS (K</w:t>
      </w:r>
      <w:r w:rsidDel="00000000" w:rsidR="00000000" w:rsidRPr="00000000">
        <w:rPr>
          <w:rFonts w:ascii="Times New Roman" w:cs="Times New Roman" w:eastAsia="Times New Roman" w:hAnsi="Times New Roman"/>
          <w:sz w:val="24"/>
          <w:szCs w:val="24"/>
          <w:vertAlign w:val="subscript"/>
          <w:rtl w:val="0"/>
        </w:rPr>
        <w:t xml:space="preserve">d</w:t>
      </w:r>
      <w:r w:rsidDel="00000000" w:rsidR="00000000" w:rsidRPr="00000000">
        <w:rPr>
          <w:rFonts w:ascii="Times New Roman" w:cs="Times New Roman" w:eastAsia="Times New Roman" w:hAnsi="Times New Roman"/>
          <w:sz w:val="24"/>
          <w:szCs w:val="24"/>
          <w:rtl w:val="0"/>
        </w:rPr>
        <w:t xml:space="preserve">=15.0 nM) and FimH HAS (K</w:t>
      </w:r>
      <w:r w:rsidDel="00000000" w:rsidR="00000000" w:rsidRPr="00000000">
        <w:rPr>
          <w:rFonts w:ascii="Times New Roman" w:cs="Times New Roman" w:eastAsia="Times New Roman" w:hAnsi="Times New Roman"/>
          <w:sz w:val="24"/>
          <w:szCs w:val="24"/>
          <w:vertAlign w:val="subscript"/>
          <w:rtl w:val="0"/>
        </w:rPr>
        <w:t xml:space="preserve">d</w:t>
      </w:r>
      <w:r w:rsidDel="00000000" w:rsidR="00000000" w:rsidRPr="00000000">
        <w:rPr>
          <w:rFonts w:ascii="Times New Roman" w:cs="Times New Roman" w:eastAsia="Times New Roman" w:hAnsi="Times New Roman"/>
          <w:sz w:val="24"/>
          <w:szCs w:val="24"/>
          <w:rtl w:val="0"/>
        </w:rPr>
        <w:t xml:space="preserve">=243 nM).</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395008"/>
            <wp:effectExtent b="0" l="0" r="0" t="0"/>
            <wp:docPr id="11" name="image5.png"/>
            <a:graphic>
              <a:graphicData uri="http://schemas.openxmlformats.org/drawingml/2006/picture">
                <pic:pic>
                  <pic:nvPicPr>
                    <pic:cNvPr id="0" name="image5.png"/>
                    <pic:cNvPicPr preferRelativeResize="0"/>
                  </pic:nvPicPr>
                  <pic:blipFill>
                    <a:blip r:embed="rId37"/>
                    <a:srcRect b="24049" l="0" r="0" t="44784"/>
                    <a:stretch>
                      <a:fillRect/>
                    </a:stretch>
                  </pic:blipFill>
                  <pic:spPr>
                    <a:xfrm>
                      <a:off x="0" y="0"/>
                      <a:ext cx="5943600" cy="2395008"/>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S15: Inhibition ELISA showing minibinder C8. </w:t>
      </w:r>
      <w:r w:rsidDel="00000000" w:rsidR="00000000" w:rsidRPr="00000000">
        <w:rPr>
          <w:rFonts w:ascii="Times New Roman" w:cs="Times New Roman" w:eastAsia="Times New Roman" w:hAnsi="Times New Roman"/>
          <w:sz w:val="24"/>
          <w:szCs w:val="24"/>
          <w:rtl w:val="0"/>
        </w:rPr>
        <w:t xml:space="preserve">Inhibition ELISA results for minibinder F7 (pink; IC50=1.9 µM; 95% CI: 1.4-2.9 µM), noninhibitory minibinder A4 (teal), improved minibinder C8 (cyan; IC50-37 nM; </w:t>
      </w:r>
      <w:r w:rsidDel="00000000" w:rsidR="00000000" w:rsidRPr="00000000">
        <w:rPr>
          <w:rFonts w:ascii="Times New Roman" w:cs="Times New Roman" w:eastAsia="Times New Roman" w:hAnsi="Times New Roman"/>
          <w:sz w:val="24"/>
          <w:szCs w:val="24"/>
          <w:rtl w:val="0"/>
        </w:rPr>
        <w:t xml:space="preserve">95% CI: 31-47 nM</w:t>
      </w:r>
      <w:r w:rsidDel="00000000" w:rsidR="00000000" w:rsidRPr="00000000">
        <w:rPr>
          <w:rFonts w:ascii="Times New Roman" w:cs="Times New Roman" w:eastAsia="Times New Roman" w:hAnsi="Times New Roman"/>
          <w:sz w:val="24"/>
          <w:szCs w:val="24"/>
          <w:rtl w:val="0"/>
        </w:rPr>
        <w:t xml:space="preserve">and mannose (black). Each experiment includes three replicates. Error bars show standard deviation. </w:t>
      </w:r>
      <w:r w:rsidDel="00000000" w:rsidR="00000000" w:rsidRPr="00000000">
        <w:rPr>
          <w:rtl w:val="0"/>
        </w:rPr>
      </w:r>
    </w:p>
    <w:p w:rsidR="00000000" w:rsidDel="00000000" w:rsidP="00000000" w:rsidRDefault="00000000" w:rsidRPr="00000000" w14:paraId="000000A7">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8">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843588" cy="2962275"/>
            <wp:effectExtent b="0" l="0" r="0" t="0"/>
            <wp:docPr id="6" name="image14.png"/>
            <a:graphic>
              <a:graphicData uri="http://schemas.openxmlformats.org/drawingml/2006/picture">
                <pic:pic>
                  <pic:nvPicPr>
                    <pic:cNvPr id="0" name="image14.png"/>
                    <pic:cNvPicPr preferRelativeResize="0"/>
                  </pic:nvPicPr>
                  <pic:blipFill>
                    <a:blip r:embed="rId38"/>
                    <a:srcRect b="56503" l="952" r="749" t="4981"/>
                    <a:stretch>
                      <a:fillRect/>
                    </a:stretch>
                  </pic:blipFill>
                  <pic:spPr>
                    <a:xfrm>
                      <a:off x="0" y="0"/>
                      <a:ext cx="5843588" cy="2962275"/>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 S</w:t>
      </w:r>
      <w:r w:rsidDel="00000000" w:rsidR="00000000" w:rsidRPr="00000000">
        <w:rPr>
          <w:rFonts w:ascii="Times New Roman" w:cs="Times New Roman" w:eastAsia="Times New Roman" w:hAnsi="Times New Roman"/>
          <w:b w:val="1"/>
          <w:sz w:val="24"/>
          <w:szCs w:val="24"/>
          <w:rtl w:val="0"/>
        </w:rPr>
        <w:t xml:space="preserve">16:  SPR traces of Abp Oligomer C11 and its parent: Abp </w:t>
      </w:r>
      <w:r w:rsidDel="00000000" w:rsidR="00000000" w:rsidRPr="00000000">
        <w:rPr>
          <w:rFonts w:ascii="Times New Roman" w:cs="Times New Roman" w:eastAsia="Times New Roman" w:hAnsi="Times New Roman"/>
          <w:b w:val="1"/>
          <w:sz w:val="24"/>
          <w:szCs w:val="24"/>
          <w:rtl w:val="0"/>
        </w:rPr>
        <w:t xml:space="preserve">minibinder</w:t>
      </w:r>
      <w:r w:rsidDel="00000000" w:rsidR="00000000" w:rsidRPr="00000000">
        <w:rPr>
          <w:rFonts w:ascii="Times New Roman" w:cs="Times New Roman" w:eastAsia="Times New Roman" w:hAnsi="Times New Roman"/>
          <w:b w:val="1"/>
          <w:sz w:val="24"/>
          <w:szCs w:val="24"/>
          <w:rtl w:val="0"/>
        </w:rPr>
        <w:t xml:space="preserve"> A7. </w:t>
      </w:r>
      <w:r w:rsidDel="00000000" w:rsidR="00000000" w:rsidRPr="00000000">
        <w:rPr>
          <w:rFonts w:ascii="Times New Roman" w:cs="Times New Roman" w:eastAsia="Times New Roman" w:hAnsi="Times New Roman"/>
          <w:sz w:val="24"/>
          <w:szCs w:val="24"/>
          <w:rtl w:val="0"/>
        </w:rPr>
        <w:t xml:space="preserve"> Oligomer C11 binds with a higher affinity than its parent to both Abp1D (K</w:t>
      </w:r>
      <w:r w:rsidDel="00000000" w:rsidR="00000000" w:rsidRPr="00000000">
        <w:rPr>
          <w:rFonts w:ascii="Times New Roman" w:cs="Times New Roman" w:eastAsia="Times New Roman" w:hAnsi="Times New Roman"/>
          <w:sz w:val="24"/>
          <w:szCs w:val="24"/>
          <w:vertAlign w:val="subscript"/>
          <w:rtl w:val="0"/>
        </w:rPr>
        <w:t xml:space="preserve">d</w:t>
      </w:r>
      <w:r w:rsidDel="00000000" w:rsidR="00000000" w:rsidRPr="00000000">
        <w:rPr>
          <w:rFonts w:ascii="Times New Roman" w:cs="Times New Roman" w:eastAsia="Times New Roman" w:hAnsi="Times New Roman"/>
          <w:sz w:val="24"/>
          <w:szCs w:val="24"/>
          <w:rtl w:val="0"/>
        </w:rPr>
        <w:t xml:space="preserve">=11 pM) and Abp2D (K</w:t>
      </w:r>
      <w:r w:rsidDel="00000000" w:rsidR="00000000" w:rsidRPr="00000000">
        <w:rPr>
          <w:rFonts w:ascii="Times New Roman" w:cs="Times New Roman" w:eastAsia="Times New Roman" w:hAnsi="Times New Roman"/>
          <w:sz w:val="24"/>
          <w:szCs w:val="24"/>
          <w:vertAlign w:val="subscript"/>
          <w:rtl w:val="0"/>
        </w:rPr>
        <w:t xml:space="preserve">d</w:t>
      </w:r>
      <w:r w:rsidDel="00000000" w:rsidR="00000000" w:rsidRPr="00000000">
        <w:rPr>
          <w:rFonts w:ascii="Times New Roman" w:cs="Times New Roman" w:eastAsia="Times New Roman" w:hAnsi="Times New Roman"/>
          <w:sz w:val="24"/>
          <w:szCs w:val="24"/>
          <w:rtl w:val="0"/>
        </w:rPr>
        <w:t xml:space="preserve">=195 pM).</w:t>
      </w:r>
    </w:p>
    <w:p w:rsidR="00000000" w:rsidDel="00000000" w:rsidP="00000000" w:rsidRDefault="00000000" w:rsidRPr="00000000" w14:paraId="000000AA">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2">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3053292"/>
            <wp:effectExtent b="0" l="0" r="0" t="0"/>
            <wp:docPr id="15" name="image16.png"/>
            <a:graphic>
              <a:graphicData uri="http://schemas.openxmlformats.org/drawingml/2006/picture">
                <pic:pic>
                  <pic:nvPicPr>
                    <pic:cNvPr id="0" name="image16.png"/>
                    <pic:cNvPicPr preferRelativeResize="0"/>
                  </pic:nvPicPr>
                  <pic:blipFill>
                    <a:blip r:embed="rId39"/>
                    <a:srcRect b="20772" l="0" r="0" t="39544"/>
                    <a:stretch>
                      <a:fillRect/>
                    </a:stretch>
                  </pic:blipFill>
                  <pic:spPr>
                    <a:xfrm>
                      <a:off x="0" y="0"/>
                      <a:ext cx="5943600" cy="3053292"/>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 S</w:t>
      </w:r>
      <w:r w:rsidDel="00000000" w:rsidR="00000000" w:rsidRPr="00000000">
        <w:rPr>
          <w:rFonts w:ascii="Times New Roman" w:cs="Times New Roman" w:eastAsia="Times New Roman" w:hAnsi="Times New Roman"/>
          <w:b w:val="1"/>
          <w:sz w:val="24"/>
          <w:szCs w:val="24"/>
          <w:rtl w:val="0"/>
        </w:rPr>
        <w:t xml:space="preserve">17:  Inhibition ELISA results for Abp oligomer C11 and its parent: Abp </w:t>
      </w:r>
      <w:r w:rsidDel="00000000" w:rsidR="00000000" w:rsidRPr="00000000">
        <w:rPr>
          <w:rFonts w:ascii="Times New Roman" w:cs="Times New Roman" w:eastAsia="Times New Roman" w:hAnsi="Times New Roman"/>
          <w:b w:val="1"/>
          <w:sz w:val="24"/>
          <w:szCs w:val="24"/>
          <w:rtl w:val="0"/>
        </w:rPr>
        <w:t xml:space="preserve">minbinder</w:t>
      </w:r>
      <w:r w:rsidDel="00000000" w:rsidR="00000000" w:rsidRPr="00000000">
        <w:rPr>
          <w:rFonts w:ascii="Times New Roman" w:cs="Times New Roman" w:eastAsia="Times New Roman" w:hAnsi="Times New Roman"/>
          <w:b w:val="1"/>
          <w:sz w:val="24"/>
          <w:szCs w:val="24"/>
          <w:rtl w:val="0"/>
        </w:rPr>
        <w:t xml:space="preserve"> A7.</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ELISA results indicate that oligomerization improves the IC50 of inhibition of fibrinogen binding </w:t>
      </w:r>
      <w:r w:rsidDel="00000000" w:rsidR="00000000" w:rsidRPr="00000000">
        <w:rPr>
          <w:rFonts w:ascii="Times New Roman" w:cs="Times New Roman" w:eastAsia="Times New Roman" w:hAnsi="Times New Roman"/>
          <w:i w:val="1"/>
          <w:sz w:val="24"/>
          <w:szCs w:val="24"/>
          <w:rtl w:val="0"/>
        </w:rPr>
        <w:t xml:space="preserve">in cellulo</w:t>
      </w:r>
      <w:r w:rsidDel="00000000" w:rsidR="00000000" w:rsidRPr="00000000">
        <w:rPr>
          <w:rFonts w:ascii="Times New Roman" w:cs="Times New Roman" w:eastAsia="Times New Roman" w:hAnsi="Times New Roman"/>
          <w:sz w:val="24"/>
          <w:szCs w:val="24"/>
          <w:rtl w:val="0"/>
        </w:rPr>
        <w:t xml:space="preserve">. The d</w:t>
      </w:r>
      <w:r w:rsidDel="00000000" w:rsidR="00000000" w:rsidRPr="00000000">
        <w:rPr>
          <w:rFonts w:ascii="Times New Roman" w:cs="Times New Roman" w:eastAsia="Times New Roman" w:hAnsi="Times New Roman"/>
          <w:sz w:val="24"/>
          <w:szCs w:val="24"/>
          <w:rtl w:val="0"/>
        </w:rPr>
        <w:t xml:space="preserve">ata provided contains 3 replicates</w:t>
      </w:r>
      <w:r w:rsidDel="00000000" w:rsidR="00000000" w:rsidRPr="00000000">
        <w:rPr>
          <w:rFonts w:ascii="Times New Roman" w:cs="Times New Roman" w:eastAsia="Times New Roman" w:hAnsi="Times New Roman"/>
          <w:sz w:val="24"/>
          <w:szCs w:val="24"/>
          <w:rtl w:val="0"/>
        </w:rPr>
        <w:t xml:space="preserve">. Error bars show standard deviation.</w:t>
      </w:r>
    </w:p>
    <w:p w:rsidR="00000000" w:rsidDel="00000000" w:rsidP="00000000" w:rsidRDefault="00000000" w:rsidRPr="00000000" w14:paraId="000000B4">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rPr>
          <w:rFonts w:ascii="Times New Roman" w:cs="Times New Roman" w:eastAsia="Times New Roman" w:hAnsi="Times New Roman"/>
          <w:sz w:val="24"/>
          <w:szCs w:val="24"/>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55"/>
        <w:gridCol w:w="3705"/>
        <w:gridCol w:w="3300"/>
        <w:tblGridChange w:id="0">
          <w:tblGrid>
            <w:gridCol w:w="2355"/>
            <w:gridCol w:w="3705"/>
            <w:gridCol w:w="3300"/>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C7">
            <w:pPr>
              <w:spacing w:after="200" w:before="200" w:lineRule="auto"/>
              <w:ind w:left="10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8" w:val="single"/>
              <w:left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C8">
            <w:pPr>
              <w:spacing w:after="200" w:before="200" w:lineRule="auto"/>
              <w:ind w:left="10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F7</w:t>
            </w:r>
            <w:r w:rsidDel="00000000" w:rsidR="00000000" w:rsidRPr="00000000">
              <w:rPr>
                <w:rFonts w:ascii="Times New Roman" w:cs="Times New Roman" w:eastAsia="Times New Roman" w:hAnsi="Times New Roman"/>
                <w:b w:val="1"/>
                <w:sz w:val="24"/>
                <w:szCs w:val="24"/>
                <w:highlight w:val="white"/>
                <w:rtl w:val="0"/>
              </w:rPr>
              <w:t xml:space="preserve">-FimH (PDB Code: 9Q1V)</w:t>
            </w:r>
            <w:r w:rsidDel="00000000" w:rsidR="00000000" w:rsidRPr="00000000">
              <w:rPr>
                <w:rtl w:val="0"/>
              </w:rPr>
            </w:r>
          </w:p>
        </w:tc>
        <w:tc>
          <w:tcPr>
            <w:tcBorders>
              <w:top w:color="000000" w:space="0" w:sz="8" w:val="single"/>
              <w:left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C9">
            <w:pPr>
              <w:spacing w:after="200" w:before="200" w:lineRule="auto"/>
              <w:ind w:left="10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A7-Abp2D (PDB Code: 9Q1H)</w:t>
            </w:r>
          </w:p>
        </w:tc>
      </w:tr>
      <w:tr>
        <w:trPr>
          <w:cantSplit w:val="0"/>
          <w:trHeight w:val="225" w:hRule="atLeast"/>
          <w:tblHeader w:val="0"/>
        </w:trPr>
        <w:tc>
          <w:tcPr>
            <w:tcBorders>
              <w:top w:color="000000" w:space="0" w:sz="8" w:val="single"/>
              <w:left w:color="000000" w:space="0" w:sz="8" w:val="single"/>
              <w:bottom w:color="000000" w:space="0" w:sz="8" w:val="single"/>
            </w:tcBorders>
            <w:tcMar>
              <w:top w:w="0.0" w:type="dxa"/>
              <w:left w:w="100.0" w:type="dxa"/>
              <w:bottom w:w="0.0" w:type="dxa"/>
              <w:right w:w="100.0" w:type="dxa"/>
            </w:tcMar>
            <w:vAlign w:val="top"/>
          </w:tcPr>
          <w:p w:rsidR="00000000" w:rsidDel="00000000" w:rsidP="00000000" w:rsidRDefault="00000000" w:rsidRPr="00000000" w14:paraId="000000C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Resolution range</w:t>
            </w:r>
          </w:p>
        </w:tc>
        <w:tc>
          <w:tcPr>
            <w:tcMar>
              <w:top w:w="0.0" w:type="dxa"/>
              <w:left w:w="100.0" w:type="dxa"/>
              <w:bottom w:w="0.0" w:type="dxa"/>
              <w:right w:w="100.0" w:type="dxa"/>
            </w:tcMar>
            <w:vAlign w:val="top"/>
          </w:tcPr>
          <w:p w:rsidR="00000000" w:rsidDel="00000000" w:rsidP="00000000" w:rsidRDefault="00000000" w:rsidRPr="00000000" w14:paraId="000000C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42.22  - 1.75 (1.81  - 1.75)</w:t>
            </w:r>
          </w:p>
        </w:tc>
        <w:tc>
          <w:tcPr>
            <w:tcMar>
              <w:top w:w="20.0" w:type="dxa"/>
              <w:left w:w="20.0" w:type="dxa"/>
              <w:bottom w:w="100.0" w:type="dxa"/>
              <w:right w:w="20.0" w:type="dxa"/>
            </w:tcMar>
            <w:vAlign w:val="bottom"/>
          </w:tcPr>
          <w:p w:rsidR="00000000" w:rsidDel="00000000" w:rsidP="00000000" w:rsidRDefault="00000000" w:rsidRPr="00000000" w14:paraId="000000C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49.60  - 1.35 (1.398-1.35)</w:t>
            </w:r>
          </w:p>
        </w:tc>
      </w:tr>
      <w:tr>
        <w:trPr>
          <w:cantSplit w:val="0"/>
          <w:trHeight w:val="375" w:hRule="atLeast"/>
          <w:tblHeader w:val="0"/>
        </w:trPr>
        <w:tc>
          <w:tcPr>
            <w:tcBorders>
              <w:top w:color="000000" w:space="0" w:sz="8" w:val="single"/>
              <w:left w:color="000000" w:space="0" w:sz="8" w:val="single"/>
              <w:bottom w:color="000000" w:space="0" w:sz="8" w:val="single"/>
            </w:tcBorders>
            <w:tcMar>
              <w:top w:w="0.0" w:type="dxa"/>
              <w:left w:w="100.0" w:type="dxa"/>
              <w:bottom w:w="0.0" w:type="dxa"/>
              <w:right w:w="100.0" w:type="dxa"/>
            </w:tcMar>
            <w:vAlign w:val="top"/>
          </w:tcPr>
          <w:p w:rsidR="00000000" w:rsidDel="00000000" w:rsidP="00000000" w:rsidRDefault="00000000" w:rsidRPr="00000000" w14:paraId="000000C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Space group</w:t>
            </w:r>
          </w:p>
        </w:tc>
        <w:tc>
          <w:tcPr>
            <w:tcMar>
              <w:top w:w="0.0" w:type="dxa"/>
              <w:left w:w="100.0" w:type="dxa"/>
              <w:bottom w:w="0.0" w:type="dxa"/>
              <w:right w:w="100.0" w:type="dxa"/>
            </w:tcMar>
            <w:vAlign w:val="top"/>
          </w:tcPr>
          <w:p w:rsidR="00000000" w:rsidDel="00000000" w:rsidP="00000000" w:rsidRDefault="00000000" w:rsidRPr="00000000" w14:paraId="000000CE">
            <w:pPr>
              <w:rPr>
                <w:rFonts w:ascii="Times New Roman" w:cs="Times New Roman" w:eastAsia="Times New Roman" w:hAnsi="Times New Roman"/>
                <w:i w:val="1"/>
                <w:sz w:val="24"/>
                <w:szCs w:val="24"/>
                <w:vertAlign w:val="subscript"/>
              </w:rPr>
            </w:pPr>
            <w:r w:rsidDel="00000000" w:rsidR="00000000" w:rsidRPr="00000000">
              <w:rPr>
                <w:rFonts w:ascii="Times New Roman" w:cs="Times New Roman" w:eastAsia="Times New Roman" w:hAnsi="Times New Roman"/>
                <w:i w:val="1"/>
                <w:sz w:val="24"/>
                <w:szCs w:val="24"/>
                <w:rtl w:val="0"/>
              </w:rPr>
              <w:t xml:space="preserve">P 2</w:t>
            </w:r>
            <w:r w:rsidDel="00000000" w:rsidR="00000000" w:rsidRPr="00000000">
              <w:rPr>
                <w:rFonts w:ascii="Times New Roman" w:cs="Times New Roman" w:eastAsia="Times New Roman" w:hAnsi="Times New Roman"/>
                <w:i w:val="1"/>
                <w:sz w:val="24"/>
                <w:szCs w:val="24"/>
                <w:vertAlign w:val="subscript"/>
                <w:rtl w:val="0"/>
              </w:rPr>
              <w:t xml:space="preserve">1</w:t>
            </w:r>
          </w:p>
        </w:tc>
        <w:tc>
          <w:tcPr>
            <w:tcMar>
              <w:top w:w="20.0" w:type="dxa"/>
              <w:left w:w="20.0" w:type="dxa"/>
              <w:bottom w:w="100.0" w:type="dxa"/>
              <w:right w:w="20.0" w:type="dxa"/>
            </w:tcMar>
            <w:vAlign w:val="bottom"/>
          </w:tcPr>
          <w:p w:rsidR="00000000" w:rsidDel="00000000" w:rsidP="00000000" w:rsidRDefault="00000000" w:rsidRPr="00000000" w14:paraId="000000CF">
            <w:pPr>
              <w:rPr>
                <w:rFonts w:ascii="Times New Roman" w:cs="Times New Roman" w:eastAsia="Times New Roman" w:hAnsi="Times New Roman"/>
                <w:i w:val="1"/>
                <w:sz w:val="24"/>
                <w:szCs w:val="24"/>
                <w:vertAlign w:val="subscript"/>
              </w:rPr>
            </w:pPr>
            <w:r w:rsidDel="00000000" w:rsidR="00000000" w:rsidRPr="00000000">
              <w:rPr>
                <w:rFonts w:ascii="Times New Roman" w:cs="Times New Roman" w:eastAsia="Times New Roman" w:hAnsi="Times New Roman"/>
                <w:i w:val="1"/>
                <w:sz w:val="24"/>
                <w:szCs w:val="24"/>
                <w:rtl w:val="0"/>
              </w:rPr>
              <w:t xml:space="preserve">P 2</w:t>
            </w:r>
            <w:r w:rsidDel="00000000" w:rsidR="00000000" w:rsidRPr="00000000">
              <w:rPr>
                <w:rFonts w:ascii="Times New Roman" w:cs="Times New Roman" w:eastAsia="Times New Roman" w:hAnsi="Times New Roman"/>
                <w:i w:val="1"/>
                <w:sz w:val="24"/>
                <w:szCs w:val="24"/>
                <w:vertAlign w:val="subscript"/>
                <w:rtl w:val="0"/>
              </w:rPr>
              <w:t xml:space="preserve">1</w:t>
            </w:r>
            <w:r w:rsidDel="00000000" w:rsidR="00000000" w:rsidRPr="00000000">
              <w:rPr>
                <w:rFonts w:ascii="Times New Roman" w:cs="Times New Roman" w:eastAsia="Times New Roman" w:hAnsi="Times New Roman"/>
                <w:i w:val="1"/>
                <w:sz w:val="24"/>
                <w:szCs w:val="24"/>
                <w:rtl w:val="0"/>
              </w:rPr>
              <w:t xml:space="preserve"> 2</w:t>
            </w:r>
            <w:r w:rsidDel="00000000" w:rsidR="00000000" w:rsidRPr="00000000">
              <w:rPr>
                <w:rFonts w:ascii="Times New Roman" w:cs="Times New Roman" w:eastAsia="Times New Roman" w:hAnsi="Times New Roman"/>
                <w:i w:val="1"/>
                <w:sz w:val="24"/>
                <w:szCs w:val="24"/>
                <w:vertAlign w:val="subscript"/>
                <w:rtl w:val="0"/>
              </w:rPr>
              <w:t xml:space="preserve">1</w:t>
            </w:r>
            <w:r w:rsidDel="00000000" w:rsidR="00000000" w:rsidRPr="00000000">
              <w:rPr>
                <w:rFonts w:ascii="Times New Roman" w:cs="Times New Roman" w:eastAsia="Times New Roman" w:hAnsi="Times New Roman"/>
                <w:i w:val="1"/>
                <w:sz w:val="24"/>
                <w:szCs w:val="24"/>
                <w:rtl w:val="0"/>
              </w:rPr>
              <w:t xml:space="preserve"> 2</w:t>
            </w:r>
            <w:r w:rsidDel="00000000" w:rsidR="00000000" w:rsidRPr="00000000">
              <w:rPr>
                <w:rFonts w:ascii="Times New Roman" w:cs="Times New Roman" w:eastAsia="Times New Roman" w:hAnsi="Times New Roman"/>
                <w:i w:val="1"/>
                <w:sz w:val="24"/>
                <w:szCs w:val="24"/>
                <w:vertAlign w:val="subscript"/>
                <w:rtl w:val="0"/>
              </w:rPr>
              <w:t xml:space="preserve">1</w:t>
            </w:r>
          </w:p>
        </w:tc>
      </w:tr>
      <w:tr>
        <w:trPr>
          <w:cantSplit w:val="0"/>
          <w:trHeight w:val="330" w:hRule="atLeast"/>
          <w:tblHeader w:val="0"/>
        </w:trPr>
        <w:tc>
          <w:tcPr>
            <w:tcBorders>
              <w:top w:color="000000" w:space="0" w:sz="8" w:val="single"/>
              <w:left w:color="000000" w:space="0" w:sz="8" w:val="single"/>
              <w:bottom w:color="000000" w:space="0" w:sz="8" w:val="single"/>
            </w:tcBorders>
            <w:tcMar>
              <w:top w:w="0.0" w:type="dxa"/>
              <w:left w:w="100.0" w:type="dxa"/>
              <w:bottom w:w="0.0" w:type="dxa"/>
              <w:right w:w="100.0" w:type="dxa"/>
            </w:tcMar>
            <w:vAlign w:val="top"/>
          </w:tcPr>
          <w:p w:rsidR="00000000" w:rsidDel="00000000" w:rsidP="00000000" w:rsidRDefault="00000000" w:rsidRPr="00000000" w14:paraId="000000D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 cell</w:t>
            </w:r>
          </w:p>
        </w:tc>
        <w:tc>
          <w:tcPr>
            <w:tcMar>
              <w:top w:w="0.0" w:type="dxa"/>
              <w:left w:w="100.0" w:type="dxa"/>
              <w:bottom w:w="0.0" w:type="dxa"/>
              <w:right w:w="100.0" w:type="dxa"/>
            </w:tcMar>
            <w:vAlign w:val="top"/>
          </w:tcPr>
          <w:p w:rsidR="00000000" w:rsidDel="00000000" w:rsidP="00000000" w:rsidRDefault="00000000" w:rsidRPr="00000000" w14:paraId="000000D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50.97, 52.39, 72.87; 90, 101.80, 90</w:t>
            </w:r>
          </w:p>
        </w:tc>
        <w:tc>
          <w:tcPr>
            <w:tcMar>
              <w:top w:w="20.0" w:type="dxa"/>
              <w:left w:w="20.0" w:type="dxa"/>
              <w:bottom w:w="100.0" w:type="dxa"/>
              <w:right w:w="20.0" w:type="dxa"/>
            </w:tcMar>
            <w:vAlign w:val="bottom"/>
          </w:tcPr>
          <w:p w:rsidR="00000000" w:rsidDel="00000000" w:rsidP="00000000" w:rsidRDefault="00000000" w:rsidRPr="00000000" w14:paraId="000000D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25.81, 52.46, 152.12; 90, 90, 90</w:t>
            </w:r>
          </w:p>
        </w:tc>
      </w:tr>
      <w:tr>
        <w:trPr>
          <w:cantSplit w:val="0"/>
          <w:trHeight w:val="375" w:hRule="atLeast"/>
          <w:tblHeader w:val="0"/>
        </w:trPr>
        <w:tc>
          <w:tcPr>
            <w:tcBorders>
              <w:top w:color="000000" w:space="0" w:sz="8" w:val="single"/>
              <w:left w:color="000000" w:space="0" w:sz="8" w:val="single"/>
              <w:bottom w:color="000000" w:space="0" w:sz="8" w:val="single"/>
            </w:tcBorders>
            <w:tcMar>
              <w:top w:w="0.0" w:type="dxa"/>
              <w:left w:w="100.0" w:type="dxa"/>
              <w:bottom w:w="0.0" w:type="dxa"/>
              <w:right w:w="100.0" w:type="dxa"/>
            </w:tcMar>
            <w:vAlign w:val="top"/>
          </w:tcPr>
          <w:p w:rsidR="00000000" w:rsidDel="00000000" w:rsidP="00000000" w:rsidRDefault="00000000" w:rsidRPr="00000000" w14:paraId="000000D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Unique reflections</w:t>
            </w:r>
          </w:p>
        </w:tc>
        <w:tc>
          <w:tcPr>
            <w:tcMar>
              <w:top w:w="0.0" w:type="dxa"/>
              <w:left w:w="100.0" w:type="dxa"/>
              <w:bottom w:w="0.0" w:type="dxa"/>
              <w:right w:w="100.0" w:type="dxa"/>
            </w:tcMar>
            <w:vAlign w:val="top"/>
          </w:tcPr>
          <w:p w:rsidR="00000000" w:rsidDel="00000000" w:rsidP="00000000" w:rsidRDefault="00000000" w:rsidRPr="00000000" w14:paraId="000000D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48567 (5071)</w:t>
            </w:r>
          </w:p>
        </w:tc>
        <w:tc>
          <w:tcPr>
            <w:tcMar>
              <w:top w:w="20.0" w:type="dxa"/>
              <w:left w:w="20.0" w:type="dxa"/>
              <w:bottom w:w="100.0" w:type="dxa"/>
              <w:right w:w="20.0" w:type="dxa"/>
            </w:tcMar>
            <w:vAlign w:val="bottom"/>
          </w:tcPr>
          <w:p w:rsidR="00000000" w:rsidDel="00000000" w:rsidP="00000000" w:rsidRDefault="00000000" w:rsidRPr="00000000" w14:paraId="000000D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46366 (4424)</w:t>
            </w:r>
          </w:p>
        </w:tc>
      </w:tr>
      <w:tr>
        <w:trPr>
          <w:cantSplit w:val="0"/>
          <w:trHeight w:val="375" w:hRule="atLeast"/>
          <w:tblHeader w:val="0"/>
        </w:trPr>
        <w:tc>
          <w:tcPr>
            <w:tcBorders>
              <w:top w:color="000000" w:space="0" w:sz="8" w:val="single"/>
              <w:left w:color="000000" w:space="0" w:sz="8" w:val="single"/>
              <w:bottom w:color="000000" w:space="0" w:sz="8" w:val="single"/>
            </w:tcBorders>
            <w:tcMar>
              <w:top w:w="0.0" w:type="dxa"/>
              <w:left w:w="100.0" w:type="dxa"/>
              <w:bottom w:w="0.0" w:type="dxa"/>
              <w:right w:w="100.0" w:type="dxa"/>
            </w:tcMar>
            <w:vAlign w:val="top"/>
          </w:tcPr>
          <w:p w:rsidR="00000000" w:rsidDel="00000000" w:rsidP="00000000" w:rsidRDefault="00000000" w:rsidRPr="00000000" w14:paraId="000000D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Multiplicity</w:t>
            </w:r>
          </w:p>
        </w:tc>
        <w:tc>
          <w:tcPr>
            <w:tcMar>
              <w:top w:w="0.0" w:type="dxa"/>
              <w:left w:w="100.0" w:type="dxa"/>
              <w:bottom w:w="0.0" w:type="dxa"/>
              <w:right w:w="100.0" w:type="dxa"/>
            </w:tcMar>
            <w:vAlign w:val="top"/>
          </w:tcPr>
          <w:p w:rsidR="00000000" w:rsidDel="00000000" w:rsidP="00000000" w:rsidRDefault="00000000" w:rsidRPr="00000000" w14:paraId="000000D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6.9 (7.2)</w:t>
            </w:r>
          </w:p>
        </w:tc>
        <w:tc>
          <w:tcPr>
            <w:tcMar>
              <w:top w:w="20.0" w:type="dxa"/>
              <w:left w:w="20.0" w:type="dxa"/>
              <w:bottom w:w="100.0" w:type="dxa"/>
              <w:right w:w="20.0" w:type="dxa"/>
            </w:tcMar>
            <w:vAlign w:val="bottom"/>
          </w:tcPr>
          <w:p w:rsidR="00000000" w:rsidDel="00000000" w:rsidP="00000000" w:rsidRDefault="00000000" w:rsidRPr="00000000" w14:paraId="000000D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(2.0)</w:t>
            </w:r>
          </w:p>
        </w:tc>
      </w:tr>
      <w:tr>
        <w:trPr>
          <w:cantSplit w:val="0"/>
          <w:trHeight w:val="375" w:hRule="atLeast"/>
          <w:tblHeader w:val="0"/>
        </w:trPr>
        <w:tc>
          <w:tcPr>
            <w:tcBorders>
              <w:top w:color="000000" w:space="0" w:sz="8" w:val="single"/>
              <w:left w:color="000000" w:space="0" w:sz="8" w:val="single"/>
              <w:bottom w:color="000000" w:space="0" w:sz="8" w:val="single"/>
            </w:tcBorders>
            <w:tcMar>
              <w:top w:w="0.0" w:type="dxa"/>
              <w:left w:w="100.0" w:type="dxa"/>
              <w:bottom w:w="0.0" w:type="dxa"/>
              <w:right w:w="100.0" w:type="dxa"/>
            </w:tcMar>
            <w:vAlign w:val="top"/>
          </w:tcPr>
          <w:p w:rsidR="00000000" w:rsidDel="00000000" w:rsidP="00000000" w:rsidRDefault="00000000" w:rsidRPr="00000000" w14:paraId="000000D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Completeness (%)</w:t>
            </w:r>
          </w:p>
        </w:tc>
        <w:tc>
          <w:tcPr>
            <w:tcMar>
              <w:top w:w="0.0" w:type="dxa"/>
              <w:left w:w="100.0" w:type="dxa"/>
              <w:bottom w:w="0.0" w:type="dxa"/>
              <w:right w:w="100.0" w:type="dxa"/>
            </w:tcMar>
            <w:vAlign w:val="top"/>
          </w:tcPr>
          <w:p w:rsidR="00000000" w:rsidDel="00000000" w:rsidP="00000000" w:rsidRDefault="00000000" w:rsidRPr="00000000" w14:paraId="000000D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90.00 (95.91)</w:t>
            </w:r>
          </w:p>
        </w:tc>
        <w:tc>
          <w:tcPr>
            <w:tcMar>
              <w:top w:w="20.0" w:type="dxa"/>
              <w:left w:w="20.0" w:type="dxa"/>
              <w:bottom w:w="100.0" w:type="dxa"/>
              <w:right w:w="20.0" w:type="dxa"/>
            </w:tcMar>
            <w:vAlign w:val="bottom"/>
          </w:tcPr>
          <w:p w:rsidR="00000000" w:rsidDel="00000000" w:rsidP="00000000" w:rsidRDefault="00000000" w:rsidRPr="00000000" w14:paraId="000000D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99.43 (97.34)</w:t>
            </w:r>
          </w:p>
        </w:tc>
      </w:tr>
      <w:tr>
        <w:trPr>
          <w:cantSplit w:val="0"/>
          <w:trHeight w:val="375" w:hRule="atLeast"/>
          <w:tblHeader w:val="0"/>
        </w:trPr>
        <w:tc>
          <w:tcPr>
            <w:tcBorders>
              <w:top w:color="000000" w:space="0" w:sz="8" w:val="single"/>
              <w:left w:color="000000" w:space="0" w:sz="8" w:val="single"/>
              <w:bottom w:color="000000" w:space="0" w:sz="8" w:val="single"/>
            </w:tcBorders>
            <w:tcMar>
              <w:top w:w="0.0" w:type="dxa"/>
              <w:left w:w="100.0" w:type="dxa"/>
              <w:bottom w:w="0.0" w:type="dxa"/>
              <w:right w:w="100.0" w:type="dxa"/>
            </w:tcMar>
            <w:vAlign w:val="top"/>
          </w:tcPr>
          <w:p w:rsidR="00000000" w:rsidDel="00000000" w:rsidP="00000000" w:rsidRDefault="00000000" w:rsidRPr="00000000" w14:paraId="000000D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Mean I/sigma(I)</w:t>
            </w:r>
          </w:p>
        </w:tc>
        <w:tc>
          <w:tcPr>
            <w:tcMar>
              <w:top w:w="0.0" w:type="dxa"/>
              <w:left w:w="100.0" w:type="dxa"/>
              <w:bottom w:w="0.0" w:type="dxa"/>
              <w:right w:w="100.0" w:type="dxa"/>
            </w:tcMar>
            <w:vAlign w:val="top"/>
          </w:tcPr>
          <w:p w:rsidR="00000000" w:rsidDel="00000000" w:rsidP="00000000" w:rsidRDefault="00000000" w:rsidRPr="00000000" w14:paraId="000000D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3.99 (1.30)</w:t>
            </w:r>
          </w:p>
        </w:tc>
        <w:tc>
          <w:tcPr>
            <w:tcMar>
              <w:top w:w="20.0" w:type="dxa"/>
              <w:left w:w="20.0" w:type="dxa"/>
              <w:bottom w:w="100.0" w:type="dxa"/>
              <w:right w:w="20.0" w:type="dxa"/>
            </w:tcMar>
            <w:vAlign w:val="bottom"/>
          </w:tcPr>
          <w:p w:rsidR="00000000" w:rsidDel="00000000" w:rsidP="00000000" w:rsidRDefault="00000000" w:rsidRPr="00000000" w14:paraId="000000D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17.87 (2.02)</w:t>
            </w:r>
          </w:p>
        </w:tc>
      </w:tr>
      <w:tr>
        <w:trPr>
          <w:cantSplit w:val="0"/>
          <w:trHeight w:val="375" w:hRule="atLeast"/>
          <w:tblHeader w:val="0"/>
        </w:trPr>
        <w:tc>
          <w:tcPr>
            <w:tcBorders>
              <w:top w:color="000000" w:space="0" w:sz="8" w:val="single"/>
              <w:left w:color="000000" w:space="0" w:sz="8" w:val="single"/>
              <w:bottom w:color="000000" w:space="0" w:sz="8" w:val="single"/>
            </w:tcBorders>
            <w:tcMar>
              <w:top w:w="0.0" w:type="dxa"/>
              <w:left w:w="100.0" w:type="dxa"/>
              <w:bottom w:w="0.0" w:type="dxa"/>
              <w:right w:w="100.0" w:type="dxa"/>
            </w:tcMar>
            <w:vAlign w:val="top"/>
          </w:tcPr>
          <w:p w:rsidR="00000000" w:rsidDel="00000000" w:rsidP="00000000" w:rsidRDefault="00000000" w:rsidRPr="00000000" w14:paraId="000000D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Wilson B-factor</w:t>
            </w:r>
          </w:p>
        </w:tc>
        <w:tc>
          <w:tcPr>
            <w:tcMar>
              <w:top w:w="0.0" w:type="dxa"/>
              <w:left w:w="100.0" w:type="dxa"/>
              <w:bottom w:w="0.0" w:type="dxa"/>
              <w:right w:w="100.0" w:type="dxa"/>
            </w:tcMar>
            <w:vAlign w:val="top"/>
          </w:tcPr>
          <w:p w:rsidR="00000000" w:rsidDel="00000000" w:rsidP="00000000" w:rsidRDefault="00000000" w:rsidRPr="00000000" w14:paraId="000000E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15.58</w:t>
            </w:r>
          </w:p>
        </w:tc>
        <w:tc>
          <w:tcPr>
            <w:tcMar>
              <w:top w:w="20.0" w:type="dxa"/>
              <w:left w:w="20.0" w:type="dxa"/>
              <w:bottom w:w="100.0" w:type="dxa"/>
              <w:right w:w="20.0" w:type="dxa"/>
            </w:tcMar>
            <w:vAlign w:val="bottom"/>
          </w:tcPr>
          <w:p w:rsidR="00000000" w:rsidDel="00000000" w:rsidP="00000000" w:rsidRDefault="00000000" w:rsidRPr="00000000" w14:paraId="000000E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13.46</w:t>
            </w:r>
          </w:p>
        </w:tc>
      </w:tr>
      <w:tr>
        <w:trPr>
          <w:cantSplit w:val="0"/>
          <w:trHeight w:val="375" w:hRule="atLeast"/>
          <w:tblHeader w:val="0"/>
        </w:trPr>
        <w:tc>
          <w:tcPr>
            <w:tcBorders>
              <w:top w:color="000000" w:space="0" w:sz="8" w:val="single"/>
              <w:left w:color="000000" w:space="0" w:sz="8" w:val="single"/>
              <w:bottom w:color="000000" w:space="0" w:sz="8" w:val="single"/>
            </w:tcBorders>
            <w:tcMar>
              <w:top w:w="0.0" w:type="dxa"/>
              <w:left w:w="100.0" w:type="dxa"/>
              <w:bottom w:w="0.0" w:type="dxa"/>
              <w:right w:w="100.0" w:type="dxa"/>
            </w:tcMar>
            <w:vAlign w:val="top"/>
          </w:tcPr>
          <w:p w:rsidR="00000000" w:rsidDel="00000000" w:rsidP="00000000" w:rsidRDefault="00000000" w:rsidRPr="00000000" w14:paraId="000000E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R-merge</w:t>
            </w:r>
          </w:p>
        </w:tc>
        <w:tc>
          <w:tcPr>
            <w:tcMar>
              <w:top w:w="0.0" w:type="dxa"/>
              <w:left w:w="100.0" w:type="dxa"/>
              <w:bottom w:w="0.0" w:type="dxa"/>
              <w:right w:w="100.0" w:type="dxa"/>
            </w:tcMar>
            <w:vAlign w:val="top"/>
          </w:tcPr>
          <w:p w:rsidR="00000000" w:rsidDel="00000000" w:rsidP="00000000" w:rsidRDefault="00000000" w:rsidRPr="00000000" w14:paraId="000000E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0.2215 (1.516)</w:t>
            </w:r>
          </w:p>
        </w:tc>
        <w:tc>
          <w:tcPr>
            <w:tcMar>
              <w:top w:w="20.0" w:type="dxa"/>
              <w:left w:w="20.0" w:type="dxa"/>
              <w:bottom w:w="100.0" w:type="dxa"/>
              <w:right w:w="20.0" w:type="dxa"/>
            </w:tcMar>
            <w:vAlign w:val="bottom"/>
          </w:tcPr>
          <w:p w:rsidR="00000000" w:rsidDel="00000000" w:rsidP="00000000" w:rsidRDefault="00000000" w:rsidRPr="00000000" w14:paraId="000000E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0.02098 (0.3197)</w:t>
            </w:r>
          </w:p>
        </w:tc>
      </w:tr>
      <w:tr>
        <w:trPr>
          <w:cantSplit w:val="0"/>
          <w:trHeight w:val="375" w:hRule="atLeast"/>
          <w:tblHeader w:val="0"/>
        </w:trPr>
        <w:tc>
          <w:tcPr>
            <w:tcBorders>
              <w:top w:color="000000" w:space="0" w:sz="8" w:val="single"/>
              <w:left w:color="000000" w:space="0" w:sz="8" w:val="single"/>
              <w:bottom w:color="000000" w:space="0" w:sz="8" w:val="single"/>
            </w:tcBorders>
            <w:tcMar>
              <w:top w:w="0.0" w:type="dxa"/>
              <w:left w:w="100.0" w:type="dxa"/>
              <w:bottom w:w="0.0" w:type="dxa"/>
              <w:right w:w="100.0" w:type="dxa"/>
            </w:tcMar>
            <w:vAlign w:val="top"/>
          </w:tcPr>
          <w:p w:rsidR="00000000" w:rsidDel="00000000" w:rsidP="00000000" w:rsidRDefault="00000000" w:rsidRPr="00000000" w14:paraId="000000E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R-pim</w:t>
            </w:r>
          </w:p>
        </w:tc>
        <w:tc>
          <w:tcPr>
            <w:tcMar>
              <w:top w:w="0.0" w:type="dxa"/>
              <w:left w:w="100.0" w:type="dxa"/>
              <w:bottom w:w="0.0" w:type="dxa"/>
              <w:right w:w="100.0" w:type="dxa"/>
            </w:tcMar>
            <w:vAlign w:val="top"/>
          </w:tcPr>
          <w:p w:rsidR="00000000" w:rsidDel="00000000" w:rsidP="00000000" w:rsidRDefault="00000000" w:rsidRPr="00000000" w14:paraId="000000E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0.0900 (0.603)</w:t>
            </w:r>
          </w:p>
        </w:tc>
        <w:tc>
          <w:tcPr>
            <w:tcMar>
              <w:top w:w="20.0" w:type="dxa"/>
              <w:left w:w="20.0" w:type="dxa"/>
              <w:bottom w:w="100.0" w:type="dxa"/>
              <w:right w:w="20.0" w:type="dxa"/>
            </w:tcMar>
            <w:vAlign w:val="bottom"/>
          </w:tcPr>
          <w:p w:rsidR="00000000" w:rsidDel="00000000" w:rsidP="00000000" w:rsidRDefault="00000000" w:rsidRPr="00000000" w14:paraId="000000E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0.02098 (0.3197)</w:t>
            </w:r>
          </w:p>
        </w:tc>
      </w:tr>
      <w:tr>
        <w:trPr>
          <w:cantSplit w:val="0"/>
          <w:trHeight w:val="375" w:hRule="atLeast"/>
          <w:tblHeader w:val="0"/>
        </w:trPr>
        <w:tc>
          <w:tcPr>
            <w:tcBorders>
              <w:top w:color="000000" w:space="0" w:sz="8" w:val="single"/>
              <w:left w:color="000000" w:space="0" w:sz="8" w:val="single"/>
              <w:bottom w:color="000000" w:space="0" w:sz="8" w:val="single"/>
            </w:tcBorders>
            <w:tcMar>
              <w:top w:w="0.0" w:type="dxa"/>
              <w:left w:w="100.0" w:type="dxa"/>
              <w:bottom w:w="0.0" w:type="dxa"/>
              <w:right w:w="100.0" w:type="dxa"/>
            </w:tcMar>
            <w:vAlign w:val="top"/>
          </w:tcPr>
          <w:p w:rsidR="00000000" w:rsidDel="00000000" w:rsidP="00000000" w:rsidRDefault="00000000" w:rsidRPr="00000000" w14:paraId="000000E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CC1/2</w:t>
            </w:r>
          </w:p>
        </w:tc>
        <w:tc>
          <w:tcPr>
            <w:tcMar>
              <w:top w:w="0.0" w:type="dxa"/>
              <w:left w:w="100.0" w:type="dxa"/>
              <w:bottom w:w="0.0" w:type="dxa"/>
              <w:right w:w="100.0" w:type="dxa"/>
            </w:tcMar>
            <w:vAlign w:val="top"/>
          </w:tcPr>
          <w:p w:rsidR="00000000" w:rsidDel="00000000" w:rsidP="00000000" w:rsidRDefault="00000000" w:rsidRPr="00000000" w14:paraId="000000E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0.995 (0.402)</w:t>
            </w:r>
          </w:p>
        </w:tc>
        <w:tc>
          <w:tcPr>
            <w:tcMar>
              <w:top w:w="20.0" w:type="dxa"/>
              <w:left w:w="20.0" w:type="dxa"/>
              <w:bottom w:w="100.0" w:type="dxa"/>
              <w:right w:w="20.0" w:type="dxa"/>
            </w:tcMar>
            <w:vAlign w:val="bottom"/>
          </w:tcPr>
          <w:p w:rsidR="00000000" w:rsidDel="00000000" w:rsidP="00000000" w:rsidRDefault="00000000" w:rsidRPr="00000000" w14:paraId="000000E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0.999 (0.759)</w:t>
            </w:r>
          </w:p>
        </w:tc>
      </w:tr>
      <w:tr>
        <w:trPr>
          <w:cantSplit w:val="0"/>
          <w:trHeight w:val="340.95703125" w:hRule="atLeast"/>
          <w:tblHeader w:val="0"/>
        </w:trPr>
        <w:tc>
          <w:tcPr>
            <w:tcBorders>
              <w:top w:color="000000" w:space="0" w:sz="8" w:val="single"/>
              <w:left w:color="000000" w:space="0" w:sz="8" w:val="single"/>
              <w:bottom w:color="000000" w:space="0" w:sz="8" w:val="single"/>
            </w:tcBorders>
            <w:tcMar>
              <w:top w:w="0.0" w:type="dxa"/>
              <w:left w:w="100.0" w:type="dxa"/>
              <w:bottom w:w="0.0" w:type="dxa"/>
              <w:right w:w="100.0" w:type="dxa"/>
            </w:tcMar>
            <w:vAlign w:val="top"/>
          </w:tcPr>
          <w:p w:rsidR="00000000" w:rsidDel="00000000" w:rsidP="00000000" w:rsidRDefault="00000000" w:rsidRPr="00000000" w14:paraId="000000E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Reflections used in refinement</w:t>
            </w:r>
          </w:p>
        </w:tc>
        <w:tc>
          <w:tcPr>
            <w:tcMar>
              <w:top w:w="0.0" w:type="dxa"/>
              <w:left w:w="100.0" w:type="dxa"/>
              <w:bottom w:w="0.0" w:type="dxa"/>
              <w:right w:w="100.0" w:type="dxa"/>
            </w:tcMar>
            <w:vAlign w:val="top"/>
          </w:tcPr>
          <w:p w:rsidR="00000000" w:rsidDel="00000000" w:rsidP="00000000" w:rsidRDefault="00000000" w:rsidRPr="00000000" w14:paraId="000000E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34326 (3632)</w:t>
            </w:r>
          </w:p>
        </w:tc>
        <w:tc>
          <w:tcPr>
            <w:tcMar>
              <w:top w:w="20.0" w:type="dxa"/>
              <w:left w:w="20.0" w:type="dxa"/>
              <w:bottom w:w="100.0" w:type="dxa"/>
              <w:right w:w="20.0" w:type="dxa"/>
            </w:tcMar>
            <w:vAlign w:val="bottom"/>
          </w:tcPr>
          <w:p w:rsidR="00000000" w:rsidDel="00000000" w:rsidP="00000000" w:rsidRDefault="00000000" w:rsidRPr="00000000" w14:paraId="000000E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46363 (4424)</w:t>
            </w:r>
          </w:p>
        </w:tc>
      </w:tr>
      <w:tr>
        <w:trPr>
          <w:cantSplit w:val="0"/>
          <w:trHeight w:val="375" w:hRule="atLeast"/>
          <w:tblHeader w:val="0"/>
        </w:trPr>
        <w:tc>
          <w:tcPr>
            <w:tcBorders>
              <w:top w:color="000000" w:space="0" w:sz="8" w:val="single"/>
              <w:left w:color="000000" w:space="0" w:sz="8" w:val="single"/>
              <w:bottom w:color="000000" w:space="0" w:sz="8" w:val="single"/>
            </w:tcBorders>
            <w:tcMar>
              <w:top w:w="0.0" w:type="dxa"/>
              <w:left w:w="100.0" w:type="dxa"/>
              <w:bottom w:w="0.0" w:type="dxa"/>
              <w:right w:w="100.0" w:type="dxa"/>
            </w:tcMar>
            <w:vAlign w:val="top"/>
          </w:tcPr>
          <w:p w:rsidR="00000000" w:rsidDel="00000000" w:rsidP="00000000" w:rsidRDefault="00000000" w:rsidRPr="00000000" w14:paraId="000000E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R-work</w:t>
            </w:r>
          </w:p>
        </w:tc>
        <w:tc>
          <w:tcPr>
            <w:tcMar>
              <w:top w:w="0.0" w:type="dxa"/>
              <w:left w:w="100.0" w:type="dxa"/>
              <w:bottom w:w="0.0" w:type="dxa"/>
              <w:right w:w="100.0" w:type="dxa"/>
            </w:tcMar>
            <w:vAlign w:val="top"/>
          </w:tcPr>
          <w:p w:rsidR="00000000" w:rsidDel="00000000" w:rsidP="00000000" w:rsidRDefault="00000000" w:rsidRPr="00000000" w14:paraId="000000E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0.2330 (0.3709)</w:t>
            </w:r>
          </w:p>
        </w:tc>
        <w:tc>
          <w:tcPr>
            <w:tcMar>
              <w:top w:w="20.0" w:type="dxa"/>
              <w:left w:w="20.0" w:type="dxa"/>
              <w:bottom w:w="100.0" w:type="dxa"/>
              <w:right w:w="20.0" w:type="dxa"/>
            </w:tcMar>
            <w:vAlign w:val="bottom"/>
          </w:tcPr>
          <w:p w:rsidR="00000000" w:rsidDel="00000000" w:rsidP="00000000" w:rsidRDefault="00000000" w:rsidRPr="00000000" w14:paraId="000000F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0.1648 (0.1912)</w:t>
            </w:r>
          </w:p>
        </w:tc>
      </w:tr>
      <w:tr>
        <w:trPr>
          <w:cantSplit w:val="0"/>
          <w:trHeight w:val="375" w:hRule="atLeast"/>
          <w:tblHeader w:val="0"/>
        </w:trPr>
        <w:tc>
          <w:tcPr>
            <w:tcBorders>
              <w:top w:color="000000" w:space="0" w:sz="8" w:val="single"/>
              <w:left w:color="000000" w:space="0" w:sz="8" w:val="single"/>
              <w:bottom w:color="000000" w:space="0" w:sz="8" w:val="single"/>
            </w:tcBorders>
            <w:tcMar>
              <w:top w:w="0.0" w:type="dxa"/>
              <w:left w:w="100.0" w:type="dxa"/>
              <w:bottom w:w="0.0" w:type="dxa"/>
              <w:right w:w="100.0" w:type="dxa"/>
            </w:tcMar>
            <w:vAlign w:val="top"/>
          </w:tcPr>
          <w:p w:rsidR="00000000" w:rsidDel="00000000" w:rsidP="00000000" w:rsidRDefault="00000000" w:rsidRPr="00000000" w14:paraId="000000F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R-free</w:t>
            </w:r>
          </w:p>
        </w:tc>
        <w:tc>
          <w:tcPr>
            <w:tcMar>
              <w:top w:w="0.0" w:type="dxa"/>
              <w:left w:w="100.0" w:type="dxa"/>
              <w:bottom w:w="0.0" w:type="dxa"/>
              <w:right w:w="100.0" w:type="dxa"/>
            </w:tcMar>
            <w:vAlign w:val="top"/>
          </w:tcPr>
          <w:p w:rsidR="00000000" w:rsidDel="00000000" w:rsidP="00000000" w:rsidRDefault="00000000" w:rsidRPr="00000000" w14:paraId="000000F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0.2630 (0.3957)</w:t>
            </w:r>
          </w:p>
        </w:tc>
        <w:tc>
          <w:tcPr>
            <w:tcMar>
              <w:top w:w="20.0" w:type="dxa"/>
              <w:left w:w="20.0" w:type="dxa"/>
              <w:bottom w:w="100.0" w:type="dxa"/>
              <w:right w:w="20.0" w:type="dxa"/>
            </w:tcMar>
            <w:vAlign w:val="bottom"/>
          </w:tcPr>
          <w:p w:rsidR="00000000" w:rsidDel="00000000" w:rsidP="00000000" w:rsidRDefault="00000000" w:rsidRPr="00000000" w14:paraId="000000F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0.1971 (0.2624)</w:t>
            </w:r>
          </w:p>
        </w:tc>
      </w:tr>
      <w:tr>
        <w:trPr>
          <w:cantSplit w:val="0"/>
          <w:trHeight w:val="570" w:hRule="atLeast"/>
          <w:tblHeader w:val="0"/>
        </w:trPr>
        <w:tc>
          <w:tcPr>
            <w:tcBorders>
              <w:top w:color="000000" w:space="0" w:sz="8" w:val="single"/>
              <w:left w:color="000000" w:space="0" w:sz="8" w:val="single"/>
              <w:bottom w:color="000000" w:space="0" w:sz="8" w:val="single"/>
            </w:tcBorders>
            <w:tcMar>
              <w:top w:w="0.0" w:type="dxa"/>
              <w:left w:w="100.0" w:type="dxa"/>
              <w:bottom w:w="0.0" w:type="dxa"/>
              <w:right w:w="100.0" w:type="dxa"/>
            </w:tcMar>
            <w:vAlign w:val="top"/>
          </w:tcPr>
          <w:p w:rsidR="00000000" w:rsidDel="00000000" w:rsidP="00000000" w:rsidRDefault="00000000" w:rsidRPr="00000000" w14:paraId="000000F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Number of non-hydrogen atoms</w:t>
            </w:r>
          </w:p>
        </w:tc>
        <w:tc>
          <w:tcPr>
            <w:tcMar>
              <w:top w:w="0.0" w:type="dxa"/>
              <w:left w:w="100.0" w:type="dxa"/>
              <w:bottom w:w="0.0" w:type="dxa"/>
              <w:right w:w="100.0" w:type="dxa"/>
            </w:tcMar>
            <w:vAlign w:val="top"/>
          </w:tcPr>
          <w:p w:rsidR="00000000" w:rsidDel="00000000" w:rsidP="00000000" w:rsidRDefault="00000000" w:rsidRPr="00000000" w14:paraId="000000F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3689</w:t>
            </w:r>
          </w:p>
        </w:tc>
        <w:tc>
          <w:tcPr>
            <w:tcMar>
              <w:top w:w="20.0" w:type="dxa"/>
              <w:left w:w="20.0" w:type="dxa"/>
              <w:bottom w:w="100.0" w:type="dxa"/>
              <w:right w:w="20.0" w:type="dxa"/>
            </w:tcMar>
            <w:vAlign w:val="bottom"/>
          </w:tcPr>
          <w:p w:rsidR="00000000" w:rsidDel="00000000" w:rsidP="00000000" w:rsidRDefault="00000000" w:rsidRPr="00000000" w14:paraId="000000F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1834</w:t>
            </w:r>
          </w:p>
        </w:tc>
      </w:tr>
      <w:tr>
        <w:trPr>
          <w:cantSplit w:val="0"/>
          <w:trHeight w:val="375" w:hRule="atLeast"/>
          <w:tblHeader w:val="0"/>
        </w:trPr>
        <w:tc>
          <w:tcPr>
            <w:tcBorders>
              <w:top w:color="000000" w:space="0" w:sz="8" w:val="single"/>
              <w:left w:color="000000" w:space="0" w:sz="8" w:val="single"/>
              <w:bottom w:color="000000" w:space="0" w:sz="8" w:val="single"/>
            </w:tcBorders>
            <w:tcMar>
              <w:top w:w="0.0" w:type="dxa"/>
              <w:left w:w="100.0" w:type="dxa"/>
              <w:bottom w:w="0.0" w:type="dxa"/>
              <w:right w:w="100.0" w:type="dxa"/>
            </w:tcMar>
            <w:vAlign w:val="top"/>
          </w:tcPr>
          <w:p w:rsidR="00000000" w:rsidDel="00000000" w:rsidP="00000000" w:rsidRDefault="00000000" w:rsidRPr="00000000" w14:paraId="000000F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macromolecules</w:t>
            </w:r>
          </w:p>
        </w:tc>
        <w:tc>
          <w:tcPr>
            <w:tcMar>
              <w:top w:w="0.0" w:type="dxa"/>
              <w:left w:w="100.0" w:type="dxa"/>
              <w:bottom w:w="0.0" w:type="dxa"/>
              <w:right w:w="100.0" w:type="dxa"/>
            </w:tcMar>
            <w:vAlign w:val="top"/>
          </w:tcPr>
          <w:p w:rsidR="00000000" w:rsidDel="00000000" w:rsidP="00000000" w:rsidRDefault="00000000" w:rsidRPr="00000000" w14:paraId="000000F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3453</w:t>
            </w:r>
          </w:p>
        </w:tc>
        <w:tc>
          <w:tcPr>
            <w:tcMar>
              <w:top w:w="20.0" w:type="dxa"/>
              <w:left w:w="20.0" w:type="dxa"/>
              <w:bottom w:w="100.0" w:type="dxa"/>
              <w:right w:w="20.0" w:type="dxa"/>
            </w:tcMar>
            <w:vAlign w:val="bottom"/>
          </w:tcPr>
          <w:p w:rsidR="00000000" w:rsidDel="00000000" w:rsidP="00000000" w:rsidRDefault="00000000" w:rsidRPr="00000000" w14:paraId="000000F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1754</w:t>
            </w:r>
          </w:p>
        </w:tc>
      </w:tr>
      <w:tr>
        <w:trPr>
          <w:cantSplit w:val="0"/>
          <w:trHeight w:val="375" w:hRule="atLeast"/>
          <w:tblHeader w:val="0"/>
        </w:trPr>
        <w:tc>
          <w:tcPr>
            <w:tcBorders>
              <w:top w:color="000000" w:space="0" w:sz="8" w:val="single"/>
              <w:left w:color="000000" w:space="0" w:sz="8" w:val="single"/>
              <w:bottom w:color="000000" w:space="0" w:sz="8" w:val="single"/>
            </w:tcBorders>
            <w:tcMar>
              <w:top w:w="0.0" w:type="dxa"/>
              <w:left w:w="100.0" w:type="dxa"/>
              <w:bottom w:w="0.0" w:type="dxa"/>
              <w:right w:w="100.0" w:type="dxa"/>
            </w:tcMar>
            <w:vAlign w:val="top"/>
          </w:tcPr>
          <w:p w:rsidR="00000000" w:rsidDel="00000000" w:rsidP="00000000" w:rsidRDefault="00000000" w:rsidRPr="00000000" w14:paraId="000000F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solvent</w:t>
            </w:r>
          </w:p>
        </w:tc>
        <w:tc>
          <w:tcPr>
            <w:tcMar>
              <w:top w:w="0.0" w:type="dxa"/>
              <w:left w:w="100.0" w:type="dxa"/>
              <w:bottom w:w="0.0" w:type="dxa"/>
              <w:right w:w="100.0" w:type="dxa"/>
            </w:tcMar>
            <w:vAlign w:val="top"/>
          </w:tcPr>
          <w:p w:rsidR="00000000" w:rsidDel="00000000" w:rsidP="00000000" w:rsidRDefault="00000000" w:rsidRPr="00000000" w14:paraId="000000F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236</w:t>
            </w:r>
          </w:p>
        </w:tc>
        <w:tc>
          <w:tcPr>
            <w:tcMar>
              <w:top w:w="20.0" w:type="dxa"/>
              <w:left w:w="20.0" w:type="dxa"/>
              <w:bottom w:w="100.0" w:type="dxa"/>
              <w:right w:w="20.0" w:type="dxa"/>
            </w:tcMar>
            <w:vAlign w:val="bottom"/>
          </w:tcPr>
          <w:p w:rsidR="00000000" w:rsidDel="00000000" w:rsidP="00000000" w:rsidRDefault="00000000" w:rsidRPr="00000000" w14:paraId="000000F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w:t>
            </w:r>
          </w:p>
        </w:tc>
      </w:tr>
      <w:tr>
        <w:trPr>
          <w:cantSplit w:val="0"/>
          <w:trHeight w:val="375" w:hRule="atLeast"/>
          <w:tblHeader w:val="0"/>
        </w:trPr>
        <w:tc>
          <w:tcPr>
            <w:tcBorders>
              <w:top w:color="000000" w:space="0" w:sz="8" w:val="single"/>
              <w:left w:color="000000" w:space="0" w:sz="8" w:val="single"/>
              <w:bottom w:color="000000" w:space="0" w:sz="8" w:val="single"/>
            </w:tcBorders>
            <w:tcMar>
              <w:top w:w="0.0" w:type="dxa"/>
              <w:left w:w="100.0" w:type="dxa"/>
              <w:bottom w:w="0.0" w:type="dxa"/>
              <w:right w:w="100.0" w:type="dxa"/>
            </w:tcMar>
            <w:vAlign w:val="top"/>
          </w:tcPr>
          <w:p w:rsidR="00000000" w:rsidDel="00000000" w:rsidP="00000000" w:rsidRDefault="00000000" w:rsidRPr="00000000" w14:paraId="000000F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Protein residues</w:t>
            </w:r>
          </w:p>
        </w:tc>
        <w:tc>
          <w:tcPr>
            <w:tcMar>
              <w:top w:w="0.0" w:type="dxa"/>
              <w:left w:w="100.0" w:type="dxa"/>
              <w:bottom w:w="0.0" w:type="dxa"/>
              <w:right w:w="100.0" w:type="dxa"/>
            </w:tcMar>
            <w:vAlign w:val="top"/>
          </w:tcPr>
          <w:p w:rsidR="00000000" w:rsidDel="00000000" w:rsidP="00000000" w:rsidRDefault="00000000" w:rsidRPr="00000000" w14:paraId="000000F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465</w:t>
            </w:r>
          </w:p>
        </w:tc>
        <w:tc>
          <w:tcPr>
            <w:tcMar>
              <w:top w:w="20.0" w:type="dxa"/>
              <w:left w:w="20.0" w:type="dxa"/>
              <w:bottom w:w="100.0" w:type="dxa"/>
              <w:right w:w="20.0" w:type="dxa"/>
            </w:tcMar>
            <w:vAlign w:val="bottom"/>
          </w:tcPr>
          <w:p w:rsidR="00000000" w:rsidDel="00000000" w:rsidP="00000000" w:rsidRDefault="00000000" w:rsidRPr="00000000" w14:paraId="000000F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229</w:t>
            </w:r>
          </w:p>
        </w:tc>
      </w:tr>
      <w:tr>
        <w:trPr>
          <w:cantSplit w:val="0"/>
          <w:trHeight w:val="375" w:hRule="atLeast"/>
          <w:tblHeader w:val="0"/>
        </w:trPr>
        <w:tc>
          <w:tcPr>
            <w:tcBorders>
              <w:top w:color="000000" w:space="0" w:sz="8" w:val="single"/>
              <w:left w:color="000000" w:space="0" w:sz="8" w:val="single"/>
              <w:bottom w:color="000000" w:space="0" w:sz="8" w:val="single"/>
            </w:tcBorders>
            <w:tcMar>
              <w:top w:w="0.0" w:type="dxa"/>
              <w:left w:w="100.0" w:type="dxa"/>
              <w:bottom w:w="0.0" w:type="dxa"/>
              <w:right w:w="100.0" w:type="dxa"/>
            </w:tcMar>
            <w:vAlign w:val="top"/>
          </w:tcPr>
          <w:p w:rsidR="00000000" w:rsidDel="00000000" w:rsidP="00000000" w:rsidRDefault="00000000" w:rsidRPr="00000000" w14:paraId="0000010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RMS(bonds)</w:t>
            </w:r>
          </w:p>
        </w:tc>
        <w:tc>
          <w:tcPr>
            <w:tcMar>
              <w:top w:w="0.0" w:type="dxa"/>
              <w:left w:w="100.0" w:type="dxa"/>
              <w:bottom w:w="0.0" w:type="dxa"/>
              <w:right w:w="100.0" w:type="dxa"/>
            </w:tcMar>
            <w:vAlign w:val="top"/>
          </w:tcPr>
          <w:p w:rsidR="00000000" w:rsidDel="00000000" w:rsidP="00000000" w:rsidRDefault="00000000" w:rsidRPr="00000000" w14:paraId="0000010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0.004</w:t>
            </w:r>
          </w:p>
        </w:tc>
        <w:tc>
          <w:tcPr>
            <w:tcMar>
              <w:top w:w="20.0" w:type="dxa"/>
              <w:left w:w="20.0" w:type="dxa"/>
              <w:bottom w:w="100.0" w:type="dxa"/>
              <w:right w:w="20.0" w:type="dxa"/>
            </w:tcMar>
            <w:vAlign w:val="bottom"/>
          </w:tcPr>
          <w:p w:rsidR="00000000" w:rsidDel="00000000" w:rsidP="00000000" w:rsidRDefault="00000000" w:rsidRPr="00000000" w14:paraId="0000010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0.009</w:t>
            </w:r>
          </w:p>
        </w:tc>
      </w:tr>
      <w:tr>
        <w:trPr>
          <w:cantSplit w:val="0"/>
          <w:trHeight w:val="375" w:hRule="atLeast"/>
          <w:tblHeader w:val="0"/>
        </w:trPr>
        <w:tc>
          <w:tcPr>
            <w:tcBorders>
              <w:top w:color="000000" w:space="0" w:sz="8" w:val="single"/>
              <w:left w:color="000000" w:space="0" w:sz="8" w:val="single"/>
              <w:bottom w:color="000000" w:space="0" w:sz="8" w:val="single"/>
            </w:tcBorders>
            <w:tcMar>
              <w:top w:w="0.0" w:type="dxa"/>
              <w:left w:w="100.0" w:type="dxa"/>
              <w:bottom w:w="0.0" w:type="dxa"/>
              <w:right w:w="100.0" w:type="dxa"/>
            </w:tcMar>
            <w:vAlign w:val="top"/>
          </w:tcPr>
          <w:p w:rsidR="00000000" w:rsidDel="00000000" w:rsidP="00000000" w:rsidRDefault="00000000" w:rsidRPr="00000000" w14:paraId="000001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RMS(angles)</w:t>
            </w:r>
          </w:p>
        </w:tc>
        <w:tc>
          <w:tcPr>
            <w:tcMar>
              <w:top w:w="0.0" w:type="dxa"/>
              <w:left w:w="100.0" w:type="dxa"/>
              <w:bottom w:w="0.0" w:type="dxa"/>
              <w:right w:w="100.0" w:type="dxa"/>
            </w:tcMar>
            <w:vAlign w:val="top"/>
          </w:tcPr>
          <w:p w:rsidR="00000000" w:rsidDel="00000000" w:rsidP="00000000" w:rsidRDefault="00000000" w:rsidRPr="00000000" w14:paraId="0000010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0.66</w:t>
            </w:r>
          </w:p>
        </w:tc>
        <w:tc>
          <w:tcPr>
            <w:tcMar>
              <w:top w:w="20.0" w:type="dxa"/>
              <w:left w:w="20.0" w:type="dxa"/>
              <w:bottom w:w="100.0" w:type="dxa"/>
              <w:right w:w="20.0" w:type="dxa"/>
            </w:tcMar>
            <w:vAlign w:val="bottom"/>
          </w:tcPr>
          <w:p w:rsidR="00000000" w:rsidDel="00000000" w:rsidP="00000000" w:rsidRDefault="00000000" w:rsidRPr="00000000" w14:paraId="000001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0.96</w:t>
            </w:r>
          </w:p>
        </w:tc>
      </w:tr>
      <w:tr>
        <w:trPr>
          <w:cantSplit w:val="0"/>
          <w:trHeight w:val="570" w:hRule="atLeast"/>
          <w:tblHeader w:val="0"/>
        </w:trPr>
        <w:tc>
          <w:tcPr>
            <w:tcBorders>
              <w:top w:color="000000" w:space="0" w:sz="8" w:val="single"/>
              <w:left w:color="000000" w:space="0" w:sz="8" w:val="single"/>
              <w:bottom w:color="000000" w:space="0" w:sz="8" w:val="single"/>
            </w:tcBorders>
            <w:tcMar>
              <w:top w:w="0.0" w:type="dxa"/>
              <w:left w:w="100.0" w:type="dxa"/>
              <w:bottom w:w="0.0" w:type="dxa"/>
              <w:right w:w="100.0" w:type="dxa"/>
            </w:tcMar>
            <w:vAlign w:val="top"/>
          </w:tcPr>
          <w:p w:rsidR="00000000" w:rsidDel="00000000" w:rsidP="00000000" w:rsidRDefault="00000000" w:rsidRPr="00000000" w14:paraId="000001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Ramachandran favored (%)</w:t>
            </w:r>
          </w:p>
        </w:tc>
        <w:tc>
          <w:tcPr>
            <w:tcMar>
              <w:top w:w="0.0" w:type="dxa"/>
              <w:left w:w="100.0" w:type="dxa"/>
              <w:bottom w:w="0.0" w:type="dxa"/>
              <w:right w:w="100.0" w:type="dxa"/>
            </w:tcMar>
            <w:vAlign w:val="top"/>
          </w:tcPr>
          <w:p w:rsidR="00000000" w:rsidDel="00000000" w:rsidP="00000000" w:rsidRDefault="00000000" w:rsidRPr="00000000" w14:paraId="000001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97.81</w:t>
            </w:r>
          </w:p>
        </w:tc>
        <w:tc>
          <w:tcPr>
            <w:tcMar>
              <w:top w:w="20.0" w:type="dxa"/>
              <w:left w:w="20.0" w:type="dxa"/>
              <w:bottom w:w="100.0" w:type="dxa"/>
              <w:right w:w="20.0" w:type="dxa"/>
            </w:tcMar>
            <w:vAlign w:val="bottom"/>
          </w:tcPr>
          <w:p w:rsidR="00000000" w:rsidDel="00000000" w:rsidP="00000000" w:rsidRDefault="00000000" w:rsidRPr="00000000" w14:paraId="000001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98.67</w:t>
            </w:r>
          </w:p>
        </w:tc>
      </w:tr>
      <w:tr>
        <w:trPr>
          <w:cantSplit w:val="0"/>
          <w:trHeight w:val="570" w:hRule="atLeast"/>
          <w:tblHeader w:val="0"/>
        </w:trPr>
        <w:tc>
          <w:tcPr>
            <w:tcBorders>
              <w:top w:color="000000" w:space="0" w:sz="8" w:val="single"/>
              <w:left w:color="000000" w:space="0" w:sz="8" w:val="single"/>
              <w:bottom w:color="000000" w:space="0" w:sz="8" w:val="single"/>
            </w:tcBorders>
            <w:tcMar>
              <w:top w:w="0.0" w:type="dxa"/>
              <w:left w:w="100.0" w:type="dxa"/>
              <w:bottom w:w="0.0" w:type="dxa"/>
              <w:right w:w="100.0" w:type="dxa"/>
            </w:tcMar>
            <w:vAlign w:val="top"/>
          </w:tcPr>
          <w:p w:rsidR="00000000" w:rsidDel="00000000" w:rsidP="00000000" w:rsidRDefault="00000000" w:rsidRPr="00000000" w14:paraId="000001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Ramachandran allowed (%)</w:t>
            </w:r>
          </w:p>
        </w:tc>
        <w:tc>
          <w:tcPr>
            <w:tcMar>
              <w:top w:w="0.0" w:type="dxa"/>
              <w:left w:w="100.0" w:type="dxa"/>
              <w:bottom w:w="0.0" w:type="dxa"/>
              <w:right w:w="100.0" w:type="dxa"/>
            </w:tcMar>
            <w:vAlign w:val="top"/>
          </w:tcPr>
          <w:p w:rsidR="00000000" w:rsidDel="00000000" w:rsidP="00000000" w:rsidRDefault="00000000" w:rsidRPr="00000000" w14:paraId="000001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2.19</w:t>
            </w:r>
          </w:p>
        </w:tc>
        <w:tc>
          <w:tcPr>
            <w:tcMar>
              <w:top w:w="20.0" w:type="dxa"/>
              <w:left w:w="20.0" w:type="dxa"/>
              <w:bottom w:w="100.0" w:type="dxa"/>
              <w:right w:w="20.0" w:type="dxa"/>
            </w:tcMar>
            <w:vAlign w:val="bottom"/>
          </w:tcPr>
          <w:p w:rsidR="00000000" w:rsidDel="00000000" w:rsidP="00000000" w:rsidRDefault="00000000" w:rsidRPr="00000000" w14:paraId="000001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1.33</w:t>
            </w:r>
          </w:p>
        </w:tc>
      </w:tr>
      <w:tr>
        <w:trPr>
          <w:cantSplit w:val="0"/>
          <w:trHeight w:val="570" w:hRule="atLeast"/>
          <w:tblHeader w:val="0"/>
        </w:trPr>
        <w:tc>
          <w:tcPr>
            <w:tcBorders>
              <w:top w:color="000000" w:space="0" w:sz="8" w:val="single"/>
              <w:left w:color="000000" w:space="0" w:sz="8" w:val="single"/>
              <w:bottom w:color="000000" w:space="0" w:sz="8" w:val="single"/>
            </w:tcBorders>
            <w:tcMar>
              <w:top w:w="0.0" w:type="dxa"/>
              <w:left w:w="100.0" w:type="dxa"/>
              <w:bottom w:w="0.0" w:type="dxa"/>
              <w:right w:w="100.0" w:type="dxa"/>
            </w:tcMar>
            <w:vAlign w:val="top"/>
          </w:tcPr>
          <w:p w:rsidR="00000000" w:rsidDel="00000000" w:rsidP="00000000" w:rsidRDefault="00000000" w:rsidRPr="00000000" w14:paraId="000001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Ramachandran outliers (%)</w:t>
            </w:r>
          </w:p>
        </w:tc>
        <w:tc>
          <w:tcPr>
            <w:tcMar>
              <w:top w:w="0.0" w:type="dxa"/>
              <w:left w:w="100.0" w:type="dxa"/>
              <w:bottom w:w="0.0" w:type="dxa"/>
              <w:right w:w="100.0" w:type="dxa"/>
            </w:tcMar>
            <w:vAlign w:val="top"/>
          </w:tcPr>
          <w:p w:rsidR="00000000" w:rsidDel="00000000" w:rsidP="00000000" w:rsidRDefault="00000000" w:rsidRPr="00000000" w14:paraId="000001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0.00</w:t>
            </w:r>
          </w:p>
        </w:tc>
        <w:tc>
          <w:tcPr>
            <w:tcMar>
              <w:top w:w="20.0" w:type="dxa"/>
              <w:left w:w="20.0" w:type="dxa"/>
              <w:bottom w:w="100.0" w:type="dxa"/>
              <w:right w:w="20.0" w:type="dxa"/>
            </w:tcMar>
            <w:vAlign w:val="bottom"/>
          </w:tcPr>
          <w:p w:rsidR="00000000" w:rsidDel="00000000" w:rsidP="00000000" w:rsidRDefault="00000000" w:rsidRPr="00000000" w14:paraId="000001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0.00</w:t>
            </w:r>
          </w:p>
        </w:tc>
      </w:tr>
      <w:tr>
        <w:trPr>
          <w:cantSplit w:val="0"/>
          <w:trHeight w:val="375" w:hRule="atLeast"/>
          <w:tblHeader w:val="0"/>
        </w:trPr>
        <w:tc>
          <w:tcPr>
            <w:tcBorders>
              <w:top w:color="000000" w:space="0" w:sz="8" w:val="single"/>
              <w:left w:color="000000" w:space="0" w:sz="8" w:val="single"/>
              <w:bottom w:color="000000" w:space="0" w:sz="8" w:val="single"/>
            </w:tcBorders>
            <w:tcMar>
              <w:top w:w="0.0" w:type="dxa"/>
              <w:left w:w="100.0" w:type="dxa"/>
              <w:bottom w:w="0.0" w:type="dxa"/>
              <w:right w:w="100.0" w:type="dxa"/>
            </w:tcMar>
            <w:vAlign w:val="top"/>
          </w:tcPr>
          <w:p w:rsidR="00000000" w:rsidDel="00000000" w:rsidP="00000000" w:rsidRDefault="00000000" w:rsidRPr="00000000" w14:paraId="000001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Average B-factor</w:t>
            </w:r>
          </w:p>
        </w:tc>
        <w:tc>
          <w:tcPr>
            <w:tcMar>
              <w:top w:w="0.0" w:type="dxa"/>
              <w:left w:w="100.0" w:type="dxa"/>
              <w:bottom w:w="0.0" w:type="dxa"/>
              <w:right w:w="100.0" w:type="dxa"/>
            </w:tcMar>
            <w:vAlign w:val="top"/>
          </w:tcPr>
          <w:p w:rsidR="00000000" w:rsidDel="00000000" w:rsidP="00000000" w:rsidRDefault="00000000" w:rsidRPr="00000000" w14:paraId="000001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c>
          <w:tcPr>
            <w:tcMar>
              <w:top w:w="20.0" w:type="dxa"/>
              <w:left w:w="20.0" w:type="dxa"/>
              <w:bottom w:w="100.0" w:type="dxa"/>
              <w:right w:w="20.0" w:type="dxa"/>
            </w:tcMar>
            <w:vAlign w:val="bottom"/>
          </w:tcPr>
          <w:p w:rsidR="00000000" w:rsidDel="00000000" w:rsidP="00000000" w:rsidRDefault="00000000" w:rsidRPr="00000000" w14:paraId="000001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r>
      <w:tr>
        <w:trPr>
          <w:cantSplit w:val="0"/>
          <w:trHeight w:val="395.9765625" w:hRule="atLeast"/>
          <w:tblHeader w:val="0"/>
        </w:trPr>
        <w:tc>
          <w:tcPr>
            <w:tcBorders>
              <w:top w:color="000000" w:space="0" w:sz="8" w:val="single"/>
              <w:left w:color="000000" w:space="0" w:sz="8" w:val="single"/>
              <w:bottom w:color="000000" w:space="0" w:sz="8" w:val="single"/>
            </w:tcBorders>
            <w:tcMar>
              <w:top w:w="0.0" w:type="dxa"/>
              <w:left w:w="100.0" w:type="dxa"/>
              <w:bottom w:w="0.0" w:type="dxa"/>
              <w:right w:w="100.0" w:type="dxa"/>
            </w:tcMar>
            <w:vAlign w:val="top"/>
          </w:tcPr>
          <w:p w:rsidR="00000000" w:rsidDel="00000000" w:rsidP="00000000" w:rsidRDefault="00000000" w:rsidRPr="00000000" w14:paraId="000001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macromolecules</w:t>
            </w:r>
          </w:p>
        </w:tc>
        <w:tc>
          <w:tcPr>
            <w:tcMar>
              <w:top w:w="0.0" w:type="dxa"/>
              <w:left w:w="100.0" w:type="dxa"/>
              <w:bottom w:w="0.0" w:type="dxa"/>
              <w:right w:w="100.0" w:type="dxa"/>
            </w:tcMar>
            <w:vAlign w:val="top"/>
          </w:tcPr>
          <w:p w:rsidR="00000000" w:rsidDel="00000000" w:rsidP="00000000" w:rsidRDefault="00000000" w:rsidRPr="00000000" w14:paraId="000001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c>
          <w:tcPr>
            <w:tcMar>
              <w:top w:w="20.0" w:type="dxa"/>
              <w:left w:w="20.0" w:type="dxa"/>
              <w:bottom w:w="100.0" w:type="dxa"/>
              <w:right w:w="20.0" w:type="dxa"/>
            </w:tcMar>
            <w:vAlign w:val="bottom"/>
          </w:tcPr>
          <w:p w:rsidR="00000000" w:rsidDel="00000000" w:rsidP="00000000" w:rsidRDefault="00000000" w:rsidRPr="00000000" w14:paraId="000001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r>
      <w:tr>
        <w:trPr>
          <w:cantSplit w:val="0"/>
          <w:trHeight w:val="375" w:hRule="atLeast"/>
          <w:tblHeader w:val="0"/>
        </w:trPr>
        <w:tc>
          <w:tcPr>
            <w:tcBorders>
              <w:top w:color="000000" w:space="0" w:sz="8" w:val="single"/>
              <w:left w:color="000000" w:space="0" w:sz="8" w:val="single"/>
              <w:bottom w:color="000000" w:space="0" w:sz="8" w:val="single"/>
            </w:tcBorders>
            <w:tcMar>
              <w:top w:w="0.0" w:type="dxa"/>
              <w:left w:w="100.0" w:type="dxa"/>
              <w:bottom w:w="0.0" w:type="dxa"/>
              <w:right w:w="100.0" w:type="dxa"/>
            </w:tcMar>
            <w:vAlign w:val="top"/>
          </w:tcPr>
          <w:p w:rsidR="00000000" w:rsidDel="00000000" w:rsidP="00000000" w:rsidRDefault="00000000" w:rsidRPr="00000000" w14:paraId="000001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solvent</w:t>
            </w:r>
          </w:p>
        </w:tc>
        <w:tc>
          <w:tcPr>
            <w:tcMar>
              <w:top w:w="0.0" w:type="dxa"/>
              <w:left w:w="100.0" w:type="dxa"/>
              <w:bottom w:w="0.0" w:type="dxa"/>
              <w:right w:w="100.0" w:type="dxa"/>
            </w:tcMar>
            <w:vAlign w:val="top"/>
          </w:tcPr>
          <w:p w:rsidR="00000000" w:rsidDel="00000000" w:rsidP="00000000" w:rsidRDefault="00000000" w:rsidRPr="00000000" w14:paraId="000001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w:t>
            </w:r>
            <w:r w:rsidDel="00000000" w:rsidR="00000000" w:rsidRPr="00000000">
              <w:rPr>
                <w:rtl w:val="0"/>
              </w:rPr>
            </w:r>
          </w:p>
        </w:tc>
        <w:tc>
          <w:tcPr>
            <w:tcMar>
              <w:top w:w="20.0" w:type="dxa"/>
              <w:left w:w="20.0" w:type="dxa"/>
              <w:bottom w:w="100.0" w:type="dxa"/>
              <w:right w:w="20.0" w:type="dxa"/>
            </w:tcMar>
            <w:vAlign w:val="bottom"/>
          </w:tcPr>
          <w:p w:rsidR="00000000" w:rsidDel="00000000" w:rsidP="00000000" w:rsidRDefault="00000000" w:rsidRPr="00000000" w14:paraId="000001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r>
    </w:tbl>
    <w:p w:rsidR="00000000" w:rsidDel="00000000" w:rsidP="00000000" w:rsidRDefault="00000000" w:rsidRPr="00000000" w14:paraId="00000118">
      <w:pPr>
        <w:spacing w:after="60" w:before="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Statistics for the highest-resolution shell are shown in parentheses.</w:t>
      </w:r>
    </w:p>
    <w:p w:rsidR="00000000" w:rsidDel="00000000" w:rsidP="00000000" w:rsidRDefault="00000000" w:rsidRPr="00000000" w14:paraId="00000119">
      <w:pPr>
        <w:spacing w:after="60" w:before="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A">
      <w:pPr>
        <w:pStyle w:val="Heading3"/>
        <w:spacing w:after="240" w:before="240" w:lineRule="auto"/>
        <w:rPr>
          <w:rFonts w:ascii="Times New Roman" w:cs="Times New Roman" w:eastAsia="Times New Roman" w:hAnsi="Times New Roman"/>
          <w:b w:val="1"/>
          <w:sz w:val="24"/>
          <w:szCs w:val="24"/>
        </w:rPr>
      </w:pPr>
      <w:bookmarkStart w:colFirst="0" w:colLast="0" w:name="_pagbilnpe82o" w:id="9"/>
      <w:bookmarkEnd w:id="9"/>
      <w:r w:rsidDel="00000000" w:rsidR="00000000" w:rsidRPr="00000000">
        <w:rPr>
          <w:rFonts w:ascii="Times New Roman" w:cs="Times New Roman" w:eastAsia="Times New Roman" w:hAnsi="Times New Roman"/>
          <w:b w:val="1"/>
          <w:color w:val="000000"/>
          <w:sz w:val="24"/>
          <w:szCs w:val="24"/>
          <w:rtl w:val="0"/>
        </w:rPr>
        <w:t xml:space="preserve">Table S1</w:t>
      </w:r>
      <w:r w:rsidDel="00000000" w:rsidR="00000000" w:rsidRPr="00000000">
        <w:rPr>
          <w:rFonts w:ascii="Times New Roman" w:cs="Times New Roman" w:eastAsia="Times New Roman" w:hAnsi="Times New Roman"/>
          <w:b w:val="1"/>
          <w:sz w:val="24"/>
          <w:szCs w:val="24"/>
          <w:rtl w:val="0"/>
        </w:rPr>
        <w:t xml:space="preserve">.  Data collection and refinement statistics for crystal structures.</w:t>
      </w:r>
    </w:p>
    <w:p w:rsidR="00000000" w:rsidDel="00000000" w:rsidP="00000000" w:rsidRDefault="00000000" w:rsidRPr="00000000" w14:paraId="0000011B">
      <w:pPr>
        <w:spacing w:after="60" w:before="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C">
      <w:pPr>
        <w:spacing w:after="60" w:before="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D">
      <w:pPr>
        <w:spacing w:after="60" w:before="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E">
      <w:pPr>
        <w:widowControl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F">
      <w:pPr>
        <w:widowControl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0">
      <w:pPr>
        <w:widowControl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1">
      <w:pPr>
        <w:widowControl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2">
      <w:pPr>
        <w:widowControl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3">
      <w:pPr>
        <w:widowControl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4">
      <w:pPr>
        <w:widowControl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5">
      <w:pPr>
        <w:widowControl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6">
      <w:pPr>
        <w:widowControl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7">
      <w:pPr>
        <w:widowControl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8">
      <w:pPr>
        <w:widowControl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9">
      <w:pPr>
        <w:widowControl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A">
      <w:pPr>
        <w:widowControl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B">
      <w:pPr>
        <w:widowControl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C">
      <w:pPr>
        <w:widowControl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D">
      <w:pPr>
        <w:widowControl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E">
      <w:pPr>
        <w:widowControl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F">
      <w:pPr>
        <w:widowControl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0">
      <w:pPr>
        <w:widowControl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1">
      <w:pPr>
        <w:widowControl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2">
      <w:pPr>
        <w:widowControl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3">
      <w:pPr>
        <w:widowControl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4">
      <w:pPr>
        <w:widowControl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5">
      <w:pPr>
        <w:widowControl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6">
      <w:pPr>
        <w:widowControl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7">
      <w:pPr>
        <w:widowControl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8">
      <w:pPr>
        <w:widowControl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9">
      <w:pPr>
        <w:widowControl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A">
      <w:pPr>
        <w:widowControl w:val="0"/>
        <w:rPr>
          <w:rFonts w:ascii="Times New Roman" w:cs="Times New Roman" w:eastAsia="Times New Roman" w:hAnsi="Times New Roman"/>
          <w:b w:val="1"/>
          <w:sz w:val="24"/>
          <w:szCs w:val="24"/>
        </w:rPr>
      </w:pPr>
      <w:r w:rsidDel="00000000" w:rsidR="00000000" w:rsidRPr="00000000">
        <w:rPr>
          <w:rtl w:val="0"/>
        </w:rPr>
      </w:r>
    </w:p>
    <w:tbl>
      <w:tblPr>
        <w:tblStyle w:val="Table2"/>
        <w:tblW w:w="9260.0" w:type="dxa"/>
        <w:jc w:val="left"/>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1980"/>
        <w:gridCol w:w="2400"/>
        <w:gridCol w:w="4880.000000000001"/>
        <w:tblGridChange w:id="0">
          <w:tblGrid>
            <w:gridCol w:w="1980"/>
            <w:gridCol w:w="2400"/>
            <w:gridCol w:w="4880.000000000001"/>
          </w:tblGrid>
        </w:tblGridChange>
      </w:tblGrid>
      <w:tr>
        <w:trPr>
          <w:cantSplit w:val="0"/>
          <w:trHeight w:val="600" w:hRule="atLeast"/>
          <w:tblHeader w:val="0"/>
        </w:trPr>
        <w:tc>
          <w:tcPr>
            <w:tcMar>
              <w:top w:w="140.0" w:type="dxa"/>
              <w:left w:w="140.0" w:type="dxa"/>
              <w:bottom w:w="140.0" w:type="dxa"/>
              <w:right w:w="140.0" w:type="dxa"/>
            </w:tcMar>
            <w:vAlign w:val="top"/>
          </w:tcPr>
          <w:p w:rsidR="00000000" w:rsidDel="00000000" w:rsidP="00000000" w:rsidRDefault="00000000" w:rsidRPr="00000000" w14:paraId="0000013B">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w:t>
            </w:r>
          </w:p>
        </w:tc>
        <w:tc>
          <w:tcPr>
            <w:tcMar>
              <w:top w:w="140.0" w:type="dxa"/>
              <w:left w:w="140.0" w:type="dxa"/>
              <w:bottom w:w="140.0" w:type="dxa"/>
              <w:right w:w="140.0" w:type="dxa"/>
            </w:tcMar>
            <w:vAlign w:val="top"/>
          </w:tcPr>
          <w:p w:rsidR="00000000" w:rsidDel="00000000" w:rsidP="00000000" w:rsidRDefault="00000000" w:rsidRPr="00000000" w14:paraId="0000013C">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Binder</w:t>
            </w:r>
          </w:p>
        </w:tc>
        <w:tc>
          <w:tcPr>
            <w:tcMar>
              <w:top w:w="140.0" w:type="dxa"/>
              <w:left w:w="140.0" w:type="dxa"/>
              <w:bottom w:w="140.0" w:type="dxa"/>
              <w:right w:w="140.0" w:type="dxa"/>
            </w:tcMar>
            <w:vAlign w:val="top"/>
          </w:tcPr>
          <w:p w:rsidR="00000000" w:rsidDel="00000000" w:rsidP="00000000" w:rsidRDefault="00000000" w:rsidRPr="00000000" w14:paraId="0000013D">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Binder sequence</w:t>
            </w:r>
          </w:p>
        </w:tc>
      </w:tr>
      <w:tr>
        <w:trPr>
          <w:cantSplit w:val="0"/>
          <w:trHeight w:val="600" w:hRule="atLeast"/>
          <w:tblHeader w:val="0"/>
        </w:trPr>
        <w:tc>
          <w:tcPr>
            <w:tcMar>
              <w:top w:w="140.0" w:type="dxa"/>
              <w:left w:w="140.0" w:type="dxa"/>
              <w:bottom w:w="140.0" w:type="dxa"/>
              <w:right w:w="140.0" w:type="dxa"/>
            </w:tcMar>
            <w:vAlign w:val="top"/>
          </w:tcPr>
          <w:p w:rsidR="00000000" w:rsidDel="00000000" w:rsidP="00000000" w:rsidRDefault="00000000" w:rsidRPr="00000000" w14:paraId="0000013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FimH</w:t>
            </w:r>
          </w:p>
        </w:tc>
        <w:tc>
          <w:tcPr>
            <w:tcMar>
              <w:top w:w="140.0" w:type="dxa"/>
              <w:left w:w="140.0" w:type="dxa"/>
              <w:bottom w:w="140.0" w:type="dxa"/>
              <w:right w:w="140.0" w:type="dxa"/>
            </w:tcMar>
            <w:vAlign w:val="top"/>
          </w:tcPr>
          <w:p w:rsidR="00000000" w:rsidDel="00000000" w:rsidP="00000000" w:rsidRDefault="00000000" w:rsidRPr="00000000" w14:paraId="0000013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FimH minibinder F7</w:t>
            </w:r>
          </w:p>
        </w:tc>
        <w:tc>
          <w:tcPr>
            <w:tcMar>
              <w:top w:w="140.0" w:type="dxa"/>
              <w:left w:w="140.0" w:type="dxa"/>
              <w:bottom w:w="140.0" w:type="dxa"/>
              <w:right w:w="140.0" w:type="dxa"/>
            </w:tcMar>
            <w:vAlign w:val="top"/>
          </w:tcPr>
          <w:p w:rsidR="00000000" w:rsidDel="00000000" w:rsidP="00000000" w:rsidRDefault="00000000" w:rsidRPr="00000000" w14:paraId="0000014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MAEKEAALTAAADGTVAALAAGNIGVDYARYRRKALVAYAKKEGLPQAVIDAVTARLDAAIAAAEAA</w:t>
            </w:r>
          </w:p>
        </w:tc>
      </w:tr>
      <w:tr>
        <w:trPr>
          <w:cantSplit w:val="0"/>
          <w:trHeight w:val="600" w:hRule="atLeast"/>
          <w:tblHeader w:val="0"/>
        </w:trPr>
        <w:tc>
          <w:tcPr>
            <w:tcMar>
              <w:top w:w="140.0" w:type="dxa"/>
              <w:left w:w="140.0" w:type="dxa"/>
              <w:bottom w:w="140.0" w:type="dxa"/>
              <w:right w:w="140.0" w:type="dxa"/>
            </w:tcMar>
            <w:vAlign w:val="top"/>
          </w:tcPr>
          <w:p w:rsidR="00000000" w:rsidDel="00000000" w:rsidP="00000000" w:rsidRDefault="00000000" w:rsidRPr="00000000" w14:paraId="0000014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FimH</w:t>
            </w:r>
          </w:p>
        </w:tc>
        <w:tc>
          <w:tcPr>
            <w:tcMar>
              <w:top w:w="140.0" w:type="dxa"/>
              <w:left w:w="140.0" w:type="dxa"/>
              <w:bottom w:w="140.0" w:type="dxa"/>
              <w:right w:w="140.0" w:type="dxa"/>
            </w:tcMar>
            <w:vAlign w:val="top"/>
          </w:tcPr>
          <w:p w:rsidR="00000000" w:rsidDel="00000000" w:rsidP="00000000" w:rsidRDefault="00000000" w:rsidRPr="00000000" w14:paraId="0000014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FimH minibinder C8</w:t>
            </w:r>
          </w:p>
        </w:tc>
        <w:tc>
          <w:tcPr>
            <w:tcMar>
              <w:top w:w="140.0" w:type="dxa"/>
              <w:left w:w="140.0" w:type="dxa"/>
              <w:bottom w:w="140.0" w:type="dxa"/>
              <w:right w:w="140.0" w:type="dxa"/>
            </w:tcMar>
            <w:vAlign w:val="top"/>
          </w:tcPr>
          <w:p w:rsidR="00000000" w:rsidDel="00000000" w:rsidP="00000000" w:rsidRDefault="00000000" w:rsidRPr="00000000" w14:paraId="0000014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MEEKIKAAKEAADGTVAALAAGNIGVDYARYYKKALVAWMKKQGLPQEVIDEVTAKLDAAIAAAEAA</w:t>
            </w:r>
          </w:p>
        </w:tc>
      </w:tr>
      <w:tr>
        <w:trPr>
          <w:cantSplit w:val="0"/>
          <w:trHeight w:val="600" w:hRule="atLeast"/>
          <w:tblHeader w:val="0"/>
        </w:trPr>
        <w:tc>
          <w:tcPr>
            <w:tcMar>
              <w:top w:w="140.0" w:type="dxa"/>
              <w:left w:w="140.0" w:type="dxa"/>
              <w:bottom w:w="140.0" w:type="dxa"/>
              <w:right w:w="140.0" w:type="dxa"/>
            </w:tcMar>
            <w:vAlign w:val="top"/>
          </w:tcPr>
          <w:p w:rsidR="00000000" w:rsidDel="00000000" w:rsidP="00000000" w:rsidRDefault="00000000" w:rsidRPr="00000000" w14:paraId="0000014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Abp1D, Abp2D</w:t>
            </w:r>
          </w:p>
        </w:tc>
        <w:tc>
          <w:tcPr>
            <w:tcMar>
              <w:top w:w="140.0" w:type="dxa"/>
              <w:left w:w="140.0" w:type="dxa"/>
              <w:bottom w:w="140.0" w:type="dxa"/>
              <w:right w:w="140.0" w:type="dxa"/>
            </w:tcMar>
            <w:vAlign w:val="top"/>
          </w:tcPr>
          <w:p w:rsidR="00000000" w:rsidDel="00000000" w:rsidP="00000000" w:rsidRDefault="00000000" w:rsidRPr="00000000" w14:paraId="0000014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Abp minibinder A7</w:t>
            </w:r>
          </w:p>
        </w:tc>
        <w:tc>
          <w:tcPr>
            <w:tcMar>
              <w:top w:w="140.0" w:type="dxa"/>
              <w:left w:w="140.0" w:type="dxa"/>
              <w:bottom w:w="140.0" w:type="dxa"/>
              <w:right w:w="140.0" w:type="dxa"/>
            </w:tcMar>
            <w:vAlign w:val="top"/>
          </w:tcPr>
          <w:p w:rsidR="00000000" w:rsidDel="00000000" w:rsidP="00000000" w:rsidRDefault="00000000" w:rsidRPr="00000000" w14:paraId="0000014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EKSYEEAVLEANKLIESGAPDEEVEKATKYALDKYAASIGLSVVEYPPLETLKEFVTKEAAKIRAA</w:t>
            </w:r>
          </w:p>
        </w:tc>
      </w:tr>
      <w:tr>
        <w:trPr>
          <w:cantSplit w:val="0"/>
          <w:trHeight w:val="600" w:hRule="atLeast"/>
          <w:tblHeader w:val="0"/>
        </w:trPr>
        <w:tc>
          <w:tcPr>
            <w:tcMar>
              <w:top w:w="140.0" w:type="dxa"/>
              <w:left w:w="140.0" w:type="dxa"/>
              <w:bottom w:w="140.0" w:type="dxa"/>
              <w:right w:w="140.0" w:type="dxa"/>
            </w:tcMar>
            <w:vAlign w:val="top"/>
          </w:tcPr>
          <w:p w:rsidR="00000000" w:rsidDel="00000000" w:rsidP="00000000" w:rsidRDefault="00000000" w:rsidRPr="00000000" w14:paraId="0000014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Abp1D, Abp2D</w:t>
            </w:r>
          </w:p>
          <w:p w:rsidR="00000000" w:rsidDel="00000000" w:rsidP="00000000" w:rsidRDefault="00000000" w:rsidRPr="00000000" w14:paraId="00000148">
            <w:pPr>
              <w:widowControl w:val="0"/>
              <w:rPr>
                <w:rFonts w:ascii="Times New Roman" w:cs="Times New Roman" w:eastAsia="Times New Roman" w:hAnsi="Times New Roman"/>
                <w:sz w:val="24"/>
                <w:szCs w:val="24"/>
              </w:rPr>
            </w:pPr>
            <w:r w:rsidDel="00000000" w:rsidR="00000000" w:rsidRPr="00000000">
              <w:rPr>
                <w:rtl w:val="0"/>
              </w:rPr>
            </w:r>
          </w:p>
        </w:tc>
        <w:tc>
          <w:tcPr>
            <w:tcMar>
              <w:top w:w="140.0" w:type="dxa"/>
              <w:left w:w="140.0" w:type="dxa"/>
              <w:bottom w:w="140.0" w:type="dxa"/>
              <w:right w:w="140.0" w:type="dxa"/>
            </w:tcMar>
            <w:vAlign w:val="top"/>
          </w:tcPr>
          <w:p w:rsidR="00000000" w:rsidDel="00000000" w:rsidP="00000000" w:rsidRDefault="00000000" w:rsidRPr="00000000" w14:paraId="0000014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Abp oligomer C11</w:t>
            </w:r>
          </w:p>
        </w:tc>
        <w:tc>
          <w:tcPr>
            <w:tcMar>
              <w:top w:w="140.0" w:type="dxa"/>
              <w:left w:w="140.0" w:type="dxa"/>
              <w:bottom w:w="140.0" w:type="dxa"/>
              <w:right w:w="140.0" w:type="dxa"/>
            </w:tcMar>
            <w:vAlign w:val="top"/>
          </w:tcPr>
          <w:p w:rsidR="00000000" w:rsidDel="00000000" w:rsidP="00000000" w:rsidRDefault="00000000" w:rsidRPr="00000000" w14:paraId="0000014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MKVYEFPYPETGKKIIVIQGEKNIVIVVGNTAVVYYEGKWTYKENVTEEDIEKAKTEEGAKELAKGSGEKSYEEAVLEANKLIESGAPDEEVEKATKYALDKYAASIGLSVVEYPPLETLKEFVTKEAAKIRAA</w:t>
            </w:r>
          </w:p>
        </w:tc>
      </w:tr>
    </w:tbl>
    <w:p w:rsidR="00000000" w:rsidDel="00000000" w:rsidP="00000000" w:rsidRDefault="00000000" w:rsidRPr="00000000" w14:paraId="0000014B">
      <w:pPr>
        <w:spacing w:after="60" w:before="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C">
      <w:pPr>
        <w:spacing w:after="60" w:before="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S2. Designed Protein Sequences</w:t>
      </w:r>
    </w:p>
    <w:p w:rsidR="00000000" w:rsidDel="00000000" w:rsidP="00000000" w:rsidRDefault="00000000" w:rsidRPr="00000000" w14:paraId="0000014D">
      <w:pPr>
        <w:spacing w:after="60" w:before="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E">
      <w:pPr>
        <w:spacing w:after="60" w:before="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F">
      <w:pPr>
        <w:spacing w:after="60" w:before="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0">
      <w:pPr>
        <w:spacing w:after="60" w:before="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1">
      <w:pPr>
        <w:spacing w:after="60" w:before="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2">
      <w:pPr>
        <w:spacing w:after="60" w:before="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3">
      <w:pPr>
        <w:spacing w:after="60" w:before="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4">
      <w:pPr>
        <w:spacing w:after="60" w:before="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5">
      <w:pPr>
        <w:spacing w:after="60" w:before="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6">
      <w:pPr>
        <w:spacing w:after="60" w:before="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7">
      <w:pPr>
        <w:spacing w:after="60" w:before="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8">
      <w:pPr>
        <w:spacing w:after="60" w:before="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9">
      <w:pPr>
        <w:spacing w:after="60" w:before="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A">
      <w:pPr>
        <w:spacing w:after="60" w:before="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B">
      <w:pPr>
        <w:spacing w:after="60" w:before="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C">
      <w:pPr>
        <w:spacing w:after="60" w:before="60" w:lineRule="auto"/>
        <w:rPr>
          <w:rFonts w:ascii="Times New Roman" w:cs="Times New Roman" w:eastAsia="Times New Roman" w:hAnsi="Times New Roman"/>
          <w:b w:val="1"/>
          <w:sz w:val="24"/>
          <w:szCs w:val="24"/>
        </w:rPr>
      </w:pPr>
      <w:r w:rsidDel="00000000" w:rsidR="00000000" w:rsidRPr="00000000">
        <w:rPr>
          <w:rtl w:val="0"/>
        </w:rPr>
      </w:r>
    </w:p>
    <w:tbl>
      <w:tblPr>
        <w:tblStyle w:val="Table3"/>
        <w:tblW w:w="95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3780"/>
        <w:gridCol w:w="4230"/>
        <w:tblGridChange w:id="0">
          <w:tblGrid>
            <w:gridCol w:w="1500"/>
            <w:gridCol w:w="3780"/>
            <w:gridCol w:w="4230"/>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D">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Binder_ID</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E">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LAS - K</w:t>
            </w:r>
            <w:r w:rsidDel="00000000" w:rsidR="00000000" w:rsidRPr="00000000">
              <w:rPr>
                <w:rFonts w:ascii="Times New Roman" w:cs="Times New Roman" w:eastAsia="Times New Roman" w:hAnsi="Times New Roman"/>
                <w:b w:val="1"/>
                <w:sz w:val="24"/>
                <w:szCs w:val="24"/>
                <w:vertAlign w:val="subscript"/>
                <w:rtl w:val="0"/>
              </w:rPr>
              <w:t xml:space="preserve">d</w:t>
            </w:r>
            <w:r w:rsidDel="00000000" w:rsidR="00000000" w:rsidRPr="00000000">
              <w:rPr>
                <w:rFonts w:ascii="Times New Roman" w:cs="Times New Roman" w:eastAsia="Times New Roman" w:hAnsi="Times New Roman"/>
                <w:b w:val="1"/>
                <w:sz w:val="24"/>
                <w:szCs w:val="24"/>
                <w:rtl w:val="0"/>
              </w:rPr>
              <w:t xml:space="preserve"> (n</w:t>
            </w:r>
            <w:r w:rsidDel="00000000" w:rsidR="00000000" w:rsidRPr="00000000">
              <w:rPr>
                <w:rFonts w:ascii="Times New Roman" w:cs="Times New Roman" w:eastAsia="Times New Roman" w:hAnsi="Times New Roman"/>
                <w:b w:val="1"/>
                <w:sz w:val="24"/>
                <w:szCs w:val="24"/>
                <w:rtl w:val="0"/>
              </w:rPr>
              <w:t xml:space="preserve">M</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F">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HAS - K</w:t>
            </w:r>
            <w:r w:rsidDel="00000000" w:rsidR="00000000" w:rsidRPr="00000000">
              <w:rPr>
                <w:rFonts w:ascii="Times New Roman" w:cs="Times New Roman" w:eastAsia="Times New Roman" w:hAnsi="Times New Roman"/>
                <w:b w:val="1"/>
                <w:sz w:val="24"/>
                <w:szCs w:val="24"/>
                <w:vertAlign w:val="subscript"/>
                <w:rtl w:val="0"/>
              </w:rPr>
              <w:t xml:space="preserve">d</w:t>
            </w:r>
            <w:r w:rsidDel="00000000" w:rsidR="00000000" w:rsidRPr="00000000">
              <w:rPr>
                <w:rFonts w:ascii="Times New Roman" w:cs="Times New Roman" w:eastAsia="Times New Roman" w:hAnsi="Times New Roman"/>
                <w:b w:val="1"/>
                <w:sz w:val="24"/>
                <w:szCs w:val="24"/>
                <w:rtl w:val="0"/>
              </w:rPr>
              <w:t xml:space="preserve"> (nM)</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A3</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1">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5000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2">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3700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A4</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4">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5">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2500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7">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266</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8">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N.D.</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B2</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A">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634</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B">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N.D.</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C10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D">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E">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N.D.</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C3</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0">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437</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1">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N.D.</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C5</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3">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4">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2200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C7</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6">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7">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N.D.</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D9</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9">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3500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A">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4700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E10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C">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4300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D">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4200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E8</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F">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N.D.</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0">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4800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2">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939</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3">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729</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F4</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5">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149</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6">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N.D.</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8">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9">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N.D.</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G12</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B">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132</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C">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N.D.</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H9</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E">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198</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F">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N.D.</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0">
            <w:pPr>
              <w:widowControl w:val="0"/>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1">
            <w:pPr>
              <w:widowControl w:val="0"/>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2">
            <w:pPr>
              <w:widowControl w:val="0"/>
              <w:rPr>
                <w:rFonts w:ascii="Times New Roman" w:cs="Times New Roman" w:eastAsia="Times New Roman" w:hAnsi="Times New Roman"/>
                <w:sz w:val="24"/>
                <w:szCs w:val="24"/>
              </w:rPr>
            </w:pPr>
            <w:r w:rsidDel="00000000" w:rsidR="00000000" w:rsidRPr="00000000">
              <w:rPr>
                <w:rtl w:val="0"/>
              </w:rPr>
            </w:r>
          </w:p>
        </w:tc>
      </w:tr>
      <w:tr>
        <w:trPr>
          <w:cantSplit w:val="0"/>
          <w:trHeight w:val="315" w:hRule="atLeast"/>
          <w:tblHeader w:val="0"/>
        </w:trPr>
        <w:tc>
          <w:tcPr>
            <w:gridSpan w:val="3"/>
            <w:tcBorders>
              <w:top w:color="cccccc" w:space="0" w:sz="6" w:val="single"/>
              <w:left w:color="cccccc" w:space="0" w:sz="6" w:val="single"/>
              <w:bottom w:color="cccccc" w:space="0" w:sz="6" w:val="single"/>
              <w:right w:color="000000" w:space="0" w:sz="6" w:val="single"/>
            </w:tcBorders>
            <w:tcMar>
              <w:top w:w="40.0" w:type="dxa"/>
              <w:left w:w="0.0" w:type="dxa"/>
              <w:bottom w:w="40.0" w:type="dxa"/>
              <w:right w:w="0.0" w:type="dxa"/>
            </w:tcMar>
            <w:vAlign w:val="bottom"/>
          </w:tcPr>
          <w:p w:rsidR="00000000" w:rsidDel="00000000" w:rsidP="00000000" w:rsidRDefault="00000000" w:rsidRPr="00000000" w14:paraId="0000019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N.D.</w:t>
            </w:r>
            <w:r w:rsidDel="00000000" w:rsidR="00000000" w:rsidRPr="00000000">
              <w:rPr>
                <w:rFonts w:ascii="Times New Roman" w:cs="Times New Roman" w:eastAsia="Times New Roman" w:hAnsi="Times New Roman"/>
                <w:sz w:val="24"/>
                <w:szCs w:val="24"/>
                <w:rtl w:val="0"/>
              </w:rPr>
              <w:t xml:space="preserve">: Binding was not detected. The K</w:t>
            </w:r>
            <w:r w:rsidDel="00000000" w:rsidR="00000000" w:rsidRPr="00000000">
              <w:rPr>
                <w:rFonts w:ascii="Times New Roman" w:cs="Times New Roman" w:eastAsia="Times New Roman" w:hAnsi="Times New Roman"/>
                <w:sz w:val="24"/>
                <w:szCs w:val="24"/>
                <w:vertAlign w:val="subscript"/>
                <w:rtl w:val="0"/>
              </w:rPr>
              <w:t xml:space="preserve">d</w:t>
            </w:r>
            <w:r w:rsidDel="00000000" w:rsidR="00000000" w:rsidRPr="00000000">
              <w:rPr>
                <w:rFonts w:ascii="Times New Roman" w:cs="Times New Roman" w:eastAsia="Times New Roman" w:hAnsi="Times New Roman"/>
                <w:sz w:val="24"/>
                <w:szCs w:val="24"/>
                <w:rtl w:val="0"/>
              </w:rPr>
              <w:t xml:space="preserve"> estimate is larger than the highest screened concentration (5 µM).</w:t>
            </w:r>
          </w:p>
        </w:tc>
      </w:tr>
      <w:tr>
        <w:trPr>
          <w:cantSplit w:val="0"/>
          <w:trHeight w:val="315" w:hRule="atLeast"/>
          <w:tblHeader w:val="0"/>
        </w:trPr>
        <w:tc>
          <w:tcPr>
            <w:gridSpan w:val="3"/>
            <w:tcBorders>
              <w:top w:color="cccccc" w:space="0" w:sz="6" w:val="single"/>
              <w:left w:color="cccccc" w:space="0" w:sz="6" w:val="single"/>
              <w:bottom w:color="cccccc" w:space="0" w:sz="6" w:val="single"/>
              <w:right w:color="000000" w:space="0" w:sz="6" w:val="single"/>
            </w:tcBorders>
            <w:tcMar>
              <w:top w:w="40.0" w:type="dxa"/>
              <w:left w:w="0.0" w:type="dxa"/>
              <w:bottom w:w="40.0" w:type="dxa"/>
              <w:right w:w="0.0" w:type="dxa"/>
            </w:tcMar>
            <w:vAlign w:val="bottom"/>
          </w:tcPr>
          <w:p w:rsidR="00000000" w:rsidDel="00000000" w:rsidP="00000000" w:rsidRDefault="00000000" w:rsidRPr="00000000" w14:paraId="0000019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Bold</w:t>
            </w:r>
            <w:r w:rsidDel="00000000" w:rsidR="00000000" w:rsidRPr="00000000">
              <w:rPr>
                <w:rFonts w:ascii="Times New Roman" w:cs="Times New Roman" w:eastAsia="Times New Roman" w:hAnsi="Times New Roman"/>
                <w:sz w:val="24"/>
                <w:szCs w:val="24"/>
                <w:rtl w:val="0"/>
              </w:rPr>
              <w:t xml:space="preserve">: The design in bold was selected for further characterization.</w:t>
            </w:r>
          </w:p>
        </w:tc>
      </w:tr>
    </w:tbl>
    <w:p w:rsidR="00000000" w:rsidDel="00000000" w:rsidP="00000000" w:rsidRDefault="00000000" w:rsidRPr="00000000" w14:paraId="0000019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A">
      <w:pPr>
        <w:spacing w:after="60" w:before="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Table S3. K</w:t>
      </w:r>
      <w:r w:rsidDel="00000000" w:rsidR="00000000" w:rsidRPr="00000000">
        <w:rPr>
          <w:rFonts w:ascii="Times New Roman" w:cs="Times New Roman" w:eastAsia="Times New Roman" w:hAnsi="Times New Roman"/>
          <w:b w:val="1"/>
          <w:sz w:val="24"/>
          <w:szCs w:val="24"/>
          <w:vertAlign w:val="subscript"/>
          <w:rtl w:val="0"/>
        </w:rPr>
        <w:t xml:space="preserve">d</w:t>
      </w:r>
      <w:r w:rsidDel="00000000" w:rsidR="00000000" w:rsidRPr="00000000">
        <w:rPr>
          <w:rFonts w:ascii="Times New Roman" w:cs="Times New Roman" w:eastAsia="Times New Roman" w:hAnsi="Times New Roman"/>
          <w:b w:val="1"/>
          <w:sz w:val="24"/>
          <w:szCs w:val="24"/>
          <w:rtl w:val="0"/>
        </w:rPr>
        <w:t xml:space="preserve"> estimates of FimH minibinders. </w:t>
      </w:r>
      <w:r w:rsidDel="00000000" w:rsidR="00000000" w:rsidRPr="00000000">
        <w:rPr>
          <w:rFonts w:ascii="Times New Roman" w:cs="Times New Roman" w:eastAsia="Times New Roman" w:hAnsi="Times New Roman"/>
          <w:sz w:val="24"/>
          <w:szCs w:val="24"/>
          <w:rtl w:val="0"/>
        </w:rPr>
        <w:t xml:space="preserve">This table includes the kinetic profiles (K</w:t>
      </w:r>
      <w:r w:rsidDel="00000000" w:rsidR="00000000" w:rsidRPr="00000000">
        <w:rPr>
          <w:rFonts w:ascii="Times New Roman" w:cs="Times New Roman" w:eastAsia="Times New Roman" w:hAnsi="Times New Roman"/>
          <w:sz w:val="24"/>
          <w:szCs w:val="24"/>
          <w:vertAlign w:val="subscript"/>
          <w:rtl w:val="0"/>
        </w:rPr>
        <w:t xml:space="preserve">d</w:t>
      </w:r>
      <w:r w:rsidDel="00000000" w:rsidR="00000000" w:rsidRPr="00000000">
        <w:rPr>
          <w:rFonts w:ascii="Times New Roman" w:cs="Times New Roman" w:eastAsia="Times New Roman" w:hAnsi="Times New Roman"/>
          <w:sz w:val="24"/>
          <w:szCs w:val="24"/>
          <w:rtl w:val="0"/>
        </w:rPr>
        <w:t xml:space="preserve">’s to LAS and HAS) of FimH minibinders that displayed affinity for either the HAS or LAS.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19B">
      <w:pPr>
        <w:spacing w:after="60" w:before="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C">
      <w:pPr>
        <w:spacing w:after="60" w:before="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D">
      <w:pPr>
        <w:spacing w:after="60" w:before="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E">
      <w:pPr>
        <w:spacing w:after="60" w:before="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F">
      <w:pPr>
        <w:spacing w:after="60" w:before="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0">
      <w:pPr>
        <w:spacing w:after="60" w:before="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1">
      <w:pPr>
        <w:spacing w:after="60" w:before="60" w:lineRule="auto"/>
        <w:rPr>
          <w:rFonts w:ascii="Times New Roman" w:cs="Times New Roman" w:eastAsia="Times New Roman" w:hAnsi="Times New Roman"/>
          <w:sz w:val="24"/>
          <w:szCs w:val="24"/>
        </w:rPr>
      </w:pPr>
      <w:r w:rsidDel="00000000" w:rsidR="00000000" w:rsidRPr="00000000">
        <w:rPr>
          <w:rtl w:val="0"/>
        </w:rPr>
      </w:r>
    </w:p>
    <w:tbl>
      <w:tblPr>
        <w:tblStyle w:val="Table4"/>
        <w:tblW w:w="103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15"/>
        <w:gridCol w:w="1740"/>
        <w:gridCol w:w="960"/>
        <w:gridCol w:w="3300"/>
        <w:gridCol w:w="2880"/>
        <w:tblGridChange w:id="0">
          <w:tblGrid>
            <w:gridCol w:w="1515"/>
            <w:gridCol w:w="1740"/>
            <w:gridCol w:w="960"/>
            <w:gridCol w:w="3300"/>
            <w:gridCol w:w="2880"/>
          </w:tblGrid>
        </w:tblGridChange>
      </w:tblGrid>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2">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Target Name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3">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Strain ID</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4">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PDB ID</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5">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Sequence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6">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Reference</w:t>
            </w:r>
            <w:r w:rsidDel="00000000" w:rsidR="00000000" w:rsidRPr="00000000">
              <w:rPr>
                <w:rtl w:val="0"/>
              </w:rPr>
            </w:r>
          </w:p>
        </w:tc>
      </w:tr>
      <w:tr>
        <w:trPr>
          <w:cantSplit w:val="0"/>
          <w:trHeight w:val="169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A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Abp1D</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A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baumannii ACICU</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A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8dez</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A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NCTLSKGFTTVDIPMTIGTIVVRPTDPIGTVLQKNTFTISPNNSTATCNRASDQITAALPLNYPVSSIGNNVYATNIPGIGIRLYREAFDSTDFSGYYPYKRSLTPNTTYTLSPGYFVMEVIKTAATTGSGALVAGRYSTYYVTGQQNRPFLTTTVLSSSPILIASS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A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Tamadonfar, Kevin O., Gisela Di Venanzio, Jerome S. Pinkner, et al. “Structure–Function Correlates of Fibrinogen Binding by Acinetobacter Adhesins Critical in Catheter-Associated Urinary Tract Infections.” Proceedings of the National Academy of Sciences 120, no. 4 (2023): e2212694120.</w:t>
            </w:r>
            <w:hyperlink r:id="rId40">
              <w:r w:rsidDel="00000000" w:rsidR="00000000" w:rsidRPr="00000000">
                <w:rPr>
                  <w:rFonts w:ascii="Times New Roman" w:cs="Times New Roman" w:eastAsia="Times New Roman" w:hAnsi="Times New Roman"/>
                  <w:sz w:val="24"/>
                  <w:szCs w:val="24"/>
                  <w:rtl w:val="0"/>
                </w:rPr>
                <w:t xml:space="preserve"> </w:t>
              </w:r>
            </w:hyperlink>
            <w:hyperlink r:id="rId41">
              <w:r w:rsidDel="00000000" w:rsidR="00000000" w:rsidRPr="00000000">
                <w:rPr>
                  <w:rFonts w:ascii="Times New Roman" w:cs="Times New Roman" w:eastAsia="Times New Roman" w:hAnsi="Times New Roman"/>
                  <w:sz w:val="24"/>
                  <w:szCs w:val="24"/>
                  <w:u w:val="single"/>
                  <w:rtl w:val="0"/>
                </w:rPr>
                <w:t xml:space="preserve">https://doi.org/10.1073/pnas.2212694120.</w:t>
              </w:r>
            </w:hyperlink>
            <w:r w:rsidDel="00000000" w:rsidR="00000000" w:rsidRPr="00000000">
              <w:rPr>
                <w:rtl w:val="0"/>
              </w:rPr>
            </w:r>
          </w:p>
        </w:tc>
      </w:tr>
      <w:tr>
        <w:trPr>
          <w:cantSplit w:val="0"/>
          <w:trHeight w:val="169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A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Abp2D</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A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baumannii ACICU</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A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8df0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A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YCTLSSGFTTVDISMAVGRVVVRPSDPVGKILRKATFPINPNGSTLRCTSYSDTITAALTQNYPLSPLGNSIYSTNIPGIGIRLYREAENATNFSGYYPYTRSLTPGTTYNLAQGYFVVEIVKTADQTGSGTLVPGLYSRYYVNGHMDRPFLTSTVYGNAITIASSSHHHHHH</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B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Tamadonfar, Kevin O., Gisela Di Venanzio, Jerome S. Pinkner, et al. “Structure–Function Correlates of Fibrinogen Binding by Acinetobacter Adhesins Critical in Catheter-Associated Urinary Tract Infections.” Proceedings of the National Academy of Sciences 120, no. 4 (2023): e2212694120.</w:t>
            </w:r>
            <w:hyperlink r:id="rId42">
              <w:r w:rsidDel="00000000" w:rsidR="00000000" w:rsidRPr="00000000">
                <w:rPr>
                  <w:rFonts w:ascii="Times New Roman" w:cs="Times New Roman" w:eastAsia="Times New Roman" w:hAnsi="Times New Roman"/>
                  <w:sz w:val="24"/>
                  <w:szCs w:val="24"/>
                  <w:rtl w:val="0"/>
                </w:rPr>
                <w:t xml:space="preserve"> </w:t>
              </w:r>
            </w:hyperlink>
            <w:hyperlink r:id="rId43">
              <w:r w:rsidDel="00000000" w:rsidR="00000000" w:rsidRPr="00000000">
                <w:rPr>
                  <w:rFonts w:ascii="Times New Roman" w:cs="Times New Roman" w:eastAsia="Times New Roman" w:hAnsi="Times New Roman"/>
                  <w:sz w:val="24"/>
                  <w:szCs w:val="24"/>
                  <w:u w:val="single"/>
                  <w:rtl w:val="0"/>
                </w:rPr>
                <w:t xml:space="preserve">https://doi.org/10.1073/pnas.2212694120</w:t>
              </w:r>
            </w:hyperlink>
            <w:r w:rsidDel="00000000" w:rsidR="00000000" w:rsidRPr="00000000">
              <w:rPr>
                <w:rtl w:val="0"/>
              </w:rPr>
            </w:r>
          </w:p>
        </w:tc>
      </w:tr>
      <w:tr>
        <w:trPr>
          <w:cantSplit w:val="0"/>
          <w:trHeight w:val="169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B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FimH_WT</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B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coli K12</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B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3jwn</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B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FACKTANGTAIPIGGGSANVYVNLAPAVNVGQNLVVDLSTQIFCHNDYPETITDYVTLQRGSAYGGVLSSFSGTVKYNGSSYPFPTTSETPRVVYNSRTDKPWPVALYLTPVSSAGGVAIKAGSLIAVLILRQTNNYNSDDFQFVWNIYANNDVVVPT</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B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Hvorecny, et al., (2025) Antibodies disrupt bacterial adhesion by ligand mimicry and allosteric interference. BioRxiv doi:</w:t>
            </w:r>
            <w:hyperlink r:id="rId44">
              <w:r w:rsidDel="00000000" w:rsidR="00000000" w:rsidRPr="00000000">
                <w:rPr>
                  <w:rFonts w:ascii="Times New Roman" w:cs="Times New Roman" w:eastAsia="Times New Roman" w:hAnsi="Times New Roman"/>
                  <w:sz w:val="24"/>
                  <w:szCs w:val="24"/>
                  <w:rtl w:val="0"/>
                </w:rPr>
                <w:t xml:space="preserve"> </w:t>
              </w:r>
            </w:hyperlink>
            <w:hyperlink r:id="rId45">
              <w:r w:rsidDel="00000000" w:rsidR="00000000" w:rsidRPr="00000000">
                <w:rPr>
                  <w:rFonts w:ascii="Times New Roman" w:cs="Times New Roman" w:eastAsia="Times New Roman" w:hAnsi="Times New Roman"/>
                  <w:sz w:val="24"/>
                  <w:szCs w:val="24"/>
                  <w:u w:val="single"/>
                  <w:rtl w:val="0"/>
                </w:rPr>
                <w:t xml:space="preserve">https://doi.org/10.1101/2024.12.06.627246</w:t>
              </w:r>
            </w:hyperlink>
            <w:r w:rsidDel="00000000" w:rsidR="00000000" w:rsidRPr="00000000">
              <w:rPr>
                <w:rtl w:val="0"/>
              </w:rPr>
            </w:r>
          </w:p>
        </w:tc>
      </w:tr>
      <w:tr>
        <w:trPr>
          <w:cantSplit w:val="0"/>
          <w:trHeight w:val="169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B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FimH_L34K</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B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coli K12</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B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B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FACKTANGTAIPIGGGSANVYVNLAPAVNVGQNKVVDLSTQIFCHNDYPETITDYVTLQRGSAYGGVLSSFSGTVKYNGSSYPFPTTSETPRVVYNSRTDKPWPVALYLTPVSSAGGVAIKAGSLIAVLILRQTNNYNSDDFQFVWNIYANNDVVVPT</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B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Magala, et al. (2025) Ultra-slow conformational dynamics and catch bond formation of a Bacterial Adhesin revealed by a single-domain variant of FimH. BioRxiv</w:t>
            </w:r>
          </w:p>
          <w:p w:rsidR="00000000" w:rsidDel="00000000" w:rsidP="00000000" w:rsidRDefault="00000000" w:rsidRPr="00000000" w14:paraId="000001B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doi:</w:t>
            </w:r>
            <w:hyperlink r:id="rId46">
              <w:r w:rsidDel="00000000" w:rsidR="00000000" w:rsidRPr="00000000">
                <w:rPr>
                  <w:rFonts w:ascii="Times New Roman" w:cs="Times New Roman" w:eastAsia="Times New Roman" w:hAnsi="Times New Roman"/>
                  <w:sz w:val="24"/>
                  <w:szCs w:val="24"/>
                  <w:rtl w:val="0"/>
                </w:rPr>
                <w:t xml:space="preserve"> </w:t>
              </w:r>
            </w:hyperlink>
            <w:hyperlink r:id="rId47">
              <w:r w:rsidDel="00000000" w:rsidR="00000000" w:rsidRPr="00000000">
                <w:rPr>
                  <w:rFonts w:ascii="Times New Roman" w:cs="Times New Roman" w:eastAsia="Times New Roman" w:hAnsi="Times New Roman"/>
                  <w:sz w:val="24"/>
                  <w:szCs w:val="24"/>
                  <w:u w:val="single"/>
                  <w:rtl w:val="0"/>
                </w:rPr>
                <w:t xml:space="preserve">https://doi.org/10.1101/2025.07.17.665197</w:t>
              </w:r>
            </w:hyperlink>
            <w:r w:rsidDel="00000000" w:rsidR="00000000" w:rsidRPr="00000000">
              <w:rPr>
                <w:rtl w:val="0"/>
              </w:rPr>
            </w:r>
          </w:p>
        </w:tc>
      </w:tr>
      <w:tr>
        <w:trPr>
          <w:cantSplit w:val="0"/>
          <w:trHeight w:val="304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B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FimH_ST73</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B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coli ST73</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B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B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KRVITLFAVLLMGWSVNAWSFACKTANGTAIPIGGGSANVYVNLAPAVNVGQNLVVDLSTQIFCHNDYPETITDYVTLQRGSAYGGVLSSFSGTVKYNGSSYPFPTTSETPRVVYNSRTDKPWPVALYLTPVSSAGGVAIKAGSLIAVLILRQTNNYNSDDFQFVWNIYANNDVVVPTGGCDVSARDVTVTLPDYPGSVPIPLTVYCAKSQNLGYYLSGTTADAGNSIFTNTASFSPAQGVGVQLTRNGTIIPANNTVSLGAVGTSAVSLGLTANYARTGGQVTAGNVQSIIGVTFVYQ</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C0">
            <w:pPr>
              <w:widowControl w:val="0"/>
              <w:rPr>
                <w:rFonts w:ascii="Times New Roman" w:cs="Times New Roman" w:eastAsia="Times New Roman" w:hAnsi="Times New Roman"/>
                <w:sz w:val="24"/>
                <w:szCs w:val="24"/>
              </w:rPr>
            </w:pPr>
            <w:hyperlink r:id="rId48">
              <w:r w:rsidDel="00000000" w:rsidR="00000000" w:rsidRPr="00000000">
                <w:rPr>
                  <w:rFonts w:ascii="Times New Roman" w:cs="Times New Roman" w:eastAsia="Times New Roman" w:hAnsi="Times New Roman"/>
                  <w:sz w:val="24"/>
                  <w:szCs w:val="24"/>
                  <w:u w:val="single"/>
                  <w:rtl w:val="0"/>
                </w:rPr>
                <w:t xml:space="preserve">https://www.ncbi.nlm.nih.gov/nuccore/NZ_UNQZ01000030.1</w:t>
              </w:r>
            </w:hyperlink>
            <w:r w:rsidDel="00000000" w:rsidR="00000000" w:rsidRPr="00000000">
              <w:rPr>
                <w:rtl w:val="0"/>
              </w:rPr>
            </w:r>
          </w:p>
        </w:tc>
      </w:tr>
      <w:tr>
        <w:trPr>
          <w:cantSplit w:val="0"/>
          <w:trHeight w:val="304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C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FimH_ST95</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C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coli ST95</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C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C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KRVITLFAVLLMGWSVNAWSFACKTANGTAIPIGGGSANVYVNLAPVVNVGQNLVVDLSTQIFCHNDYPETITDYVTLQRGSAYGGVLSNFSGTVKYSGSSYPFPTTSETPRVVYNSRTDKPWPVALYLTPVSSAGGVAIKAGSLIAVLILRQTNNYNSDDFQFVWNIYANNDVVVPTGGCDVSARDVTVTLPDYPGSVPIPLTVYCAKSQNLGYYLSGTTADAGNSIFTNTASFSPAQGVGVQLTRNGTIIPANNTVSLGAVGTSAVSLGLTANYARTGGQVTAGNVQSIIGVTFVYQ</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C5">
            <w:pPr>
              <w:widowControl w:val="0"/>
              <w:rPr>
                <w:rFonts w:ascii="Times New Roman" w:cs="Times New Roman" w:eastAsia="Times New Roman" w:hAnsi="Times New Roman"/>
                <w:sz w:val="24"/>
                <w:szCs w:val="24"/>
              </w:rPr>
            </w:pPr>
            <w:hyperlink r:id="rId49">
              <w:r w:rsidDel="00000000" w:rsidR="00000000" w:rsidRPr="00000000">
                <w:rPr>
                  <w:rFonts w:ascii="Times New Roman" w:cs="Times New Roman" w:eastAsia="Times New Roman" w:hAnsi="Times New Roman"/>
                  <w:sz w:val="24"/>
                  <w:szCs w:val="24"/>
                  <w:u w:val="single"/>
                  <w:rtl w:val="0"/>
                </w:rPr>
                <w:t xml:space="preserve">https://www.ncbi.nlm.nih.gov/nuccore/CP043950.1</w:t>
              </w:r>
            </w:hyperlink>
            <w:r w:rsidDel="00000000" w:rsidR="00000000" w:rsidRPr="00000000">
              <w:rPr>
                <w:rtl w:val="0"/>
              </w:rPr>
            </w:r>
          </w:p>
        </w:tc>
      </w:tr>
      <w:tr>
        <w:trPr>
          <w:cantSplit w:val="0"/>
          <w:trHeight w:val="3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C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FimH_ST69</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C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coli ST69</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C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C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KIICRLLLAMACLCLANISWATVCANSTGVAEDEHYDLSNVFNSTNNQPGQIVVLPEKSGWVGVSAICPPGTLVNYTYRSYVTNFIVQETIDNYKYMQLNDYLLGAMSLVDSVMDIQFPPQNYIRMGTDPNVSQNLPFGVMDSRLIFRLKVIRPFINMVEIPRQVMFTVYVTSTPNDPLVTPVYTISFGGRVEVPQNCELNAGQIVEFDFGDIGASLFSAAGPGNRPAGVMPQTKSIAIKCTNVAAQAYLTMRLEASAVSGQAMVSDNQDLGFIVADQNDTPITPNDLNSVIPFRLDAAAAANVTLRAWPISITGQKPTEGPFSALGYLRVDYQ</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CA">
            <w:pPr>
              <w:widowControl w:val="0"/>
              <w:rPr>
                <w:rFonts w:ascii="Times New Roman" w:cs="Times New Roman" w:eastAsia="Times New Roman" w:hAnsi="Times New Roman"/>
                <w:sz w:val="24"/>
                <w:szCs w:val="24"/>
              </w:rPr>
            </w:pPr>
            <w:hyperlink r:id="rId50">
              <w:r w:rsidDel="00000000" w:rsidR="00000000" w:rsidRPr="00000000">
                <w:rPr>
                  <w:rFonts w:ascii="Times New Roman" w:cs="Times New Roman" w:eastAsia="Times New Roman" w:hAnsi="Times New Roman"/>
                  <w:sz w:val="24"/>
                  <w:szCs w:val="24"/>
                  <w:u w:val="single"/>
                  <w:rtl w:val="0"/>
                </w:rPr>
                <w:t xml:space="preserve">https://www.ncbi.nlm.nih.gov/nuccore/CP102488.1</w:t>
              </w:r>
            </w:hyperlink>
            <w:r w:rsidDel="00000000" w:rsidR="00000000" w:rsidRPr="00000000">
              <w:rPr>
                <w:rtl w:val="0"/>
              </w:rPr>
            </w:r>
          </w:p>
        </w:tc>
      </w:tr>
      <w:tr>
        <w:trPr>
          <w:cantSplit w:val="0"/>
          <w:trHeight w:val="304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C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FimH_ST131-H30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C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coli ST131-H30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C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C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KRVITLFAVLLMGWSVNAWSFACKTANGTAIPIGGGSANVYVNLAPAVNVGQNLVVDLSTQIFCHNDYPETITDYVTLQRGSAYGGVLSNFSGTVKYSGSSYPFPTTSETPRVVYNSRTDKPWPVALYLTPVSSAGGVAIKAGSLIAVLILRQTNNYNSDDFQFVWNIYANNDVVVPTGGCDVSAHDVTVTLPDYPGSVPIPLTVYCAKSQNLGYYLSGTTADAGNSIFTNTASFSPAQGVGVQLTRNGTIIPANNTVSLGAVGTSAVSLGLTANYARTGGQVTAGNVQSIIGVTFVYQ</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C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Chen SL, Hung CS, Pinkner JS, Walker JN, Cusumano CK, Li Z, Bouckaert J, Gordon JI, Hultgren SJ. Positive selection identifies an in vivo role for FimH during urinary tract infection in addition to mannose binding. Proc Natl Acad Sci U S A. 2009 Dec 29;106(52):22439-44. doi: 10.1073/pnas.0902179106. Epub 2009 Dec 16. PMID: 20018753; PMCID: PMC2794649.</w:t>
            </w:r>
          </w:p>
        </w:tc>
      </w:tr>
      <w:tr>
        <w:trPr>
          <w:cantSplit w:val="0"/>
          <w:trHeight w:val="304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D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FimH_Klebsiella</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D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 pneumoniae (E. coli cas665)</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D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D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MKKIIPLFTTLLLGWSMNAWSFACKTATGATIPIGGGSANVYVNLTPAVNVGQNLVVDLSTQIFCHNDYPETITDYVTLQRGAAYGGVLSSFSGTVKYNGTSYPFPTTTETARVIYDSRTDKPWPAVLYLTPVSTAGGVAITAGSLIAVLILHQTNNYNSDSFQFIWNIYANNDVVVPTGGCDVSARDVTVTLPDYPGSMAVPLTVHCAQSQQLGYYLSGTTADSANAIFTNTASASPAQGIGVQLTRNGSAVPANSTVSLGTVGTSPVNLGLTATYARTTGQVTAGNVQSIIGITFVYQ</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D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Stahlhut SG, Chattopadhyay S, Struve C, Weissman SJ, Aprikian P, Libby SJ, Fang FC, Krogfelt KA, Sokurenko EV. Population variability of the FimH type 1 fimbrial adhesin in Klebsiella pneumoniae. J Bacteriol. 2009 Mar;191(6):1941-50. doi: 10.1128/JB.00601-08. Epub 2009 Jan 16. PMID: 19151141; PMCID: PMC2648365.</w:t>
            </w:r>
          </w:p>
        </w:tc>
      </w:tr>
    </w:tbl>
    <w:p w:rsidR="00000000" w:rsidDel="00000000" w:rsidP="00000000" w:rsidRDefault="00000000" w:rsidRPr="00000000" w14:paraId="000001D5">
      <w:pPr>
        <w:spacing w:after="60" w:before="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6">
      <w:pPr>
        <w:pStyle w:val="Heading2"/>
        <w:keepNext w:val="0"/>
        <w:keepLines w:val="0"/>
        <w:spacing w:after="60" w:before="240" w:lineRule="auto"/>
        <w:rPr>
          <w:rFonts w:ascii="Times New Roman" w:cs="Times New Roman" w:eastAsia="Times New Roman" w:hAnsi="Times New Roman"/>
          <w:b w:val="1"/>
          <w:sz w:val="24"/>
          <w:szCs w:val="24"/>
        </w:rPr>
      </w:pPr>
      <w:bookmarkStart w:colFirst="0" w:colLast="0" w:name="_a08mmahrt5s8" w:id="10"/>
      <w:bookmarkEnd w:id="10"/>
      <w:r w:rsidDel="00000000" w:rsidR="00000000" w:rsidRPr="00000000">
        <w:rPr>
          <w:rFonts w:ascii="Times New Roman" w:cs="Times New Roman" w:eastAsia="Times New Roman" w:hAnsi="Times New Roman"/>
          <w:b w:val="1"/>
          <w:sz w:val="24"/>
          <w:szCs w:val="24"/>
          <w:rtl w:val="0"/>
        </w:rPr>
        <w:t xml:space="preserve">Table S4.  </w:t>
      </w:r>
      <w:r w:rsidDel="00000000" w:rsidR="00000000" w:rsidRPr="00000000">
        <w:rPr>
          <w:rFonts w:ascii="Times New Roman" w:cs="Times New Roman" w:eastAsia="Times New Roman" w:hAnsi="Times New Roman"/>
          <w:b w:val="1"/>
          <w:sz w:val="24"/>
          <w:szCs w:val="24"/>
          <w:rtl w:val="0"/>
        </w:rPr>
        <w:t xml:space="preserve">Target Protein Sequences.</w:t>
      </w:r>
    </w:p>
    <w:p w:rsidR="00000000" w:rsidDel="00000000" w:rsidP="00000000" w:rsidRDefault="00000000" w:rsidRPr="00000000" w14:paraId="000001D7">
      <w:pPr>
        <w:spacing w:after="60" w:before="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8">
      <w:pPr>
        <w:spacing w:after="60" w:before="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9">
      <w:pPr>
        <w:spacing w:after="60" w:before="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A">
      <w:pPr>
        <w:spacing w:after="60" w:before="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B">
      <w:pPr>
        <w:spacing w:after="60" w:before="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C">
      <w:pPr>
        <w:spacing w:after="60" w:before="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D">
      <w:pPr>
        <w:spacing w:after="60" w:before="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E">
      <w:pPr>
        <w:spacing w:after="60" w:before="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F">
      <w:pPr>
        <w:spacing w:after="60" w:before="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A">
      <w:pPr>
        <w:rPr>
          <w:rFonts w:ascii="Times New Roman" w:cs="Times New Roman" w:eastAsia="Times New Roman" w:hAnsi="Times New Roman"/>
          <w:b w:val="1"/>
          <w:sz w:val="24"/>
          <w:szCs w:val="24"/>
        </w:rPr>
      </w:pPr>
      <w:r w:rsidDel="00000000" w:rsidR="00000000" w:rsidRPr="00000000">
        <w:rPr>
          <w:rtl w:val="0"/>
        </w:rPr>
      </w:r>
    </w:p>
    <w:tbl>
      <w:tblPr>
        <w:tblStyle w:val="Table5"/>
        <w:tblW w:w="93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85"/>
        <w:gridCol w:w="3570"/>
        <w:gridCol w:w="4275"/>
        <w:tblGridChange w:id="0">
          <w:tblGrid>
            <w:gridCol w:w="1485"/>
            <w:gridCol w:w="3570"/>
            <w:gridCol w:w="4275"/>
          </w:tblGrid>
        </w:tblGridChange>
      </w:tblGrid>
      <w:tr>
        <w:trPr>
          <w:cantSplit w:val="0"/>
          <w:trHeight w:val="525"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EB">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Binder_ID</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EC">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Abp1D - K</w:t>
            </w:r>
            <w:r w:rsidDel="00000000" w:rsidR="00000000" w:rsidRPr="00000000">
              <w:rPr>
                <w:rFonts w:ascii="Times New Roman" w:cs="Times New Roman" w:eastAsia="Times New Roman" w:hAnsi="Times New Roman"/>
                <w:b w:val="1"/>
                <w:sz w:val="24"/>
                <w:szCs w:val="24"/>
                <w:vertAlign w:val="subscript"/>
                <w:rtl w:val="0"/>
              </w:rPr>
              <w:t xml:space="preserve">d</w:t>
            </w:r>
            <w:r w:rsidDel="00000000" w:rsidR="00000000" w:rsidRPr="00000000">
              <w:rPr>
                <w:rFonts w:ascii="Times New Roman" w:cs="Times New Roman" w:eastAsia="Times New Roman" w:hAnsi="Times New Roman"/>
                <w:b w:val="1"/>
                <w:sz w:val="24"/>
                <w:szCs w:val="24"/>
                <w:rtl w:val="0"/>
              </w:rPr>
              <w:t xml:space="preserve"> (nM)</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ED">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Abp2D - K</w:t>
            </w:r>
            <w:r w:rsidDel="00000000" w:rsidR="00000000" w:rsidRPr="00000000">
              <w:rPr>
                <w:rFonts w:ascii="Times New Roman" w:cs="Times New Roman" w:eastAsia="Times New Roman" w:hAnsi="Times New Roman"/>
                <w:b w:val="1"/>
                <w:sz w:val="24"/>
                <w:szCs w:val="24"/>
                <w:vertAlign w:val="subscript"/>
                <w:rtl w:val="0"/>
              </w:rPr>
              <w:t xml:space="preserve">d</w:t>
            </w:r>
            <w:r w:rsidDel="00000000" w:rsidR="00000000" w:rsidRPr="00000000">
              <w:rPr>
                <w:rFonts w:ascii="Times New Roman" w:cs="Times New Roman" w:eastAsia="Times New Roman" w:hAnsi="Times New Roman"/>
                <w:b w:val="1"/>
                <w:sz w:val="24"/>
                <w:szCs w:val="24"/>
                <w:rtl w:val="0"/>
              </w:rPr>
              <w:t xml:space="preserve"> (nM)</w:t>
            </w:r>
            <w:r w:rsidDel="00000000" w:rsidR="00000000" w:rsidRPr="00000000">
              <w:rPr>
                <w:rtl w:val="0"/>
              </w:rPr>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E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A4</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EF">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F0">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559</w:t>
            </w:r>
            <w:r w:rsidDel="00000000" w:rsidR="00000000" w:rsidRPr="00000000">
              <w:rPr>
                <w:rtl w:val="0"/>
              </w:rPr>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F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A6</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F2">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3900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F3">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P.F.</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F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A7</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F5">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67</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F6">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w:t>
            </w:r>
            <w:r w:rsidDel="00000000" w:rsidR="00000000" w:rsidRPr="00000000">
              <w:rPr>
                <w:rtl w:val="0"/>
              </w:rPr>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F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A8</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F8">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2030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F9">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P.F.</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F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A12</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FB">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FC">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235</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F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B1</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FE">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P.F.</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FF">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48</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0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B4</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01">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02">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786</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0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B5</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04">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987</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05">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1010</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0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B6</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07">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1260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08">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336</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0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B7</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0A">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101</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0B">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16</w:t>
            </w:r>
            <w:r w:rsidDel="00000000" w:rsidR="00000000" w:rsidRPr="00000000">
              <w:rPr>
                <w:rtl w:val="0"/>
              </w:rPr>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0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B8</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0D">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3830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0E">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0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B9</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10">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669</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11">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187</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1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B12</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13">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14">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657</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1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C1</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16">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1240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17">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624</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1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C6</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19">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1A">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950</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1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C7</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1C">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6</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1D">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124</w:t>
            </w:r>
            <w:r w:rsidDel="00000000" w:rsidR="00000000" w:rsidRPr="00000000">
              <w:rPr>
                <w:rtl w:val="0"/>
              </w:rPr>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1E">
            <w:pPr>
              <w:widowControl w:val="0"/>
              <w:rPr>
                <w:rFonts w:ascii="Times New Roman" w:cs="Times New Roman" w:eastAsia="Times New Roman" w:hAnsi="Times New Roman"/>
                <w:sz w:val="24"/>
                <w:szCs w:val="24"/>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1F">
            <w:pPr>
              <w:widowControl w:val="0"/>
              <w:rPr>
                <w:rFonts w:ascii="Times New Roman" w:cs="Times New Roman" w:eastAsia="Times New Roman" w:hAnsi="Times New Roman"/>
                <w:sz w:val="24"/>
                <w:szCs w:val="24"/>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20">
            <w:pPr>
              <w:widowControl w:val="0"/>
              <w:rPr>
                <w:rFonts w:ascii="Times New Roman" w:cs="Times New Roman" w:eastAsia="Times New Roman" w:hAnsi="Times New Roman"/>
                <w:sz w:val="24"/>
                <w:szCs w:val="24"/>
              </w:rPr>
            </w:pPr>
            <w:r w:rsidDel="00000000" w:rsidR="00000000" w:rsidRPr="00000000">
              <w:rPr>
                <w:rtl w:val="0"/>
              </w:rPr>
            </w:r>
          </w:p>
        </w:tc>
      </w:tr>
      <w:tr>
        <w:trPr>
          <w:cantSplit w:val="0"/>
          <w:trHeight w:val="525" w:hRule="atLeast"/>
          <w:tblHeader w:val="0"/>
        </w:trPr>
        <w:tc>
          <w:tcPr>
            <w:gridSpan w:val="3"/>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2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N.D.</w:t>
            </w:r>
            <w:r w:rsidDel="00000000" w:rsidR="00000000" w:rsidRPr="00000000">
              <w:rPr>
                <w:rFonts w:ascii="Times New Roman" w:cs="Times New Roman" w:eastAsia="Times New Roman" w:hAnsi="Times New Roman"/>
                <w:sz w:val="24"/>
                <w:szCs w:val="24"/>
                <w:rtl w:val="0"/>
              </w:rPr>
              <w:t xml:space="preserve">: Binding was not detected. The K</w:t>
            </w:r>
            <w:r w:rsidDel="00000000" w:rsidR="00000000" w:rsidRPr="00000000">
              <w:rPr>
                <w:rFonts w:ascii="Times New Roman" w:cs="Times New Roman" w:eastAsia="Times New Roman" w:hAnsi="Times New Roman"/>
                <w:sz w:val="24"/>
                <w:szCs w:val="24"/>
                <w:vertAlign w:val="subscript"/>
                <w:rtl w:val="0"/>
              </w:rPr>
              <w:t xml:space="preserve">d</w:t>
            </w:r>
            <w:r w:rsidDel="00000000" w:rsidR="00000000" w:rsidRPr="00000000">
              <w:rPr>
                <w:rFonts w:ascii="Times New Roman" w:cs="Times New Roman" w:eastAsia="Times New Roman" w:hAnsi="Times New Roman"/>
                <w:sz w:val="24"/>
                <w:szCs w:val="24"/>
                <w:rtl w:val="0"/>
              </w:rPr>
              <w:t xml:space="preserve"> estimate is larger than the highest screened concentration (5 µM).</w:t>
            </w:r>
          </w:p>
        </w:tc>
      </w:tr>
      <w:tr>
        <w:trPr>
          <w:cantSplit w:val="0"/>
          <w:trHeight w:val="525" w:hRule="atLeast"/>
          <w:tblHeader w:val="0"/>
        </w:trPr>
        <w:tc>
          <w:tcPr>
            <w:gridSpan w:val="3"/>
            <w:tcBorders>
              <w:top w:color="cccccc" w:space="0" w:sz="5" w:val="single"/>
              <w:left w:color="cccccc" w:space="0" w:sz="5" w:val="single"/>
              <w:bottom w:color="cccccc" w:space="0" w:sz="5" w:val="single"/>
              <w:right w:color="cccccc"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22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P.F.</w:t>
            </w:r>
            <w:r w:rsidDel="00000000" w:rsidR="00000000" w:rsidRPr="00000000">
              <w:rPr>
                <w:rFonts w:ascii="Times New Roman" w:cs="Times New Roman" w:eastAsia="Times New Roman" w:hAnsi="Times New Roman"/>
                <w:sz w:val="24"/>
                <w:szCs w:val="24"/>
                <w:rtl w:val="0"/>
              </w:rPr>
              <w:t xml:space="preserve">: The binding data could not be fit well to accurately estimate a K</w:t>
            </w:r>
            <w:r w:rsidDel="00000000" w:rsidR="00000000" w:rsidRPr="00000000">
              <w:rPr>
                <w:rFonts w:ascii="Times New Roman" w:cs="Times New Roman" w:eastAsia="Times New Roman" w:hAnsi="Times New Roman"/>
                <w:sz w:val="24"/>
                <w:szCs w:val="24"/>
                <w:vertAlign w:val="subscript"/>
                <w:rtl w:val="0"/>
              </w:rPr>
              <w:t xml:space="preserve">d</w:t>
            </w:r>
            <w:r w:rsidDel="00000000" w:rsidR="00000000" w:rsidRPr="00000000">
              <w:rPr>
                <w:rFonts w:ascii="Times New Roman" w:cs="Times New Roman" w:eastAsia="Times New Roman" w:hAnsi="Times New Roman"/>
                <w:sz w:val="24"/>
                <w:szCs w:val="24"/>
                <w:rtl w:val="0"/>
              </w:rPr>
              <w:t xml:space="preserve">.</w:t>
            </w:r>
          </w:p>
        </w:tc>
      </w:tr>
      <w:tr>
        <w:trPr>
          <w:cantSplit w:val="0"/>
          <w:trHeight w:val="525" w:hRule="atLeast"/>
          <w:tblHeader w:val="0"/>
        </w:trPr>
        <w:tc>
          <w:tcPr>
            <w:gridSpan w:val="3"/>
            <w:tcBorders>
              <w:top w:color="cccccc" w:space="0" w:sz="5" w:val="single"/>
              <w:left w:color="cccccc" w:space="0" w:sz="5" w:val="single"/>
              <w:bottom w:color="cccccc" w:space="0" w:sz="5" w:val="single"/>
              <w:right w:color="cccccc"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22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Bold</w:t>
            </w:r>
            <w:r w:rsidDel="00000000" w:rsidR="00000000" w:rsidRPr="00000000">
              <w:rPr>
                <w:rFonts w:ascii="Times New Roman" w:cs="Times New Roman" w:eastAsia="Times New Roman" w:hAnsi="Times New Roman"/>
                <w:sz w:val="24"/>
                <w:szCs w:val="24"/>
                <w:rtl w:val="0"/>
              </w:rPr>
              <w:t xml:space="preserve">: The designs in </w:t>
            </w:r>
            <w:r w:rsidDel="00000000" w:rsidR="00000000" w:rsidRPr="00000000">
              <w:rPr>
                <w:rFonts w:ascii="Times New Roman" w:cs="Times New Roman" w:eastAsia="Times New Roman" w:hAnsi="Times New Roman"/>
                <w:b w:val="1"/>
                <w:sz w:val="24"/>
                <w:szCs w:val="24"/>
                <w:rtl w:val="0"/>
              </w:rPr>
              <w:t xml:space="preserve">bold</w:t>
            </w:r>
            <w:r w:rsidDel="00000000" w:rsidR="00000000" w:rsidRPr="00000000">
              <w:rPr>
                <w:rFonts w:ascii="Times New Roman" w:cs="Times New Roman" w:eastAsia="Times New Roman" w:hAnsi="Times New Roman"/>
                <w:sz w:val="24"/>
                <w:szCs w:val="24"/>
                <w:rtl w:val="0"/>
              </w:rPr>
              <w:t xml:space="preserve"> exhibited K</w:t>
            </w:r>
            <w:r w:rsidDel="00000000" w:rsidR="00000000" w:rsidRPr="00000000">
              <w:rPr>
                <w:rFonts w:ascii="Times New Roman" w:cs="Times New Roman" w:eastAsia="Times New Roman" w:hAnsi="Times New Roman"/>
                <w:sz w:val="24"/>
                <w:szCs w:val="24"/>
                <w:vertAlign w:val="subscript"/>
                <w:rtl w:val="0"/>
              </w:rPr>
              <w:t xml:space="preserve">d</w:t>
            </w:r>
            <w:r w:rsidDel="00000000" w:rsidR="00000000" w:rsidRPr="00000000">
              <w:rPr>
                <w:rFonts w:ascii="Times New Roman" w:cs="Times New Roman" w:eastAsia="Times New Roman" w:hAnsi="Times New Roman"/>
                <w:sz w:val="24"/>
                <w:szCs w:val="24"/>
                <w:rtl w:val="0"/>
              </w:rPr>
              <w:t xml:space="preserve">'s to both Abp1D and Abp2D at or below 1 µM.</w:t>
            </w:r>
          </w:p>
        </w:tc>
      </w:tr>
    </w:tbl>
    <w:p w:rsidR="00000000" w:rsidDel="00000000" w:rsidP="00000000" w:rsidRDefault="00000000" w:rsidRPr="00000000" w14:paraId="0000022A">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B">
      <w:pPr>
        <w:spacing w:after="60" w:before="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S5. K</w:t>
      </w:r>
      <w:r w:rsidDel="00000000" w:rsidR="00000000" w:rsidRPr="00000000">
        <w:rPr>
          <w:rFonts w:ascii="Times New Roman" w:cs="Times New Roman" w:eastAsia="Times New Roman" w:hAnsi="Times New Roman"/>
          <w:b w:val="1"/>
          <w:sz w:val="24"/>
          <w:szCs w:val="24"/>
          <w:vertAlign w:val="subscript"/>
          <w:rtl w:val="0"/>
        </w:rPr>
        <w:t xml:space="preserve">d</w:t>
      </w:r>
      <w:r w:rsidDel="00000000" w:rsidR="00000000" w:rsidRPr="00000000">
        <w:rPr>
          <w:rFonts w:ascii="Times New Roman" w:cs="Times New Roman" w:eastAsia="Times New Roman" w:hAnsi="Times New Roman"/>
          <w:b w:val="1"/>
          <w:sz w:val="24"/>
          <w:szCs w:val="24"/>
          <w:rtl w:val="0"/>
        </w:rPr>
        <w:t xml:space="preserve"> estimates of Abp minibinders. </w:t>
      </w:r>
      <w:r w:rsidDel="00000000" w:rsidR="00000000" w:rsidRPr="00000000">
        <w:rPr>
          <w:rFonts w:ascii="Times New Roman" w:cs="Times New Roman" w:eastAsia="Times New Roman" w:hAnsi="Times New Roman"/>
          <w:sz w:val="24"/>
          <w:szCs w:val="24"/>
          <w:rtl w:val="0"/>
        </w:rPr>
        <w:t xml:space="preserve">This table includes the kinetic profiles (K</w:t>
      </w:r>
      <w:r w:rsidDel="00000000" w:rsidR="00000000" w:rsidRPr="00000000">
        <w:rPr>
          <w:rFonts w:ascii="Times New Roman" w:cs="Times New Roman" w:eastAsia="Times New Roman" w:hAnsi="Times New Roman"/>
          <w:sz w:val="24"/>
          <w:szCs w:val="24"/>
          <w:vertAlign w:val="subscript"/>
          <w:rtl w:val="0"/>
        </w:rPr>
        <w:t xml:space="preserve">d</w:t>
      </w:r>
      <w:r w:rsidDel="00000000" w:rsidR="00000000" w:rsidRPr="00000000">
        <w:rPr>
          <w:rFonts w:ascii="Times New Roman" w:cs="Times New Roman" w:eastAsia="Times New Roman" w:hAnsi="Times New Roman"/>
          <w:sz w:val="24"/>
          <w:szCs w:val="24"/>
          <w:rtl w:val="0"/>
        </w:rPr>
        <w:t xml:space="preserve">s to Abp1D and Abp2D) of Abp minibinders that were enriched during yeast surface display and expressed sufficiently for downstream characterization</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as measured by SPR.</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Minibinders that exhibited undetectable binding to both Abp1D and Abp2D were excluded for clarity.</w:t>
      </w:r>
      <w:r w:rsidDel="00000000" w:rsidR="00000000" w:rsidRPr="00000000">
        <w:rPr>
          <w:rtl w:val="0"/>
        </w:rPr>
      </w:r>
    </w:p>
    <w:p w:rsidR="00000000" w:rsidDel="00000000" w:rsidP="00000000" w:rsidRDefault="00000000" w:rsidRPr="00000000" w14:paraId="0000022C">
      <w:pPr>
        <w:pStyle w:val="Heading3"/>
        <w:rPr>
          <w:rFonts w:ascii="Times New Roman" w:cs="Times New Roman" w:eastAsia="Times New Roman" w:hAnsi="Times New Roman"/>
          <w:b w:val="1"/>
          <w:color w:val="000000"/>
          <w:sz w:val="24"/>
          <w:szCs w:val="24"/>
        </w:rPr>
      </w:pPr>
      <w:bookmarkStart w:colFirst="0" w:colLast="0" w:name="_t99agzu0m0al" w:id="11"/>
      <w:bookmarkEnd w:id="11"/>
      <w:r w:rsidDel="00000000" w:rsidR="00000000" w:rsidRPr="00000000">
        <w:rPr>
          <w:rtl w:val="0"/>
        </w:rPr>
      </w:r>
    </w:p>
    <w:p w:rsidR="00000000" w:rsidDel="00000000" w:rsidP="00000000" w:rsidRDefault="00000000" w:rsidRPr="00000000" w14:paraId="0000022D">
      <w:pPr>
        <w:rPr/>
      </w:pPr>
      <w:r w:rsidDel="00000000" w:rsidR="00000000" w:rsidRPr="00000000">
        <w:rPr>
          <w:rtl w:val="0"/>
        </w:rPr>
      </w:r>
    </w:p>
    <w:p w:rsidR="00000000" w:rsidDel="00000000" w:rsidP="00000000" w:rsidRDefault="00000000" w:rsidRPr="00000000" w14:paraId="0000022E">
      <w:pPr>
        <w:spacing w:line="276" w:lineRule="auto"/>
        <w:rPr>
          <w:rFonts w:ascii="Times New Roman" w:cs="Times New Roman" w:eastAsia="Times New Roman" w:hAnsi="Times New Roman"/>
          <w:sz w:val="24"/>
          <w:szCs w:val="24"/>
        </w:rPr>
      </w:pPr>
      <w:r w:rsidDel="00000000" w:rsidR="00000000" w:rsidRPr="00000000">
        <w:rPr>
          <w:rtl w:val="0"/>
        </w:rPr>
      </w:r>
    </w:p>
    <w:sectPr>
      <w:headerReference r:id="rId51" w:type="default"/>
      <w:footerReference r:id="rId5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ungsuh"/>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F">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3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p>
  </w:footnote>
  <w:footnote w:id="1">
    <w:p w:rsidR="00000000" w:rsidDel="00000000" w:rsidP="00000000" w:rsidRDefault="00000000" w:rsidRPr="00000000" w14:paraId="0000023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p>
  </w:footnote>
  <w:footnote w:id="2">
    <w:p w:rsidR="00000000" w:rsidDel="00000000" w:rsidP="00000000" w:rsidRDefault="00000000" w:rsidRPr="00000000" w14:paraId="0000023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p>
  </w:footnote>
  <w:footnote w:id="3">
    <w:p w:rsidR="00000000" w:rsidDel="00000000" w:rsidP="00000000" w:rsidRDefault="00000000" w:rsidRPr="00000000" w14:paraId="0000023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pPr/>
    <w:rPr/>
    <w:tblPr>
      <w:tblStyleRowBandSize w:val="1"/>
      <w:tblStyleColBandSize w:val="1"/>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3">
    <w:basedOn w:val="TableNormal"/>
    <w:tblPr>
      <w:tblStyleRowBandSize w:val="1"/>
      <w:tblStyleColBandSize w:val="1"/>
      <w:tblCellMar/>
    </w:tblPr>
  </w:style>
  <w:style w:type="table" w:styleId="Table4">
    <w:basedOn w:val="TableNormal"/>
    <w:tblPr>
      <w:tblStyleRowBandSize w:val="1"/>
      <w:tblStyleColBandSize w:val="1"/>
      <w:tblCellMar/>
    </w:tblPr>
  </w:style>
  <w:style w:type="table" w:styleId="Table5">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i.org/10.1073/pnas.2212694120." TargetMode="External"/><Relationship Id="rId42" Type="http://schemas.openxmlformats.org/officeDocument/2006/relationships/hyperlink" Target="https://doi.org/10.1073/pnas.2212694120" TargetMode="External"/><Relationship Id="rId41" Type="http://schemas.openxmlformats.org/officeDocument/2006/relationships/hyperlink" Target="https://doi.org/10.1073/pnas.2212694120." TargetMode="External"/><Relationship Id="rId44" Type="http://schemas.openxmlformats.org/officeDocument/2006/relationships/hyperlink" Target="https://doi.org/10.1101/2024.12.06.627246" TargetMode="External"/><Relationship Id="rId43" Type="http://schemas.openxmlformats.org/officeDocument/2006/relationships/hyperlink" Target="https://doi.org/10.1073/pnas.2212694120" TargetMode="External"/><Relationship Id="rId46" Type="http://schemas.openxmlformats.org/officeDocument/2006/relationships/hyperlink" Target="https://doi.org/10.1101/2025.07.17.665197" TargetMode="External"/><Relationship Id="rId45" Type="http://schemas.openxmlformats.org/officeDocument/2006/relationships/hyperlink" Target="https://doi.org/10.1101/2024.12.06.627246"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evs@uw.edu" TargetMode="External"/><Relationship Id="rId48" Type="http://schemas.openxmlformats.org/officeDocument/2006/relationships/hyperlink" Target="https://www.ncbi.nlm.nih.gov/nuccore/NZ_UNQZ01000030.1" TargetMode="External"/><Relationship Id="rId47" Type="http://schemas.openxmlformats.org/officeDocument/2006/relationships/hyperlink" Target="https://doi.org/10.1101/2025.07.17.665197" TargetMode="External"/><Relationship Id="rId49" Type="http://schemas.openxmlformats.org/officeDocument/2006/relationships/hyperlink" Target="https://www.ncbi.nlm.nih.gov/nuccore/CP043950.1"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mailto:dabaker@uw.edu" TargetMode="External"/><Relationship Id="rId8" Type="http://schemas.openxmlformats.org/officeDocument/2006/relationships/hyperlink" Target="mailto:hultgren@wustl.edu" TargetMode="External"/><Relationship Id="rId31" Type="http://schemas.openxmlformats.org/officeDocument/2006/relationships/image" Target="media/image13.png"/><Relationship Id="rId30" Type="http://schemas.openxmlformats.org/officeDocument/2006/relationships/image" Target="media/image1.png"/><Relationship Id="rId33" Type="http://schemas.openxmlformats.org/officeDocument/2006/relationships/image" Target="media/image2.png"/><Relationship Id="rId32" Type="http://schemas.openxmlformats.org/officeDocument/2006/relationships/image" Target="media/image7.png"/><Relationship Id="rId35" Type="http://schemas.openxmlformats.org/officeDocument/2006/relationships/image" Target="media/image15.png"/><Relationship Id="rId34" Type="http://schemas.openxmlformats.org/officeDocument/2006/relationships/image" Target="media/image3.png"/><Relationship Id="rId37" Type="http://schemas.openxmlformats.org/officeDocument/2006/relationships/image" Target="media/image5.png"/><Relationship Id="rId36" Type="http://schemas.openxmlformats.org/officeDocument/2006/relationships/image" Target="media/image11.png"/><Relationship Id="rId39" Type="http://schemas.openxmlformats.org/officeDocument/2006/relationships/image" Target="media/image16.png"/><Relationship Id="rId38" Type="http://schemas.openxmlformats.org/officeDocument/2006/relationships/image" Target="media/image14.png"/><Relationship Id="rId20" Type="http://schemas.openxmlformats.org/officeDocument/2006/relationships/hyperlink" Target="https://www.zotero.org/google-docs/?vbsMH4" TargetMode="External"/><Relationship Id="rId22" Type="http://schemas.openxmlformats.org/officeDocument/2006/relationships/hyperlink" Target="https://www.zotero.org/google-docs/?dtfupM" TargetMode="External"/><Relationship Id="rId21" Type="http://schemas.openxmlformats.org/officeDocument/2006/relationships/hyperlink" Target="https://www.zotero.org/google-docs/?TkDGyn" TargetMode="External"/><Relationship Id="rId24" Type="http://schemas.openxmlformats.org/officeDocument/2006/relationships/hyperlink" Target="https://www.zotero.org/google-docs/?JxFGzs" TargetMode="External"/><Relationship Id="rId23" Type="http://schemas.openxmlformats.org/officeDocument/2006/relationships/hyperlink" Target="https://www.zotero.org/google-docs/?Lo4BHF" TargetMode="External"/><Relationship Id="rId26" Type="http://schemas.openxmlformats.org/officeDocument/2006/relationships/image" Target="media/image12.png"/><Relationship Id="rId25" Type="http://schemas.openxmlformats.org/officeDocument/2006/relationships/image" Target="media/image9.png"/><Relationship Id="rId28" Type="http://schemas.openxmlformats.org/officeDocument/2006/relationships/image" Target="media/image10.png"/><Relationship Id="rId27" Type="http://schemas.openxmlformats.org/officeDocument/2006/relationships/image" Target="media/image4.png"/><Relationship Id="rId29" Type="http://schemas.openxmlformats.org/officeDocument/2006/relationships/image" Target="media/image6.png"/><Relationship Id="rId51" Type="http://schemas.openxmlformats.org/officeDocument/2006/relationships/header" Target="header1.xml"/><Relationship Id="rId50" Type="http://schemas.openxmlformats.org/officeDocument/2006/relationships/hyperlink" Target="https://www.ncbi.nlm.nih.gov/nuccore/CP102488.1" TargetMode="External"/><Relationship Id="rId52" Type="http://schemas.openxmlformats.org/officeDocument/2006/relationships/footer" Target="footer1.xml"/><Relationship Id="rId11" Type="http://schemas.openxmlformats.org/officeDocument/2006/relationships/hyperlink" Target="https://www.zotero.org/google-docs/?KgXQDv" TargetMode="External"/><Relationship Id="rId10" Type="http://schemas.openxmlformats.org/officeDocument/2006/relationships/hyperlink" Target="https://www.zotero.org/google-docs/?teS9Sd" TargetMode="External"/><Relationship Id="rId13" Type="http://schemas.openxmlformats.org/officeDocument/2006/relationships/hyperlink" Target="https://www.zotero.org/google-docs/?lXFtKq" TargetMode="External"/><Relationship Id="rId12" Type="http://schemas.openxmlformats.org/officeDocument/2006/relationships/hyperlink" Target="https://www.zotero.org/google-docs/?degPb1" TargetMode="External"/><Relationship Id="rId15" Type="http://schemas.openxmlformats.org/officeDocument/2006/relationships/hyperlink" Target="https://www.zotero.org/google-docs/?hszskn" TargetMode="External"/><Relationship Id="rId14" Type="http://schemas.openxmlformats.org/officeDocument/2006/relationships/hyperlink" Target="https://www.zotero.org/google-docs/?SWH39M" TargetMode="External"/><Relationship Id="rId17" Type="http://schemas.openxmlformats.org/officeDocument/2006/relationships/hyperlink" Target="https://www.zotero.org/google-docs/?a9bZrJ" TargetMode="External"/><Relationship Id="rId16" Type="http://schemas.openxmlformats.org/officeDocument/2006/relationships/hyperlink" Target="https://www.zotero.org/google-docs/?6h3L02" TargetMode="External"/><Relationship Id="rId19" Type="http://schemas.openxmlformats.org/officeDocument/2006/relationships/hyperlink" Target="https://www.zotero.org/google-docs/?QFrKjo" TargetMode="External"/><Relationship Id="rId18" Type="http://schemas.openxmlformats.org/officeDocument/2006/relationships/hyperlink" Target="https://www.zotero.org/google-docs/?w3FR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