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49C7B" w14:textId="41B781A4" w:rsidR="005E34BC" w:rsidRDefault="005E34BC" w:rsidP="005E34BC">
      <w:pPr>
        <w:widowControl/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40"/>
        </w:rPr>
      </w:pPr>
      <w:r w:rsidRPr="005E34BC">
        <w:rPr>
          <w:rFonts w:ascii="Times New Roman" w:hAnsi="Times New Roman" w:cs="Times New Roman" w:hint="eastAsia"/>
          <w:b/>
          <w:bCs/>
          <w:sz w:val="36"/>
          <w:szCs w:val="40"/>
        </w:rPr>
        <w:t>S</w:t>
      </w:r>
      <w:r w:rsidRPr="005E34BC">
        <w:rPr>
          <w:rFonts w:ascii="Times New Roman" w:hAnsi="Times New Roman" w:cs="Times New Roman"/>
          <w:b/>
          <w:bCs/>
          <w:sz w:val="36"/>
          <w:szCs w:val="40"/>
        </w:rPr>
        <w:t>upplementary Figures</w:t>
      </w:r>
    </w:p>
    <w:p w14:paraId="37F53D4E" w14:textId="563DB32D" w:rsidR="005E34BC" w:rsidRDefault="005E34BC" w:rsidP="005E34BC">
      <w:pPr>
        <w:widowControl/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40"/>
        </w:rPr>
      </w:pPr>
    </w:p>
    <w:p w14:paraId="180F9706" w14:textId="29217435" w:rsidR="005E34BC" w:rsidRDefault="005E34BC" w:rsidP="005E34BC">
      <w:pPr>
        <w:widowControl/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40"/>
        </w:rPr>
      </w:pPr>
    </w:p>
    <w:p w14:paraId="0373E37C" w14:textId="77777777" w:rsidR="005E34BC" w:rsidRPr="005E34BC" w:rsidRDefault="005E34BC" w:rsidP="005E34BC">
      <w:pPr>
        <w:widowControl/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40"/>
        </w:rPr>
      </w:pPr>
    </w:p>
    <w:p w14:paraId="00A40144" w14:textId="77777777" w:rsidR="005E34BC" w:rsidRDefault="005E34BC" w:rsidP="005E34BC">
      <w:pPr>
        <w:widowControl/>
        <w:spacing w:line="360" w:lineRule="auto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 wp14:anchorId="39060C96" wp14:editId="381DA338">
            <wp:extent cx="4321810" cy="503999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1345E" w14:textId="77777777" w:rsidR="005E34BC" w:rsidRDefault="005E34BC" w:rsidP="005E34BC">
      <w:pPr>
        <w:widowControl/>
        <w:spacing w:line="360" w:lineRule="auto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t>S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upplementary Figure 1. </w:t>
      </w:r>
      <w:r w:rsidRPr="00C34F9C">
        <w:rPr>
          <w:rFonts w:ascii="Times New Roman" w:hAnsi="Times New Roman" w:cs="Times New Roman"/>
          <w:b/>
          <w:bCs/>
          <w:sz w:val="24"/>
          <w:szCs w:val="28"/>
        </w:rPr>
        <w:t>Generation of CAR-T cells.</w:t>
      </w: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 w:rsidRPr="00C34F9C">
        <w:rPr>
          <w:rFonts w:ascii="Times New Roman" w:hAnsi="Times New Roman" w:cs="Times New Roman"/>
          <w:b/>
          <w:bCs/>
          <w:sz w:val="24"/>
          <w:szCs w:val="28"/>
        </w:rPr>
        <w:t>A</w:t>
      </w:r>
      <w:r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Pr="00C34F9C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Pr="00403B1B">
        <w:rPr>
          <w:rFonts w:ascii="Times New Roman" w:hAnsi="Times New Roman" w:cs="Times New Roman"/>
          <w:sz w:val="24"/>
          <w:szCs w:val="28"/>
        </w:rPr>
        <w:t>Schematic representation of the DNA construct encoding the 1D3-28Z.1-3mut CAR.</w:t>
      </w:r>
      <w:r w:rsidRPr="00C34F9C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>B.</w:t>
      </w:r>
      <w:r w:rsidRPr="00C34F9C">
        <w:t xml:space="preserve"> </w:t>
      </w:r>
      <w:r w:rsidRPr="00403B1B">
        <w:rPr>
          <w:rFonts w:ascii="Times New Roman" w:hAnsi="Times New Roman" w:cs="Times New Roman"/>
          <w:sz w:val="24"/>
          <w:szCs w:val="28"/>
        </w:rPr>
        <w:t>Workflow for CAR-T cell production.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C.</w:t>
      </w:r>
      <w:r w:rsidRPr="00C34F9C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Pr="00403B1B">
        <w:rPr>
          <w:rFonts w:ascii="Times New Roman" w:hAnsi="Times New Roman" w:cs="Times New Roman"/>
          <w:sz w:val="24"/>
          <w:szCs w:val="28"/>
        </w:rPr>
        <w:t>Flow cytometric analysis of eGFP expression in mouse primary T cells following retroviral transduction.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D. </w:t>
      </w:r>
      <w:r w:rsidRPr="00403B1B">
        <w:rPr>
          <w:rFonts w:ascii="Times New Roman" w:hAnsi="Times New Roman" w:cs="Times New Roman"/>
          <w:sz w:val="24"/>
          <w:szCs w:val="28"/>
        </w:rPr>
        <w:t>Cytotoxicity assay: freshly sorted CD19+ B cells labeled with CellTrace Violet were cocultured with CAR-T cells at the indicated effector-to-target (</w:t>
      </w:r>
      <w:proofErr w:type="gramStart"/>
      <w:r w:rsidRPr="00403B1B">
        <w:rPr>
          <w:rFonts w:ascii="Times New Roman" w:hAnsi="Times New Roman" w:cs="Times New Roman"/>
          <w:sz w:val="24"/>
          <w:szCs w:val="28"/>
        </w:rPr>
        <w:t>E:T</w:t>
      </w:r>
      <w:proofErr w:type="gramEnd"/>
      <w:r w:rsidRPr="00403B1B">
        <w:rPr>
          <w:rFonts w:ascii="Times New Roman" w:hAnsi="Times New Roman" w:cs="Times New Roman"/>
          <w:sz w:val="24"/>
          <w:szCs w:val="28"/>
        </w:rPr>
        <w:t>) ratios for 4 hours. B-cell lysis was quantified by flow cytometry.</w:t>
      </w:r>
    </w:p>
    <w:p w14:paraId="2AD2C980" w14:textId="77777777" w:rsidR="005E34BC" w:rsidRDefault="005E34BC" w:rsidP="005E34BC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14:paraId="73890030" w14:textId="77777777" w:rsidR="005E34BC" w:rsidRDefault="005E34BC" w:rsidP="005E34BC">
      <w:pPr>
        <w:widowControl/>
        <w:spacing w:line="360" w:lineRule="auto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noProof/>
          <w:sz w:val="24"/>
          <w:szCs w:val="28"/>
        </w:rPr>
        <w:lastRenderedPageBreak/>
        <w:drawing>
          <wp:inline distT="0" distB="0" distL="0" distR="0" wp14:anchorId="640B752E" wp14:editId="269B5DBF">
            <wp:extent cx="5268595" cy="3951605"/>
            <wp:effectExtent l="0" t="0" r="825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91AF9" w14:textId="77777777" w:rsidR="005E34BC" w:rsidRDefault="005E34BC" w:rsidP="005E34BC">
      <w:pPr>
        <w:widowControl/>
        <w:spacing w:line="36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473FEF">
        <w:rPr>
          <w:rFonts w:ascii="Times New Roman" w:hAnsi="Times New Roman" w:cs="Times New Roman"/>
          <w:b/>
          <w:bCs/>
          <w:sz w:val="24"/>
          <w:szCs w:val="28"/>
        </w:rPr>
        <w:t>Supplementary Figure 2. B Cell Overexpression in the Lacrimal Gland, Lung, and Pancreas of Lat</w:t>
      </w:r>
      <w:r w:rsidRPr="00473FEF"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Y136F</w:t>
      </w:r>
      <w:r w:rsidRPr="00473FEF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>M</w:t>
      </w:r>
      <w:r w:rsidRPr="00473FEF">
        <w:rPr>
          <w:rFonts w:ascii="Times New Roman" w:hAnsi="Times New Roman" w:cs="Times New Roman"/>
          <w:b/>
          <w:bCs/>
          <w:sz w:val="24"/>
          <w:szCs w:val="28"/>
        </w:rPr>
        <w:t xml:space="preserve">ice. A-C. </w:t>
      </w:r>
      <w:r w:rsidRPr="00473FEF">
        <w:rPr>
          <w:rFonts w:ascii="Times New Roman" w:hAnsi="Times New Roman" w:cs="Times New Roman"/>
          <w:sz w:val="24"/>
          <w:szCs w:val="28"/>
        </w:rPr>
        <w:t>Representative immunohistochemical staining for B cells (CD19+) in the lacrimal gland (A), lung (B), and pancreas (C) from LATY136F and control mice. Scale bar = 50 μm.</w:t>
      </w:r>
    </w:p>
    <w:p w14:paraId="48ECA97C" w14:textId="77777777" w:rsidR="005E34BC" w:rsidRDefault="005E34BC" w:rsidP="005E34BC">
      <w:pPr>
        <w:widowControl/>
        <w:spacing w:line="36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3A2ECA85" w14:textId="77777777" w:rsidR="005E34BC" w:rsidRDefault="005E34BC" w:rsidP="005E34BC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14:paraId="301C2D4E" w14:textId="77777777" w:rsidR="005E34BC" w:rsidRDefault="005E34BC" w:rsidP="005E34BC">
      <w:pPr>
        <w:widowControl/>
        <w:spacing w:line="360" w:lineRule="auto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noProof/>
          <w:sz w:val="24"/>
          <w:szCs w:val="28"/>
        </w:rPr>
        <w:lastRenderedPageBreak/>
        <w:drawing>
          <wp:inline distT="0" distB="0" distL="0" distR="0" wp14:anchorId="316841C7" wp14:editId="07B03D86">
            <wp:extent cx="5039995" cy="5039995"/>
            <wp:effectExtent l="0" t="0" r="8255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2CCC5" w14:textId="20C9292F" w:rsidR="005E34BC" w:rsidRDefault="005E34BC" w:rsidP="005E34BC">
      <w:pPr>
        <w:widowControl/>
        <w:spacing w:line="360" w:lineRule="auto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t>S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upplementary Figure 3. </w:t>
      </w:r>
      <w:r w:rsidRPr="00473FEF">
        <w:rPr>
          <w:rFonts w:ascii="Times New Roman" w:hAnsi="Times New Roman" w:cs="Times New Roman"/>
          <w:b/>
          <w:bCs/>
          <w:sz w:val="24"/>
          <w:szCs w:val="28"/>
        </w:rPr>
        <w:t>Endogenous T Cell Response Based on Treatment</w:t>
      </w:r>
      <w:r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Pr="00473FEF">
        <w:rPr>
          <w:rFonts w:ascii="Times New Roman" w:hAnsi="Times New Roman" w:cs="Times New Roman"/>
          <w:b/>
          <w:bCs/>
          <w:sz w:val="24"/>
          <w:szCs w:val="28"/>
        </w:rPr>
        <w:t xml:space="preserve"> A-E. </w:t>
      </w:r>
      <w:r w:rsidRPr="00473FEF">
        <w:rPr>
          <w:rFonts w:ascii="Times New Roman" w:hAnsi="Times New Roman" w:cs="Times New Roman"/>
          <w:sz w:val="24"/>
          <w:szCs w:val="28"/>
        </w:rPr>
        <w:t>Flow cytometric analysis of the percentage of CD4+ T cells, CD8+ T cells, CD4+Foxp3+ Treg cells, and CD4+CXCR5+ Tfh cells in peripheral blood</w:t>
      </w:r>
      <w:r>
        <w:rPr>
          <w:rFonts w:ascii="Times New Roman" w:hAnsi="Times New Roman" w:cs="Times New Roman"/>
          <w:sz w:val="24"/>
          <w:szCs w:val="28"/>
        </w:rPr>
        <w:t xml:space="preserve"> (A)</w:t>
      </w:r>
      <w:r w:rsidRPr="00473FEF">
        <w:rPr>
          <w:rFonts w:ascii="Times New Roman" w:hAnsi="Times New Roman" w:cs="Times New Roman"/>
          <w:sz w:val="24"/>
          <w:szCs w:val="28"/>
        </w:rPr>
        <w:t>, spleen</w:t>
      </w:r>
      <w:r>
        <w:rPr>
          <w:rFonts w:ascii="Times New Roman" w:hAnsi="Times New Roman" w:cs="Times New Roman"/>
          <w:sz w:val="24"/>
          <w:szCs w:val="28"/>
        </w:rPr>
        <w:t xml:space="preserve"> (B)</w:t>
      </w:r>
      <w:r w:rsidRPr="00473FEF">
        <w:rPr>
          <w:rFonts w:ascii="Times New Roman" w:hAnsi="Times New Roman" w:cs="Times New Roman"/>
          <w:sz w:val="24"/>
          <w:szCs w:val="28"/>
        </w:rPr>
        <w:t>, lacrimal gland</w:t>
      </w:r>
      <w:r>
        <w:rPr>
          <w:rFonts w:ascii="Times New Roman" w:hAnsi="Times New Roman" w:cs="Times New Roman"/>
          <w:sz w:val="24"/>
          <w:szCs w:val="28"/>
        </w:rPr>
        <w:t xml:space="preserve"> (C)</w:t>
      </w:r>
      <w:r w:rsidRPr="00473FEF">
        <w:rPr>
          <w:rFonts w:ascii="Times New Roman" w:hAnsi="Times New Roman" w:cs="Times New Roman"/>
          <w:sz w:val="24"/>
          <w:szCs w:val="28"/>
        </w:rPr>
        <w:t>, lung</w:t>
      </w:r>
      <w:r>
        <w:rPr>
          <w:rFonts w:ascii="Times New Roman" w:hAnsi="Times New Roman" w:cs="Times New Roman"/>
          <w:sz w:val="24"/>
          <w:szCs w:val="28"/>
        </w:rPr>
        <w:t xml:space="preserve"> (D)</w:t>
      </w:r>
      <w:r w:rsidRPr="00473FEF">
        <w:rPr>
          <w:rFonts w:ascii="Times New Roman" w:hAnsi="Times New Roman" w:cs="Times New Roman"/>
          <w:sz w:val="24"/>
          <w:szCs w:val="28"/>
        </w:rPr>
        <w:t>, and pancreas</w:t>
      </w:r>
      <w:r>
        <w:rPr>
          <w:rFonts w:ascii="Times New Roman" w:hAnsi="Times New Roman" w:cs="Times New Roman"/>
          <w:sz w:val="24"/>
          <w:szCs w:val="28"/>
        </w:rPr>
        <w:t xml:space="preserve"> (E)</w:t>
      </w:r>
      <w:r w:rsidRPr="00473FEF">
        <w:rPr>
          <w:rFonts w:ascii="Times New Roman" w:hAnsi="Times New Roman" w:cs="Times New Roman"/>
          <w:sz w:val="24"/>
          <w:szCs w:val="28"/>
        </w:rPr>
        <w:t xml:space="preserve"> at 10 weeks post-transfer.</w:t>
      </w:r>
      <w:r w:rsidR="00704BA9">
        <w:rPr>
          <w:rFonts w:ascii="Times New Roman" w:hAnsi="Times New Roman" w:cs="Times New Roman"/>
          <w:sz w:val="24"/>
          <w:szCs w:val="28"/>
        </w:rPr>
        <w:t xml:space="preserve"> </w:t>
      </w:r>
      <w:r w:rsidR="00704BA9" w:rsidRPr="004173C1">
        <w:rPr>
          <w:rFonts w:ascii="Times New Roman" w:hAnsi="Times New Roman" w:cs="Times New Roman"/>
          <w:sz w:val="24"/>
          <w:szCs w:val="28"/>
        </w:rPr>
        <w:t>N=4-</w:t>
      </w:r>
      <w:r w:rsidR="00704BA9">
        <w:rPr>
          <w:rFonts w:ascii="Times New Roman" w:hAnsi="Times New Roman" w:cs="Times New Roman"/>
          <w:sz w:val="24"/>
          <w:szCs w:val="28"/>
        </w:rPr>
        <w:t>6</w:t>
      </w:r>
      <w:r w:rsidR="00704BA9" w:rsidRPr="004173C1">
        <w:rPr>
          <w:rFonts w:ascii="Times New Roman" w:hAnsi="Times New Roman" w:cs="Times New Roman"/>
          <w:sz w:val="24"/>
          <w:szCs w:val="28"/>
        </w:rPr>
        <w:t xml:space="preserve"> per group.</w:t>
      </w:r>
    </w:p>
    <w:p w14:paraId="35086195" w14:textId="024817AE" w:rsidR="00087911" w:rsidRPr="001C3AA3" w:rsidRDefault="00087911" w:rsidP="001C3AA3">
      <w:pPr>
        <w:widowControl/>
        <w:jc w:val="left"/>
        <w:rPr>
          <w:rFonts w:ascii="Times New Roman" w:hAnsi="Times New Roman" w:cs="Times New Roman" w:hint="eastAsia"/>
          <w:b/>
          <w:bCs/>
          <w:sz w:val="24"/>
          <w:szCs w:val="28"/>
        </w:rPr>
      </w:pPr>
    </w:p>
    <w:sectPr w:rsidR="00087911" w:rsidRPr="001C3A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895936" w14:textId="77777777" w:rsidR="007931B7" w:rsidRDefault="007931B7" w:rsidP="00704BA9">
      <w:r>
        <w:separator/>
      </w:r>
    </w:p>
  </w:endnote>
  <w:endnote w:type="continuationSeparator" w:id="0">
    <w:p w14:paraId="14EEDDF6" w14:textId="77777777" w:rsidR="007931B7" w:rsidRDefault="007931B7" w:rsidP="00704B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5F3B00" w14:textId="77777777" w:rsidR="007931B7" w:rsidRDefault="007931B7" w:rsidP="00704BA9">
      <w:r>
        <w:separator/>
      </w:r>
    </w:p>
  </w:footnote>
  <w:footnote w:type="continuationSeparator" w:id="0">
    <w:p w14:paraId="7E8F2AB8" w14:textId="77777777" w:rsidR="007931B7" w:rsidRDefault="007931B7" w:rsidP="00704B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4BC"/>
    <w:rsid w:val="00087911"/>
    <w:rsid w:val="001C3AA3"/>
    <w:rsid w:val="005E34BC"/>
    <w:rsid w:val="00704BA9"/>
    <w:rsid w:val="007931B7"/>
    <w:rsid w:val="00B25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56F813"/>
  <w15:chartTrackingRefBased/>
  <w15:docId w15:val="{3B0B856A-00B6-4EF4-948F-4E34E3109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34B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4B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04BA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04B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04BA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1145</Characters>
  <Application>Microsoft Office Word</Application>
  <DocSecurity>0</DocSecurity>
  <Lines>18</Lines>
  <Paragraphs>1</Paragraphs>
  <ScaleCrop>false</ScaleCrop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Jianping Hu</dc:creator>
  <cp:keywords/>
  <dc:description/>
  <cp:lastModifiedBy>Jianping Hu</cp:lastModifiedBy>
  <cp:revision>3</cp:revision>
  <dcterms:created xsi:type="dcterms:W3CDTF">2025-02-23T13:39:00Z</dcterms:created>
  <dcterms:modified xsi:type="dcterms:W3CDTF">2025-03-20T04:51:00Z</dcterms:modified>
</cp:coreProperties>
</file>