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06EA" w:rsidRPr="006544AF" w:rsidRDefault="006544AF">
      <w:pPr>
        <w:pStyle w:val="Heading1"/>
        <w:rPr>
          <w:rFonts w:asciiTheme="majorBidi" w:hAnsiTheme="majorBidi" w:cstheme="majorBidi"/>
          <w:sz w:val="24"/>
          <w:szCs w:val="24"/>
        </w:rPr>
      </w:pPr>
      <w:r w:rsidRPr="006544AF">
        <w:rPr>
          <w:rFonts w:asciiTheme="majorBidi" w:hAnsiTheme="majorBidi" w:cstheme="majorBidi"/>
          <w:sz w:val="24"/>
          <w:szCs w:val="24"/>
        </w:rPr>
        <w:t>STROBE Statement Checklist – Cross‑Sectional Study (Revised: section‑referenced)</w:t>
      </w:r>
    </w:p>
    <w:p w:rsidR="00BC06EA" w:rsidRPr="006544AF" w:rsidRDefault="006544AF">
      <w:pPr>
        <w:pStyle w:val="IntenseQuote"/>
        <w:rPr>
          <w:rFonts w:asciiTheme="majorBidi" w:hAnsiTheme="majorBidi" w:cstheme="majorBidi"/>
          <w:sz w:val="24"/>
          <w:szCs w:val="24"/>
        </w:rPr>
      </w:pPr>
      <w:r w:rsidRPr="006544AF">
        <w:rPr>
          <w:rFonts w:asciiTheme="majorBidi" w:hAnsiTheme="majorBidi" w:cstheme="majorBidi"/>
          <w:sz w:val="24"/>
          <w:szCs w:val="24"/>
        </w:rPr>
        <w:t>Manuscript: “Diabetes Prevalence and Associated Risk Factors among Adults in R</w:t>
      </w:r>
      <w:bookmarkStart w:id="0" w:name="_GoBack"/>
      <w:bookmarkEnd w:id="0"/>
      <w:r w:rsidRPr="006544AF">
        <w:rPr>
          <w:rFonts w:asciiTheme="majorBidi" w:hAnsiTheme="majorBidi" w:cstheme="majorBidi"/>
          <w:sz w:val="24"/>
          <w:szCs w:val="24"/>
        </w:rPr>
        <w:t>ural Herat Province, Afghanistan: A Community‑Based Cross‑Sectional Study”</w:t>
      </w:r>
    </w:p>
    <w:p w:rsidR="00BC06EA" w:rsidRPr="006544AF" w:rsidRDefault="006544AF">
      <w:pPr>
        <w:rPr>
          <w:rFonts w:asciiTheme="majorBidi" w:hAnsiTheme="majorBidi" w:cstheme="majorBidi"/>
          <w:sz w:val="24"/>
          <w:szCs w:val="24"/>
        </w:rPr>
      </w:pPr>
      <w:r w:rsidRPr="006544AF">
        <w:rPr>
          <w:rFonts w:asciiTheme="majorBidi" w:hAnsiTheme="majorBidi" w:cstheme="majorBidi"/>
          <w:sz w:val="24"/>
          <w:szCs w:val="24"/>
        </w:rPr>
        <w:t xml:space="preserve">Note: This </w:t>
      </w:r>
      <w:r w:rsidRPr="006544AF">
        <w:rPr>
          <w:rFonts w:asciiTheme="majorBidi" w:hAnsiTheme="majorBidi" w:cstheme="majorBidi"/>
          <w:sz w:val="24"/>
          <w:szCs w:val="24"/>
        </w:rPr>
        <w:t>checklist references manuscript sections (e.g., Methods – Participants) rather than absolute page numbers to ensure consistency regardless of formatting changes.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2489"/>
        <w:gridCol w:w="2152"/>
        <w:gridCol w:w="2152"/>
      </w:tblGrid>
      <w:tr w:rsidR="00BC06EA" w:rsidRPr="006544AF"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Item No.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STROBE Recommendation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Reported in the manuscript (section / table / figure)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 xml:space="preserve">Comments </w:t>
            </w:r>
            <w:r w:rsidRPr="006544AF">
              <w:rPr>
                <w:rFonts w:asciiTheme="majorBidi" w:hAnsiTheme="majorBidi" w:cstheme="majorBidi"/>
                <w:sz w:val="24"/>
                <w:szCs w:val="24"/>
              </w:rPr>
              <w:t>/ Notes (if any)</w:t>
            </w:r>
          </w:p>
        </w:tc>
      </w:tr>
      <w:tr w:rsidR="00BC06EA" w:rsidRPr="006544AF"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Indicate the study design in the title or abstract.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Title; Abstract – Methods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Study design (“community‑based cross‑sectional”) stated in title and abstract.</w:t>
            </w:r>
          </w:p>
        </w:tc>
      </w:tr>
      <w:tr w:rsidR="00BC06EA" w:rsidRPr="006544AF"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Explain the scientific background and rationale.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Introduction – Background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B</w:t>
            </w:r>
            <w:r w:rsidRPr="006544AF">
              <w:rPr>
                <w:rFonts w:asciiTheme="majorBidi" w:hAnsiTheme="majorBidi" w:cstheme="majorBidi"/>
                <w:sz w:val="24"/>
                <w:szCs w:val="24"/>
              </w:rPr>
              <w:t>ackground and rationale provided.</w:t>
            </w:r>
          </w:p>
        </w:tc>
      </w:tr>
      <w:tr w:rsidR="00BC06EA" w:rsidRPr="006544AF"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State specific objectives and hypotheses.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Introduction – Objectives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Primary objective clearly stated: estimate prevalence of diabetes and associated risk factors.</w:t>
            </w:r>
          </w:p>
        </w:tc>
      </w:tr>
      <w:tr w:rsidR="00BC06EA" w:rsidRPr="006544AF"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 xml:space="preserve">Present key elements of study design early in the </w:t>
            </w:r>
            <w:r w:rsidRPr="006544AF">
              <w:rPr>
                <w:rFonts w:asciiTheme="majorBidi" w:hAnsiTheme="majorBidi" w:cstheme="majorBidi"/>
                <w:sz w:val="24"/>
                <w:szCs w:val="24"/>
              </w:rPr>
              <w:t>paper.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Methods – Study design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WHO STEPS approach mentioned.</w:t>
            </w:r>
          </w:p>
        </w:tc>
      </w:tr>
      <w:tr w:rsidR="00BC06EA" w:rsidRPr="006544AF"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Describe the setting, locations, and dates of data collection.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Methods – Setting / Study period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Rural Herat; data collection Jan–Dec 2024.</w:t>
            </w:r>
          </w:p>
        </w:tc>
      </w:tr>
      <w:tr w:rsidR="00BC06EA" w:rsidRPr="006544AF"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Give eligibility criteria and describe methods of p</w:t>
            </w:r>
            <w:r w:rsidRPr="006544AF">
              <w:rPr>
                <w:rFonts w:asciiTheme="majorBidi" w:hAnsiTheme="majorBidi" w:cstheme="majorBidi"/>
                <w:sz w:val="24"/>
                <w:szCs w:val="24"/>
              </w:rPr>
              <w:t>articipant selection.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Methods – Participants / Sampling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Eligibility criteria; multistage sampling with PPS and Kish method described.</w:t>
            </w:r>
          </w:p>
        </w:tc>
      </w:tr>
      <w:tr w:rsidR="00BC06EA" w:rsidRPr="006544AF"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Define outcomes, exposures, predictors, potential confounders, and effect modifiers.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Methods – Variables / Definitions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Definitions for diabetes, hypertension, BMI, waist circumference included.</w:t>
            </w:r>
          </w:p>
        </w:tc>
      </w:tr>
      <w:tr w:rsidR="00BC06EA" w:rsidRPr="006544AF"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 xml:space="preserve">For each variable, give sources of data and details of methods of </w:t>
            </w:r>
            <w:r w:rsidRPr="006544AF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assessment (measurement).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Methods – Data collection / Laboratory methods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 xml:space="preserve">WHO STEPS questionnaire, measurement </w:t>
            </w:r>
            <w:r w:rsidRPr="006544AF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de</w:t>
            </w:r>
            <w:r w:rsidRPr="006544AF">
              <w:rPr>
                <w:rFonts w:asciiTheme="majorBidi" w:hAnsiTheme="majorBidi" w:cstheme="majorBidi"/>
                <w:sz w:val="24"/>
                <w:szCs w:val="24"/>
              </w:rPr>
              <w:t>vices, analyzer described. QC mention recommended.</w:t>
            </w:r>
          </w:p>
        </w:tc>
      </w:tr>
      <w:tr w:rsidR="00BC06EA" w:rsidRPr="006544AF"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9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Describe efforts to address potential sources of bias.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Methods – Quality assurance; Discussion – Limitations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 xml:space="preserve">Training and standardization mentioned; consider adding explicit measures to reduce </w:t>
            </w:r>
            <w:r w:rsidRPr="006544AF">
              <w:rPr>
                <w:rFonts w:asciiTheme="majorBidi" w:hAnsiTheme="majorBidi" w:cstheme="majorBidi"/>
                <w:sz w:val="24"/>
                <w:szCs w:val="24"/>
              </w:rPr>
              <w:t>bias.</w:t>
            </w:r>
          </w:p>
        </w:tc>
      </w:tr>
      <w:tr w:rsidR="00BC06EA" w:rsidRPr="006544AF"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Explain how the study size was arrived at.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Methods – Sample size calculation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Cochran formula (DE=1.5; 10% non‑response) described.</w:t>
            </w:r>
          </w:p>
        </w:tc>
      </w:tr>
      <w:tr w:rsidR="00BC06EA" w:rsidRPr="006544AF"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Explain handling of quantitative variables in analyses.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Methods – Data management / Variable categorisation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Age, BMI categories defined.</w:t>
            </w:r>
          </w:p>
        </w:tc>
      </w:tr>
      <w:tr w:rsidR="00BC06EA" w:rsidRPr="006544AF"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12a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Describe statistical methods including confounding control.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Methods – Statistical analysis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SPSS v26; univariable and multivariable logistic regression; entry criterion p&lt;0.20 noted.</w:t>
            </w:r>
          </w:p>
        </w:tc>
      </w:tr>
      <w:tr w:rsidR="00BC06EA" w:rsidRPr="006544AF"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12b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Describe methods for subgroup or in</w:t>
            </w:r>
            <w:r w:rsidRPr="006544AF">
              <w:rPr>
                <w:rFonts w:asciiTheme="majorBidi" w:hAnsiTheme="majorBidi" w:cstheme="majorBidi"/>
                <w:sz w:val="24"/>
                <w:szCs w:val="24"/>
              </w:rPr>
              <w:t>teraction analyses.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Methods – Statistical analysis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Not performed.</w:t>
            </w:r>
          </w:p>
        </w:tc>
      </w:tr>
      <w:tr w:rsidR="00BC06EA" w:rsidRPr="006544AF"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12c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Explain handling of missing data.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Methods – Data management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Mentioned generally; specify complete‑case or imputation if possible.</w:t>
            </w:r>
          </w:p>
        </w:tc>
      </w:tr>
      <w:tr w:rsidR="00BC06EA" w:rsidRPr="006544AF"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12d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 xml:space="preserve">If applicable, describe analytical methods </w:t>
            </w:r>
            <w:r w:rsidRPr="006544AF">
              <w:rPr>
                <w:rFonts w:asciiTheme="majorBidi" w:hAnsiTheme="majorBidi" w:cstheme="majorBidi"/>
                <w:sz w:val="24"/>
                <w:szCs w:val="24"/>
              </w:rPr>
              <w:t>accounting for sampling strategy.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Methods – Sampling / Statistical analysis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Clarify whether sampling weights were used.</w:t>
            </w:r>
          </w:p>
        </w:tc>
      </w:tr>
      <w:tr w:rsidR="00BC06EA" w:rsidRPr="006544AF"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13a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Report numbers of individuals at each stage of study.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Results – Participants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643 selected, 609 analyzed; flow diagram recommended.</w:t>
            </w:r>
          </w:p>
        </w:tc>
      </w:tr>
      <w:tr w:rsidR="00BC06EA" w:rsidRPr="006544AF"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13b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Give reasons for non‑participation.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Results – Participants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Reasons briefly described; add counts per reason.</w:t>
            </w:r>
          </w:p>
        </w:tc>
      </w:tr>
      <w:tr w:rsidR="00BC06EA" w:rsidRPr="006544AF"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14a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Give participant characteristics and exposures/confounders.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Results – Table 1 (Baseline characteristics)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 xml:space="preserve">Demographic and clinical </w:t>
            </w:r>
            <w:r w:rsidRPr="006544AF">
              <w:rPr>
                <w:rFonts w:asciiTheme="majorBidi" w:hAnsiTheme="majorBidi" w:cstheme="majorBidi"/>
                <w:sz w:val="24"/>
                <w:szCs w:val="24"/>
              </w:rPr>
              <w:t>variables reported.</w:t>
            </w:r>
          </w:p>
        </w:tc>
      </w:tr>
      <w:tr w:rsidR="00BC06EA" w:rsidRPr="006544AF"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14b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Indicate number with missing data per variable.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Results – Table 1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Add missing data column if feasible.</w:t>
            </w:r>
          </w:p>
        </w:tc>
      </w:tr>
      <w:tr w:rsidR="00BC06EA" w:rsidRPr="006544AF"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Report numbers of outcome events or summary measures.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Results – Outcomes (Prevalence)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Diabetes prevalence (7.55%; 95% CI 5.6</w:t>
            </w:r>
            <w:r w:rsidRPr="006544AF">
              <w:rPr>
                <w:rFonts w:asciiTheme="majorBidi" w:hAnsiTheme="majorBidi" w:cstheme="majorBidi"/>
                <w:sz w:val="24"/>
                <w:szCs w:val="24"/>
              </w:rPr>
              <w:t>–9.9) and counts reported.</w:t>
            </w:r>
          </w:p>
        </w:tc>
      </w:tr>
      <w:tr w:rsidR="00BC06EA" w:rsidRPr="006544AF"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16a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Give unadjusted and adjusted estimates with precision and list confounders.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Results – Tables 2–3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Adjusted ORs reported; list covariates in table footnotes.</w:t>
            </w:r>
          </w:p>
        </w:tc>
      </w:tr>
      <w:tr w:rsidR="00BC06EA" w:rsidRPr="006544AF"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16b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Report category boundaries for categorized variables.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Methods –</w:t>
            </w:r>
            <w:r w:rsidRPr="006544AF">
              <w:rPr>
                <w:rFonts w:asciiTheme="majorBidi" w:hAnsiTheme="majorBidi" w:cstheme="majorBidi"/>
                <w:sz w:val="24"/>
                <w:szCs w:val="24"/>
              </w:rPr>
              <w:t xml:space="preserve"> Variable categorisation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BMI, WC, age groups specified.</w:t>
            </w:r>
          </w:p>
        </w:tc>
      </w:tr>
      <w:tr w:rsidR="00BC06EA" w:rsidRPr="006544AF"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Report other analyses (subgroups, sensitivity, interactions).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Results / Supplementary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No additional analyses; consider sensitivity analyses.</w:t>
            </w:r>
          </w:p>
        </w:tc>
      </w:tr>
      <w:tr w:rsidR="00BC06EA" w:rsidRPr="006544AF"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 xml:space="preserve">Summarize key results with reference to </w:t>
            </w:r>
            <w:r w:rsidRPr="006544AF">
              <w:rPr>
                <w:rFonts w:asciiTheme="majorBidi" w:hAnsiTheme="majorBidi" w:cstheme="majorBidi"/>
                <w:sz w:val="24"/>
                <w:szCs w:val="24"/>
              </w:rPr>
              <w:t>objectives.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Discussion – Summary of findings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Key results summarized.</w:t>
            </w:r>
          </w:p>
        </w:tc>
      </w:tr>
      <w:tr w:rsidR="00BC06EA" w:rsidRPr="006544AF"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Discuss limitations.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Discussion – Limitations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Cross‑sectional design, single FPG, recall bias discussed.</w:t>
            </w:r>
          </w:p>
        </w:tc>
      </w:tr>
      <w:tr w:rsidR="00BC06EA" w:rsidRPr="006544AF"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Give cautious overall interpretation.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Discussion – Interpretation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Interpre</w:t>
            </w:r>
            <w:r w:rsidRPr="006544AF">
              <w:rPr>
                <w:rFonts w:asciiTheme="majorBidi" w:hAnsiTheme="majorBidi" w:cstheme="majorBidi"/>
                <w:sz w:val="24"/>
                <w:szCs w:val="24"/>
              </w:rPr>
              <w:t>tation contextualized with other studies.</w:t>
            </w:r>
          </w:p>
        </w:tc>
      </w:tr>
      <w:tr w:rsidR="00BC06EA" w:rsidRPr="006544AF"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21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Discuss generalisability.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Discussion – Generalisability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Applicable to rural Herat; limited national generalisability.</w:t>
            </w:r>
          </w:p>
        </w:tc>
      </w:tr>
      <w:tr w:rsidR="00BC06EA" w:rsidRPr="006544AF"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22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Give funding source and role of funders.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Declarations – Funding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 xml:space="preserve">Jami </w:t>
            </w:r>
            <w:r w:rsidRPr="006544AF">
              <w:rPr>
                <w:rFonts w:asciiTheme="majorBidi" w:hAnsiTheme="majorBidi" w:cstheme="majorBidi"/>
                <w:sz w:val="24"/>
                <w:szCs w:val="24"/>
              </w:rPr>
              <w:t>University; no funder role.</w:t>
            </w:r>
          </w:p>
        </w:tc>
      </w:tr>
      <w:tr w:rsidR="00BC06EA" w:rsidRPr="006544AF"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23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Give name of ethics committee and reference number.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Declarations – Ethics approval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Ethics approval code provided.</w:t>
            </w:r>
          </w:p>
        </w:tc>
      </w:tr>
      <w:tr w:rsidR="00BC06EA" w:rsidRPr="006544AF"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24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State informed consent procedures.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Declarations – Consent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Verbal/written consent obtained.</w:t>
            </w:r>
          </w:p>
        </w:tc>
      </w:tr>
      <w:tr w:rsidR="00BC06EA" w:rsidRPr="006544AF"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Describe av</w:t>
            </w:r>
            <w:r w:rsidRPr="006544AF">
              <w:rPr>
                <w:rFonts w:asciiTheme="majorBidi" w:hAnsiTheme="majorBidi" w:cstheme="majorBidi"/>
                <w:sz w:val="24"/>
                <w:szCs w:val="24"/>
              </w:rPr>
              <w:t>ailability of data/code/materials.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Declarations – Data availability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Available upon request.</w:t>
            </w:r>
          </w:p>
        </w:tc>
      </w:tr>
      <w:tr w:rsidR="00BC06EA" w:rsidRPr="006544AF"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26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Declare competing interests.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Declarations – Competing interests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No conflicts declared.</w:t>
            </w:r>
          </w:p>
        </w:tc>
      </w:tr>
      <w:tr w:rsidR="00BC06EA" w:rsidRPr="006544AF"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27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Give authors’ contributions.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 xml:space="preserve">Declarations – Authors’ </w:t>
            </w:r>
            <w:r w:rsidRPr="006544AF">
              <w:rPr>
                <w:rFonts w:asciiTheme="majorBidi" w:hAnsiTheme="majorBidi" w:cstheme="majorBidi"/>
                <w:sz w:val="24"/>
                <w:szCs w:val="24"/>
              </w:rPr>
              <w:t>contributions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Roles listed.</w:t>
            </w:r>
          </w:p>
        </w:tc>
      </w:tr>
      <w:tr w:rsidR="00BC06EA" w:rsidRPr="006544AF"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28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 xml:space="preserve">List </w:t>
            </w:r>
            <w:r w:rsidRPr="006544AF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acknowledgements.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Acknowledgements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 xml:space="preserve">Acknowledgements </w:t>
            </w:r>
            <w:r w:rsidRPr="006544AF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provided.</w:t>
            </w:r>
          </w:p>
        </w:tc>
      </w:tr>
      <w:tr w:rsidR="00BC06EA" w:rsidRPr="006544AF"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29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Registration number and name of trial registry.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Not applicable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Observational study, not registered trial.</w:t>
            </w:r>
          </w:p>
        </w:tc>
      </w:tr>
      <w:tr w:rsidR="00BC06EA" w:rsidRPr="006544AF"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Access to study protocol.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Declarations – Pr</w:t>
            </w:r>
            <w:r w:rsidRPr="006544AF">
              <w:rPr>
                <w:rFonts w:asciiTheme="majorBidi" w:hAnsiTheme="majorBidi" w:cstheme="majorBidi"/>
                <w:sz w:val="24"/>
                <w:szCs w:val="24"/>
              </w:rPr>
              <w:t>otocol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Not publicly available; may be provided on request.</w:t>
            </w:r>
          </w:p>
        </w:tc>
      </w:tr>
      <w:tr w:rsidR="00BC06EA" w:rsidRPr="006544AF"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31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Indicate where the completed checklist is stored.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Supplementary file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Checklist uploaded separately.</w:t>
            </w:r>
          </w:p>
        </w:tc>
      </w:tr>
      <w:tr w:rsidR="00BC06EA" w:rsidRPr="006544AF"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32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Access to full dataset or analytic code.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Declarations – Data availability</w:t>
            </w:r>
          </w:p>
        </w:tc>
        <w:tc>
          <w:tcPr>
            <w:tcW w:w="2160" w:type="dxa"/>
          </w:tcPr>
          <w:p w:rsidR="00BC06EA" w:rsidRPr="006544AF" w:rsidRDefault="006544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44AF">
              <w:rPr>
                <w:rFonts w:asciiTheme="majorBidi" w:hAnsiTheme="majorBidi" w:cstheme="majorBidi"/>
                <w:sz w:val="24"/>
                <w:szCs w:val="24"/>
              </w:rPr>
              <w:t>Available on request from corresponding author.</w:t>
            </w:r>
          </w:p>
        </w:tc>
      </w:tr>
    </w:tbl>
    <w:p w:rsidR="00BC06EA" w:rsidRPr="006544AF" w:rsidRDefault="006544AF">
      <w:pPr>
        <w:rPr>
          <w:rFonts w:asciiTheme="majorBidi" w:hAnsiTheme="majorBidi" w:cstheme="majorBidi"/>
          <w:sz w:val="24"/>
          <w:szCs w:val="24"/>
        </w:rPr>
      </w:pPr>
      <w:r w:rsidRPr="006544AF">
        <w:rPr>
          <w:rFonts w:asciiTheme="majorBidi" w:hAnsiTheme="majorBidi" w:cstheme="majorBidi"/>
          <w:sz w:val="24"/>
          <w:szCs w:val="24"/>
        </w:rPr>
        <w:br/>
        <w:t>Prepared for submission to BMC Public Health.</w:t>
      </w:r>
    </w:p>
    <w:p w:rsidR="00BC06EA" w:rsidRPr="006544AF" w:rsidRDefault="006544AF">
      <w:pPr>
        <w:rPr>
          <w:rFonts w:asciiTheme="majorBidi" w:hAnsiTheme="majorBidi" w:cstheme="majorBidi"/>
          <w:sz w:val="24"/>
          <w:szCs w:val="24"/>
        </w:rPr>
      </w:pPr>
      <w:r w:rsidRPr="006544AF">
        <w:rPr>
          <w:rFonts w:asciiTheme="majorBidi" w:hAnsiTheme="majorBidi" w:cstheme="majorBidi"/>
          <w:sz w:val="24"/>
          <w:szCs w:val="24"/>
        </w:rPr>
        <w:t>This version references manuscript sections to ensure accuracy regardless of pagination changes.</w:t>
      </w:r>
    </w:p>
    <w:p w:rsidR="00BC06EA" w:rsidRPr="006544AF" w:rsidRDefault="006544AF">
      <w:pPr>
        <w:rPr>
          <w:rFonts w:asciiTheme="majorBidi" w:hAnsiTheme="majorBidi" w:cstheme="majorBidi"/>
          <w:sz w:val="24"/>
          <w:szCs w:val="24"/>
        </w:rPr>
      </w:pPr>
      <w:r w:rsidRPr="006544AF">
        <w:rPr>
          <w:rFonts w:asciiTheme="majorBidi" w:hAnsiTheme="majorBidi" w:cstheme="majorBidi"/>
          <w:sz w:val="24"/>
          <w:szCs w:val="24"/>
        </w:rPr>
        <w:t>Date: 25 October 2025</w:t>
      </w:r>
    </w:p>
    <w:sectPr w:rsidR="00BC06EA" w:rsidRPr="006544A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 w15:restartNumberingAfterBreak="0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 w15:restartNumberingAfterBreak="0">
    <w:nsid w:val="00000002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 w15:restartNumberingAfterBreak="0">
    <w:nsid w:val="00000003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 w15:restartNumberingAfterBreak="0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00000005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00000006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00000007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8" w15:restartNumberingAfterBreak="0">
    <w:nsid w:val="00000008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6EA"/>
    <w:rsid w:val="006544AF"/>
    <w:rsid w:val="00BC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049D40C-B19E-48F6-971E-1829FBBC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MS Gothic" w:hAnsi="Calibri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200" w:after="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spacing w:before="200" w:after="0"/>
      <w:outlineLvl w:val="7"/>
    </w:pPr>
    <w:rPr>
      <w:rFonts w:ascii="Calibri" w:eastAsia="MS Gothic" w:hAnsi="Calibri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before="200" w:after="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Calibri" w:eastAsia="MS Gothic" w:hAnsi="Calibri" w:cs="SimSu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libri" w:eastAsia="MS Gothic" w:hAnsi="Calibri" w:cs="SimSu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libri" w:eastAsia="MS Gothic" w:hAnsi="Calibri" w:cs="SimSun"/>
      <w:b/>
      <w:bCs/>
      <w:color w:val="4F81BD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MS Gothic" w:hAnsi="Calibri" w:cs="SimSu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="Calibri" w:eastAsia="MS Gothic" w:hAnsi="Calibri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Calibri" w:eastAsia="MS Gothic" w:hAnsi="Calibri" w:cs="SimSun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</w:style>
  <w:style w:type="paragraph" w:styleId="BodyText3">
    <w:name w:val="Body Text 3"/>
    <w:basedOn w:val="Normal"/>
    <w:link w:val="BodyText3Char"/>
    <w:uiPriority w:val="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Pr>
      <w:sz w:val="16"/>
      <w:szCs w:val="16"/>
    </w:rPr>
  </w:style>
  <w:style w:type="paragraph" w:styleId="List">
    <w:name w:val="List"/>
    <w:basedOn w:val="Normal"/>
    <w:uiPriority w:val="99"/>
    <w:pPr>
      <w:ind w:left="360" w:hanging="360"/>
      <w:contextualSpacing/>
    </w:pPr>
  </w:style>
  <w:style w:type="paragraph" w:styleId="List2">
    <w:name w:val="List 2"/>
    <w:basedOn w:val="Normal"/>
    <w:uiPriority w:val="99"/>
    <w:pPr>
      <w:ind w:left="720" w:hanging="360"/>
      <w:contextualSpacing/>
    </w:pPr>
  </w:style>
  <w:style w:type="paragraph" w:styleId="List3">
    <w:name w:val="List 3"/>
    <w:basedOn w:val="Normal"/>
    <w:uiPriority w:val="99"/>
    <w:pPr>
      <w:ind w:left="1080" w:hanging="360"/>
      <w:contextualSpacing/>
    </w:pPr>
  </w:style>
  <w:style w:type="paragraph" w:styleId="ListBullet">
    <w:name w:val="List Bullet"/>
    <w:basedOn w:val="Normal"/>
    <w:uiPriority w:val="9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Calibri" w:eastAsia="MS Gothic" w:hAnsi="Calibri" w:cs="SimSu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Calibri" w:eastAsia="MS Gothic" w:hAnsi="Calibri" w:cs="SimSu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Calibri" w:eastAsia="MS Gothic" w:hAnsi="Calibri" w:cs="SimSu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Calibri" w:eastAsia="MS Gothic" w:hAnsi="Calibri" w:cs="SimSu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Calibri" w:eastAsia="MS Gothic" w:hAnsi="Calibri" w:cs="SimSu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Calibri" w:eastAsia="MS Gothic" w:hAnsi="Calibri" w:cs="SimSu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pPr>
      <w:outlineLvl w:val="9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pPr>
      <w:spacing w:after="0" w:line="240" w:lineRule="auto"/>
    </w:pPr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pPr>
      <w:spacing w:after="0" w:line="240" w:lineRule="auto"/>
    </w:pPr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pPr>
      <w:spacing w:after="0" w:line="240" w:lineRule="auto"/>
    </w:pPr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pPr>
      <w:spacing w:after="0" w:line="240" w:lineRule="auto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pPr>
      <w:spacing w:after="0" w:line="240" w:lineRule="auto"/>
    </w:pPr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MediumShading1">
    <w:name w:val="Medium Shading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000000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4F81BD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C0504D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9BBB59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8064A2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4BACC6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F79646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shd w:val="clear" w:color="auto" w:fill="E6E6E6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shd w:val="clear" w:color="auto" w:fill="EDF2F8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shd w:val="clear" w:color="auto" w:fill="F8EDED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shd w:val="clear" w:color="auto" w:fill="F5F8EE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shd w:val="clear" w:color="auto" w:fill="F2EFF6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shd w:val="clear" w:color="auto" w:fill="EDF6F9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shd w:val="clear" w:color="auto" w:fill="FEF4EC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CCCCCC"/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DBE5F1"/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F2DBDB"/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AF1DD"/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5DFEC"/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DAEEF3"/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FDE9D9"/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E00C2A-5E53-4A40-9D0A-456EF9D92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857</Words>
  <Characters>4889</Characters>
  <Application>Microsoft Office Word</Application>
  <DocSecurity>0</DocSecurity>
  <Lines>40</Lines>
  <Paragraphs>11</Paragraphs>
  <ScaleCrop>false</ScaleCrop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Lenovo</cp:lastModifiedBy>
  <cp:revision>2</cp:revision>
  <dcterms:created xsi:type="dcterms:W3CDTF">2025-10-26T08:29:00Z</dcterms:created>
  <dcterms:modified xsi:type="dcterms:W3CDTF">2025-10-26T08:29:00Z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270d3efd5cb240b7b9b4b6b94299f361</vt:lpwstr>
  </property>
</Properties>
</file>