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F66" w:rsidRPr="00E94B23" w:rsidRDefault="00EA2F66" w:rsidP="00EA2F66">
      <w:pPr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solid" w:color="FFFFFF" w:fill="auto"/>
        <w:jc w:val="center"/>
        <w:rPr>
          <w:rFonts w:eastAsia="Calibri"/>
          <w:b/>
          <w:sz w:val="22"/>
          <w:szCs w:val="22"/>
        </w:rPr>
      </w:pPr>
      <w:r w:rsidRPr="00E94B23">
        <w:rPr>
          <w:b/>
          <w:sz w:val="22"/>
          <w:szCs w:val="22"/>
        </w:rPr>
        <w:t>Title:</w:t>
      </w:r>
      <w:r w:rsidRPr="00E94B23">
        <w:rPr>
          <w:b/>
          <w:i/>
          <w:sz w:val="22"/>
          <w:szCs w:val="22"/>
        </w:rPr>
        <w:t xml:space="preserve"> </w:t>
      </w:r>
      <w:r w:rsidRPr="00E94B23">
        <w:rPr>
          <w:b/>
          <w:sz w:val="22"/>
          <w:szCs w:val="22"/>
        </w:rPr>
        <w:t xml:space="preserve">Molecular docking prediction and </w:t>
      </w:r>
      <w:r w:rsidRPr="00E94B23">
        <w:rPr>
          <w:b/>
          <w:i/>
          <w:sz w:val="22"/>
          <w:szCs w:val="22"/>
        </w:rPr>
        <w:t>in vitro</w:t>
      </w:r>
      <w:r w:rsidRPr="00E94B23">
        <w:rPr>
          <w:b/>
          <w:sz w:val="22"/>
          <w:szCs w:val="22"/>
        </w:rPr>
        <w:t xml:space="preserve"> studies elucidate anti-inflammatory effect of </w:t>
      </w:r>
      <w:r w:rsidRPr="00E94B23">
        <w:rPr>
          <w:b/>
          <w:i/>
          <w:sz w:val="22"/>
          <w:szCs w:val="22"/>
        </w:rPr>
        <w:t>Garcinia</w:t>
      </w:r>
      <w:r w:rsidRPr="00E94B23">
        <w:rPr>
          <w:b/>
          <w:sz w:val="22"/>
          <w:szCs w:val="22"/>
        </w:rPr>
        <w:t xml:space="preserve"> extract against inducible nitric oxide </w:t>
      </w:r>
      <w:proofErr w:type="spellStart"/>
      <w:r w:rsidRPr="00E94B23">
        <w:rPr>
          <w:b/>
          <w:sz w:val="22"/>
          <w:szCs w:val="22"/>
        </w:rPr>
        <w:t>synthase</w:t>
      </w:r>
      <w:proofErr w:type="spellEnd"/>
      <w:r w:rsidRPr="00E94B23">
        <w:rPr>
          <w:b/>
          <w:sz w:val="22"/>
          <w:szCs w:val="22"/>
        </w:rPr>
        <w:t xml:space="preserve"> and cyclooxygenase-2 targets</w:t>
      </w:r>
    </w:p>
    <w:p w:rsidR="00EA2F66" w:rsidRDefault="00EA2F66" w:rsidP="00EA2F66">
      <w:pPr>
        <w:spacing w:line="480" w:lineRule="auto"/>
        <w:ind w:left="720" w:hanging="720"/>
        <w:jc w:val="center"/>
        <w:rPr>
          <w:sz w:val="22"/>
          <w:szCs w:val="22"/>
        </w:rPr>
      </w:pPr>
    </w:p>
    <w:p w:rsidR="00EA2F66" w:rsidRPr="00E94B23" w:rsidRDefault="00EA2F66" w:rsidP="00EA2F66">
      <w:pPr>
        <w:spacing w:line="480" w:lineRule="auto"/>
        <w:ind w:left="720" w:hanging="720"/>
        <w:jc w:val="center"/>
        <w:rPr>
          <w:sz w:val="22"/>
          <w:szCs w:val="22"/>
        </w:rPr>
      </w:pPr>
      <w:r w:rsidRPr="00E94B23">
        <w:rPr>
          <w:sz w:val="22"/>
          <w:szCs w:val="22"/>
        </w:rPr>
        <w:t xml:space="preserve">Authors: </w:t>
      </w:r>
      <w:proofErr w:type="spellStart"/>
      <w:r w:rsidRPr="00E94B23">
        <w:rPr>
          <w:sz w:val="22"/>
          <w:szCs w:val="22"/>
        </w:rPr>
        <w:t>Anuradha</w:t>
      </w:r>
      <w:proofErr w:type="spellEnd"/>
      <w:r w:rsidRPr="00E94B23">
        <w:rPr>
          <w:sz w:val="22"/>
          <w:szCs w:val="22"/>
        </w:rPr>
        <w:t xml:space="preserve"> Kalita</w:t>
      </w:r>
      <w:r w:rsidRPr="00E94B23">
        <w:rPr>
          <w:sz w:val="22"/>
          <w:szCs w:val="22"/>
          <w:vertAlign w:val="superscript"/>
        </w:rPr>
        <w:t>1</w:t>
      </w:r>
      <w:r w:rsidRPr="00E94B23">
        <w:rPr>
          <w:sz w:val="22"/>
          <w:szCs w:val="22"/>
        </w:rPr>
        <w:t xml:space="preserve">, </w:t>
      </w:r>
      <w:proofErr w:type="spellStart"/>
      <w:r w:rsidRPr="00E94B23">
        <w:rPr>
          <w:sz w:val="22"/>
          <w:szCs w:val="22"/>
        </w:rPr>
        <w:t>Manas</w:t>
      </w:r>
      <w:proofErr w:type="spellEnd"/>
      <w:r w:rsidRPr="00E94B23">
        <w:rPr>
          <w:sz w:val="22"/>
          <w:szCs w:val="22"/>
        </w:rPr>
        <w:t xml:space="preserve"> Das*</w:t>
      </w:r>
      <w:r w:rsidRPr="00E94B23">
        <w:rPr>
          <w:sz w:val="22"/>
          <w:szCs w:val="22"/>
          <w:vertAlign w:val="superscript"/>
        </w:rPr>
        <w:t>1,</w:t>
      </w:r>
      <w:r w:rsidRPr="00E94B23">
        <w:rPr>
          <w:sz w:val="22"/>
          <w:szCs w:val="22"/>
        </w:rPr>
        <w:t xml:space="preserve"> </w:t>
      </w:r>
      <w:proofErr w:type="spellStart"/>
      <w:r w:rsidRPr="00E94B23">
        <w:rPr>
          <w:sz w:val="22"/>
          <w:szCs w:val="22"/>
        </w:rPr>
        <w:t>Bhabajyoti</w:t>
      </w:r>
      <w:proofErr w:type="spellEnd"/>
      <w:r w:rsidRPr="00E94B23">
        <w:rPr>
          <w:sz w:val="22"/>
          <w:szCs w:val="22"/>
        </w:rPr>
        <w:t xml:space="preserve"> Das</w:t>
      </w:r>
      <w:r w:rsidRPr="00E94B23">
        <w:rPr>
          <w:sz w:val="22"/>
          <w:szCs w:val="22"/>
          <w:vertAlign w:val="superscript"/>
        </w:rPr>
        <w:t>1</w:t>
      </w:r>
      <w:r w:rsidRPr="00E94B23">
        <w:rPr>
          <w:sz w:val="22"/>
          <w:szCs w:val="22"/>
        </w:rPr>
        <w:t xml:space="preserve">, </w:t>
      </w:r>
      <w:proofErr w:type="spellStart"/>
      <w:r w:rsidRPr="00E94B23">
        <w:rPr>
          <w:sz w:val="22"/>
          <w:szCs w:val="22"/>
        </w:rPr>
        <w:t>Momita</w:t>
      </w:r>
      <w:proofErr w:type="spellEnd"/>
      <w:r w:rsidRPr="00E94B23">
        <w:rPr>
          <w:sz w:val="22"/>
          <w:szCs w:val="22"/>
        </w:rPr>
        <w:t xml:space="preserve"> </w:t>
      </w:r>
      <w:proofErr w:type="spellStart"/>
      <w:r w:rsidRPr="00E94B23">
        <w:rPr>
          <w:sz w:val="22"/>
          <w:szCs w:val="22"/>
        </w:rPr>
        <w:t>Rani</w:t>
      </w:r>
      <w:proofErr w:type="spellEnd"/>
      <w:r w:rsidRPr="00E94B23">
        <w:rPr>
          <w:sz w:val="22"/>
          <w:szCs w:val="22"/>
        </w:rPr>
        <w:t xml:space="preserve"> Baro</w:t>
      </w:r>
      <w:r w:rsidRPr="00E94B23">
        <w:rPr>
          <w:sz w:val="22"/>
          <w:szCs w:val="22"/>
          <w:vertAlign w:val="superscript"/>
        </w:rPr>
        <w:t>1</w:t>
      </w:r>
    </w:p>
    <w:p w:rsidR="00EA2F66" w:rsidRPr="00E94B23" w:rsidRDefault="00EA2F66" w:rsidP="00EA2F66">
      <w:pPr>
        <w:tabs>
          <w:tab w:val="left" w:pos="567"/>
        </w:tabs>
        <w:spacing w:line="480" w:lineRule="auto"/>
        <w:ind w:left="426" w:hanging="246"/>
        <w:rPr>
          <w:sz w:val="22"/>
          <w:szCs w:val="22"/>
        </w:rPr>
      </w:pPr>
      <w:r w:rsidRPr="00E94B23">
        <w:rPr>
          <w:sz w:val="22"/>
          <w:szCs w:val="22"/>
        </w:rPr>
        <w:t xml:space="preserve">Authors’ Affiliations: </w:t>
      </w:r>
    </w:p>
    <w:p w:rsidR="00EA2F66" w:rsidRPr="00E94B23" w:rsidRDefault="00EA2F66" w:rsidP="00EA2F66">
      <w:pPr>
        <w:tabs>
          <w:tab w:val="left" w:pos="567"/>
        </w:tabs>
        <w:spacing w:line="480" w:lineRule="auto"/>
        <w:ind w:left="450" w:hanging="90"/>
        <w:rPr>
          <w:sz w:val="22"/>
          <w:szCs w:val="22"/>
        </w:rPr>
      </w:pPr>
      <w:r w:rsidRPr="00E94B23">
        <w:rPr>
          <w:sz w:val="22"/>
          <w:szCs w:val="22"/>
          <w:vertAlign w:val="superscript"/>
        </w:rPr>
        <w:t>1</w:t>
      </w:r>
      <w:r w:rsidRPr="00E94B23">
        <w:rPr>
          <w:sz w:val="22"/>
          <w:szCs w:val="22"/>
        </w:rPr>
        <w:t>Department of Zoology, Animal Physiology and Biochemistry Laboratory, Gauhati University, Guwahati-781014, Assam (India)</w:t>
      </w:r>
    </w:p>
    <w:p w:rsidR="00EA2F66" w:rsidRPr="00E94B23" w:rsidRDefault="00EA2F66" w:rsidP="00EA2F66">
      <w:pPr>
        <w:tabs>
          <w:tab w:val="left" w:pos="567"/>
        </w:tabs>
        <w:spacing w:line="480" w:lineRule="auto"/>
        <w:ind w:left="426" w:hanging="246"/>
        <w:rPr>
          <w:sz w:val="22"/>
          <w:szCs w:val="22"/>
        </w:rPr>
      </w:pPr>
      <w:r w:rsidRPr="00E94B23">
        <w:rPr>
          <w:sz w:val="22"/>
          <w:szCs w:val="22"/>
        </w:rPr>
        <w:t>*Author to whom correspondence should be addressed</w:t>
      </w:r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240" w:lineRule="auto"/>
        <w:ind w:left="900"/>
        <w:rPr>
          <w:rFonts w:ascii="Times New Roman" w:hAnsi="Times New Roman" w:cs="Times New Roman"/>
        </w:rPr>
      </w:pPr>
      <w:r w:rsidRPr="00E94B23">
        <w:rPr>
          <w:rFonts w:ascii="Times New Roman" w:hAnsi="Times New Roman" w:cs="Times New Roman"/>
        </w:rPr>
        <w:t>*</w:t>
      </w:r>
      <w:proofErr w:type="spellStart"/>
      <w:r w:rsidRPr="00E94B23">
        <w:rPr>
          <w:rFonts w:ascii="Times New Roman" w:hAnsi="Times New Roman" w:cs="Times New Roman"/>
        </w:rPr>
        <w:t>Manas</w:t>
      </w:r>
      <w:proofErr w:type="spellEnd"/>
      <w:r w:rsidRPr="00E94B23">
        <w:rPr>
          <w:rFonts w:ascii="Times New Roman" w:hAnsi="Times New Roman" w:cs="Times New Roman"/>
        </w:rPr>
        <w:t xml:space="preserve"> Das </w:t>
      </w:r>
    </w:p>
    <w:p w:rsidR="00EA2F66" w:rsidRPr="00E94B23" w:rsidRDefault="00D84108" w:rsidP="00EA2F66">
      <w:pPr>
        <w:pStyle w:val="ListParagraph"/>
        <w:tabs>
          <w:tab w:val="left" w:pos="567"/>
          <w:tab w:val="left" w:pos="1080"/>
        </w:tabs>
        <w:spacing w:after="0" w:line="240" w:lineRule="auto"/>
        <w:ind w:left="990"/>
      </w:pPr>
      <w:hyperlink r:id="rId4" w:history="1">
        <w:r w:rsidR="00EA2F66" w:rsidRPr="00E94B23">
          <w:rPr>
            <w:rStyle w:val="Hyperlink"/>
            <w:rFonts w:ascii="Times New Roman" w:hAnsi="Times New Roman" w:cs="Times New Roman"/>
          </w:rPr>
          <w:t>manasdasne@gauhati.ac.in</w:t>
        </w:r>
      </w:hyperlink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480" w:lineRule="auto"/>
        <w:ind w:left="900"/>
      </w:pPr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240" w:lineRule="auto"/>
        <w:ind w:left="900" w:firstLine="90"/>
        <w:rPr>
          <w:rFonts w:ascii="Times New Roman" w:hAnsi="Times New Roman" w:cs="Times New Roman"/>
        </w:rPr>
      </w:pPr>
      <w:proofErr w:type="spellStart"/>
      <w:r w:rsidRPr="00E94B23">
        <w:rPr>
          <w:rFonts w:ascii="Times New Roman" w:hAnsi="Times New Roman" w:cs="Times New Roman"/>
        </w:rPr>
        <w:t>Anuradha</w:t>
      </w:r>
      <w:proofErr w:type="spellEnd"/>
      <w:r w:rsidRPr="00E94B23">
        <w:rPr>
          <w:rFonts w:ascii="Times New Roman" w:hAnsi="Times New Roman" w:cs="Times New Roman"/>
        </w:rPr>
        <w:t xml:space="preserve"> Kalita </w:t>
      </w:r>
    </w:p>
    <w:p w:rsidR="00EA2F66" w:rsidRPr="00E94B23" w:rsidRDefault="00D84108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  <w:color w:val="0000CC"/>
          <w:u w:val="single"/>
        </w:rPr>
      </w:pPr>
      <w:hyperlink r:id="rId5" w:history="1">
        <w:r w:rsidR="00EA2F66" w:rsidRPr="00E94B23">
          <w:rPr>
            <w:rStyle w:val="Hyperlink"/>
            <w:rFonts w:ascii="Times New Roman" w:hAnsi="Times New Roman" w:cs="Times New Roman"/>
          </w:rPr>
          <w:t>anuradhakalita@gauhati.ac.in</w:t>
        </w:r>
      </w:hyperlink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  <w:color w:val="0000CC"/>
          <w:u w:val="single"/>
        </w:rPr>
      </w:pPr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</w:rPr>
      </w:pPr>
      <w:proofErr w:type="spellStart"/>
      <w:r w:rsidRPr="00E94B23">
        <w:rPr>
          <w:rFonts w:ascii="Times New Roman" w:hAnsi="Times New Roman" w:cs="Times New Roman"/>
        </w:rPr>
        <w:t>Bhabajyoti</w:t>
      </w:r>
      <w:proofErr w:type="spellEnd"/>
      <w:r w:rsidRPr="00E94B23">
        <w:rPr>
          <w:rFonts w:ascii="Times New Roman" w:hAnsi="Times New Roman" w:cs="Times New Roman"/>
        </w:rPr>
        <w:t xml:space="preserve"> Das</w:t>
      </w:r>
    </w:p>
    <w:p w:rsidR="00EA2F66" w:rsidRPr="00E94B23" w:rsidRDefault="00D84108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  <w:color w:val="0000CC"/>
          <w:u w:val="single"/>
        </w:rPr>
      </w:pPr>
      <w:hyperlink r:id="rId6" w:history="1">
        <w:r w:rsidR="00EA2F66" w:rsidRPr="00E94B23">
          <w:rPr>
            <w:rStyle w:val="Hyperlink"/>
            <w:rFonts w:ascii="Times New Roman" w:hAnsi="Times New Roman" w:cs="Times New Roman"/>
          </w:rPr>
          <w:t>bhabsrule@gmail.com</w:t>
        </w:r>
      </w:hyperlink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  <w:color w:val="0000CC"/>
          <w:u w:val="single"/>
        </w:rPr>
      </w:pPr>
    </w:p>
    <w:p w:rsidR="00EA2F66" w:rsidRPr="00E94B23" w:rsidRDefault="00EA2F66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</w:rPr>
      </w:pPr>
      <w:proofErr w:type="spellStart"/>
      <w:r w:rsidRPr="00E94B23">
        <w:rPr>
          <w:rFonts w:ascii="Times New Roman" w:hAnsi="Times New Roman" w:cs="Times New Roman"/>
        </w:rPr>
        <w:t>Momita</w:t>
      </w:r>
      <w:proofErr w:type="spellEnd"/>
      <w:r w:rsidRPr="00E94B23">
        <w:rPr>
          <w:rFonts w:ascii="Times New Roman" w:hAnsi="Times New Roman" w:cs="Times New Roman"/>
        </w:rPr>
        <w:t xml:space="preserve"> </w:t>
      </w:r>
      <w:proofErr w:type="spellStart"/>
      <w:r w:rsidRPr="00E94B23">
        <w:rPr>
          <w:rFonts w:ascii="Times New Roman" w:hAnsi="Times New Roman" w:cs="Times New Roman"/>
        </w:rPr>
        <w:t>Rani</w:t>
      </w:r>
      <w:proofErr w:type="spellEnd"/>
      <w:r w:rsidRPr="00E94B23">
        <w:rPr>
          <w:rFonts w:ascii="Times New Roman" w:hAnsi="Times New Roman" w:cs="Times New Roman"/>
        </w:rPr>
        <w:t xml:space="preserve"> </w:t>
      </w:r>
      <w:proofErr w:type="spellStart"/>
      <w:r w:rsidRPr="00E94B23">
        <w:rPr>
          <w:rFonts w:ascii="Times New Roman" w:hAnsi="Times New Roman" w:cs="Times New Roman"/>
        </w:rPr>
        <w:t>Baro</w:t>
      </w:r>
      <w:proofErr w:type="spellEnd"/>
    </w:p>
    <w:p w:rsidR="00EA2F66" w:rsidRDefault="00D84108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  <w:color w:val="0000CC"/>
          <w:u w:val="single"/>
        </w:rPr>
      </w:pPr>
      <w:hyperlink r:id="rId7" w:history="1">
        <w:r w:rsidR="00EA2F66" w:rsidRPr="00CE63C0">
          <w:rPr>
            <w:rStyle w:val="Hyperlink"/>
            <w:rFonts w:ascii="Times New Roman" w:hAnsi="Times New Roman" w:cs="Times New Roman"/>
          </w:rPr>
          <w:t>momitabaro222@gmail.com</w:t>
        </w:r>
      </w:hyperlink>
    </w:p>
    <w:p w:rsidR="00EA2F66" w:rsidRDefault="00EA2F66" w:rsidP="00EA2F66">
      <w:pPr>
        <w:pStyle w:val="ListParagraph"/>
        <w:tabs>
          <w:tab w:val="left" w:pos="567"/>
        </w:tabs>
        <w:spacing w:after="0" w:line="240" w:lineRule="auto"/>
        <w:ind w:left="990"/>
        <w:rPr>
          <w:rFonts w:ascii="Times New Roman" w:hAnsi="Times New Roman" w:cs="Times New Roman"/>
          <w:color w:val="0000CC"/>
          <w:u w:val="single"/>
        </w:rPr>
      </w:pPr>
    </w:p>
    <w:p w:rsidR="00EA2F66" w:rsidRDefault="00EA2F66" w:rsidP="00EA2F66">
      <w:pPr>
        <w:tabs>
          <w:tab w:val="left" w:pos="567"/>
        </w:tabs>
        <w:spacing w:line="480" w:lineRule="auto"/>
        <w:ind w:left="426" w:hanging="516"/>
        <w:rPr>
          <w:b/>
          <w:sz w:val="22"/>
          <w:szCs w:val="22"/>
        </w:rPr>
      </w:pPr>
    </w:p>
    <w:p w:rsidR="00EA2F66" w:rsidRPr="00815498" w:rsidRDefault="00EA2F66" w:rsidP="00EA2F66">
      <w:pPr>
        <w:tabs>
          <w:tab w:val="left" w:pos="567"/>
        </w:tabs>
        <w:spacing w:line="480" w:lineRule="auto"/>
        <w:ind w:left="426" w:hanging="516"/>
        <w:rPr>
          <w:b/>
          <w:sz w:val="22"/>
          <w:szCs w:val="22"/>
        </w:rPr>
      </w:pPr>
      <w:r w:rsidRPr="00815498">
        <w:rPr>
          <w:b/>
          <w:sz w:val="22"/>
          <w:szCs w:val="22"/>
        </w:rPr>
        <w:t>DECLARATIONS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Funding</w:t>
      </w:r>
      <w:r w:rsidRPr="00815498">
        <w:rPr>
          <w:rFonts w:eastAsia="Times New Roman"/>
          <w:sz w:val="22"/>
          <w:szCs w:val="22"/>
        </w:rPr>
        <w:t xml:space="preserve">: </w:t>
      </w:r>
      <w:r w:rsidRPr="00815498">
        <w:rPr>
          <w:sz w:val="22"/>
          <w:szCs w:val="22"/>
        </w:rPr>
        <w:t>DHR (</w:t>
      </w:r>
      <w:proofErr w:type="spellStart"/>
      <w:r w:rsidRPr="00815498">
        <w:rPr>
          <w:sz w:val="22"/>
          <w:szCs w:val="22"/>
        </w:rPr>
        <w:t>MoHFW</w:t>
      </w:r>
      <w:proofErr w:type="spellEnd"/>
      <w:r w:rsidRPr="00815498">
        <w:rPr>
          <w:sz w:val="22"/>
          <w:szCs w:val="22"/>
        </w:rPr>
        <w:t>) New Delhi (India</w:t>
      </w:r>
      <w:proofErr w:type="gramStart"/>
      <w:r w:rsidRPr="00815498">
        <w:rPr>
          <w:sz w:val="22"/>
          <w:szCs w:val="22"/>
        </w:rPr>
        <w:t>)</w:t>
      </w:r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Grant No. R.12014/02/2019-HR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Conflicts of interest/Competing interests</w:t>
      </w:r>
      <w:r w:rsidRPr="00815498">
        <w:rPr>
          <w:rFonts w:eastAsia="Times New Roman"/>
          <w:sz w:val="22"/>
          <w:szCs w:val="22"/>
        </w:rPr>
        <w:t>: Authors declares no conflicts of interest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Availability of data and material</w:t>
      </w:r>
      <w:r w:rsidRPr="00815498">
        <w:rPr>
          <w:rFonts w:eastAsia="Times New Roman"/>
          <w:sz w:val="22"/>
          <w:szCs w:val="22"/>
        </w:rPr>
        <w:t> (data transparency): Available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Code availability</w:t>
      </w:r>
      <w:r w:rsidRPr="00815498">
        <w:rPr>
          <w:rFonts w:eastAsia="Times New Roman"/>
          <w:sz w:val="22"/>
          <w:szCs w:val="22"/>
        </w:rPr>
        <w:t> (software application or custom code): Not applicable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Authors' contributions</w:t>
      </w:r>
      <w:r w:rsidRPr="00815498">
        <w:rPr>
          <w:rFonts w:eastAsia="Times New Roman"/>
          <w:sz w:val="22"/>
          <w:szCs w:val="22"/>
        </w:rPr>
        <w:t> (optional: please review the submission guidelines from the journal whether statements are mandatory): Not applicable</w:t>
      </w:r>
    </w:p>
    <w:p w:rsidR="00EA2F66" w:rsidRPr="00815498" w:rsidRDefault="00EA2F66" w:rsidP="00EA2F66">
      <w:pPr>
        <w:spacing w:line="480" w:lineRule="auto"/>
        <w:jc w:val="both"/>
        <w:rPr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Ethics approval</w:t>
      </w:r>
      <w:r w:rsidRPr="00815498">
        <w:rPr>
          <w:rFonts w:eastAsia="Times New Roman"/>
          <w:sz w:val="22"/>
          <w:szCs w:val="22"/>
        </w:rPr>
        <w:t> (include appropriate approvals or waivers): Not applicable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Consent to participate</w:t>
      </w:r>
      <w:r w:rsidRPr="00815498">
        <w:rPr>
          <w:rFonts w:eastAsia="Times New Roman"/>
          <w:sz w:val="22"/>
          <w:szCs w:val="22"/>
        </w:rPr>
        <w:t> (include appropriate statements): Not applicable</w:t>
      </w:r>
    </w:p>
    <w:p w:rsidR="00EA2F66" w:rsidRPr="00815498" w:rsidRDefault="00EA2F66" w:rsidP="00EA2F66">
      <w:pPr>
        <w:spacing w:line="480" w:lineRule="auto"/>
        <w:rPr>
          <w:rFonts w:eastAsia="Times New Roman"/>
          <w:sz w:val="22"/>
          <w:szCs w:val="22"/>
        </w:rPr>
      </w:pPr>
      <w:r w:rsidRPr="00815498">
        <w:rPr>
          <w:rFonts w:eastAsia="Times New Roman"/>
          <w:b/>
          <w:bCs/>
          <w:sz w:val="22"/>
          <w:szCs w:val="22"/>
        </w:rPr>
        <w:t>Consent for publication</w:t>
      </w:r>
      <w:r w:rsidRPr="00815498">
        <w:rPr>
          <w:rFonts w:eastAsia="Times New Roman"/>
          <w:sz w:val="22"/>
          <w:szCs w:val="22"/>
        </w:rPr>
        <w:t> (include appropriate statements): Not applicable</w:t>
      </w:r>
    </w:p>
    <w:p w:rsidR="00EA2F66" w:rsidRDefault="00EA2F66" w:rsidP="00EA2F66"/>
    <w:p w:rsidR="00AE714F" w:rsidRPr="0074713E" w:rsidRDefault="00AE714F" w:rsidP="00AE714F">
      <w:pPr>
        <w:widowControl/>
        <w:pBdr>
          <w:top w:val="none" w:sz="0" w:space="3" w:color="000000"/>
          <w:left w:val="none" w:sz="0" w:space="3" w:color="000000"/>
          <w:bottom w:val="none" w:sz="0" w:space="3" w:color="000000"/>
          <w:right w:val="none" w:sz="0" w:space="3" w:color="000000"/>
          <w:between w:val="none" w:sz="0" w:space="0" w:color="000000"/>
        </w:pBdr>
        <w:shd w:val="solid" w:color="FFFFFF" w:fill="auto"/>
        <w:spacing w:line="480" w:lineRule="auto"/>
        <w:jc w:val="both"/>
        <w:rPr>
          <w:rFonts w:eastAsia="Calibri"/>
          <w:b/>
          <w:sz w:val="22"/>
          <w:szCs w:val="22"/>
          <w:lang w:val="en-US"/>
        </w:rPr>
      </w:pPr>
      <w:r w:rsidRPr="0074713E">
        <w:rPr>
          <w:rFonts w:eastAsia="Calibri"/>
          <w:b/>
          <w:sz w:val="22"/>
          <w:szCs w:val="22"/>
          <w:lang w:val="en-US"/>
        </w:rPr>
        <w:lastRenderedPageBreak/>
        <w:t>ABSTRACT</w:t>
      </w:r>
    </w:p>
    <w:p w:rsidR="00AE714F" w:rsidRDefault="00AE714F" w:rsidP="00AE714F">
      <w:pPr>
        <w:spacing w:line="480" w:lineRule="auto"/>
        <w:jc w:val="both"/>
        <w:rPr>
          <w:sz w:val="22"/>
          <w:szCs w:val="22"/>
        </w:rPr>
      </w:pPr>
      <w:r>
        <w:rPr>
          <w:i/>
          <w:sz w:val="22"/>
          <w:szCs w:val="22"/>
        </w:rPr>
        <w:tab/>
      </w:r>
      <w:r w:rsidRPr="0074713E">
        <w:rPr>
          <w:i/>
          <w:sz w:val="22"/>
          <w:szCs w:val="22"/>
        </w:rPr>
        <w:t>Garcinia</w:t>
      </w:r>
      <w:r w:rsidRPr="0074713E">
        <w:rPr>
          <w:sz w:val="22"/>
          <w:szCs w:val="22"/>
        </w:rPr>
        <w:t xml:space="preserve"> is a tropical plant that has been traditionally used in medicinal folklore for its potential antioxidant, antibacterial, anti-hyperlipidemic, anti</w:t>
      </w:r>
      <w:r w:rsidR="00F41984">
        <w:rPr>
          <w:sz w:val="22"/>
          <w:szCs w:val="22"/>
        </w:rPr>
        <w:t>-</w:t>
      </w:r>
      <w:r w:rsidRPr="0074713E">
        <w:rPr>
          <w:sz w:val="22"/>
          <w:szCs w:val="22"/>
        </w:rPr>
        <w:t xml:space="preserve">diabetic, hepatoprotective, etc. In this study, </w:t>
      </w:r>
      <w:r w:rsidRPr="0074713E">
        <w:rPr>
          <w:i/>
          <w:sz w:val="22"/>
          <w:szCs w:val="22"/>
        </w:rPr>
        <w:t xml:space="preserve">Garcinia </w:t>
      </w:r>
      <w:r w:rsidRPr="0074713E">
        <w:rPr>
          <w:sz w:val="22"/>
          <w:szCs w:val="22"/>
        </w:rPr>
        <w:t xml:space="preserve">herbal extract (GHE) and one of its important phytocompound (garcinol) were evaluated for their inhibitory action against important inflammatory markers inducible nitric oxide </w:t>
      </w:r>
      <w:proofErr w:type="spellStart"/>
      <w:r w:rsidRPr="0074713E">
        <w:rPr>
          <w:sz w:val="22"/>
          <w:szCs w:val="22"/>
        </w:rPr>
        <w:t>synthase</w:t>
      </w:r>
      <w:proofErr w:type="spellEnd"/>
      <w:r w:rsidRPr="0074713E">
        <w:rPr>
          <w:sz w:val="22"/>
          <w:szCs w:val="22"/>
        </w:rPr>
        <w:t xml:space="preserve"> (iNOS) and cyclooxygenase-2</w:t>
      </w:r>
      <w:r w:rsidR="00F41984">
        <w:rPr>
          <w:sz w:val="22"/>
          <w:szCs w:val="22"/>
        </w:rPr>
        <w:t xml:space="preserve"> </w:t>
      </w:r>
      <w:r w:rsidRPr="0074713E">
        <w:rPr>
          <w:sz w:val="22"/>
          <w:szCs w:val="22"/>
        </w:rPr>
        <w:t xml:space="preserve">(COX-2) in lipopolysaccharide (LPS)-induced RAW 264.7 cells. </w:t>
      </w:r>
      <w:proofErr w:type="gramStart"/>
      <w:r w:rsidRPr="0074713E">
        <w:rPr>
          <w:sz w:val="22"/>
          <w:szCs w:val="22"/>
        </w:rPr>
        <w:t>iNOS</w:t>
      </w:r>
      <w:proofErr w:type="gramEnd"/>
      <w:r w:rsidRPr="0074713E">
        <w:rPr>
          <w:sz w:val="22"/>
          <w:szCs w:val="22"/>
        </w:rPr>
        <w:t xml:space="preserve"> and COX-2 plays an major role in the process of inflammation and inhibition of these molecules will help to alleviate the inflammatory process. The cells were pre-treated with two doses of </w:t>
      </w:r>
      <w:r w:rsidRPr="0074713E">
        <w:rPr>
          <w:i/>
          <w:sz w:val="22"/>
          <w:szCs w:val="22"/>
        </w:rPr>
        <w:t>Garcinia</w:t>
      </w:r>
      <w:r w:rsidRPr="0074713E">
        <w:rPr>
          <w:sz w:val="22"/>
          <w:szCs w:val="22"/>
        </w:rPr>
        <w:t xml:space="preserve"> (230µg/ml and 115µg/ml); garcinol (12µM and 6µM) followed by stimulation with 1µg/ml of LPS for 24h. </w:t>
      </w:r>
      <w:r w:rsidRPr="0074713E">
        <w:rPr>
          <w:rFonts w:eastAsia="Times New Roman"/>
          <w:color w:val="000000"/>
          <w:sz w:val="22"/>
          <w:szCs w:val="22"/>
        </w:rPr>
        <w:t xml:space="preserve">The results of the study demonstrated that GHE and garcinol plays an important role in suppressing LPS- induced relative mRNA expression of iNOS, COX-2 </w:t>
      </w:r>
      <w:r w:rsidRPr="0074713E">
        <w:rPr>
          <w:sz w:val="22"/>
          <w:szCs w:val="22"/>
        </w:rPr>
        <w:t>and subsequent reduction in the levels of nitric oxide and prostaglandin E</w:t>
      </w:r>
      <w:r w:rsidRPr="0074713E">
        <w:rPr>
          <w:sz w:val="22"/>
          <w:szCs w:val="22"/>
          <w:vertAlign w:val="subscript"/>
        </w:rPr>
        <w:t>2</w:t>
      </w:r>
      <w:r w:rsidRPr="0074713E">
        <w:rPr>
          <w:sz w:val="22"/>
          <w:szCs w:val="22"/>
        </w:rPr>
        <w:t xml:space="preserve">. Molecular docking analysis of garcinol and </w:t>
      </w:r>
      <w:proofErr w:type="spellStart"/>
      <w:r w:rsidRPr="0074713E">
        <w:rPr>
          <w:sz w:val="22"/>
          <w:szCs w:val="22"/>
        </w:rPr>
        <w:t>hydroxycitric</w:t>
      </w:r>
      <w:proofErr w:type="spellEnd"/>
      <w:r w:rsidRPr="0074713E">
        <w:rPr>
          <w:sz w:val="22"/>
          <w:szCs w:val="22"/>
        </w:rPr>
        <w:t xml:space="preserve"> acid, the major active components of GHE with iNOS and COX-2 proteins showed potent interaction with low binding energies. This study suggests that GHE (containing high percentage of HCA) and garcinol may possess anti-inflammatory activity thus providing a possibility for drug designing as iNOS and COX-2 inhibitors.</w:t>
      </w: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Pr="0074713E" w:rsidRDefault="00F41984" w:rsidP="00F41984">
      <w:pPr>
        <w:spacing w:line="480" w:lineRule="auto"/>
        <w:jc w:val="both"/>
        <w:rPr>
          <w:sz w:val="22"/>
          <w:szCs w:val="22"/>
        </w:rPr>
      </w:pPr>
      <w:r w:rsidRPr="0074713E">
        <w:rPr>
          <w:b/>
          <w:sz w:val="22"/>
          <w:szCs w:val="22"/>
        </w:rPr>
        <w:t>Keywords:</w:t>
      </w:r>
      <w:r w:rsidRPr="0074713E">
        <w:rPr>
          <w:sz w:val="22"/>
          <w:szCs w:val="22"/>
        </w:rPr>
        <w:t xml:space="preserve"> </w:t>
      </w:r>
      <w:r w:rsidRPr="0074713E">
        <w:rPr>
          <w:i/>
          <w:sz w:val="22"/>
          <w:szCs w:val="22"/>
        </w:rPr>
        <w:t>Garcinia</w:t>
      </w:r>
      <w:r w:rsidRPr="0074713E">
        <w:rPr>
          <w:sz w:val="22"/>
          <w:szCs w:val="22"/>
        </w:rPr>
        <w:t xml:space="preserve">, Lipopolysaccharide, inducible nitric oxide </w:t>
      </w:r>
      <w:proofErr w:type="spellStart"/>
      <w:r w:rsidRPr="0074713E">
        <w:rPr>
          <w:sz w:val="22"/>
          <w:szCs w:val="22"/>
        </w:rPr>
        <w:t>synthase</w:t>
      </w:r>
      <w:proofErr w:type="spellEnd"/>
      <w:r w:rsidRPr="0074713E">
        <w:rPr>
          <w:sz w:val="22"/>
          <w:szCs w:val="22"/>
        </w:rPr>
        <w:t xml:space="preserve">, cyclooxygenase-2, </w:t>
      </w:r>
      <w:r w:rsidR="0021657B">
        <w:rPr>
          <w:sz w:val="22"/>
          <w:szCs w:val="22"/>
        </w:rPr>
        <w:t xml:space="preserve">garcinol, </w:t>
      </w:r>
      <w:proofErr w:type="spellStart"/>
      <w:r w:rsidRPr="0074713E">
        <w:rPr>
          <w:sz w:val="22"/>
          <w:szCs w:val="22"/>
        </w:rPr>
        <w:t>hydroxycitric</w:t>
      </w:r>
      <w:proofErr w:type="spellEnd"/>
      <w:r w:rsidRPr="0074713E">
        <w:rPr>
          <w:sz w:val="22"/>
          <w:szCs w:val="22"/>
        </w:rPr>
        <w:t xml:space="preserve"> acid.</w:t>
      </w: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F41984" w:rsidRDefault="00F41984" w:rsidP="00F41984">
      <w:pPr>
        <w:spacing w:line="480" w:lineRule="auto"/>
        <w:rPr>
          <w:b/>
          <w:sz w:val="22"/>
          <w:szCs w:val="22"/>
        </w:rPr>
      </w:pPr>
    </w:p>
    <w:p w:rsidR="00AE714F" w:rsidRDefault="00AE714F" w:rsidP="00F41984">
      <w:pPr>
        <w:spacing w:line="480" w:lineRule="auto"/>
        <w:jc w:val="center"/>
        <w:rPr>
          <w:b/>
          <w:sz w:val="22"/>
          <w:szCs w:val="22"/>
        </w:rPr>
      </w:pPr>
      <w:r w:rsidRPr="00AE714F">
        <w:rPr>
          <w:b/>
          <w:sz w:val="22"/>
          <w:szCs w:val="22"/>
        </w:rPr>
        <w:lastRenderedPageBreak/>
        <w:t>GRAPHICAL ABSTRACT</w:t>
      </w:r>
    </w:p>
    <w:p w:rsidR="00AE714F" w:rsidRDefault="00AE714F" w:rsidP="00AE714F">
      <w:pPr>
        <w:spacing w:line="480" w:lineRule="auto"/>
        <w:jc w:val="both"/>
        <w:rPr>
          <w:b/>
          <w:sz w:val="22"/>
          <w:szCs w:val="22"/>
        </w:rPr>
      </w:pPr>
    </w:p>
    <w:p w:rsidR="00AE714F" w:rsidRPr="00AE714F" w:rsidRDefault="00F41984" w:rsidP="00F41984">
      <w:pPr>
        <w:spacing w:line="480" w:lineRule="auto"/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  <w:lang w:val="en-US" w:eastAsia="en-US"/>
        </w:rPr>
        <w:drawing>
          <wp:inline distT="0" distB="0" distL="0" distR="0">
            <wp:extent cx="6172200" cy="50101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660" r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A64" w:rsidRDefault="00F51A64"/>
    <w:sectPr w:rsidR="00F51A64" w:rsidSect="00F51A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714F"/>
    <w:rsid w:val="0021657B"/>
    <w:rsid w:val="004B4A75"/>
    <w:rsid w:val="005A0186"/>
    <w:rsid w:val="00AE714F"/>
    <w:rsid w:val="00D84108"/>
    <w:rsid w:val="00EA2F66"/>
    <w:rsid w:val="00F41984"/>
    <w:rsid w:val="00F51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14F"/>
    <w:pPr>
      <w:widowControl w:val="0"/>
      <w:spacing w:after="0" w:line="240" w:lineRule="auto"/>
    </w:pPr>
    <w:rPr>
      <w:rFonts w:ascii="Times New Roman" w:eastAsia="SimSun" w:hAnsi="Times New Roman" w:cs="Times New Roman"/>
      <w:kern w:val="1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19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984"/>
    <w:rPr>
      <w:rFonts w:ascii="Tahoma" w:eastAsia="SimSun" w:hAnsi="Tahoma" w:cs="Tahoma"/>
      <w:kern w:val="1"/>
      <w:sz w:val="16"/>
      <w:szCs w:val="16"/>
      <w:lang w:val="en-GB" w:eastAsia="zh-CN"/>
    </w:rPr>
  </w:style>
  <w:style w:type="character" w:styleId="Hyperlink">
    <w:name w:val="Hyperlink"/>
    <w:basedOn w:val="DefaultParagraphFont"/>
    <w:rsid w:val="00EA2F6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A2F66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momitabaro222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habsrule@gmail.com" TargetMode="External"/><Relationship Id="rId5" Type="http://schemas.openxmlformats.org/officeDocument/2006/relationships/hyperlink" Target="mailto:anuradhakalita@gauhati.ac.in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anasdasne@gauhati.ac.i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anuradha</dc:creator>
  <cp:lastModifiedBy>anuradha</cp:lastModifiedBy>
  <cp:revision>5</cp:revision>
  <dcterms:created xsi:type="dcterms:W3CDTF">2021-08-06T16:23:00Z</dcterms:created>
  <dcterms:modified xsi:type="dcterms:W3CDTF">2021-08-08T17:01:00Z</dcterms:modified>
</cp:coreProperties>
</file>