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62A3" w14:textId="77777777" w:rsidR="000A72EC" w:rsidRPr="000A72EC" w:rsidRDefault="000A72EC" w:rsidP="000A72EC">
      <w:pPr>
        <w:rPr>
          <w:rFonts w:ascii="Times New Roman" w:hAnsi="Times New Roman" w:cs="Times New Roman"/>
        </w:rPr>
      </w:pPr>
      <w:r w:rsidRPr="000A72EC">
        <w:t xml:space="preserve"> </w:t>
      </w:r>
      <w:r w:rsidRPr="000A72EC">
        <w:rPr>
          <w:rFonts w:ascii="Times New Roman" w:hAnsi="Times New Roman" w:cs="Times New Roman"/>
        </w:rPr>
        <w:t>Table 1:</w:t>
      </w:r>
    </w:p>
    <w:p w14:paraId="1689ED0C" w14:textId="77777777" w:rsidR="000A72EC" w:rsidRPr="000A72EC" w:rsidRDefault="000A72EC" w:rsidP="000A72EC">
      <w:pPr>
        <w:keepNext/>
        <w:keepLines/>
        <w:spacing w:before="480" w:after="0" w:line="276" w:lineRule="auto"/>
        <w:outlineLvl w:val="0"/>
        <w:rPr>
          <w:rFonts w:ascii="Calibri" w:eastAsia="MS Gothic" w:hAnsi="Calibri" w:cs="Times New Roman"/>
          <w:b/>
          <w:bCs/>
          <w:color w:val="365F91"/>
          <w:kern w:val="0"/>
          <w:sz w:val="28"/>
          <w:szCs w:val="28"/>
          <w14:ligatures w14:val="none"/>
        </w:rPr>
      </w:pPr>
      <w:bookmarkStart w:id="0" w:name="_Hlk201559591"/>
      <w:r w:rsidRPr="000A72EC">
        <w:rPr>
          <w:rFonts w:ascii="Calibri" w:eastAsia="MS Gothic" w:hAnsi="Calibri" w:cs="Times New Roman"/>
          <w:b/>
          <w:bCs/>
          <w:color w:val="365F91"/>
          <w:kern w:val="0"/>
          <w:sz w:val="28"/>
          <w:szCs w:val="28"/>
          <w14:ligatures w14:val="none"/>
        </w:rPr>
        <w:t>Continuous Variables Comparison</w:t>
      </w:r>
    </w:p>
    <w:tbl>
      <w:tblPr>
        <w:tblStyle w:val="TableGrid2"/>
        <w:tblW w:w="0" w:type="auto"/>
        <w:tblLook w:val="06A0" w:firstRow="1" w:lastRow="0" w:firstColumn="1" w:lastColumn="0" w:noHBand="1" w:noVBand="1"/>
      </w:tblPr>
      <w:tblGrid>
        <w:gridCol w:w="1440"/>
        <w:gridCol w:w="1440"/>
        <w:gridCol w:w="1440"/>
        <w:gridCol w:w="1440"/>
        <w:gridCol w:w="1440"/>
        <w:gridCol w:w="1440"/>
      </w:tblGrid>
      <w:tr w:rsidR="000A72EC" w:rsidRPr="000A72EC" w14:paraId="6E7F0940" w14:textId="77777777" w:rsidTr="00612577">
        <w:tc>
          <w:tcPr>
            <w:tcW w:w="1440" w:type="dxa"/>
            <w:shd w:val="clear" w:color="auto" w:fill="C6D9F1"/>
          </w:tcPr>
          <w:p w14:paraId="44579311" w14:textId="77777777" w:rsidR="000A72EC" w:rsidRPr="000A72EC" w:rsidRDefault="000A72EC" w:rsidP="000A72EC">
            <w:pPr>
              <w:rPr>
                <w:rFonts w:ascii="Cambria" w:hAnsi="Cambria" w:cs="Times New Roman"/>
              </w:rPr>
            </w:pPr>
            <w:r w:rsidRPr="000A72EC">
              <w:rPr>
                <w:rFonts w:ascii="Cambria" w:hAnsi="Cambria" w:cs="Times New Roman"/>
              </w:rPr>
              <w:t>Variable</w:t>
            </w:r>
          </w:p>
        </w:tc>
        <w:tc>
          <w:tcPr>
            <w:tcW w:w="1440" w:type="dxa"/>
            <w:shd w:val="clear" w:color="auto" w:fill="C6D9F1"/>
          </w:tcPr>
          <w:p w14:paraId="6EB1C55F" w14:textId="77777777" w:rsidR="000A72EC" w:rsidRPr="000A72EC" w:rsidRDefault="000A72EC" w:rsidP="000A72EC">
            <w:pPr>
              <w:rPr>
                <w:rFonts w:ascii="Cambria" w:hAnsi="Cambria" w:cs="Times New Roman"/>
              </w:rPr>
            </w:pPr>
            <w:r w:rsidRPr="000A72EC">
              <w:rPr>
                <w:rFonts w:ascii="Cambria" w:hAnsi="Cambria" w:cs="Times New Roman"/>
              </w:rPr>
              <w:t>Stocking Loss</w:t>
            </w:r>
            <w:r w:rsidRPr="000A72EC">
              <w:rPr>
                <w:rFonts w:ascii="Cambria" w:hAnsi="Cambria" w:cs="Times New Roman"/>
              </w:rPr>
              <w:br/>
              <w:t>Mean (SD)</w:t>
            </w:r>
          </w:p>
        </w:tc>
        <w:tc>
          <w:tcPr>
            <w:tcW w:w="1440" w:type="dxa"/>
            <w:shd w:val="clear" w:color="auto" w:fill="C6D9F1"/>
          </w:tcPr>
          <w:p w14:paraId="34EDB151" w14:textId="77777777" w:rsidR="000A72EC" w:rsidRPr="000A72EC" w:rsidRDefault="000A72EC" w:rsidP="000A72EC">
            <w:pPr>
              <w:rPr>
                <w:rFonts w:ascii="Cambria" w:hAnsi="Cambria" w:cs="Times New Roman"/>
              </w:rPr>
            </w:pPr>
            <w:r w:rsidRPr="000A72EC">
              <w:rPr>
                <w:rFonts w:ascii="Cambria" w:hAnsi="Cambria" w:cs="Times New Roman"/>
              </w:rPr>
              <w:t>Any Sensory Loss</w:t>
            </w:r>
            <w:r w:rsidRPr="000A72EC">
              <w:rPr>
                <w:rFonts w:ascii="Cambria" w:hAnsi="Cambria" w:cs="Times New Roman"/>
              </w:rPr>
              <w:br/>
              <w:t>Mean (SD)</w:t>
            </w:r>
          </w:p>
        </w:tc>
        <w:tc>
          <w:tcPr>
            <w:tcW w:w="1440" w:type="dxa"/>
            <w:shd w:val="clear" w:color="auto" w:fill="C6D9F1"/>
          </w:tcPr>
          <w:p w14:paraId="1DB8482B" w14:textId="77777777" w:rsidR="000A72EC" w:rsidRPr="000A72EC" w:rsidRDefault="000A72EC" w:rsidP="000A72EC">
            <w:pPr>
              <w:rPr>
                <w:rFonts w:ascii="Cambria" w:hAnsi="Cambria" w:cs="Times New Roman"/>
              </w:rPr>
            </w:pPr>
            <w:r w:rsidRPr="000A72EC">
              <w:rPr>
                <w:rFonts w:ascii="Cambria" w:hAnsi="Cambria" w:cs="Times New Roman"/>
              </w:rPr>
              <w:t>t</w:t>
            </w:r>
          </w:p>
        </w:tc>
        <w:tc>
          <w:tcPr>
            <w:tcW w:w="1440" w:type="dxa"/>
            <w:shd w:val="clear" w:color="auto" w:fill="C6D9F1"/>
          </w:tcPr>
          <w:p w14:paraId="41B567FF" w14:textId="77777777" w:rsidR="000A72EC" w:rsidRPr="000A72EC" w:rsidRDefault="000A72EC" w:rsidP="000A72EC">
            <w:pPr>
              <w:rPr>
                <w:rFonts w:ascii="Cambria" w:hAnsi="Cambria" w:cs="Times New Roman"/>
              </w:rPr>
            </w:pPr>
            <w:proofErr w:type="spellStart"/>
            <w:r w:rsidRPr="000A72EC">
              <w:rPr>
                <w:rFonts w:ascii="Cambria" w:hAnsi="Cambria" w:cs="Times New Roman"/>
              </w:rPr>
              <w:t>df</w:t>
            </w:r>
            <w:proofErr w:type="spellEnd"/>
          </w:p>
        </w:tc>
        <w:tc>
          <w:tcPr>
            <w:tcW w:w="1440" w:type="dxa"/>
            <w:shd w:val="clear" w:color="auto" w:fill="C6D9F1"/>
          </w:tcPr>
          <w:p w14:paraId="67637B53" w14:textId="77777777" w:rsidR="000A72EC" w:rsidRPr="000A72EC" w:rsidRDefault="000A72EC" w:rsidP="000A72EC">
            <w:pPr>
              <w:rPr>
                <w:rFonts w:ascii="Cambria" w:hAnsi="Cambria" w:cs="Times New Roman"/>
              </w:rPr>
            </w:pPr>
            <w:r w:rsidRPr="000A72EC">
              <w:rPr>
                <w:rFonts w:ascii="Cambria" w:hAnsi="Cambria" w:cs="Times New Roman"/>
              </w:rPr>
              <w:t>p-value</w:t>
            </w:r>
          </w:p>
        </w:tc>
      </w:tr>
      <w:tr w:rsidR="000A72EC" w:rsidRPr="000A72EC" w14:paraId="2EE0D377" w14:textId="77777777" w:rsidTr="00612577">
        <w:tc>
          <w:tcPr>
            <w:tcW w:w="1440" w:type="dxa"/>
          </w:tcPr>
          <w:p w14:paraId="1A92BDE2" w14:textId="77777777" w:rsidR="000A72EC" w:rsidRPr="000A72EC" w:rsidRDefault="000A72EC" w:rsidP="000A72EC">
            <w:pPr>
              <w:rPr>
                <w:rFonts w:ascii="Cambria" w:hAnsi="Cambria" w:cs="Times New Roman"/>
              </w:rPr>
            </w:pPr>
            <w:r w:rsidRPr="000A72EC">
              <w:rPr>
                <w:rFonts w:ascii="Cambria" w:hAnsi="Cambria" w:cs="Times New Roman"/>
              </w:rPr>
              <w:t>Height (in)</w:t>
            </w:r>
          </w:p>
        </w:tc>
        <w:tc>
          <w:tcPr>
            <w:tcW w:w="1440" w:type="dxa"/>
          </w:tcPr>
          <w:p w14:paraId="0A8B54A8" w14:textId="77777777" w:rsidR="000A72EC" w:rsidRPr="000A72EC" w:rsidRDefault="000A72EC" w:rsidP="000A72EC">
            <w:pPr>
              <w:rPr>
                <w:rFonts w:ascii="Cambria" w:hAnsi="Cambria" w:cs="Times New Roman"/>
              </w:rPr>
            </w:pPr>
            <w:r w:rsidRPr="000A72EC">
              <w:rPr>
                <w:rFonts w:ascii="Cambria" w:hAnsi="Cambria" w:cs="Times New Roman"/>
              </w:rPr>
              <w:t>68.63 (4.35)</w:t>
            </w:r>
          </w:p>
        </w:tc>
        <w:tc>
          <w:tcPr>
            <w:tcW w:w="1440" w:type="dxa"/>
          </w:tcPr>
          <w:p w14:paraId="1E3B646F" w14:textId="77777777" w:rsidR="000A72EC" w:rsidRPr="000A72EC" w:rsidRDefault="000A72EC" w:rsidP="000A72EC">
            <w:pPr>
              <w:rPr>
                <w:rFonts w:ascii="Cambria" w:hAnsi="Cambria" w:cs="Times New Roman"/>
              </w:rPr>
            </w:pPr>
            <w:r w:rsidRPr="000A72EC">
              <w:rPr>
                <w:rFonts w:ascii="Cambria" w:hAnsi="Cambria" w:cs="Times New Roman"/>
              </w:rPr>
              <w:t>67.04 (4.32)</w:t>
            </w:r>
          </w:p>
        </w:tc>
        <w:tc>
          <w:tcPr>
            <w:tcW w:w="1440" w:type="dxa"/>
          </w:tcPr>
          <w:p w14:paraId="6788C107" w14:textId="77777777" w:rsidR="000A72EC" w:rsidRPr="000A72EC" w:rsidRDefault="000A72EC" w:rsidP="000A72EC">
            <w:pPr>
              <w:rPr>
                <w:rFonts w:ascii="Cambria" w:hAnsi="Cambria" w:cs="Times New Roman"/>
              </w:rPr>
            </w:pPr>
            <w:r w:rsidRPr="000A72EC">
              <w:rPr>
                <w:rFonts w:ascii="Cambria" w:hAnsi="Cambria" w:cs="Times New Roman"/>
              </w:rPr>
              <w:t>5.743</w:t>
            </w:r>
          </w:p>
        </w:tc>
        <w:tc>
          <w:tcPr>
            <w:tcW w:w="1440" w:type="dxa"/>
          </w:tcPr>
          <w:p w14:paraId="0462070F" w14:textId="77777777" w:rsidR="000A72EC" w:rsidRPr="000A72EC" w:rsidRDefault="000A72EC" w:rsidP="000A72EC">
            <w:pPr>
              <w:rPr>
                <w:rFonts w:ascii="Cambria" w:hAnsi="Cambria" w:cs="Times New Roman"/>
              </w:rPr>
            </w:pPr>
            <w:r w:rsidRPr="000A72EC">
              <w:rPr>
                <w:rFonts w:ascii="Cambria" w:hAnsi="Cambria" w:cs="Times New Roman"/>
              </w:rPr>
              <w:t>1100</w:t>
            </w:r>
          </w:p>
        </w:tc>
        <w:tc>
          <w:tcPr>
            <w:tcW w:w="1440" w:type="dxa"/>
          </w:tcPr>
          <w:p w14:paraId="3FB571F0" w14:textId="77777777" w:rsidR="000A72EC" w:rsidRPr="000A72EC" w:rsidRDefault="000A72EC" w:rsidP="000A72EC">
            <w:pPr>
              <w:rPr>
                <w:rFonts w:ascii="Cambria" w:hAnsi="Cambria" w:cs="Times New Roman"/>
              </w:rPr>
            </w:pPr>
            <w:r w:rsidRPr="000A72EC">
              <w:rPr>
                <w:rFonts w:ascii="Cambria" w:hAnsi="Cambria" w:cs="Times New Roman"/>
              </w:rPr>
              <w:t>&lt;0.001</w:t>
            </w:r>
          </w:p>
        </w:tc>
      </w:tr>
      <w:tr w:rsidR="000A72EC" w:rsidRPr="000A72EC" w14:paraId="448EE6F6" w14:textId="77777777" w:rsidTr="00612577">
        <w:tc>
          <w:tcPr>
            <w:tcW w:w="1440" w:type="dxa"/>
          </w:tcPr>
          <w:p w14:paraId="021D3674" w14:textId="77777777" w:rsidR="000A72EC" w:rsidRPr="000A72EC" w:rsidRDefault="000A72EC" w:rsidP="000A72EC">
            <w:pPr>
              <w:rPr>
                <w:rFonts w:ascii="Cambria" w:hAnsi="Cambria" w:cs="Times New Roman"/>
              </w:rPr>
            </w:pPr>
            <w:r w:rsidRPr="000A72EC">
              <w:rPr>
                <w:rFonts w:ascii="Cambria" w:hAnsi="Cambria" w:cs="Times New Roman"/>
              </w:rPr>
              <w:t>HbA1c (%)</w:t>
            </w:r>
          </w:p>
        </w:tc>
        <w:tc>
          <w:tcPr>
            <w:tcW w:w="1440" w:type="dxa"/>
          </w:tcPr>
          <w:p w14:paraId="35BEB8CA" w14:textId="77777777" w:rsidR="000A72EC" w:rsidRPr="000A72EC" w:rsidRDefault="000A72EC" w:rsidP="000A72EC">
            <w:pPr>
              <w:rPr>
                <w:rFonts w:ascii="Cambria" w:hAnsi="Cambria" w:cs="Times New Roman"/>
              </w:rPr>
            </w:pPr>
            <w:r w:rsidRPr="000A72EC">
              <w:rPr>
                <w:rFonts w:ascii="Cambria" w:hAnsi="Cambria" w:cs="Times New Roman"/>
              </w:rPr>
              <w:t>7.85 (2.29)</w:t>
            </w:r>
          </w:p>
        </w:tc>
        <w:tc>
          <w:tcPr>
            <w:tcW w:w="1440" w:type="dxa"/>
          </w:tcPr>
          <w:p w14:paraId="70C3DD25" w14:textId="77777777" w:rsidR="000A72EC" w:rsidRPr="000A72EC" w:rsidRDefault="000A72EC" w:rsidP="000A72EC">
            <w:pPr>
              <w:rPr>
                <w:rFonts w:ascii="Cambria" w:hAnsi="Cambria" w:cs="Times New Roman"/>
              </w:rPr>
            </w:pPr>
            <w:r w:rsidRPr="000A72EC">
              <w:rPr>
                <w:rFonts w:ascii="Cambria" w:hAnsi="Cambria" w:cs="Times New Roman"/>
              </w:rPr>
              <w:t>7.48 (1.85)</w:t>
            </w:r>
          </w:p>
        </w:tc>
        <w:tc>
          <w:tcPr>
            <w:tcW w:w="1440" w:type="dxa"/>
          </w:tcPr>
          <w:p w14:paraId="2507DB64" w14:textId="77777777" w:rsidR="000A72EC" w:rsidRPr="000A72EC" w:rsidRDefault="000A72EC" w:rsidP="000A72EC">
            <w:pPr>
              <w:rPr>
                <w:rFonts w:ascii="Cambria" w:hAnsi="Cambria" w:cs="Times New Roman"/>
              </w:rPr>
            </w:pPr>
            <w:r w:rsidRPr="000A72EC">
              <w:rPr>
                <w:rFonts w:ascii="Cambria" w:hAnsi="Cambria" w:cs="Times New Roman"/>
              </w:rPr>
              <w:t>3.46</w:t>
            </w:r>
          </w:p>
        </w:tc>
        <w:tc>
          <w:tcPr>
            <w:tcW w:w="1440" w:type="dxa"/>
          </w:tcPr>
          <w:p w14:paraId="3978440D" w14:textId="77777777" w:rsidR="000A72EC" w:rsidRPr="000A72EC" w:rsidRDefault="000A72EC" w:rsidP="000A72EC">
            <w:pPr>
              <w:rPr>
                <w:rFonts w:ascii="Cambria" w:hAnsi="Cambria" w:cs="Times New Roman"/>
              </w:rPr>
            </w:pPr>
            <w:r w:rsidRPr="000A72EC">
              <w:rPr>
                <w:rFonts w:ascii="Cambria" w:hAnsi="Cambria" w:cs="Times New Roman"/>
              </w:rPr>
              <w:t>1081</w:t>
            </w:r>
          </w:p>
        </w:tc>
        <w:tc>
          <w:tcPr>
            <w:tcW w:w="1440" w:type="dxa"/>
          </w:tcPr>
          <w:p w14:paraId="55D76D74" w14:textId="77777777" w:rsidR="000A72EC" w:rsidRPr="000A72EC" w:rsidRDefault="000A72EC" w:rsidP="000A72EC">
            <w:pPr>
              <w:rPr>
                <w:rFonts w:ascii="Cambria" w:hAnsi="Cambria" w:cs="Times New Roman"/>
              </w:rPr>
            </w:pPr>
            <w:r w:rsidRPr="000A72EC">
              <w:rPr>
                <w:rFonts w:ascii="Cambria" w:hAnsi="Cambria" w:cs="Times New Roman"/>
              </w:rPr>
              <w:t>&lt;0.001</w:t>
            </w:r>
          </w:p>
        </w:tc>
      </w:tr>
      <w:tr w:rsidR="000A72EC" w:rsidRPr="000A72EC" w14:paraId="1C98F849" w14:textId="77777777" w:rsidTr="00612577">
        <w:tc>
          <w:tcPr>
            <w:tcW w:w="1440" w:type="dxa"/>
          </w:tcPr>
          <w:p w14:paraId="393F53D1" w14:textId="77777777" w:rsidR="000A72EC" w:rsidRPr="000A72EC" w:rsidRDefault="000A72EC" w:rsidP="000A72EC">
            <w:pPr>
              <w:rPr>
                <w:rFonts w:ascii="Cambria" w:hAnsi="Cambria" w:cs="Times New Roman"/>
              </w:rPr>
            </w:pPr>
            <w:r w:rsidRPr="000A72EC">
              <w:rPr>
                <w:rFonts w:ascii="Cambria" w:hAnsi="Cambria" w:cs="Times New Roman"/>
              </w:rPr>
              <w:t>BMI (kg/m²)</w:t>
            </w:r>
          </w:p>
        </w:tc>
        <w:tc>
          <w:tcPr>
            <w:tcW w:w="1440" w:type="dxa"/>
          </w:tcPr>
          <w:p w14:paraId="4D7F5AB5" w14:textId="77777777" w:rsidR="000A72EC" w:rsidRPr="000A72EC" w:rsidRDefault="000A72EC" w:rsidP="000A72EC">
            <w:pPr>
              <w:rPr>
                <w:rFonts w:ascii="Cambria" w:hAnsi="Cambria" w:cs="Times New Roman"/>
              </w:rPr>
            </w:pPr>
            <w:r w:rsidRPr="000A72EC">
              <w:rPr>
                <w:rFonts w:ascii="Cambria" w:hAnsi="Cambria" w:cs="Times New Roman"/>
              </w:rPr>
              <w:t>36.03 (10.39)</w:t>
            </w:r>
          </w:p>
        </w:tc>
        <w:tc>
          <w:tcPr>
            <w:tcW w:w="1440" w:type="dxa"/>
          </w:tcPr>
          <w:p w14:paraId="29C7AD2B" w14:textId="77777777" w:rsidR="000A72EC" w:rsidRPr="000A72EC" w:rsidRDefault="000A72EC" w:rsidP="000A72EC">
            <w:pPr>
              <w:rPr>
                <w:rFonts w:ascii="Cambria" w:hAnsi="Cambria" w:cs="Times New Roman"/>
              </w:rPr>
            </w:pPr>
            <w:r w:rsidRPr="000A72EC">
              <w:rPr>
                <w:rFonts w:ascii="Cambria" w:hAnsi="Cambria" w:cs="Times New Roman"/>
              </w:rPr>
              <w:t>33.97 (8.79)</w:t>
            </w:r>
          </w:p>
        </w:tc>
        <w:tc>
          <w:tcPr>
            <w:tcW w:w="1440" w:type="dxa"/>
          </w:tcPr>
          <w:p w14:paraId="6C4B152C" w14:textId="77777777" w:rsidR="000A72EC" w:rsidRPr="000A72EC" w:rsidRDefault="000A72EC" w:rsidP="000A72EC">
            <w:pPr>
              <w:rPr>
                <w:rFonts w:ascii="Cambria" w:hAnsi="Cambria" w:cs="Times New Roman"/>
              </w:rPr>
            </w:pPr>
            <w:r w:rsidRPr="000A72EC">
              <w:rPr>
                <w:rFonts w:ascii="Cambria" w:hAnsi="Cambria" w:cs="Times New Roman"/>
              </w:rPr>
              <w:t>3.275</w:t>
            </w:r>
          </w:p>
        </w:tc>
        <w:tc>
          <w:tcPr>
            <w:tcW w:w="1440" w:type="dxa"/>
          </w:tcPr>
          <w:p w14:paraId="17782EED" w14:textId="77777777" w:rsidR="000A72EC" w:rsidRPr="000A72EC" w:rsidRDefault="000A72EC" w:rsidP="000A72EC">
            <w:pPr>
              <w:rPr>
                <w:rFonts w:ascii="Cambria" w:hAnsi="Cambria" w:cs="Times New Roman"/>
              </w:rPr>
            </w:pPr>
            <w:r w:rsidRPr="000A72EC">
              <w:rPr>
                <w:rFonts w:ascii="Cambria" w:hAnsi="Cambria" w:cs="Times New Roman"/>
              </w:rPr>
              <w:t>1100</w:t>
            </w:r>
          </w:p>
        </w:tc>
        <w:tc>
          <w:tcPr>
            <w:tcW w:w="1440" w:type="dxa"/>
          </w:tcPr>
          <w:p w14:paraId="78ACE9F9" w14:textId="77777777" w:rsidR="000A72EC" w:rsidRPr="000A72EC" w:rsidRDefault="000A72EC" w:rsidP="000A72EC">
            <w:pPr>
              <w:rPr>
                <w:rFonts w:ascii="Cambria" w:hAnsi="Cambria" w:cs="Times New Roman"/>
              </w:rPr>
            </w:pPr>
            <w:r w:rsidRPr="000A72EC">
              <w:rPr>
                <w:rFonts w:ascii="Cambria" w:hAnsi="Cambria" w:cs="Times New Roman"/>
              </w:rPr>
              <w:t>=0.001</w:t>
            </w:r>
          </w:p>
        </w:tc>
      </w:tr>
      <w:tr w:rsidR="000A72EC" w:rsidRPr="000A72EC" w14:paraId="05199FE4" w14:textId="77777777" w:rsidTr="00612577">
        <w:tc>
          <w:tcPr>
            <w:tcW w:w="1440" w:type="dxa"/>
          </w:tcPr>
          <w:p w14:paraId="3379C1B1" w14:textId="77777777" w:rsidR="000A72EC" w:rsidRPr="000A72EC" w:rsidRDefault="000A72EC" w:rsidP="000A72EC">
            <w:pPr>
              <w:rPr>
                <w:rFonts w:ascii="Cambria" w:hAnsi="Cambria" w:cs="Times New Roman"/>
              </w:rPr>
            </w:pPr>
            <w:r w:rsidRPr="000A72EC">
              <w:rPr>
                <w:rFonts w:ascii="Cambria" w:hAnsi="Cambria" w:cs="Times New Roman"/>
              </w:rPr>
              <w:t>Age (years)</w:t>
            </w:r>
          </w:p>
        </w:tc>
        <w:tc>
          <w:tcPr>
            <w:tcW w:w="1440" w:type="dxa"/>
          </w:tcPr>
          <w:p w14:paraId="61086D7A" w14:textId="77777777" w:rsidR="000A72EC" w:rsidRPr="000A72EC" w:rsidRDefault="000A72EC" w:rsidP="000A72EC">
            <w:pPr>
              <w:rPr>
                <w:rFonts w:ascii="Cambria" w:hAnsi="Cambria" w:cs="Times New Roman"/>
              </w:rPr>
            </w:pPr>
            <w:r w:rsidRPr="000A72EC">
              <w:rPr>
                <w:rFonts w:ascii="Cambria" w:hAnsi="Cambria" w:cs="Times New Roman"/>
              </w:rPr>
              <w:t>61.23 (12.42)</w:t>
            </w:r>
          </w:p>
        </w:tc>
        <w:tc>
          <w:tcPr>
            <w:tcW w:w="1440" w:type="dxa"/>
          </w:tcPr>
          <w:p w14:paraId="1B5CDAC8" w14:textId="77777777" w:rsidR="000A72EC" w:rsidRPr="000A72EC" w:rsidRDefault="000A72EC" w:rsidP="000A72EC">
            <w:pPr>
              <w:rPr>
                <w:rFonts w:ascii="Cambria" w:hAnsi="Cambria" w:cs="Times New Roman"/>
              </w:rPr>
            </w:pPr>
            <w:r w:rsidRPr="000A72EC">
              <w:rPr>
                <w:rFonts w:ascii="Cambria" w:hAnsi="Cambria" w:cs="Times New Roman"/>
              </w:rPr>
              <w:t>63.16 (12.48)</w:t>
            </w:r>
          </w:p>
        </w:tc>
        <w:tc>
          <w:tcPr>
            <w:tcW w:w="1440" w:type="dxa"/>
          </w:tcPr>
          <w:p w14:paraId="5441EEFD" w14:textId="77777777" w:rsidR="000A72EC" w:rsidRPr="000A72EC" w:rsidRDefault="000A72EC" w:rsidP="000A72EC">
            <w:pPr>
              <w:rPr>
                <w:rFonts w:ascii="Cambria" w:hAnsi="Cambria" w:cs="Times New Roman"/>
              </w:rPr>
            </w:pPr>
            <w:r w:rsidRPr="000A72EC">
              <w:rPr>
                <w:rFonts w:ascii="Cambria" w:hAnsi="Cambria" w:cs="Times New Roman"/>
              </w:rPr>
              <w:t>-2.77</w:t>
            </w:r>
          </w:p>
        </w:tc>
        <w:tc>
          <w:tcPr>
            <w:tcW w:w="1440" w:type="dxa"/>
          </w:tcPr>
          <w:p w14:paraId="007A52EE" w14:textId="77777777" w:rsidR="000A72EC" w:rsidRPr="000A72EC" w:rsidRDefault="000A72EC" w:rsidP="000A72EC">
            <w:pPr>
              <w:rPr>
                <w:rFonts w:ascii="Cambria" w:hAnsi="Cambria" w:cs="Times New Roman"/>
              </w:rPr>
            </w:pPr>
            <w:r w:rsidRPr="000A72EC">
              <w:rPr>
                <w:rFonts w:ascii="Cambria" w:hAnsi="Cambria" w:cs="Times New Roman"/>
              </w:rPr>
              <w:t>1100</w:t>
            </w:r>
          </w:p>
        </w:tc>
        <w:tc>
          <w:tcPr>
            <w:tcW w:w="1440" w:type="dxa"/>
          </w:tcPr>
          <w:p w14:paraId="6FCC20F7" w14:textId="77777777" w:rsidR="000A72EC" w:rsidRPr="000A72EC" w:rsidRDefault="000A72EC" w:rsidP="000A72EC">
            <w:pPr>
              <w:rPr>
                <w:rFonts w:ascii="Cambria" w:hAnsi="Cambria" w:cs="Times New Roman"/>
              </w:rPr>
            </w:pPr>
            <w:r w:rsidRPr="000A72EC">
              <w:rPr>
                <w:rFonts w:ascii="Cambria" w:hAnsi="Cambria" w:cs="Times New Roman"/>
              </w:rPr>
              <w:t>=0.006</w:t>
            </w:r>
          </w:p>
        </w:tc>
      </w:tr>
      <w:tr w:rsidR="000A72EC" w:rsidRPr="000A72EC" w14:paraId="20AF8F4F" w14:textId="77777777" w:rsidTr="00612577">
        <w:tc>
          <w:tcPr>
            <w:tcW w:w="1440" w:type="dxa"/>
          </w:tcPr>
          <w:p w14:paraId="4317AC18" w14:textId="77777777" w:rsidR="000A72EC" w:rsidRPr="000A72EC" w:rsidRDefault="000A72EC" w:rsidP="000A72EC">
            <w:pPr>
              <w:rPr>
                <w:rFonts w:ascii="Cambria" w:hAnsi="Cambria" w:cs="Times New Roman"/>
              </w:rPr>
            </w:pPr>
            <w:r w:rsidRPr="000A72EC">
              <w:rPr>
                <w:rFonts w:ascii="Cambria" w:hAnsi="Cambria" w:cs="Times New Roman"/>
              </w:rPr>
              <w:t>Duration of Diabetes (years)</w:t>
            </w:r>
          </w:p>
        </w:tc>
        <w:tc>
          <w:tcPr>
            <w:tcW w:w="1440" w:type="dxa"/>
          </w:tcPr>
          <w:p w14:paraId="7E31EC62" w14:textId="77777777" w:rsidR="000A72EC" w:rsidRPr="000A72EC" w:rsidRDefault="000A72EC" w:rsidP="000A72EC">
            <w:pPr>
              <w:rPr>
                <w:rFonts w:ascii="Cambria" w:hAnsi="Cambria" w:cs="Times New Roman"/>
              </w:rPr>
            </w:pPr>
            <w:r w:rsidRPr="000A72EC">
              <w:rPr>
                <w:rFonts w:ascii="Cambria" w:hAnsi="Cambria" w:cs="Times New Roman"/>
              </w:rPr>
              <w:t>15.13 (10.51)</w:t>
            </w:r>
          </w:p>
        </w:tc>
        <w:tc>
          <w:tcPr>
            <w:tcW w:w="1440" w:type="dxa"/>
          </w:tcPr>
          <w:p w14:paraId="5C46595F" w14:textId="77777777" w:rsidR="000A72EC" w:rsidRPr="000A72EC" w:rsidRDefault="000A72EC" w:rsidP="000A72EC">
            <w:pPr>
              <w:rPr>
                <w:rFonts w:ascii="Cambria" w:hAnsi="Cambria" w:cs="Times New Roman"/>
              </w:rPr>
            </w:pPr>
            <w:r w:rsidRPr="000A72EC">
              <w:rPr>
                <w:rFonts w:ascii="Cambria" w:hAnsi="Cambria" w:cs="Times New Roman"/>
              </w:rPr>
              <w:t>14.45 (10.71)</w:t>
            </w:r>
          </w:p>
        </w:tc>
        <w:tc>
          <w:tcPr>
            <w:tcW w:w="1440" w:type="dxa"/>
          </w:tcPr>
          <w:p w14:paraId="11DF6F66" w14:textId="77777777" w:rsidR="000A72EC" w:rsidRPr="000A72EC" w:rsidRDefault="000A72EC" w:rsidP="000A72EC">
            <w:pPr>
              <w:rPr>
                <w:rFonts w:ascii="Cambria" w:hAnsi="Cambria" w:cs="Times New Roman"/>
              </w:rPr>
            </w:pPr>
            <w:r w:rsidRPr="000A72EC">
              <w:rPr>
                <w:rFonts w:ascii="Cambria" w:hAnsi="Cambria" w:cs="Times New Roman"/>
              </w:rPr>
              <w:t>0.865</w:t>
            </w:r>
          </w:p>
        </w:tc>
        <w:tc>
          <w:tcPr>
            <w:tcW w:w="1440" w:type="dxa"/>
          </w:tcPr>
          <w:p w14:paraId="43C16662" w14:textId="77777777" w:rsidR="000A72EC" w:rsidRPr="000A72EC" w:rsidRDefault="000A72EC" w:rsidP="000A72EC">
            <w:pPr>
              <w:rPr>
                <w:rFonts w:ascii="Cambria" w:hAnsi="Cambria" w:cs="Times New Roman"/>
              </w:rPr>
            </w:pPr>
            <w:r w:rsidRPr="000A72EC">
              <w:rPr>
                <w:rFonts w:ascii="Cambria" w:hAnsi="Cambria" w:cs="Times New Roman"/>
              </w:rPr>
              <w:t>1100</w:t>
            </w:r>
          </w:p>
        </w:tc>
        <w:tc>
          <w:tcPr>
            <w:tcW w:w="1440" w:type="dxa"/>
          </w:tcPr>
          <w:p w14:paraId="6D819EA2" w14:textId="77777777" w:rsidR="000A72EC" w:rsidRPr="000A72EC" w:rsidRDefault="000A72EC" w:rsidP="000A72EC">
            <w:pPr>
              <w:rPr>
                <w:rFonts w:ascii="Cambria" w:hAnsi="Cambria" w:cs="Times New Roman"/>
              </w:rPr>
            </w:pPr>
            <w:r w:rsidRPr="000A72EC">
              <w:rPr>
                <w:rFonts w:ascii="Cambria" w:hAnsi="Cambria" w:cs="Times New Roman"/>
              </w:rPr>
              <w:t>=0.387</w:t>
            </w:r>
          </w:p>
        </w:tc>
      </w:tr>
      <w:bookmarkEnd w:id="0"/>
    </w:tbl>
    <w:p w14:paraId="0A199741" w14:textId="77777777" w:rsidR="000A72EC" w:rsidRPr="000A72EC" w:rsidRDefault="000A72EC" w:rsidP="000A72EC">
      <w:pPr>
        <w:spacing w:after="200" w:line="276" w:lineRule="auto"/>
        <w:rPr>
          <w:rFonts w:ascii="Cambria" w:eastAsia="MS Mincho" w:hAnsi="Cambria" w:cs="Times New Roman"/>
          <w:kern w:val="0"/>
          <w:sz w:val="22"/>
          <w:szCs w:val="22"/>
          <w14:ligatures w14:val="none"/>
        </w:rPr>
      </w:pPr>
    </w:p>
    <w:p w14:paraId="12CC4C04" w14:textId="77777777" w:rsidR="000A72EC" w:rsidRPr="000A72EC" w:rsidRDefault="000A72EC" w:rsidP="000A72EC">
      <w:pPr>
        <w:rPr>
          <w:rFonts w:ascii="Times New Roman" w:hAnsi="Times New Roman" w:cs="Times New Roman"/>
        </w:rPr>
      </w:pPr>
      <w:r w:rsidRPr="000A72EC">
        <w:rPr>
          <w:rFonts w:ascii="Times New Roman" w:hAnsi="Times New Roman" w:cs="Times New Roman"/>
        </w:rPr>
        <w:t>Table 1 caption: This table presents the mean and standard deviation (SD) of continuous clinical and demographic variables among limbs with stocking distribution sensory loss compared to those with any sensory loss. Statistical comparisons were performed using independent samples t-tests. Height (in), Hemoglobin A1c (%), and body mass index (BMI, kg/m²) were all significantly higher in limbs with stocking distribution loss.</w:t>
      </w:r>
    </w:p>
    <w:p w14:paraId="0E46ECB5" w14:textId="428D0028" w:rsidR="008F5FF2" w:rsidRPr="000A72EC" w:rsidRDefault="008F5FF2" w:rsidP="000A72EC"/>
    <w:sectPr w:rsidR="008F5FF2" w:rsidRPr="000A7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EC"/>
    <w:rsid w:val="000A72EC"/>
    <w:rsid w:val="005E6D24"/>
    <w:rsid w:val="008F5FF2"/>
    <w:rsid w:val="009A40EB"/>
    <w:rsid w:val="00FF3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BE7F"/>
  <w15:chartTrackingRefBased/>
  <w15:docId w15:val="{6D57F337-6C30-43FC-B64A-99E2C0F6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2EC"/>
  </w:style>
  <w:style w:type="paragraph" w:styleId="Heading1">
    <w:name w:val="heading 1"/>
    <w:basedOn w:val="Normal"/>
    <w:next w:val="Normal"/>
    <w:link w:val="Heading1Char"/>
    <w:uiPriority w:val="9"/>
    <w:qFormat/>
    <w:rsid w:val="000A72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2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2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2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2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2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2EC"/>
    <w:rPr>
      <w:rFonts w:eastAsiaTheme="majorEastAsia" w:cstheme="majorBidi"/>
      <w:color w:val="272727" w:themeColor="text1" w:themeTint="D8"/>
    </w:rPr>
  </w:style>
  <w:style w:type="paragraph" w:styleId="Title">
    <w:name w:val="Title"/>
    <w:basedOn w:val="Normal"/>
    <w:next w:val="Normal"/>
    <w:link w:val="TitleChar"/>
    <w:uiPriority w:val="10"/>
    <w:qFormat/>
    <w:rsid w:val="000A72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2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2EC"/>
    <w:pPr>
      <w:spacing w:before="160"/>
      <w:jc w:val="center"/>
    </w:pPr>
    <w:rPr>
      <w:i/>
      <w:iCs/>
      <w:color w:val="404040" w:themeColor="text1" w:themeTint="BF"/>
    </w:rPr>
  </w:style>
  <w:style w:type="character" w:customStyle="1" w:styleId="QuoteChar">
    <w:name w:val="Quote Char"/>
    <w:basedOn w:val="DefaultParagraphFont"/>
    <w:link w:val="Quote"/>
    <w:uiPriority w:val="29"/>
    <w:rsid w:val="000A72EC"/>
    <w:rPr>
      <w:i/>
      <w:iCs/>
      <w:color w:val="404040" w:themeColor="text1" w:themeTint="BF"/>
    </w:rPr>
  </w:style>
  <w:style w:type="paragraph" w:styleId="ListParagraph">
    <w:name w:val="List Paragraph"/>
    <w:basedOn w:val="Normal"/>
    <w:uiPriority w:val="34"/>
    <w:qFormat/>
    <w:rsid w:val="000A72EC"/>
    <w:pPr>
      <w:ind w:left="720"/>
      <w:contextualSpacing/>
    </w:pPr>
  </w:style>
  <w:style w:type="character" w:styleId="IntenseEmphasis">
    <w:name w:val="Intense Emphasis"/>
    <w:basedOn w:val="DefaultParagraphFont"/>
    <w:uiPriority w:val="21"/>
    <w:qFormat/>
    <w:rsid w:val="000A72EC"/>
    <w:rPr>
      <w:i/>
      <w:iCs/>
      <w:color w:val="0F4761" w:themeColor="accent1" w:themeShade="BF"/>
    </w:rPr>
  </w:style>
  <w:style w:type="paragraph" w:styleId="IntenseQuote">
    <w:name w:val="Intense Quote"/>
    <w:basedOn w:val="Normal"/>
    <w:next w:val="Normal"/>
    <w:link w:val="IntenseQuoteChar"/>
    <w:uiPriority w:val="30"/>
    <w:qFormat/>
    <w:rsid w:val="000A7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2EC"/>
    <w:rPr>
      <w:i/>
      <w:iCs/>
      <w:color w:val="0F4761" w:themeColor="accent1" w:themeShade="BF"/>
    </w:rPr>
  </w:style>
  <w:style w:type="character" w:styleId="IntenseReference">
    <w:name w:val="Intense Reference"/>
    <w:basedOn w:val="DefaultParagraphFont"/>
    <w:uiPriority w:val="32"/>
    <w:qFormat/>
    <w:rsid w:val="000A72EC"/>
    <w:rPr>
      <w:b/>
      <w:bCs/>
      <w:smallCaps/>
      <w:color w:val="0F4761" w:themeColor="accent1" w:themeShade="BF"/>
      <w:spacing w:val="5"/>
    </w:rPr>
  </w:style>
  <w:style w:type="table" w:customStyle="1" w:styleId="TableGrid1">
    <w:name w:val="Table Grid1"/>
    <w:basedOn w:val="TableNormal"/>
    <w:next w:val="TableGrid"/>
    <w:uiPriority w:val="59"/>
    <w:rsid w:val="000A72EC"/>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7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A72EC"/>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728</Characters>
  <Application>Microsoft Office Word</Application>
  <DocSecurity>0</DocSecurity>
  <Lines>11</Lines>
  <Paragraphs>4</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Rader</dc:creator>
  <cp:keywords/>
  <dc:description/>
  <cp:lastModifiedBy>Andrew Rader</cp:lastModifiedBy>
  <cp:revision>1</cp:revision>
  <dcterms:created xsi:type="dcterms:W3CDTF">2025-07-09T15:04:00Z</dcterms:created>
  <dcterms:modified xsi:type="dcterms:W3CDTF">2025-07-09T15:06:00Z</dcterms:modified>
</cp:coreProperties>
</file>