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5661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upplementary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material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1DE9F7F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S1</w:t>
      </w:r>
      <w:r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Flowchart of patient selection.</w:t>
      </w:r>
    </w:p>
    <w:p w14:paraId="7B7DB35D">
      <w:pPr>
        <w:spacing w:line="480" w:lineRule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inline distT="0" distB="0" distL="114300" distR="114300">
            <wp:extent cx="5271770" cy="3161665"/>
            <wp:effectExtent l="0" t="0" r="1270" b="8255"/>
            <wp:docPr id="5" name="图片 5" descr="Figure S1. Flowchart of patient sel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1. Flowchart of patient selection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71BF">
      <w:pPr>
        <w:widowControl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bookmarkStart w:id="0" w:name="OLE_LINK2"/>
    </w:p>
    <w:p w14:paraId="7F75F5CF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This figure presents the enrollment information of patients included in this study.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EVT, endovascular therapy; FPG, fasting plasma glucose; HbA1c, glycated hemoglobin; LAA, large artery atherosclerosis; CE, cardioembolism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</w:p>
    <w:p w14:paraId="70E3695B">
      <w:pPr>
        <w:widowControl/>
        <w:textAlignment w:val="center"/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</w:pPr>
    </w:p>
    <w:p w14:paraId="31AAA9A3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 xml:space="preserve">Figure S2.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</w:t>
      </w:r>
      <w:r>
        <w:rPr>
          <w:rFonts w:hint="eastAsia" w:ascii="Times New Roman" w:hAnsi="Times New Roman" w:cs="Times New Roman"/>
          <w:sz w:val="21"/>
          <w:szCs w:val="21"/>
        </w:rPr>
        <w:t xml:space="preserve">omparable distributions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TyG</w:t>
      </w:r>
      <w:r>
        <w:rPr>
          <w:rFonts w:hint="eastAsia" w:ascii="Times New Roman" w:hAnsi="Times New Roman" w:cs="Times New Roman"/>
          <w:sz w:val="21"/>
          <w:szCs w:val="21"/>
        </w:rPr>
        <w:t xml:space="preserve"> index across tertiles in patients with LAA and CE strokes</w:t>
      </w:r>
    </w:p>
    <w:bookmarkEnd w:id="0"/>
    <w:p w14:paraId="48A588F2">
      <w:pPr>
        <w:spacing w:line="480" w:lineRule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inline distT="0" distB="0" distL="114300" distR="114300">
            <wp:extent cx="5268595" cy="3263900"/>
            <wp:effectExtent l="0" t="0" r="4445" b="12700"/>
            <wp:docPr id="6" name="图片 6" descr="Figure S2. comparable distributions of tyg index across tertiles in patients with LAA and CE str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2. comparable distributions of tyg index across tertiles in patients with LAA and CE strok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B6498">
      <w:pPr>
        <w:widowControl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The proportions of patients across TyG index tertiles differed between those with LAA and CE strokes. Higher TyG index tertiles were associated with a greater proportion of patients with LAA strokes, whereas the opposite was observed for CE strokes.</w:t>
      </w:r>
    </w:p>
    <w:p w14:paraId="63243094">
      <w:pPr>
        <w:widowControl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Abbreviations: TyG index, triglyceride-glucose index; CE, cardioembolism; LAA, large artery atherosclerosis.</w:t>
      </w:r>
    </w:p>
    <w:p w14:paraId="401A267B">
      <w:pPr>
        <w:widowControl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E36CCC0">
      <w:pPr>
        <w:spacing w:line="240" w:lineRule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Figure S3.</w:t>
      </w:r>
      <w:r>
        <w:rPr>
          <w:rFonts w:hint="eastAsia" w:ascii="Times New Roman" w:hAnsi="Times New Roman" w:cs="Times New Roman"/>
          <w:sz w:val="21"/>
          <w:szCs w:val="21"/>
        </w:rPr>
        <w:t xml:space="preserve"> Interaction between tyg index and stroke etiology (LAA vs. CE) on outcomes in patients with successful recanalization (sensitivity analysis)</w:t>
      </w:r>
    </w:p>
    <w:p w14:paraId="7737E4A0">
      <w:pPr>
        <w:spacing w:line="480" w:lineRule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inline distT="0" distB="0" distL="114300" distR="114300">
            <wp:extent cx="5270500" cy="2461895"/>
            <wp:effectExtent l="0" t="0" r="2540" b="6985"/>
            <wp:docPr id="2" name="图片 2" descr="Rplot 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plot 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720EA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There was no significant interaction between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TyG index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and stroke etiology on any of the outcomes (all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for interaction &gt;0.05).</w:t>
      </w:r>
    </w:p>
    <w:p w14:paraId="6410283A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Abbreviations: mRS shift, a shift toward worse outcomes on the mRS; successful recanalization,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an expanded TICI scale ≥ 2b; sICH, symptomatic intracranial hemorrhage; LAA, large artery atherosclerosis; CE, cardioembolism; CI, confidence interval; OR, odds ratio; IQR, interquartile range; mRS, modified Rankin Scale.</w:t>
      </w:r>
    </w:p>
    <w:p w14:paraId="20A84680">
      <w:pPr>
        <w:spacing w:line="480" w:lineRule="auto"/>
        <w:rPr>
          <w:rFonts w:ascii="Times New Roman" w:hAnsi="Times New Roman" w:cs="Times New Roman"/>
          <w:sz w:val="21"/>
          <w:szCs w:val="21"/>
        </w:rPr>
      </w:pPr>
    </w:p>
    <w:p w14:paraId="24D0D02E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30891F44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169BA9C4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7750EC2B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47CEA44B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4C402260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4AAC7B3C">
      <w:pPr>
        <w:rPr>
          <w:rFonts w:ascii="Times New Roman" w:hAnsi="Times New Roman" w:eastAsia="宋体" w:cs="Times New Roman"/>
          <w:b/>
          <w:bCs/>
          <w:szCs w:val="21"/>
        </w:rPr>
      </w:pPr>
    </w:p>
    <w:p w14:paraId="233EECF1"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Baseline characteristics and clinical outcomes based on TyG index tertiles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in all patients</w:t>
      </w:r>
    </w:p>
    <w:tbl>
      <w:tblPr>
        <w:tblStyle w:val="5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386"/>
        <w:gridCol w:w="1386"/>
        <w:gridCol w:w="1386"/>
        <w:gridCol w:w="1476"/>
        <w:gridCol w:w="1023"/>
      </w:tblGrid>
      <w:tr w14:paraId="6FC9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19CA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0048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 (n = 702)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1880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 (n = 234)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88B2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 (n = 234)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966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 (n = 234)</w:t>
            </w:r>
          </w:p>
        </w:tc>
        <w:tc>
          <w:tcPr>
            <w:tcW w:w="10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E0D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6F77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4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6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 (60-76)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0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 (63-77)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 (59-77)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9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 (58-75)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7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</w:t>
            </w:r>
          </w:p>
        </w:tc>
      </w:tr>
      <w:tr w14:paraId="3089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D2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B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 (55.1)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 (59.4)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C0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 (53.8)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 (52.1)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F9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0.255</w:t>
            </w:r>
          </w:p>
        </w:tc>
      </w:tr>
      <w:tr w14:paraId="42E3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5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 history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 (23.5)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3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 (21.8)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0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 (22.2)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 (26.5)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0.415</w:t>
            </w:r>
          </w:p>
        </w:tc>
      </w:tr>
      <w:tr w14:paraId="4D47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A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Atrial fibrillation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D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 (44.4)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E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 (52.1)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94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(42.7)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 (38.5)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</w:t>
            </w:r>
          </w:p>
        </w:tc>
      </w:tr>
      <w:tr w14:paraId="707F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4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 (59.1)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 (54.3)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2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 (62.4)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E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 (60.7)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0.170</w:t>
            </w:r>
          </w:p>
        </w:tc>
      </w:tr>
      <w:tr w14:paraId="743B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5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 (19.5)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9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(6.8)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7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 (15.0)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8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 (36.8)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0A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A41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3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2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 (25.2)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3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 (11.5)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 (17.9)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 (46.2)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1D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A3D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2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0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 (128-161)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6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 (127-161)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9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 (128-160)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2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 (130-164)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4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0.269</w:t>
            </w:r>
          </w:p>
        </w:tc>
      </w:tr>
      <w:tr w14:paraId="2466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B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65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 (73-95)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3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 (73-95)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E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 (73-94)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1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 (75-95)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6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0.571</w:t>
            </w:r>
          </w:p>
        </w:tc>
      </w:tr>
      <w:tr w14:paraId="22C2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FE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Laboratory examination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9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0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9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6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D3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B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(0.80-1.76)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5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(0.63-0.85)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2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(1.02-1.49)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B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(1.60-3.50)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7EC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551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3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6.90 (5.82-8.75)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 (5.40-7.00)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6.70 (5.85-7.38)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8.14 (7.81-12.20)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4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39D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F4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HbA1c (%)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 (5.6-6.4)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D9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 (5.5-6.0)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 (5.5-6.2)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C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 (5.9-7.8)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A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1B9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60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 (umol/L)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B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 (57.0-90.0)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C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 (56.9-88.5)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1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 (57.0-86.2)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3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 (57.9-94.0)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E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0.091</w:t>
            </w:r>
          </w:p>
        </w:tc>
      </w:tr>
      <w:tr w14:paraId="017E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068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Urea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8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5.84 (4.65-7.43)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8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5.88 (4.49-7.56)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8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 (4.60-6.84)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 (4.93-7.86)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7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</w:t>
            </w:r>
          </w:p>
        </w:tc>
      </w:tr>
      <w:tr w14:paraId="3C8E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18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 (3.57-5.05)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9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 (3.29-4.72)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 (3.62-5.04)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96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4.65 (3.95-5.41)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EE0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E95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LDL-C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(1.90-3.08)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 (1.74-2.90)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9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(2.10-3.16)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BC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 (2.03-3.27)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F69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95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NIHSS baseline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9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(12-19)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9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(12-19)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9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(12-19)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(13-20)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</w:t>
            </w:r>
          </w:p>
        </w:tc>
      </w:tr>
      <w:tr w14:paraId="48F9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4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ASPECTS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1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0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EC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(5-9)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C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0.184</w:t>
            </w:r>
          </w:p>
        </w:tc>
      </w:tr>
      <w:tr w14:paraId="32BC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6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puncture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 (221-534)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7F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 (230-562)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3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 (214-476)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 (221-538)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B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0.274</w:t>
            </w:r>
          </w:p>
        </w:tc>
      </w:tr>
      <w:tr w14:paraId="014F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C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recanalization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CA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 (292-631)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9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 (299-658)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DA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 (285-572)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 (297-654)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0.644</w:t>
            </w:r>
          </w:p>
        </w:tc>
      </w:tr>
      <w:tr w14:paraId="5007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A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 anesthesia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A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 (78.8)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E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 (79.9)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 (75.6)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 (80.8)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0D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0.348</w:t>
            </w:r>
          </w:p>
        </w:tc>
      </w:tr>
      <w:tr w14:paraId="327D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A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IVT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 (14.8)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4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 (10.7)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A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 (17.9)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EA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 (15.8)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</w:t>
            </w:r>
          </w:p>
        </w:tc>
      </w:tr>
      <w:tr w14:paraId="2551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B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Occlusion location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1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6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86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04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0.109</w:t>
            </w:r>
          </w:p>
        </w:tc>
      </w:tr>
      <w:tr w14:paraId="03D4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311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1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 (24.1)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C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 (26.1)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 (20.9)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4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 (25.2)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72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A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516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3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 (63.8)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 (58.1)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B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 (68.8)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 (64.5)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8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3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0D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3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 (12.1)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 (15.8)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2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(10.3)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0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(10.3)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C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C1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A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Clinical outcomes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8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C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2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5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3B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D90 mRS score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(1-4)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(2-6)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072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45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mRS 3-6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 (56.3)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6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 (50.0)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3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 (54.3)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 (64.5)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6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 w14:paraId="2675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BB8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successful reperfusion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 (92.0)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E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 (94.4)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6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 (91.0)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6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 (90.6)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0.237</w:t>
            </w:r>
          </w:p>
        </w:tc>
      </w:tr>
      <w:tr w14:paraId="0E6F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265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 (7.1)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9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(6.4)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4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(7.3)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(7.7)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C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0.854</w:t>
            </w:r>
          </w:p>
        </w:tc>
      </w:tr>
      <w:tr w14:paraId="0702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45B9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mortality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4A2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 (19.7)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613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 (15.4)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A57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 (16.2)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FE8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 (27.4)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46A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</w:tbl>
    <w:p w14:paraId="5E33125C">
      <w:pPr>
        <w:widowControl/>
        <w:textAlignment w:val="center"/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</w:pPr>
    </w:p>
    <w:p w14:paraId="406A18F9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 SBP, systolic blood pressure; DBP, diastolic blood pressure; TG, triglyceride; FPG, fasting plasma glucose; TyG, triglyceride-glucose index; TC, total cholesterol; LDL-C, low-density lipoprotein cholesterol; HbA1c, glycated hemoglobin; NIHSS, National Institutes of Health Stroke Scale; ASPECTS, Alberta Stroke Program Early Computed Tomography Score; IVT, intravenous thrombolysis; ICA, internal carotid artery; MCA-M1/M2, M1 or M2 segment of middle cerebral artery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;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</w:p>
    <w:p w14:paraId="17C2A476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3D39E993">
      <w:pPr>
        <w:numPr>
          <w:ilvl w:val="0"/>
          <w:numId w:val="0"/>
        </w:numPr>
        <w:spacing w:line="240" w:lineRule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Baseline characteristics and clinical outcomes based on TyG index tertiles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LAA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stroke patients</w:t>
      </w:r>
    </w:p>
    <w:tbl>
      <w:tblPr>
        <w:tblStyle w:val="5"/>
        <w:tblW w:w="9120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386"/>
        <w:gridCol w:w="1386"/>
        <w:gridCol w:w="1386"/>
        <w:gridCol w:w="1476"/>
        <w:gridCol w:w="1110"/>
      </w:tblGrid>
      <w:tr w14:paraId="2C4A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6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61E5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CF7E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 (n = 305)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5B1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 (n = 71)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96C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 (n = 113)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787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 (n = 121)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DB61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7313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0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1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 (56-73)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D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 (61-75)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 (55-73)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5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 (56-71)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7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</w:t>
            </w:r>
          </w:p>
        </w:tc>
      </w:tr>
      <w:tr w14:paraId="2935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6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 (67.9)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 (78.9)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27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 (68.1)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1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 (61.2)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C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</w:t>
            </w:r>
          </w:p>
        </w:tc>
      </w:tr>
      <w:tr w14:paraId="2A5D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3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 history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09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(32.8)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(28.2)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 (35.4)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97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 (33.1)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8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0.594</w:t>
            </w:r>
          </w:p>
        </w:tc>
      </w:tr>
      <w:tr w14:paraId="4E5A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1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Atrial fibrillation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7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 (9.8)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 (7.0)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5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(13.3)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A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(8.3)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E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0.291</w:t>
            </w:r>
          </w:p>
        </w:tc>
      </w:tr>
      <w:tr w14:paraId="223F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6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 (67.9)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 (59.2)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7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 (69.9)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 (71.1)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0.196</w:t>
            </w:r>
          </w:p>
        </w:tc>
      </w:tr>
      <w:tr w14:paraId="202F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7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5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 (24.6)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(5.6)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3B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(20.4)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9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 (39.7)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1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76E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9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1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 (32.1)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C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(14.1)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 (23.0)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8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 (51.2)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0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AB5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C3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D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 (134-168)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E3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 (135-162)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9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 (132-168)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0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 (138-169)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0.512</w:t>
            </w:r>
          </w:p>
        </w:tc>
      </w:tr>
      <w:tr w14:paraId="4B50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6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2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 (75-95)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6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 (74-92)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9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 (74-97)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7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 (80-95)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0B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0.289</w:t>
            </w:r>
          </w:p>
        </w:tc>
      </w:tr>
      <w:tr w14:paraId="7BF2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4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Laboratory examination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E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7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F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6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02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2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378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6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(1.00-2.04)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(0.65-0.98)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7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(1.11-1.53)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 (1.60-3.51)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5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42E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2E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2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 (5.77-9.24)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E1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6.90 (5.12-6.89)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8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 (5.71-7.50)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01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9.20 (6.97-12.80)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ABB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0FD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HbA1c (%)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C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 (5.6-6.8)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 (5.4-6.1)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 (5.5-6.3)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7C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 (5.9-8.2)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3F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29F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36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 (umol/L)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 (57.1-88.0)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2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 (57.3-82.2)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28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 (59.0-90.0)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2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 (56.6-90.0)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4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0.497</w:t>
            </w:r>
          </w:p>
        </w:tc>
      </w:tr>
      <w:tr w14:paraId="1BBA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4B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Urea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 (4.41-7.14)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5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 (4.12-7.00)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0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 (4.50-6.80)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F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 (4.63-7.24)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3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</w:t>
            </w:r>
          </w:p>
        </w:tc>
      </w:tr>
      <w:tr w14:paraId="665E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00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8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 (3.85-5.24)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3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4.10 (3.38-4.77)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5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 (3.80-5.26)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 (4.25-5.41)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5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C2C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1B6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LDL-C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A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 (2.17-3.31)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0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 (1.94-3.00)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 (2.21-3.34)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A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 (2.20-3.43)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8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</w:tr>
      <w:tr w14:paraId="66A7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0A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NIHSS baseline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(11-19)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(11-18)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E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(12-19)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85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(11-19)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0.722</w:t>
            </w:r>
          </w:p>
        </w:tc>
      </w:tr>
      <w:tr w14:paraId="45E9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F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ASPECTS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6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5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D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(6-9)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</w:t>
            </w:r>
          </w:p>
        </w:tc>
      </w:tr>
      <w:tr w14:paraId="33A2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8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puncture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2B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 (200-415)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1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 (211-463)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5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 (200-380)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3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 (186-450)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7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0.249</w:t>
            </w:r>
          </w:p>
        </w:tc>
      </w:tr>
      <w:tr w14:paraId="5A86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7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recanalization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 (265-496)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 (277-505)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 (262-462)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2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 (258-510)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B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</w:t>
            </w:r>
          </w:p>
        </w:tc>
      </w:tr>
      <w:tr w14:paraId="5777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3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 anesthesia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7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 (73.1)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5B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 (71.8)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 (71.7)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9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 (75.2)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0.800</w:t>
            </w:r>
          </w:p>
        </w:tc>
      </w:tr>
      <w:tr w14:paraId="50C2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5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IVT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 (10.8)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C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(4.2)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C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(13.3)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E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(12.4)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2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</w:tr>
      <w:tr w14:paraId="7631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F3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Occlusion location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CB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2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3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C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3B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</w:t>
            </w:r>
          </w:p>
        </w:tc>
      </w:tr>
      <w:tr w14:paraId="3158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76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2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 (17.4)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A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(23.9)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(13.3)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(17.4)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4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D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3F1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 (71.5)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A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 (59.2)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E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 (78.8)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7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 (71.9)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13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0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51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8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 (11.1)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4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(16.9)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 (8.0)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64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(10.7)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B5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9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E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Clinical outcomes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D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B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B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4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C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0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66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D90 mRS score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1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2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A4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3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(2-5)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1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</w:tr>
      <w:tr w14:paraId="1582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54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mRS 3-6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 (56.7)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F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 (50.7)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 (54.0)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 (62.8)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6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0.200</w:t>
            </w:r>
          </w:p>
        </w:tc>
      </w:tr>
      <w:tr w14:paraId="59C7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FC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successful reperfusion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 (89.2)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CD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 (91.5)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 (90.3)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 (86.8)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0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0.529</w:t>
            </w:r>
          </w:p>
        </w:tc>
      </w:tr>
      <w:tr w14:paraId="4F43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53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(6.2)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0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(5.6)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(5.3)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02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 (7.4)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B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0.724</w:t>
            </w:r>
          </w:p>
        </w:tc>
      </w:tr>
      <w:tr w14:paraId="12B1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2A78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mortality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A8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 (17.7)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0B1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(14.1)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46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(13.3)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173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 (24.0)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1D7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</w:t>
            </w:r>
          </w:p>
        </w:tc>
      </w:tr>
    </w:tbl>
    <w:p w14:paraId="07B8EC09">
      <w:pPr>
        <w:widowControl/>
        <w:textAlignment w:val="center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 SBP, systolic blood pressure; DBP, diastolic blood pressure; TG, triglyceride; FPG, fasting plasma glucose; TyG, triglyceride-glucose index; TC, total cholesterol; LDL-C, low-density lipoprotein cholesterol; HbA1c, glycated hemoglobin; NIHSS, National Institutes of Health Stroke Scale; ASPECTS, Alberta Stroke Program Early Computed Tomography Score; IVT, intravenous thrombolysis; ICA, internal carotid artery; MCA-M1/M2, M1 or M2 segment of middle cerebral artery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;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</w:p>
    <w:p w14:paraId="2A24E840">
      <w:pPr>
        <w:numPr>
          <w:ilvl w:val="0"/>
          <w:numId w:val="0"/>
        </w:numPr>
        <w:spacing w:line="24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2D9820A3">
      <w:pPr>
        <w:numPr>
          <w:ilvl w:val="0"/>
          <w:numId w:val="0"/>
        </w:numPr>
        <w:spacing w:line="240" w:lineRule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Baseline characteristics and clinical outcomes based on TyG index tertiles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CE stroke patients</w:t>
      </w:r>
    </w:p>
    <w:tbl>
      <w:tblPr>
        <w:tblStyle w:val="5"/>
        <w:tblW w:w="9310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386"/>
        <w:gridCol w:w="1386"/>
        <w:gridCol w:w="1386"/>
        <w:gridCol w:w="1476"/>
        <w:gridCol w:w="848"/>
      </w:tblGrid>
      <w:tr w14:paraId="4EEF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564B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522E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 (n = 397)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DE29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 (n = 163)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598D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 (n = 121)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6457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 (n = 113)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95C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7DDB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5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AE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 (64-78)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F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 (64-78)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 (65-78)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 (64-77)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0.602</w:t>
            </w:r>
          </w:p>
        </w:tc>
      </w:tr>
      <w:tr w14:paraId="1EB3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1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1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 (45.3)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 (50.9)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 (40.5)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 (42.5)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9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0.168</w:t>
            </w:r>
          </w:p>
        </w:tc>
      </w:tr>
      <w:tr w14:paraId="18A4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6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 history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93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 (16.4)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 (19.0)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D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(9.9)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(19.5)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FE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0.070</w:t>
            </w:r>
          </w:p>
        </w:tc>
      </w:tr>
      <w:tr w14:paraId="3F9A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D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Atrial fibrillation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 (71.0)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09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 (71.8)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2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 (70.2)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7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 (70.8)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0.959</w:t>
            </w:r>
          </w:p>
        </w:tc>
      </w:tr>
      <w:tr w14:paraId="108F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83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C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 (52.4)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 (52.1)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DD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 (55.4)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 (49.6)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F1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0.671</w:t>
            </w:r>
          </w:p>
        </w:tc>
      </w:tr>
      <w:tr w14:paraId="583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B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 (15.6)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0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(7.4)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(9.9)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D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 (33.6)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465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4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E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 (19.9)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45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(10.4)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CE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(13.2)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 (40.7)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4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C39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1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51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 (125-159)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FF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 (127-161)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 (122-150)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 (123-160)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</w:t>
            </w:r>
          </w:p>
        </w:tc>
      </w:tr>
      <w:tr w14:paraId="56CF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F8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DBP (mmHg)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 (72-94)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01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 (73-97)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 (70-91)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 (72-94)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5137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9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Laboratory examination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B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EA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A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09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D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2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5C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(0.75-1.59)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(0.63-0.82)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(0.97-1.38)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4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(1.62-3.49)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837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DE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FPG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 (5.84-8.50)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 (5.48-7.00)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 (6.11-8.30)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8.70 (7.43-11.50)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D59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6B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HbA1c (%)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2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 (5.6-6.2)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B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 (5.5-6.0)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 (5.6-6.2)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7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 (5.9-7.2)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2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2E33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40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 (umol/L)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 (57.0-92.0)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B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70.6 (56.9-91.0)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68.1 (55.0-80.0)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 (60.2-98.0)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</w:t>
            </w:r>
          </w:p>
        </w:tc>
      </w:tr>
      <w:tr w14:paraId="7D75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87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Urea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9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6.00(4.93-7.62)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8A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5.99 (4.68-7.65)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5.80 (4.65-6.85)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 (5.32-8.30)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</w:tr>
      <w:tr w14:paraId="4838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BC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2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 (3.37-4.89)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 (3.23-4.60)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4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4.09 (3.56-4.72)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 (3.61-5.41)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ED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21BF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0B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LDL-C (mmol/L)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7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 (1.80-2.91)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2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(1.73-2.76)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E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 (1.87-2.87)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4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 (1.88-3.13)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D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</w:tr>
      <w:tr w14:paraId="048D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A2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NIHSS baseline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(13-20)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5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(13-19)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(13-19)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8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(13-21)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E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0.298</w:t>
            </w:r>
          </w:p>
        </w:tc>
      </w:tr>
      <w:tr w14:paraId="655D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9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ASPECTS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BF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(5-8)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2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3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(6-9)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2E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(5-8)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E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</w:t>
            </w:r>
          </w:p>
        </w:tc>
      </w:tr>
      <w:tr w14:paraId="5929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F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puncture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B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 (200-415)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A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 (211-463)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 (200-380)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B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 (186-450)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0.249</w:t>
            </w:r>
          </w:p>
        </w:tc>
      </w:tr>
      <w:tr w14:paraId="0EB1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F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Onset to recanalization time (min)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0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 (265-496)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9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 (277-505)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 (262-462)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4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 (258-510)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62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</w:t>
            </w:r>
          </w:p>
        </w:tc>
      </w:tr>
      <w:tr w14:paraId="442E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B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 anesthesia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46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 (83.1)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 (83.4)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 (79.3)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 (86.7)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F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0.318</w:t>
            </w:r>
          </w:p>
        </w:tc>
      </w:tr>
      <w:tr w14:paraId="4470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1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IVT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 (17.9)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A1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(13.5)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 (22.3)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5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(19.5)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F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</w:t>
            </w:r>
          </w:p>
        </w:tc>
      </w:tr>
      <w:tr w14:paraId="7F8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Occlusion location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3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3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D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0C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0.588</w:t>
            </w:r>
          </w:p>
        </w:tc>
      </w:tr>
      <w:tr w14:paraId="152F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FA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 (29.2)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D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 (27.0)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 (28.1)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E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 (33.6)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E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A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F3C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9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 (57.9)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2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 (57.7)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1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 (59.5)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 (56.6)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5A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5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D1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A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 (12.8)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 (15.3)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1B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(12.4)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0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(9.7)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1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B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D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Clinical outcomes (n, 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A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4E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A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5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5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7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E3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D90 mRS score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9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(1-4)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7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(1-5)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(2-6)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8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 w14:paraId="3E03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AF2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mRS 3-6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 (55.9)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D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 (49.7)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 (54.5)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7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 (66.4)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2A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</w:tr>
      <w:tr w14:paraId="04E1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DA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successful reperfusion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7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 (93.7)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 (95.7)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 (90.9)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 (93.8)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0.328</w:t>
            </w:r>
          </w:p>
        </w:tc>
      </w:tr>
      <w:tr w14:paraId="110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E9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6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 (7.8)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02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(6.7)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(9.1)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55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 (8.0)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D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</w:t>
            </w:r>
          </w:p>
        </w:tc>
      </w:tr>
      <w:tr w14:paraId="6A5D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8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7A5E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mortality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2D5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 (21.2)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E14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 (16.0)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664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(19.0)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02B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 (31.0)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FD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</w:tbl>
    <w:p w14:paraId="3AFE38BB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 SBP, systolic blood pressure; DBP, diastolic blood pressure; TG, triglyceride; FPG, fasting plasma glucose; TyG, triglyceride-glucose index; TC, total cholesterol; LDL-C, low-density lipoprotein cholesterol; HbA1c, glycated hemoglobin; NIHSS, National Institutes of Health Stroke Scale; ASPECTS, Alberta Stroke Program Early Computed Tomography Score; IVT, intravenous thrombolysis; ICA, internal carotid artery; MCA-M1/M2, M1 or M2 segment of middle cerebral artery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;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</w:p>
    <w:p w14:paraId="07D10F5A">
      <w:pPr>
        <w:numPr>
          <w:ilvl w:val="0"/>
          <w:numId w:val="0"/>
        </w:numPr>
        <w:spacing w:line="48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06270F8C">
      <w:pPr>
        <w:numPr>
          <w:ilvl w:val="0"/>
          <w:numId w:val="0"/>
        </w:numPr>
        <w:spacing w:line="48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Correlations between TyG index and post-EVT outcomes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in all patients</w:t>
      </w:r>
    </w:p>
    <w:tbl>
      <w:tblPr>
        <w:tblStyle w:val="5"/>
        <w:tblW w:w="9698" w:type="dxa"/>
        <w:tblInd w:w="-9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006"/>
        <w:gridCol w:w="1416"/>
        <w:gridCol w:w="776"/>
        <w:gridCol w:w="222"/>
        <w:gridCol w:w="1416"/>
        <w:gridCol w:w="776"/>
        <w:gridCol w:w="222"/>
        <w:gridCol w:w="1416"/>
        <w:gridCol w:w="946"/>
      </w:tblGrid>
      <w:tr w14:paraId="349C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9BFDE3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Outcomes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D7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TyG</w:t>
            </w: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E9F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D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E4C5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6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59D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3</w:t>
            </w:r>
          </w:p>
        </w:tc>
      </w:tr>
      <w:tr w14:paraId="5F6C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D0CF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8F7E5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4E95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638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F2B2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ABE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B309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2578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E74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C8D5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739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6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mRS shift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F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7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 (1.35-1.90)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6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F7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C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(1.45-2.05)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2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(1.47-2.14)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E45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4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3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A6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1A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2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4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2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B9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AE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</w:tr>
      <w:tr w14:paraId="0B7E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6C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5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(1.32–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7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0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D4C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1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mRS ≥3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EE5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7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 (1.32–1.99)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(1.40–2.17)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2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F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(1.37–2.22)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7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83F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B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C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A7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C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A4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6E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B5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2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7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47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65D5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1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(0.83–1.71)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3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9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A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(0.87–1.85)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A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4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(0.88–1.95)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0.181</w:t>
            </w:r>
          </w:p>
        </w:tc>
      </w:tr>
      <w:tr w14:paraId="1FB5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E2C5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4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6D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(1.26–2.64)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B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D4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8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 (1.42–3.11)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93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(1.36–3.20)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08A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B635">
            <w:pPr>
              <w:keepNext w:val="0"/>
              <w:keepLines w:val="0"/>
              <w:widowControl/>
              <w:suppressLineNumbers w:val="0"/>
              <w:ind w:left="360" w:hanging="360" w:hangingChars="200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Successful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recanalization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0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CA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(0.53–1.04)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F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D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(0.55–1.06)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E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4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(0.55–1.17)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0.241</w:t>
            </w:r>
          </w:p>
        </w:tc>
      </w:tr>
      <w:tr w14:paraId="6899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2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3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C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5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A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D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5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D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46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472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C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 (0.28–1.21)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F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9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 (0.29–1.22)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E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1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0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 (0.28–1.22)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D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0.163</w:t>
            </w:r>
          </w:p>
        </w:tc>
      </w:tr>
      <w:tr w14:paraId="5F10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38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DE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3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(0.27–1.14)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B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D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(0.27–1.15)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35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C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9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 (0.29–1.39)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F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0.267</w:t>
            </w:r>
          </w:p>
        </w:tc>
      </w:tr>
      <w:tr w14:paraId="6825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A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sICH within 48h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4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5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(0.85–1.71)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5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93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(0.83–1.68)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27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C3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(0.77–1.67)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0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</w:t>
            </w:r>
          </w:p>
        </w:tc>
      </w:tr>
      <w:tr w14:paraId="2A98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9F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3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9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3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A5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B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A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05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2F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6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2E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(0.26–3.79)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C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(0.23–3.61)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E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D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(0.18–3.43)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F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0.713</w:t>
            </w:r>
          </w:p>
        </w:tc>
      </w:tr>
      <w:tr w14:paraId="0085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12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3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1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 (0.48–5.67)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D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A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E8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(0.42–5.42)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(0.29–4.93)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0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0.867</w:t>
            </w:r>
          </w:p>
        </w:tc>
      </w:tr>
      <w:tr w14:paraId="4EC5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31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3-month mortality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9D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2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(1.30–2.07)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6D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B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(1.35–2.19)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F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E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(1.36–2.32)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D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77B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6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3A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7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D5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8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C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1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0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3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5B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A1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9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2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(0.65–1.76)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B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8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(0.68–1.87)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5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E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(0.68–1.94)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0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0.607</w:t>
            </w:r>
          </w:p>
        </w:tc>
      </w:tr>
      <w:tr w14:paraId="73E2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667B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3FE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8C7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(1.32–3.29)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84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A2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D4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 (1.47–3.79)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AE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483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49D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(1.47–4.06)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7C4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6EE79381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OR, odds ratio; CI, confidence interval; TyG, triglyceride-glucose index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1, unadjusted;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2, adjusted for age;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Model 3, adjusted for age, sex, atrial fibrillation, hypertension, hyperlipidemia, smoking status,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Onset to puncture time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, and occlusion location.</w:t>
      </w:r>
    </w:p>
    <w:p w14:paraId="18C85570">
      <w:pPr>
        <w:widowControl/>
        <w:textAlignment w:val="center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T1, TyG ≤ 6.92; T2, 6.92 &lt; TyG ≤ 7.60; T3, TyG &gt; 7.60.</w:t>
      </w:r>
    </w:p>
    <w:p w14:paraId="11A1F7A1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4982E8C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22C6BE3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69D903E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F0444DF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164E0492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48F20B9D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001AFE21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06BD07C4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93CCE23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06DF754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1E3D26F0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4F03ADA9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3EFF2549">
      <w:pPr>
        <w:numPr>
          <w:ilvl w:val="0"/>
          <w:numId w:val="0"/>
        </w:numPr>
        <w:spacing w:line="24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Correlations between TyG index and post-EVT outcomes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in all patients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with  successful recanalization (sensitivity analysis)</w:t>
      </w:r>
    </w:p>
    <w:tbl>
      <w:tblPr>
        <w:tblStyle w:val="5"/>
        <w:tblW w:w="10066" w:type="dxa"/>
        <w:tblInd w:w="-9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006"/>
        <w:gridCol w:w="1416"/>
        <w:gridCol w:w="776"/>
        <w:gridCol w:w="222"/>
        <w:gridCol w:w="1416"/>
        <w:gridCol w:w="776"/>
        <w:gridCol w:w="222"/>
        <w:gridCol w:w="1416"/>
        <w:gridCol w:w="1015"/>
      </w:tblGrid>
      <w:tr w14:paraId="5077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0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3A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Outcomes</w:t>
            </w:r>
          </w:p>
        </w:tc>
        <w:tc>
          <w:tcPr>
            <w:tcW w:w="10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9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TyG</w:t>
            </w: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90E2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63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928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0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2CD0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3</w:t>
            </w:r>
          </w:p>
        </w:tc>
      </w:tr>
      <w:tr w14:paraId="4BF8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A6A9D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441BB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AB1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34BB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03FA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5EB6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EA95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FD0E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682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10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0B54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1646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D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mRS shift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8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(1.35-1.94)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8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6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 (1.45-2.10)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F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(1.45-2.15)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95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0AA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37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6A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8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7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7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06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3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E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9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(0.79–1.53)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9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D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B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(0.86–1.68)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A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A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D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(0.85–1.68)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0.306</w:t>
            </w:r>
          </w:p>
        </w:tc>
      </w:tr>
      <w:tr w14:paraId="5BF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BA50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2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35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 (1.31–2.55)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8D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6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(1.59–3.14)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4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 (1.53–3.16)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9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0A0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54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mRS ≥3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3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 (1.30-1.99)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59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9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12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 (1.39-2.18)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06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 (1.34-2.21)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F9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E1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1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5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DB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0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A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5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7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EE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A0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9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2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1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A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(0.64–1.90)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9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FC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7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(0.67–2.02)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3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22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(0.66–2.08)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8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0.587</w:t>
            </w:r>
          </w:p>
        </w:tc>
      </w:tr>
      <w:tr w14:paraId="2786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79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2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(1.36–3.68)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F9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 (1.51-4.23)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15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A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(1.48–4.46)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152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0B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sICH within 48h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1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25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(0.81-1.76)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1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E8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5E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(0.79-1.72)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3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B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(0.74-1.71)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0.558</w:t>
            </w:r>
          </w:p>
        </w:tc>
      </w:tr>
      <w:tr w14:paraId="32B5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F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30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F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6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3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95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7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A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7E4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6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(0.59–2.87)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4D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(0.58–2.86)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D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D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6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(0.60–3.08)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0.479</w:t>
            </w:r>
          </w:p>
        </w:tc>
      </w:tr>
      <w:tr w14:paraId="27FF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D6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(0.58–2.84)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1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E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(0.59–2.86)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E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A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(0.51–2.84)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0.679</w:t>
            </w:r>
          </w:p>
        </w:tc>
      </w:tr>
      <w:tr w14:paraId="353A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2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3-month mortality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9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 (1.37-2.26)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2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6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 (1.40-2.35)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337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9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 (1.40-2.48)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E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B6A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24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2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1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B7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0A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2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8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3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F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62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01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(0.64–1.90)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5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6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(0.67–2.02)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C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71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(0.66–2.08)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4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0.597</w:t>
            </w:r>
          </w:p>
        </w:tc>
      </w:tr>
      <w:tr w14:paraId="4B74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244B3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075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E4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(1.36–3.68)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E43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62B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43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 (1.51–4.23)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D3E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98DF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E8D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(1.48–4.46)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800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7304BDD6">
      <w:pPr>
        <w:widowControl/>
        <w:textAlignment w:val="center"/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OR, odds ratio; CI, confidence interval; TyG, triglyceride-glucose index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1, unadjusted;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2, adjusted for age;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Model 3, adjusted for age, sex, atrial fibrillation, hypertension, hyperlipidemia, smoking status,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Onset to puncture time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, and occlusion location.</w:t>
      </w:r>
    </w:p>
    <w:p w14:paraId="103A1F97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B715B25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598C233D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DB6F693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77D673B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2F390BF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498B7D6F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476D535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B7042CB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610DCB54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02B04C11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93E9317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AE5FC29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02B8CC99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5265445E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302EBDC2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25F28399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5990A377">
      <w:pPr>
        <w:widowControl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115FF6D9">
      <w:pPr>
        <w:numPr>
          <w:ilvl w:val="0"/>
          <w:numId w:val="0"/>
        </w:numPr>
        <w:spacing w:line="240" w:lineRule="auto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Times New Roman" w:hAnsi="Times New Roman" w:eastAsia="宋体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Correlations between TyG index and post-EVT outcomes in LAA and CE stroke patients with successful recanalization (sensitivity analysis)</w:t>
      </w:r>
    </w:p>
    <w:tbl>
      <w:tblPr>
        <w:tblStyle w:val="5"/>
        <w:tblW w:w="9553" w:type="dxa"/>
        <w:tblInd w:w="-9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006"/>
        <w:gridCol w:w="1416"/>
        <w:gridCol w:w="776"/>
        <w:gridCol w:w="222"/>
        <w:gridCol w:w="1416"/>
        <w:gridCol w:w="776"/>
        <w:gridCol w:w="222"/>
        <w:gridCol w:w="1416"/>
        <w:gridCol w:w="810"/>
      </w:tblGrid>
      <w:tr w14:paraId="08CB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19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Outcomes</w:t>
            </w:r>
          </w:p>
        </w:tc>
        <w:tc>
          <w:tcPr>
            <w:tcW w:w="10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BB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TyG</w:t>
            </w: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A31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03D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5D0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</w:t>
            </w:r>
          </w:p>
        </w:tc>
        <w:tc>
          <w:tcPr>
            <w:tcW w:w="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54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B015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3</w:t>
            </w:r>
          </w:p>
        </w:tc>
      </w:tr>
      <w:tr w14:paraId="1B9C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0625D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95578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BCCD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BDAC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F3E1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50D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09B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F19E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309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C5E6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‐value</w:t>
            </w:r>
          </w:p>
        </w:tc>
      </w:tr>
      <w:tr w14:paraId="3509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9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LAA stroke patients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AE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0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1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2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0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28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1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C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A6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5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B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mRS shift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C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 (1.15-2.04)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2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D4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 (1.20-2.16)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6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C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4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 (1.24-2.32)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5A7D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EF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32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6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A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F3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F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DC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2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8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DFE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(0.68–2.05)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F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7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0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(0.70–2.15)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8D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01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(0.70–2.23)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0.454</w:t>
            </w:r>
          </w:p>
        </w:tc>
      </w:tr>
      <w:tr w14:paraId="5763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0A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(1.00–2.95)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1B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1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1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(1.15–3.52)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F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1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 (1.22–3.99)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3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  <w:tr w14:paraId="6966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4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mRS ≥3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2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9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 (1.09-2.12)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3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2A6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 (1.09-2.19)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7A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 (1.09-2.35)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1B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</w:tr>
      <w:tr w14:paraId="54A7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4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BC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6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4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30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5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A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0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9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9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A8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(0.32–2.32)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3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0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18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(0.33–2.50)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E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9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B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(0.71–2.12)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6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0.463</w:t>
            </w:r>
          </w:p>
        </w:tc>
      </w:tr>
      <w:tr w14:paraId="6665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E83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A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(0.75–4.41)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7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BA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 (0.79–5.09)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6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B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(0.83–6.70)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3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</w:t>
            </w:r>
          </w:p>
        </w:tc>
      </w:tr>
      <w:tr w14:paraId="6A5C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DE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sICH within 48h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C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(0.55-2.21)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5F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(0.49-2.06)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3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17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E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(0.37-1.72)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A76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6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B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9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A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5D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C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E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8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A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6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1CD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3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(0.25–5.28)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B4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2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(0.22–4.83)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C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60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(0.19–5.05)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0.902</w:t>
            </w:r>
          </w:p>
        </w:tc>
      </w:tr>
      <w:tr w14:paraId="5E6B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F7D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A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(0.37–6.55)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1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(0.30–5.98)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5B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3A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6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(0.20–5.39)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B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0.952</w:t>
            </w:r>
          </w:p>
        </w:tc>
      </w:tr>
      <w:tr w14:paraId="61A9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BD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3-month mortality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F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78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 (1.01-2.41)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77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E0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 (1.02-2.41)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2C5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E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 (1.00-2.79)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2F57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6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E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6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BF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F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4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7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6FD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A3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(0.32–1.32)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C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(0.33–2.50)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F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9A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7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(0.35–3.20)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1D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0.945</w:t>
            </w:r>
          </w:p>
        </w:tc>
      </w:tr>
      <w:tr w14:paraId="5C70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AD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D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(0.75–4.41)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B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E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 (0.79–5.09)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0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D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(0.83–6.99)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7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</w:t>
            </w:r>
          </w:p>
        </w:tc>
      </w:tr>
      <w:tr w14:paraId="61C4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E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CE stroke patients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DF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D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7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FF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A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28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8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3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B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B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A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mRS shift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D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D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 (1.43-2.33)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0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 (1.46-2.39)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E9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81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7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 (1.39-2.34)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D80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D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D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2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1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4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A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DC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8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C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7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20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28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(0.73–1.70)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2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E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(0.76–1.77)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1A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13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CA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(0.73–1.76)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0.571</w:t>
            </w:r>
          </w:p>
        </w:tc>
      </w:tr>
      <w:tr w14:paraId="1BE8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77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46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(1.38–3.38)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0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21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 (1.52–3.72)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0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18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6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(1.34–3.46)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5B4C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8D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mRS ≥3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(1.72-2.34)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39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0D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2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 (1.36-2.54)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2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43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0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(1.25-2.46)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B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2D9E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3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4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C6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9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C8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4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23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7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A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B11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A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A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(0.69–2.64)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F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(0.68–2.66)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0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C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(0.68–2.79)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D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0.378</w:t>
            </w:r>
          </w:p>
        </w:tc>
      </w:tr>
      <w:tr w14:paraId="7CC8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11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2D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(1.54–5.33)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9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0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7D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(1.61–5.72)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C5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12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(1.54–5.93)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2A21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4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sICH within 48h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(0.80-2.07)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6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50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20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(0.79-2.04)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0A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7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(0.78-2.15)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8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0.289</w:t>
            </w:r>
          </w:p>
        </w:tc>
      </w:tr>
      <w:tr w14:paraId="0408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D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B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5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B1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A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0E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9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5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D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BF0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F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8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 (0.61–4.04)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08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 (0.59–3.98)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5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35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(0.59–4.25)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</w:tr>
      <w:tr w14:paraId="426D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B4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3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B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(0.48–3.53)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A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B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(0.47–3.51)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38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7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E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(0.45–3.73)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0.612</w:t>
            </w:r>
          </w:p>
        </w:tc>
      </w:tr>
      <w:tr w14:paraId="0DDA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E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3-month mortality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(1.47-2.80)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7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 (1.48-2.88)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E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3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(1.47-2.99)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8E7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5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2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7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5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E0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2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7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8E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F1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13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(0.69–2.64)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3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F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(0.68–2.66)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6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D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(0.68–2.79)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8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0.379</w:t>
            </w:r>
          </w:p>
        </w:tc>
      </w:tr>
      <w:tr w14:paraId="4CF9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F7F02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121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E4A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(1.54–5.33)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C92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F3D9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4A7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(1.61–5.72)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9A4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2CE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13C9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 (1.54–5.93)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61A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</w:tbl>
    <w:p w14:paraId="4862532C">
      <w:pPr>
        <w:widowControl/>
        <w:textAlignment w:val="center"/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OR, odds ratio; CI, confidence interval; TyG, triglyceride-glucose index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LAA, large artery atherosclerosis; CE, cardioembolism;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mRS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modified Rankin Scale score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sICH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symptomatic intracranial hemorrhage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1, unadjusted;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Model 2, adjusted for age;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Model 3, adjusted for age, sex, atrial fibrillation, hypertension, hyperlipidemia, smoking status,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Onset to puncture time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, and occlusion location.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A2"/>
    <w:rsid w:val="000160DC"/>
    <w:rsid w:val="00023D11"/>
    <w:rsid w:val="00082689"/>
    <w:rsid w:val="000A125E"/>
    <w:rsid w:val="000F558E"/>
    <w:rsid w:val="001D46C6"/>
    <w:rsid w:val="002265F9"/>
    <w:rsid w:val="00242084"/>
    <w:rsid w:val="00246545"/>
    <w:rsid w:val="00254399"/>
    <w:rsid w:val="00264E69"/>
    <w:rsid w:val="0029590F"/>
    <w:rsid w:val="002C0911"/>
    <w:rsid w:val="002C50EA"/>
    <w:rsid w:val="002F17A2"/>
    <w:rsid w:val="00304695"/>
    <w:rsid w:val="00474F9B"/>
    <w:rsid w:val="004954C5"/>
    <w:rsid w:val="004A1619"/>
    <w:rsid w:val="004D043A"/>
    <w:rsid w:val="00516263"/>
    <w:rsid w:val="005216F8"/>
    <w:rsid w:val="00544372"/>
    <w:rsid w:val="005D4FF2"/>
    <w:rsid w:val="006039E6"/>
    <w:rsid w:val="00640F19"/>
    <w:rsid w:val="00661412"/>
    <w:rsid w:val="00696184"/>
    <w:rsid w:val="006E4401"/>
    <w:rsid w:val="0070784E"/>
    <w:rsid w:val="007149C0"/>
    <w:rsid w:val="00737E27"/>
    <w:rsid w:val="00771502"/>
    <w:rsid w:val="00776465"/>
    <w:rsid w:val="007C70ED"/>
    <w:rsid w:val="008034BC"/>
    <w:rsid w:val="00822DE8"/>
    <w:rsid w:val="00873E02"/>
    <w:rsid w:val="00885E62"/>
    <w:rsid w:val="008A2E58"/>
    <w:rsid w:val="008C1775"/>
    <w:rsid w:val="00990E23"/>
    <w:rsid w:val="009F4C1B"/>
    <w:rsid w:val="00A364B9"/>
    <w:rsid w:val="00A56863"/>
    <w:rsid w:val="00A84FB9"/>
    <w:rsid w:val="00AB1A09"/>
    <w:rsid w:val="00AF685C"/>
    <w:rsid w:val="00B251E0"/>
    <w:rsid w:val="00B715BF"/>
    <w:rsid w:val="00BA562D"/>
    <w:rsid w:val="00BF1433"/>
    <w:rsid w:val="00C60F60"/>
    <w:rsid w:val="00CA7EEA"/>
    <w:rsid w:val="00CB3DCD"/>
    <w:rsid w:val="00CB791F"/>
    <w:rsid w:val="00E24D8D"/>
    <w:rsid w:val="00E356CF"/>
    <w:rsid w:val="00E5453C"/>
    <w:rsid w:val="00E61512"/>
    <w:rsid w:val="00EE3F74"/>
    <w:rsid w:val="00EE5A28"/>
    <w:rsid w:val="00F26052"/>
    <w:rsid w:val="00F66F31"/>
    <w:rsid w:val="017A5A2D"/>
    <w:rsid w:val="01A85D51"/>
    <w:rsid w:val="01AD5116"/>
    <w:rsid w:val="02533F0F"/>
    <w:rsid w:val="02B726F0"/>
    <w:rsid w:val="0305345B"/>
    <w:rsid w:val="037405E1"/>
    <w:rsid w:val="03DE5A5A"/>
    <w:rsid w:val="03E5328D"/>
    <w:rsid w:val="03FD59E7"/>
    <w:rsid w:val="04207E21"/>
    <w:rsid w:val="04D05CEB"/>
    <w:rsid w:val="050B0AD1"/>
    <w:rsid w:val="05171224"/>
    <w:rsid w:val="053F077B"/>
    <w:rsid w:val="058368B9"/>
    <w:rsid w:val="0636392C"/>
    <w:rsid w:val="064249C6"/>
    <w:rsid w:val="066F71A1"/>
    <w:rsid w:val="06B56F46"/>
    <w:rsid w:val="06C23411"/>
    <w:rsid w:val="07181283"/>
    <w:rsid w:val="07AA45D1"/>
    <w:rsid w:val="086650A4"/>
    <w:rsid w:val="086B6DF8"/>
    <w:rsid w:val="088272FC"/>
    <w:rsid w:val="0932487E"/>
    <w:rsid w:val="09CA741D"/>
    <w:rsid w:val="0A6D7B38"/>
    <w:rsid w:val="0A96708F"/>
    <w:rsid w:val="0AD11E75"/>
    <w:rsid w:val="0B7F3FC7"/>
    <w:rsid w:val="0B8B296C"/>
    <w:rsid w:val="0BE67BA2"/>
    <w:rsid w:val="0C216E2C"/>
    <w:rsid w:val="0C2D3A23"/>
    <w:rsid w:val="0C41302A"/>
    <w:rsid w:val="0CA35A93"/>
    <w:rsid w:val="0CB47CA0"/>
    <w:rsid w:val="0CE00A95"/>
    <w:rsid w:val="0CE045F1"/>
    <w:rsid w:val="0D1424ED"/>
    <w:rsid w:val="0D646FD0"/>
    <w:rsid w:val="0D696E16"/>
    <w:rsid w:val="0D8458C4"/>
    <w:rsid w:val="0D847672"/>
    <w:rsid w:val="0DF742E8"/>
    <w:rsid w:val="0E5265A9"/>
    <w:rsid w:val="0E6F20D1"/>
    <w:rsid w:val="0E9E26E2"/>
    <w:rsid w:val="0EAC6E81"/>
    <w:rsid w:val="0ECF491D"/>
    <w:rsid w:val="0EE06B2A"/>
    <w:rsid w:val="0F19157E"/>
    <w:rsid w:val="0F3155D8"/>
    <w:rsid w:val="0F360E40"/>
    <w:rsid w:val="0FBA737B"/>
    <w:rsid w:val="0FCB1589"/>
    <w:rsid w:val="10480E2B"/>
    <w:rsid w:val="10B82ACF"/>
    <w:rsid w:val="10BB15FD"/>
    <w:rsid w:val="1102547E"/>
    <w:rsid w:val="11592BC4"/>
    <w:rsid w:val="118B5473"/>
    <w:rsid w:val="120E1C01"/>
    <w:rsid w:val="129B16E6"/>
    <w:rsid w:val="12C56763"/>
    <w:rsid w:val="12E017EF"/>
    <w:rsid w:val="12EE6B78"/>
    <w:rsid w:val="13082AD1"/>
    <w:rsid w:val="130F3E82"/>
    <w:rsid w:val="134358DA"/>
    <w:rsid w:val="134F427F"/>
    <w:rsid w:val="13DF3855"/>
    <w:rsid w:val="147C5547"/>
    <w:rsid w:val="149A777C"/>
    <w:rsid w:val="14B60A59"/>
    <w:rsid w:val="152139F9"/>
    <w:rsid w:val="15D849FF"/>
    <w:rsid w:val="15DB004C"/>
    <w:rsid w:val="16414353"/>
    <w:rsid w:val="16421E79"/>
    <w:rsid w:val="16AB2114"/>
    <w:rsid w:val="176F6C9D"/>
    <w:rsid w:val="17F90C5D"/>
    <w:rsid w:val="18221F62"/>
    <w:rsid w:val="18253800"/>
    <w:rsid w:val="18A24E51"/>
    <w:rsid w:val="19033B41"/>
    <w:rsid w:val="19726F19"/>
    <w:rsid w:val="19810F0A"/>
    <w:rsid w:val="199450E1"/>
    <w:rsid w:val="19D63004"/>
    <w:rsid w:val="1A0D279E"/>
    <w:rsid w:val="1A5B5BFF"/>
    <w:rsid w:val="1A766595"/>
    <w:rsid w:val="1AB66E72"/>
    <w:rsid w:val="1AD27C6F"/>
    <w:rsid w:val="1AF776D6"/>
    <w:rsid w:val="1AFD0A64"/>
    <w:rsid w:val="1B28788F"/>
    <w:rsid w:val="1B373F76"/>
    <w:rsid w:val="1B46065D"/>
    <w:rsid w:val="1B860A5A"/>
    <w:rsid w:val="1BAF1D5E"/>
    <w:rsid w:val="1BC03F6C"/>
    <w:rsid w:val="1C183DA8"/>
    <w:rsid w:val="1C4050AC"/>
    <w:rsid w:val="1C827473"/>
    <w:rsid w:val="1C99656B"/>
    <w:rsid w:val="1CFF2872"/>
    <w:rsid w:val="1D197650"/>
    <w:rsid w:val="1D70376F"/>
    <w:rsid w:val="1D8F04F6"/>
    <w:rsid w:val="1DAA6C81"/>
    <w:rsid w:val="1E276524"/>
    <w:rsid w:val="1E843945"/>
    <w:rsid w:val="1EC71AB5"/>
    <w:rsid w:val="1ECE2873"/>
    <w:rsid w:val="1EEE2B9E"/>
    <w:rsid w:val="1F0028D1"/>
    <w:rsid w:val="1F02489B"/>
    <w:rsid w:val="1F095C2A"/>
    <w:rsid w:val="1F100D66"/>
    <w:rsid w:val="1F486752"/>
    <w:rsid w:val="1F525822"/>
    <w:rsid w:val="1F6B5994"/>
    <w:rsid w:val="1F9F033C"/>
    <w:rsid w:val="1FDA1374"/>
    <w:rsid w:val="20176124"/>
    <w:rsid w:val="202A5E57"/>
    <w:rsid w:val="205E3D53"/>
    <w:rsid w:val="20AE4CDA"/>
    <w:rsid w:val="212957F8"/>
    <w:rsid w:val="21703D3E"/>
    <w:rsid w:val="21A97250"/>
    <w:rsid w:val="21BE2CFB"/>
    <w:rsid w:val="22603DB2"/>
    <w:rsid w:val="226C09A9"/>
    <w:rsid w:val="22E679A6"/>
    <w:rsid w:val="23686FA9"/>
    <w:rsid w:val="23737B15"/>
    <w:rsid w:val="23C245F9"/>
    <w:rsid w:val="23E02D14"/>
    <w:rsid w:val="24AD7057"/>
    <w:rsid w:val="24AF4B7D"/>
    <w:rsid w:val="24D357FB"/>
    <w:rsid w:val="255D0A7D"/>
    <w:rsid w:val="256B13EC"/>
    <w:rsid w:val="26025181"/>
    <w:rsid w:val="261A4BC0"/>
    <w:rsid w:val="26296BB1"/>
    <w:rsid w:val="265956E8"/>
    <w:rsid w:val="26DC4DA3"/>
    <w:rsid w:val="274912B9"/>
    <w:rsid w:val="278C389C"/>
    <w:rsid w:val="27910EB2"/>
    <w:rsid w:val="27B64475"/>
    <w:rsid w:val="27E56B08"/>
    <w:rsid w:val="27F37477"/>
    <w:rsid w:val="2838132E"/>
    <w:rsid w:val="284303FE"/>
    <w:rsid w:val="28DE3C83"/>
    <w:rsid w:val="29323A24"/>
    <w:rsid w:val="296543A4"/>
    <w:rsid w:val="29B36EBE"/>
    <w:rsid w:val="2A9C5BA4"/>
    <w:rsid w:val="2AAB5DE7"/>
    <w:rsid w:val="2AEA4B61"/>
    <w:rsid w:val="2AFB6D6E"/>
    <w:rsid w:val="2B083D61"/>
    <w:rsid w:val="2B77216D"/>
    <w:rsid w:val="2B797C93"/>
    <w:rsid w:val="2B8C79C6"/>
    <w:rsid w:val="2BA271EA"/>
    <w:rsid w:val="2BD10619"/>
    <w:rsid w:val="2C504E98"/>
    <w:rsid w:val="2D1934DC"/>
    <w:rsid w:val="2D26209C"/>
    <w:rsid w:val="2D340315"/>
    <w:rsid w:val="2D917516"/>
    <w:rsid w:val="2E224612"/>
    <w:rsid w:val="2E3F6F72"/>
    <w:rsid w:val="2E717347"/>
    <w:rsid w:val="2EBE0643"/>
    <w:rsid w:val="2ECE3357"/>
    <w:rsid w:val="2EFA733D"/>
    <w:rsid w:val="2F1F0B51"/>
    <w:rsid w:val="2F302D5E"/>
    <w:rsid w:val="2F5702EB"/>
    <w:rsid w:val="2F6964DF"/>
    <w:rsid w:val="2F9D4288"/>
    <w:rsid w:val="2FEA73B1"/>
    <w:rsid w:val="30275F10"/>
    <w:rsid w:val="314B0324"/>
    <w:rsid w:val="316311C9"/>
    <w:rsid w:val="324059AE"/>
    <w:rsid w:val="325356E2"/>
    <w:rsid w:val="328238D1"/>
    <w:rsid w:val="328533C1"/>
    <w:rsid w:val="33136C1F"/>
    <w:rsid w:val="334D5155"/>
    <w:rsid w:val="33694A91"/>
    <w:rsid w:val="33DC0A4A"/>
    <w:rsid w:val="33E32A95"/>
    <w:rsid w:val="343E1A7A"/>
    <w:rsid w:val="34B47F8E"/>
    <w:rsid w:val="35580226"/>
    <w:rsid w:val="35F03248"/>
    <w:rsid w:val="35FB40C6"/>
    <w:rsid w:val="36107446"/>
    <w:rsid w:val="3627310D"/>
    <w:rsid w:val="362E6312"/>
    <w:rsid w:val="3660217B"/>
    <w:rsid w:val="368D6CE8"/>
    <w:rsid w:val="36BB5604"/>
    <w:rsid w:val="3736395E"/>
    <w:rsid w:val="378105FB"/>
    <w:rsid w:val="37B00EE0"/>
    <w:rsid w:val="37CA01F4"/>
    <w:rsid w:val="37F05781"/>
    <w:rsid w:val="3805122C"/>
    <w:rsid w:val="38080D1C"/>
    <w:rsid w:val="38404012"/>
    <w:rsid w:val="38A87E0A"/>
    <w:rsid w:val="38C06F01"/>
    <w:rsid w:val="39276F80"/>
    <w:rsid w:val="39396CB4"/>
    <w:rsid w:val="39513FFD"/>
    <w:rsid w:val="395D1E4C"/>
    <w:rsid w:val="39763A64"/>
    <w:rsid w:val="39C72511"/>
    <w:rsid w:val="39FB39B2"/>
    <w:rsid w:val="3A015A23"/>
    <w:rsid w:val="3A09118A"/>
    <w:rsid w:val="3A992100"/>
    <w:rsid w:val="3B251BE5"/>
    <w:rsid w:val="3B2F036E"/>
    <w:rsid w:val="3B4F27BE"/>
    <w:rsid w:val="3BB32D4D"/>
    <w:rsid w:val="3BBD1E1E"/>
    <w:rsid w:val="3C460065"/>
    <w:rsid w:val="3C5938F5"/>
    <w:rsid w:val="3D121CF5"/>
    <w:rsid w:val="3D4D6D2F"/>
    <w:rsid w:val="3DBA6615"/>
    <w:rsid w:val="3E530817"/>
    <w:rsid w:val="3E5C15C9"/>
    <w:rsid w:val="3E8D1F7B"/>
    <w:rsid w:val="3EAF1EF2"/>
    <w:rsid w:val="3EB07A18"/>
    <w:rsid w:val="3EF9316D"/>
    <w:rsid w:val="3F03223E"/>
    <w:rsid w:val="3F0F2990"/>
    <w:rsid w:val="3F163D1F"/>
    <w:rsid w:val="3F2B709E"/>
    <w:rsid w:val="3FB66155"/>
    <w:rsid w:val="402266F3"/>
    <w:rsid w:val="40714F85"/>
    <w:rsid w:val="40CD665F"/>
    <w:rsid w:val="411C3143"/>
    <w:rsid w:val="412A5860"/>
    <w:rsid w:val="416633C0"/>
    <w:rsid w:val="41760AA5"/>
    <w:rsid w:val="41C9151C"/>
    <w:rsid w:val="41D62D7F"/>
    <w:rsid w:val="42975177"/>
    <w:rsid w:val="43160791"/>
    <w:rsid w:val="43263314"/>
    <w:rsid w:val="43370708"/>
    <w:rsid w:val="43AC6A00"/>
    <w:rsid w:val="43EC504E"/>
    <w:rsid w:val="4416031D"/>
    <w:rsid w:val="44531571"/>
    <w:rsid w:val="44E73A68"/>
    <w:rsid w:val="450A60D4"/>
    <w:rsid w:val="4541586E"/>
    <w:rsid w:val="455E3D2A"/>
    <w:rsid w:val="46195EA3"/>
    <w:rsid w:val="466753B0"/>
    <w:rsid w:val="46845A12"/>
    <w:rsid w:val="468C2B19"/>
    <w:rsid w:val="46D544C0"/>
    <w:rsid w:val="46D63D94"/>
    <w:rsid w:val="46E25ADA"/>
    <w:rsid w:val="471C3E9C"/>
    <w:rsid w:val="479C4FDD"/>
    <w:rsid w:val="47A125F4"/>
    <w:rsid w:val="47D46525"/>
    <w:rsid w:val="47E744AA"/>
    <w:rsid w:val="48107E1B"/>
    <w:rsid w:val="485A1120"/>
    <w:rsid w:val="486C0E54"/>
    <w:rsid w:val="487675DC"/>
    <w:rsid w:val="48AA6B8B"/>
    <w:rsid w:val="48BB1493"/>
    <w:rsid w:val="48E96000"/>
    <w:rsid w:val="492B6619"/>
    <w:rsid w:val="496E6505"/>
    <w:rsid w:val="499A05E2"/>
    <w:rsid w:val="4A2F038B"/>
    <w:rsid w:val="4A484FA8"/>
    <w:rsid w:val="4A69389D"/>
    <w:rsid w:val="4ABB1C1E"/>
    <w:rsid w:val="4AC26B09"/>
    <w:rsid w:val="4ACF7478"/>
    <w:rsid w:val="4ADB3424"/>
    <w:rsid w:val="4B3D2633"/>
    <w:rsid w:val="4C82117A"/>
    <w:rsid w:val="4CA23096"/>
    <w:rsid w:val="4CAF57B3"/>
    <w:rsid w:val="4CC254E6"/>
    <w:rsid w:val="4D2834AF"/>
    <w:rsid w:val="4E2B2C17"/>
    <w:rsid w:val="4E6B74B7"/>
    <w:rsid w:val="4E766588"/>
    <w:rsid w:val="4E9764FE"/>
    <w:rsid w:val="4EBD5F65"/>
    <w:rsid w:val="4EE2777A"/>
    <w:rsid w:val="4EEE4370"/>
    <w:rsid w:val="4F302BDB"/>
    <w:rsid w:val="4F3501F1"/>
    <w:rsid w:val="4F440434"/>
    <w:rsid w:val="4FBC446F"/>
    <w:rsid w:val="50081462"/>
    <w:rsid w:val="50137E07"/>
    <w:rsid w:val="503009B9"/>
    <w:rsid w:val="50D2381E"/>
    <w:rsid w:val="50E7376D"/>
    <w:rsid w:val="510D2AA8"/>
    <w:rsid w:val="51207AE6"/>
    <w:rsid w:val="51273B6A"/>
    <w:rsid w:val="51A258E6"/>
    <w:rsid w:val="51D05FAF"/>
    <w:rsid w:val="51F72852"/>
    <w:rsid w:val="521305AA"/>
    <w:rsid w:val="52354064"/>
    <w:rsid w:val="52D03D8D"/>
    <w:rsid w:val="5317389A"/>
    <w:rsid w:val="534704F3"/>
    <w:rsid w:val="541C1980"/>
    <w:rsid w:val="543C5B7E"/>
    <w:rsid w:val="54B24092"/>
    <w:rsid w:val="553A4E18"/>
    <w:rsid w:val="558F426F"/>
    <w:rsid w:val="55BE25C3"/>
    <w:rsid w:val="56004989"/>
    <w:rsid w:val="56120480"/>
    <w:rsid w:val="5619315D"/>
    <w:rsid w:val="565D3A00"/>
    <w:rsid w:val="5661367A"/>
    <w:rsid w:val="56D06A51"/>
    <w:rsid w:val="57045E05"/>
    <w:rsid w:val="578F4217"/>
    <w:rsid w:val="57D72CAA"/>
    <w:rsid w:val="57D83E10"/>
    <w:rsid w:val="580532CA"/>
    <w:rsid w:val="584B45E2"/>
    <w:rsid w:val="584E7C2E"/>
    <w:rsid w:val="58737694"/>
    <w:rsid w:val="591329F1"/>
    <w:rsid w:val="59633BAD"/>
    <w:rsid w:val="59741596"/>
    <w:rsid w:val="59A65848"/>
    <w:rsid w:val="59B85CA7"/>
    <w:rsid w:val="59CB35ED"/>
    <w:rsid w:val="5A166E71"/>
    <w:rsid w:val="5A8C0EE1"/>
    <w:rsid w:val="5A902780"/>
    <w:rsid w:val="5ABD72ED"/>
    <w:rsid w:val="5AF3168A"/>
    <w:rsid w:val="5B264E92"/>
    <w:rsid w:val="5B3C2907"/>
    <w:rsid w:val="5B7E6A7C"/>
    <w:rsid w:val="5B9067AF"/>
    <w:rsid w:val="5BCB1B66"/>
    <w:rsid w:val="5C2238AB"/>
    <w:rsid w:val="5C8E5C48"/>
    <w:rsid w:val="5CA22C3E"/>
    <w:rsid w:val="5D096819"/>
    <w:rsid w:val="5D1C479E"/>
    <w:rsid w:val="5DC32E6C"/>
    <w:rsid w:val="5DC80482"/>
    <w:rsid w:val="5DCA244C"/>
    <w:rsid w:val="5DED15CA"/>
    <w:rsid w:val="5F2E6A0B"/>
    <w:rsid w:val="5F571ABE"/>
    <w:rsid w:val="5FC627A0"/>
    <w:rsid w:val="5FDC6F72"/>
    <w:rsid w:val="600532C8"/>
    <w:rsid w:val="600F05EB"/>
    <w:rsid w:val="602D6CC3"/>
    <w:rsid w:val="60586C55"/>
    <w:rsid w:val="608A7C71"/>
    <w:rsid w:val="60C56EFB"/>
    <w:rsid w:val="617C580C"/>
    <w:rsid w:val="61970500"/>
    <w:rsid w:val="622C5484"/>
    <w:rsid w:val="622F0AD0"/>
    <w:rsid w:val="626764BC"/>
    <w:rsid w:val="62DD22DA"/>
    <w:rsid w:val="6347009B"/>
    <w:rsid w:val="638D6B5E"/>
    <w:rsid w:val="63C811DC"/>
    <w:rsid w:val="641A130C"/>
    <w:rsid w:val="642D103F"/>
    <w:rsid w:val="648F3AA8"/>
    <w:rsid w:val="64A62BA0"/>
    <w:rsid w:val="653B3C30"/>
    <w:rsid w:val="657607C4"/>
    <w:rsid w:val="663D12E2"/>
    <w:rsid w:val="67220C03"/>
    <w:rsid w:val="674566A0"/>
    <w:rsid w:val="67AA29A7"/>
    <w:rsid w:val="67AC2BC3"/>
    <w:rsid w:val="68D4417F"/>
    <w:rsid w:val="691E189E"/>
    <w:rsid w:val="69C45FA2"/>
    <w:rsid w:val="69EA352F"/>
    <w:rsid w:val="6A4C5F97"/>
    <w:rsid w:val="6AD00976"/>
    <w:rsid w:val="6B016D82"/>
    <w:rsid w:val="6B1D005F"/>
    <w:rsid w:val="6B5C220A"/>
    <w:rsid w:val="6CB00A5F"/>
    <w:rsid w:val="6D1B24C2"/>
    <w:rsid w:val="6D2D3E5E"/>
    <w:rsid w:val="6D301BA0"/>
    <w:rsid w:val="6D3451EC"/>
    <w:rsid w:val="6D4573FA"/>
    <w:rsid w:val="6D7B72BF"/>
    <w:rsid w:val="6D7E46BA"/>
    <w:rsid w:val="6DE309C1"/>
    <w:rsid w:val="6DFC5518"/>
    <w:rsid w:val="6E201C15"/>
    <w:rsid w:val="6E241705"/>
    <w:rsid w:val="6EA63EC8"/>
    <w:rsid w:val="6EF410D7"/>
    <w:rsid w:val="6EFA4214"/>
    <w:rsid w:val="6F18756A"/>
    <w:rsid w:val="6F4F4560"/>
    <w:rsid w:val="6F9D48C5"/>
    <w:rsid w:val="702E0619"/>
    <w:rsid w:val="708104E7"/>
    <w:rsid w:val="708446DD"/>
    <w:rsid w:val="71431EA2"/>
    <w:rsid w:val="714F4CEB"/>
    <w:rsid w:val="71A14E1B"/>
    <w:rsid w:val="71B7463E"/>
    <w:rsid w:val="71BD1168"/>
    <w:rsid w:val="71C70D25"/>
    <w:rsid w:val="720D36E2"/>
    <w:rsid w:val="72834520"/>
    <w:rsid w:val="729F75AC"/>
    <w:rsid w:val="72D354A8"/>
    <w:rsid w:val="72E256EB"/>
    <w:rsid w:val="73351CBE"/>
    <w:rsid w:val="733571EE"/>
    <w:rsid w:val="73571C35"/>
    <w:rsid w:val="738A64AB"/>
    <w:rsid w:val="74221778"/>
    <w:rsid w:val="742816AF"/>
    <w:rsid w:val="743957DE"/>
    <w:rsid w:val="7483082E"/>
    <w:rsid w:val="74A25132"/>
    <w:rsid w:val="74A4534E"/>
    <w:rsid w:val="7521699E"/>
    <w:rsid w:val="7524023C"/>
    <w:rsid w:val="760F2C9B"/>
    <w:rsid w:val="764D5571"/>
    <w:rsid w:val="76760624"/>
    <w:rsid w:val="76764668"/>
    <w:rsid w:val="76860E92"/>
    <w:rsid w:val="768C6951"/>
    <w:rsid w:val="76BB072D"/>
    <w:rsid w:val="76D47F4A"/>
    <w:rsid w:val="77091498"/>
    <w:rsid w:val="775748F9"/>
    <w:rsid w:val="780A196C"/>
    <w:rsid w:val="783562BD"/>
    <w:rsid w:val="78650950"/>
    <w:rsid w:val="78E957D1"/>
    <w:rsid w:val="79A25BD4"/>
    <w:rsid w:val="79D65074"/>
    <w:rsid w:val="7AAA4D40"/>
    <w:rsid w:val="7ABB0CFB"/>
    <w:rsid w:val="7AC1208A"/>
    <w:rsid w:val="7B230514"/>
    <w:rsid w:val="7B3B62E0"/>
    <w:rsid w:val="7BAE260E"/>
    <w:rsid w:val="7C02295A"/>
    <w:rsid w:val="7C1C3A1B"/>
    <w:rsid w:val="7C3D3992"/>
    <w:rsid w:val="7C7750F6"/>
    <w:rsid w:val="7D2E7EAA"/>
    <w:rsid w:val="7D496A92"/>
    <w:rsid w:val="7DBD2FDC"/>
    <w:rsid w:val="7DF84E4F"/>
    <w:rsid w:val="7E404BAE"/>
    <w:rsid w:val="7E503E50"/>
    <w:rsid w:val="7E747B3F"/>
    <w:rsid w:val="7E867872"/>
    <w:rsid w:val="7E9C0E44"/>
    <w:rsid w:val="7F413799"/>
    <w:rsid w:val="7F945FBF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2456</Words>
  <Characters>13755</Characters>
  <Lines>24</Lines>
  <Paragraphs>6</Paragraphs>
  <TotalTime>2</TotalTime>
  <ScaleCrop>false</ScaleCrop>
  <LinksUpToDate>false</LinksUpToDate>
  <CharactersWithSpaces>15205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2022-07-06T18:01:00Z</dcterms:created>
  <dcterms:modified xsi:type="dcterms:W3CDTF">2025-07-29T04:29:51Z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eyJoZGlkIjoiNzFiMWUwYTc4ZThhZWU0YmFmMmZiNTEzZWRiZTk0ODUiLCJ1c2VySWQiOiIyNzYyOTMzNjMifQ==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55C3C77E65A7444A9ADB440D7AE210CD_12</vt:lpwstr>
  </property>
</Properties>
</file>