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F8100E" w14:textId="77777777" w:rsidR="00BB7D7C" w:rsidRPr="00F81416" w:rsidRDefault="00BB7D7C" w:rsidP="00BB7D7C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11E2">
        <w:rPr>
          <w:rFonts w:ascii="Times New Roman" w:hAnsi="Times New Roman" w:cs="Times New Roman"/>
          <w:b/>
          <w:bCs/>
          <w:sz w:val="24"/>
          <w:szCs w:val="24"/>
        </w:rPr>
        <w:t>Supplementary figures and figure legends</w:t>
      </w:r>
    </w:p>
    <w:p w14:paraId="7A8CB61C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4E57959D" wp14:editId="11138792">
            <wp:extent cx="5274310" cy="6006465"/>
            <wp:effectExtent l="0" t="0" r="2540" b="0"/>
            <wp:docPr id="38157530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00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3345E3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81416">
        <w:rPr>
          <w:rFonts w:ascii="Times New Roman" w:eastAsia="宋体" w:hAnsi="Times New Roman" w:cs="Times New Roman"/>
          <w:b/>
          <w:bCs/>
          <w:sz w:val="24"/>
          <w:szCs w:val="24"/>
        </w:rPr>
        <w:t>Figure S1.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>(A–B) Validation of ECI2 stable overexpression and knockdown efficiency via RT-qPCR (A–B) and Western blot (C–D).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 xml:space="preserve">(E–F) CCK8 assay detecting proliferation changes in melanoma cells A375 (E) and A2058 (F) following ECI2 knockdown. (G) Representative images of colony formation by ECI2-knockdown melanoma cells. Quantitative analysis shown in the right panel. (H-I) Representative images of wound healing assays assessing migration ability in ECI2-knockdown </w:t>
      </w:r>
      <w:r w:rsidRPr="00205D23">
        <w:rPr>
          <w:rFonts w:ascii="Times New Roman" w:eastAsia="宋体" w:hAnsi="Times New Roman" w:cs="Times New Roman"/>
          <w:sz w:val="24"/>
          <w:szCs w:val="24"/>
        </w:rPr>
        <w:lastRenderedPageBreak/>
        <w:t xml:space="preserve">melanoma cells (scale bar 100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). Quantitative analysis shown in panel I. (J) Representative images of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Transwell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invasion assay assessing ECI2-silenced melanoma cell invasion (scale bar 50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>). Quantitative analysis shown in the right panel.</w:t>
      </w:r>
    </w:p>
    <w:p w14:paraId="610CD6BA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44967F6E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544B638" wp14:editId="280F5571">
            <wp:extent cx="5274310" cy="3069590"/>
            <wp:effectExtent l="0" t="0" r="2540" b="0"/>
            <wp:docPr id="206864166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6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371FB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81416">
        <w:rPr>
          <w:rFonts w:ascii="Times New Roman" w:eastAsia="宋体" w:hAnsi="Times New Roman" w:cs="Times New Roman"/>
          <w:b/>
          <w:bCs/>
          <w:sz w:val="24"/>
          <w:szCs w:val="24"/>
        </w:rPr>
        <w:t>Figure S2</w:t>
      </w:r>
      <w:r w:rsidRPr="00F81416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 xml:space="preserve">(A-D) NET formation by neutrophils incubated in conditioned medium from ECI2-knockdown melanoma cells, detected by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Sytox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immunofluorescence (</w:t>
      </w:r>
      <w:proofErr w:type="gramStart"/>
      <w:r w:rsidRPr="00205D23">
        <w:rPr>
          <w:rFonts w:ascii="Times New Roman" w:eastAsia="宋体" w:hAnsi="Times New Roman" w:cs="Times New Roman"/>
          <w:sz w:val="24"/>
          <w:szCs w:val="24"/>
        </w:rPr>
        <w:t>A,C</w:t>
      </w:r>
      <w:proofErr w:type="gramEnd"/>
      <w:r w:rsidRPr="00205D23">
        <w:rPr>
          <w:rFonts w:ascii="Times New Roman" w:eastAsia="宋体" w:hAnsi="Times New Roman" w:cs="Times New Roman"/>
          <w:sz w:val="24"/>
          <w:szCs w:val="24"/>
        </w:rPr>
        <w:t>) and MPO-DNA ELISA (</w:t>
      </w:r>
      <w:proofErr w:type="gramStart"/>
      <w:r w:rsidRPr="00205D23">
        <w:rPr>
          <w:rFonts w:ascii="Times New Roman" w:eastAsia="宋体" w:hAnsi="Times New Roman" w:cs="Times New Roman"/>
          <w:sz w:val="24"/>
          <w:szCs w:val="24"/>
        </w:rPr>
        <w:t>B,D</w:t>
      </w:r>
      <w:proofErr w:type="gram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) (scale bar 20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, </w:t>
      </w:r>
      <w:r w:rsidRPr="00F05D83">
        <w:rPr>
          <w:rFonts w:ascii="Times New Roman" w:eastAsia="宋体" w:hAnsi="Times New Roman" w:cs="Times New Roman"/>
          <w:i/>
          <w:iCs/>
          <w:sz w:val="24"/>
          <w:szCs w:val="24"/>
        </w:rPr>
        <w:t>n</w:t>
      </w:r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= 3).</w:t>
      </w:r>
    </w:p>
    <w:p w14:paraId="05588DEB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31491AC8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953D27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F4D9462" wp14:editId="0E42669F">
            <wp:extent cx="5274310" cy="4200525"/>
            <wp:effectExtent l="0" t="0" r="2540" b="9525"/>
            <wp:docPr id="14919320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7DA7B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F81416">
        <w:rPr>
          <w:rFonts w:ascii="Times New Roman" w:eastAsia="宋体" w:hAnsi="Times New Roman" w:cs="Times New Roman"/>
          <w:b/>
          <w:bCs/>
          <w:sz w:val="24"/>
          <w:szCs w:val="24"/>
        </w:rPr>
        <w:t>Figure S3.</w:t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 xml:space="preserve">(A–D) NET formation by neutrophils incubated with supernatant from ECI2-overexpressing melanoma cells, labeled by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Sytox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immunofluorescence (A, C) and MPO-DNA ELISA (B, D), following sequential addition of DNase I, aspirin, or DPI (scale bar 20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). (E-F) Changes in proliferation and invasion of ECI2-overexpressing melanoma cells after co-culture with neutrophils (with or without aspirin and PMA) were assessed via CCK8 proliferation assay (E) and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Transwell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invasion assay (F) (scale bar 50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>).</w:t>
      </w:r>
    </w:p>
    <w:p w14:paraId="19658E4E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68111635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28DE138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4678E59" wp14:editId="33CCA2BB">
            <wp:extent cx="5274310" cy="4392930"/>
            <wp:effectExtent l="0" t="0" r="2540" b="7620"/>
            <wp:docPr id="71926292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39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0605BF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22BA2">
        <w:rPr>
          <w:rFonts w:ascii="Times New Roman" w:eastAsia="宋体" w:hAnsi="Times New Roman" w:cs="Times New Roman"/>
          <w:b/>
          <w:bCs/>
          <w:sz w:val="24"/>
          <w:szCs w:val="24"/>
        </w:rPr>
        <w:t>Figure S4</w:t>
      </w:r>
      <w:r w:rsidRPr="00B22BA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 xml:space="preserve">(A–D) RT-qPCR, WB, PGE2 ELISA, and AA ELISA assays detecting changes in TLR3 mRNA levels, COX2 protein content, PGE2, and AA levels in melanoma cells overexpressing ECI2 after co-culture with neutrophils (with or without DNase I). (E-F) CCK8 proliferation assay (E) and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Transwell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 xml:space="preserve"> invasion assay (F) assessing melanoma cell proliferation and invasion after co-culture with neutrophils (with or without DNase I and AA) in ECI2-overexpressing cells (or cells simultaneously silenced for TLR3). (Scale bar: 50 </w:t>
      </w:r>
      <w:proofErr w:type="spellStart"/>
      <w:r w:rsidRPr="00205D23">
        <w:rPr>
          <w:rFonts w:ascii="Times New Roman" w:eastAsia="宋体" w:hAnsi="Times New Roman" w:cs="Times New Roman"/>
          <w:sz w:val="24"/>
          <w:szCs w:val="24"/>
        </w:rPr>
        <w:t>μm</w:t>
      </w:r>
      <w:proofErr w:type="spellEnd"/>
      <w:r w:rsidRPr="00205D23">
        <w:rPr>
          <w:rFonts w:ascii="Times New Roman" w:eastAsia="宋体" w:hAnsi="Times New Roman" w:cs="Times New Roman"/>
          <w:sz w:val="24"/>
          <w:szCs w:val="24"/>
        </w:rPr>
        <w:t>).</w:t>
      </w:r>
    </w:p>
    <w:p w14:paraId="2A175983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5CD1CA5C" w14:textId="77777777" w:rsidR="00BB7D7C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774D081B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4C8BB4D4" wp14:editId="26A4FB24">
            <wp:extent cx="5166360" cy="3535680"/>
            <wp:effectExtent l="0" t="0" r="0" b="7620"/>
            <wp:docPr id="109528507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535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CE818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22BA2">
        <w:rPr>
          <w:rFonts w:ascii="Times New Roman" w:eastAsia="宋体" w:hAnsi="Times New Roman" w:cs="Times New Roman"/>
          <w:b/>
          <w:bCs/>
          <w:sz w:val="24"/>
          <w:szCs w:val="24"/>
        </w:rPr>
        <w:t>Figure S5</w:t>
      </w:r>
      <w:r w:rsidRPr="00B22BA2">
        <w:rPr>
          <w:rFonts w:ascii="Times New Roman" w:eastAsia="宋体" w:hAnsi="Times New Roman" w:cs="Times New Roman" w:hint="eastAsia"/>
          <w:b/>
          <w:bCs/>
          <w:sz w:val="24"/>
          <w:szCs w:val="24"/>
        </w:rPr>
        <w:t>.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 w:rsidRPr="00205D23">
        <w:rPr>
          <w:rFonts w:ascii="Times New Roman" w:eastAsia="宋体" w:hAnsi="Times New Roman" w:cs="Times New Roman"/>
          <w:sz w:val="24"/>
          <w:szCs w:val="24"/>
        </w:rPr>
        <w:t>Schematic model of ECI2-mediated melanoma progression through the arachidonic acid metabolism and neutrophil extracellular trap-induced TLR3/COX2/PGE2 feedback loop.</w:t>
      </w:r>
    </w:p>
    <w:p w14:paraId="78A0DD52" w14:textId="77777777" w:rsidR="00BB7D7C" w:rsidRPr="00205D23" w:rsidRDefault="00BB7D7C" w:rsidP="00BB7D7C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</w:p>
    <w:p w14:paraId="28CDF275" w14:textId="2A1703C3" w:rsidR="003934D4" w:rsidRPr="00BB7D7C" w:rsidRDefault="003934D4" w:rsidP="00BB7D7C"/>
    <w:sectPr w:rsidR="003934D4" w:rsidRPr="00BB7D7C" w:rsidSect="00BB7D7C">
      <w:footerReference w:type="default" r:id="rId11"/>
      <w:pgSz w:w="11906" w:h="16838"/>
      <w:pgMar w:top="1440" w:right="1800" w:bottom="1440" w:left="1800" w:header="851" w:footer="992" w:gutter="0"/>
      <w:lnNumType w:countBy="1" w:restart="continuous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CAFFB" w14:textId="77777777" w:rsidR="00141A3B" w:rsidRDefault="00141A3B" w:rsidP="00D82BEB">
      <w:r>
        <w:separator/>
      </w:r>
    </w:p>
  </w:endnote>
  <w:endnote w:type="continuationSeparator" w:id="0">
    <w:p w14:paraId="36107D60" w14:textId="77777777" w:rsidR="00141A3B" w:rsidRDefault="00141A3B" w:rsidP="00D82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4872104"/>
      <w:docPartObj>
        <w:docPartGallery w:val="Page Numbers (Bottom of Page)"/>
        <w:docPartUnique/>
      </w:docPartObj>
    </w:sdtPr>
    <w:sdtContent>
      <w:p w14:paraId="22434A8E" w14:textId="77777777" w:rsidR="00BB7D7C" w:rsidRDefault="00BB7D7C">
        <w:pPr>
          <w:pStyle w:val="af0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A8FDF17" w14:textId="77777777" w:rsidR="00BB7D7C" w:rsidRDefault="00BB7D7C">
    <w:pPr>
      <w:pStyle w:val="af0"/>
      <w:rPr>
        <w:rFonts w:hint="eastAsi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79D61" w14:textId="77777777" w:rsidR="00141A3B" w:rsidRDefault="00141A3B" w:rsidP="00D82BEB">
      <w:r>
        <w:separator/>
      </w:r>
    </w:p>
  </w:footnote>
  <w:footnote w:type="continuationSeparator" w:id="0">
    <w:p w14:paraId="41D76F87" w14:textId="77777777" w:rsidR="00141A3B" w:rsidRDefault="00141A3B" w:rsidP="00D82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DA18D6"/>
    <w:rsid w:val="00141A3B"/>
    <w:rsid w:val="003934D4"/>
    <w:rsid w:val="0044488E"/>
    <w:rsid w:val="007C1704"/>
    <w:rsid w:val="007C6574"/>
    <w:rsid w:val="007E785D"/>
    <w:rsid w:val="00A96EA0"/>
    <w:rsid w:val="00AB0E4D"/>
    <w:rsid w:val="00BB7D7C"/>
    <w:rsid w:val="00D27505"/>
    <w:rsid w:val="00D82BEB"/>
    <w:rsid w:val="00DA1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AA6BC48"/>
  <w15:chartTrackingRefBased/>
  <w15:docId w15:val="{B35A765C-523C-41D4-ACAF-E956DC4078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7D7C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DA18D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A18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A18D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A18D6"/>
    <w:pPr>
      <w:keepNext/>
      <w:keepLines/>
      <w:spacing w:before="80" w:after="40"/>
      <w:outlineLvl w:val="3"/>
    </w:pPr>
    <w:rPr>
      <w:rFonts w:cstheme="majorBidi"/>
      <w:color w:val="365F9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A18D6"/>
    <w:pPr>
      <w:keepNext/>
      <w:keepLines/>
      <w:spacing w:before="80" w:after="40"/>
      <w:outlineLvl w:val="4"/>
    </w:pPr>
    <w:rPr>
      <w:rFonts w:cstheme="majorBidi"/>
      <w:color w:val="365F91" w:themeColor="accent1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A18D6"/>
    <w:pPr>
      <w:keepNext/>
      <w:keepLines/>
      <w:spacing w:before="40"/>
      <w:outlineLvl w:val="5"/>
    </w:pPr>
    <w:rPr>
      <w:rFonts w:cstheme="majorBidi"/>
      <w:b/>
      <w:bCs/>
      <w:color w:val="365F91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A18D6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A18D6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A18D6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DA18D6"/>
    <w:rPr>
      <w:rFonts w:asciiTheme="majorHAnsi" w:eastAsiaTheme="majorEastAsia" w:hAnsiTheme="majorHAnsi" w:cstheme="majorBidi"/>
      <w:color w:val="365F91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DA18D6"/>
    <w:rPr>
      <w:rFonts w:asciiTheme="majorHAnsi" w:eastAsiaTheme="majorEastAsia" w:hAnsiTheme="majorHAnsi" w:cstheme="majorBidi"/>
      <w:color w:val="365F91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DA18D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DA18D6"/>
    <w:rPr>
      <w:rFonts w:cstheme="majorBidi"/>
      <w:color w:val="365F91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DA18D6"/>
    <w:rPr>
      <w:rFonts w:cstheme="majorBidi"/>
      <w:color w:val="365F91" w:themeColor="accent1" w:themeShade="BF"/>
      <w:sz w:val="24"/>
      <w:szCs w:val="24"/>
    </w:rPr>
  </w:style>
  <w:style w:type="character" w:customStyle="1" w:styleId="60">
    <w:name w:val="标题 6 字符"/>
    <w:basedOn w:val="a0"/>
    <w:link w:val="6"/>
    <w:uiPriority w:val="9"/>
    <w:semiHidden/>
    <w:rsid w:val="00DA18D6"/>
    <w:rPr>
      <w:rFonts w:cstheme="majorBidi"/>
      <w:b/>
      <w:bCs/>
      <w:color w:val="365F91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DA18D6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DA18D6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DA18D6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DA18D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DA18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DA18D6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DA18D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DA18D6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DA18D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DA18D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DA18D6"/>
    <w:rPr>
      <w:i/>
      <w:iCs/>
      <w:color w:val="365F9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DA18D6"/>
    <w:pPr>
      <w:pBdr>
        <w:top w:val="single" w:sz="4" w:space="10" w:color="365F91" w:themeColor="accent1" w:themeShade="BF"/>
        <w:bottom w:val="single" w:sz="4" w:space="10" w:color="365F91" w:themeColor="accent1" w:themeShade="BF"/>
      </w:pBdr>
      <w:spacing w:before="360" w:after="360"/>
      <w:ind w:left="864" w:right="864"/>
      <w:jc w:val="center"/>
    </w:pPr>
    <w:rPr>
      <w:i/>
      <w:iCs/>
      <w:color w:val="365F91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DA18D6"/>
    <w:rPr>
      <w:i/>
      <w:iCs/>
      <w:color w:val="365F91" w:themeColor="accent1" w:themeShade="BF"/>
    </w:rPr>
  </w:style>
  <w:style w:type="character" w:styleId="ad">
    <w:name w:val="Intense Reference"/>
    <w:basedOn w:val="a0"/>
    <w:uiPriority w:val="32"/>
    <w:qFormat/>
    <w:rsid w:val="00DA18D6"/>
    <w:rPr>
      <w:b/>
      <w:bCs/>
      <w:smallCaps/>
      <w:color w:val="365F91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D82BEB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D82BEB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D82B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D82BEB"/>
    <w:rPr>
      <w:sz w:val="18"/>
      <w:szCs w:val="18"/>
    </w:rPr>
  </w:style>
  <w:style w:type="character" w:styleId="af2">
    <w:name w:val="line number"/>
    <w:basedOn w:val="a0"/>
    <w:uiPriority w:val="99"/>
    <w:semiHidden/>
    <w:unhideWhenUsed/>
    <w:rsid w:val="00BB7D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326</Words>
  <Characters>1859</Characters>
  <Application>Microsoft Office Word</Application>
  <DocSecurity>0</DocSecurity>
  <Lines>15</Lines>
  <Paragraphs>4</Paragraphs>
  <ScaleCrop>false</ScaleCrop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lixia chen</dc:creator>
  <cp:keywords/>
  <dc:description/>
  <cp:lastModifiedBy>lixia chen</cp:lastModifiedBy>
  <cp:revision>4</cp:revision>
  <dcterms:created xsi:type="dcterms:W3CDTF">2025-08-10T03:00:00Z</dcterms:created>
  <dcterms:modified xsi:type="dcterms:W3CDTF">2025-10-18T14:10:00Z</dcterms:modified>
</cp:coreProperties>
</file>