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3"/>
        <w:gridCol w:w="1521"/>
        <w:gridCol w:w="2909"/>
        <w:gridCol w:w="1331"/>
        <w:gridCol w:w="1204"/>
        <w:gridCol w:w="1521"/>
        <w:gridCol w:w="1949"/>
        <w:gridCol w:w="1331"/>
        <w:gridCol w:w="1205"/>
      </w:tblGrid>
      <w:tr>
        <w:tc>
          <w:tcPr>
            <w:tcW w:w="14174" w:type="dxa"/>
            <w:gridSpan w:val="9"/>
            <w:tcBorders>
              <w:top w:val="nil"/>
              <w:bottom w:val="single" w:color="000000" w:sz="12" w:space="0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802" w:firstLineChars="750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Table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S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2：Top 10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 xml:space="preserve">pathways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of the most significantly enriched 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Hans"/>
              </w:rPr>
              <w:t>in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Hans"/>
              </w:rPr>
              <w:t>the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Hans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BP term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Hans"/>
              </w:rPr>
              <w:t>of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Hans"/>
              </w:rPr>
              <w:t xml:space="preserve"> 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Hans"/>
              </w:rPr>
              <w:t>GO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eastAsia="zh-Hans"/>
              </w:rPr>
              <w:t xml:space="preserve"> 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Hans"/>
              </w:rPr>
              <w:t>analysis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.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03" w:type="dxa"/>
            <w:tcBorders>
              <w:top w:val="single" w:color="000000" w:sz="12" w:space="0"/>
              <w:bottom w:val="single" w:color="000000" w:sz="12" w:space="0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Caco2</w:t>
            </w:r>
          </w:p>
        </w:tc>
        <w:tc>
          <w:tcPr>
            <w:tcW w:w="6965" w:type="dxa"/>
            <w:gridSpan w:val="4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Calu3 series1</w:t>
            </w:r>
          </w:p>
        </w:tc>
        <w:tc>
          <w:tcPr>
            <w:tcW w:w="6006" w:type="dxa"/>
            <w:gridSpan w:val="4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Calu3 series2</w:t>
            </w:r>
          </w:p>
        </w:tc>
      </w:tr>
      <w:tr>
        <w:tc>
          <w:tcPr>
            <w:tcW w:w="1203" w:type="dxa"/>
            <w:vMerge w:val="continue"/>
            <w:tcBorders>
              <w:right w:val="nil"/>
              <w:tr2bl w:val="single" w:color="000000" w:sz="12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bookmarkStart w:id="0" w:name="_GoBack"/>
            <w:bookmarkEnd w:id="0"/>
          </w:p>
        </w:tc>
        <w:tc>
          <w:tcPr>
            <w:tcW w:w="1521" w:type="dxa"/>
            <w:tcBorders>
              <w:top w:val="single" w:color="000000" w:sz="12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</w:rPr>
              <w:t>ID</w:t>
            </w:r>
          </w:p>
        </w:tc>
        <w:tc>
          <w:tcPr>
            <w:tcW w:w="2909" w:type="dxa"/>
            <w:tcBorders>
              <w:top w:val="single" w:color="000000" w:sz="12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</w:rPr>
              <w:t>Description</w:t>
            </w:r>
          </w:p>
        </w:tc>
        <w:tc>
          <w:tcPr>
            <w:tcW w:w="1331" w:type="dxa"/>
            <w:tcBorders>
              <w:top w:val="single" w:color="000000" w:sz="12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</w:rPr>
              <w:t>pvalue</w:t>
            </w:r>
          </w:p>
        </w:tc>
        <w:tc>
          <w:tcPr>
            <w:tcW w:w="1204" w:type="dxa"/>
            <w:tcBorders>
              <w:top w:val="single" w:color="000000" w:sz="12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</w:rPr>
              <w:t>Count</w:t>
            </w:r>
          </w:p>
        </w:tc>
        <w:tc>
          <w:tcPr>
            <w:tcW w:w="1521" w:type="dxa"/>
            <w:tcBorders>
              <w:top w:val="single" w:color="000000" w:sz="12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</w:rPr>
              <w:t>ID</w:t>
            </w:r>
          </w:p>
        </w:tc>
        <w:tc>
          <w:tcPr>
            <w:tcW w:w="1949" w:type="dxa"/>
            <w:tcBorders>
              <w:top w:val="single" w:color="000000" w:sz="12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</w:rPr>
              <w:t>Description</w:t>
            </w:r>
          </w:p>
        </w:tc>
        <w:tc>
          <w:tcPr>
            <w:tcW w:w="1331" w:type="dxa"/>
            <w:tcBorders>
              <w:top w:val="single" w:color="000000" w:sz="12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</w:rPr>
              <w:t>pvalue</w:t>
            </w:r>
          </w:p>
        </w:tc>
        <w:tc>
          <w:tcPr>
            <w:tcW w:w="1205" w:type="dxa"/>
            <w:tcBorders>
              <w:top w:val="single" w:color="000000" w:sz="12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</w:rPr>
              <w:t>Count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03" w:type="dxa"/>
            <w:vMerge w:val="continue"/>
            <w:tcBorders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GO:0009615</w:t>
            </w:r>
          </w:p>
        </w:tc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response to virus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1.61E-44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GO:0009615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response to virus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8.07E-53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03" w:type="dxa"/>
            <w:vMerge w:val="continue"/>
            <w:tcBorders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GO:0051607</w:t>
            </w:r>
          </w:p>
        </w:tc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defense response to virus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4.50E-44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GO:0051607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defense response to virus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5.42E-50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</w:tr>
      <w:tr>
        <w:tc>
          <w:tcPr>
            <w:tcW w:w="1203" w:type="dxa"/>
            <w:vMerge w:val="continue"/>
            <w:tcBorders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GO:0060337</w:t>
            </w:r>
          </w:p>
        </w:tc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type I interferon signaling pathway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2.39E-37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GO:0060337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type I interferon signaling pathway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1.85E-33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>
        <w:tc>
          <w:tcPr>
            <w:tcW w:w="1203" w:type="dxa"/>
            <w:vMerge w:val="continue"/>
            <w:tcBorders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GO:0071357</w:t>
            </w:r>
          </w:p>
        </w:tc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cellular response to type I interferon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2.39E-37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GO:0071357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cellular response to type I interferon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1.85E-33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>
        <w:tc>
          <w:tcPr>
            <w:tcW w:w="1203" w:type="dxa"/>
            <w:vMerge w:val="continue"/>
            <w:tcBorders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GO:0034340</w:t>
            </w:r>
          </w:p>
        </w:tc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response to type I interferon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2.02E-36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GO:0034340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response to type I interferon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7.71E-33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>
        <w:tc>
          <w:tcPr>
            <w:tcW w:w="1203" w:type="dxa"/>
            <w:vMerge w:val="continue"/>
            <w:tcBorders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GO:0034341</w:t>
            </w:r>
          </w:p>
        </w:tc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response to interferon-gamma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1.24E-33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GO:0048525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negative regulation of viral process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9.46E-30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</w:tr>
      <w:tr>
        <w:tc>
          <w:tcPr>
            <w:tcW w:w="1203" w:type="dxa"/>
            <w:vMerge w:val="continue"/>
            <w:tcBorders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GO:0071346</w:t>
            </w:r>
          </w:p>
        </w:tc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cellular response to interferon-gamma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1.66E-29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GO:0043901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negative regulation of multi-organism process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2.20E-26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</w:tr>
      <w:tr>
        <w:tc>
          <w:tcPr>
            <w:tcW w:w="1203" w:type="dxa"/>
            <w:vMerge w:val="continue"/>
            <w:tcBorders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GO:0060333</w:t>
            </w:r>
          </w:p>
        </w:tc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interferon-gamma-mediated signaling pathway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9.55E-29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GO:1903901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negative regulation of viral life cycle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1.29E-25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</w:tr>
      <w:tr>
        <w:tc>
          <w:tcPr>
            <w:tcW w:w="1203" w:type="dxa"/>
            <w:vMerge w:val="continue"/>
            <w:tcBorders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GO:0048525</w:t>
            </w:r>
          </w:p>
        </w:tc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negative regulation of viral process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2.90E-27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GO:0034341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response to interferon-gamma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1.68E-25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</w:tr>
      <w:tr>
        <w:tc>
          <w:tcPr>
            <w:tcW w:w="1203" w:type="dxa"/>
            <w:vMerge w:val="continue"/>
            <w:tcBorders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color="000000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GO:0002237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000000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response to molecule of bacterial origin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000000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1.70E-25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000000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GO:0045071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000000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negative regulation of viral genome replication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000000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5.47E-25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000000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</w:tr>
    </w:tbl>
    <w:p>
      <w:pPr>
        <w:rPr>
          <w:rFonts w:hint="default" w:ascii="Times New Roman" w:hAnsi="Times New Roman" w:cs="Times New Roman"/>
          <w:sz w:val="15"/>
          <w:szCs w:val="15"/>
        </w:rPr>
      </w:pP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幼圆">
    <w:altName w:val="华文宋体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8954CE"/>
    <w:rsid w:val="208954CE"/>
    <w:rsid w:val="241F657D"/>
    <w:rsid w:val="48AB2A08"/>
    <w:rsid w:val="77FBDE28"/>
    <w:rsid w:val="7D772570"/>
    <w:rsid w:val="7FFFB8C0"/>
    <w:rsid w:val="EFEF3ADE"/>
    <w:rsid w:val="FBEF5386"/>
    <w:rsid w:val="FFF64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Office_2.8.1.4649_F1E327BC-269C-435d-A152-05C5408002CA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2020-11-09T16:41:00Z</dcterms:created>
  <dc:creator>lev</dc:creator>
  <cp:lastModifiedBy>lihouhe</cp:lastModifiedBy>
  <dcterms:modified xsi:type="dcterms:W3CDTF">2020-11-14T22:15:52Z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2052-2.8.1.4649</vt:lpwstr>
  </property>
</Properties>
</file>