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D45F">
      <w:pPr>
        <w:pStyle w:val="2"/>
      </w:pPr>
      <w:r>
        <w:t>STROBE Statement—Checklist for Reporting Observational Studies</w:t>
      </w:r>
    </w:p>
    <w:p w14:paraId="20821F0D">
      <w:r>
        <w:t>Title of the manuscript: Refined Energy Device–Free Submucosal Hemorrhoidectomy: Eliminating Postoperative Urinary Retention and Minimizing Tissue Injury</w:t>
      </w:r>
    </w:p>
    <w:p w14:paraId="073B5EC7">
      <w:r>
        <w:t>Study design: Retrospective descriptive study</w:t>
      </w:r>
    </w:p>
    <w:p w14:paraId="13C46F39">
      <w:r>
        <w:t>Journal: BMC Surgery</w:t>
      </w:r>
      <w:r>
        <w:br w:type="textWrapping"/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05"/>
        <w:gridCol w:w="2159"/>
        <w:gridCol w:w="2151"/>
      </w:tblGrid>
      <w:tr w14:paraId="766AB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32542E2">
            <w:r>
              <w:t>Item No.</w:t>
            </w:r>
          </w:p>
        </w:tc>
        <w:tc>
          <w:tcPr>
            <w:tcW w:w="2160" w:type="dxa"/>
          </w:tcPr>
          <w:p w14:paraId="665625F5">
            <w:r>
              <w:t>STROBE Item</w:t>
            </w:r>
          </w:p>
        </w:tc>
        <w:tc>
          <w:tcPr>
            <w:tcW w:w="2160" w:type="dxa"/>
          </w:tcPr>
          <w:p w14:paraId="369D8A3F">
            <w:r>
              <w:t>Recommendation</w:t>
            </w:r>
          </w:p>
        </w:tc>
        <w:tc>
          <w:tcPr>
            <w:tcW w:w="2160" w:type="dxa"/>
          </w:tcPr>
          <w:p w14:paraId="581C378E">
            <w:r>
              <w:t>Location in Manuscript</w:t>
            </w:r>
          </w:p>
        </w:tc>
      </w:tr>
      <w:tr w14:paraId="6784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A774113">
            <w:r>
              <w:t>1a</w:t>
            </w:r>
          </w:p>
        </w:tc>
        <w:tc>
          <w:tcPr>
            <w:tcW w:w="2160" w:type="dxa"/>
          </w:tcPr>
          <w:p w14:paraId="10F9A2CE">
            <w:r>
              <w:t>Indicate the study’s design with a commonly used term in the title or abstract.</w:t>
            </w:r>
          </w:p>
        </w:tc>
        <w:tc>
          <w:tcPr>
            <w:tcW w:w="2160" w:type="dxa"/>
          </w:tcPr>
          <w:p w14:paraId="10DD1AF2">
            <w:r>
              <w:t>Title and Abstract identify it as a retrospective descriptive study.</w:t>
            </w:r>
          </w:p>
        </w:tc>
        <w:tc>
          <w:tcPr>
            <w:tcW w:w="2160" w:type="dxa"/>
          </w:tcPr>
          <w:p w14:paraId="13944918">
            <w:r>
              <w:t>Title, Abstract</w:t>
            </w:r>
          </w:p>
        </w:tc>
      </w:tr>
      <w:tr w14:paraId="5ABC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86908B8">
            <w:r>
              <w:t>1b</w:t>
            </w:r>
          </w:p>
        </w:tc>
        <w:tc>
          <w:tcPr>
            <w:tcW w:w="2160" w:type="dxa"/>
          </w:tcPr>
          <w:p w14:paraId="6E1634E7">
            <w:r>
              <w:t>Provide an informative and balanced summary of what was done and what was found.</w:t>
            </w:r>
          </w:p>
        </w:tc>
        <w:tc>
          <w:tcPr>
            <w:tcW w:w="2160" w:type="dxa"/>
          </w:tcPr>
          <w:p w14:paraId="4962B305">
            <w:r>
              <w:t>Structured abstract summarizing background, purpose, methods, results, and conclusions.</w:t>
            </w:r>
          </w:p>
        </w:tc>
        <w:tc>
          <w:tcPr>
            <w:tcW w:w="2160" w:type="dxa"/>
          </w:tcPr>
          <w:p w14:paraId="4B001B9F">
            <w:r>
              <w:t>Abstract</w:t>
            </w:r>
          </w:p>
        </w:tc>
      </w:tr>
      <w:tr w14:paraId="17AA0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A98C6D7">
            <w:r>
              <w:t>2</w:t>
            </w:r>
          </w:p>
        </w:tc>
        <w:tc>
          <w:tcPr>
            <w:tcW w:w="2160" w:type="dxa"/>
          </w:tcPr>
          <w:p w14:paraId="2377D48E">
            <w:r>
              <w:t>Background/rationale: Explain the scientific background and rationale for the investigation being reported.</w:t>
            </w:r>
          </w:p>
        </w:tc>
        <w:tc>
          <w:tcPr>
            <w:tcW w:w="2160" w:type="dxa"/>
          </w:tcPr>
          <w:p w14:paraId="411C06F8">
            <w:r>
              <w:t>Discusses limitations of current hemorrhoidectomy and rationale for refinement.</w:t>
            </w:r>
          </w:p>
        </w:tc>
        <w:tc>
          <w:tcPr>
            <w:tcW w:w="2160" w:type="dxa"/>
          </w:tcPr>
          <w:p w14:paraId="170DBC78">
            <w:r>
              <w:t>Introduction</w:t>
            </w:r>
          </w:p>
        </w:tc>
      </w:tr>
      <w:tr w14:paraId="1BF75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3592017">
            <w:r>
              <w:t>3</w:t>
            </w:r>
          </w:p>
        </w:tc>
        <w:tc>
          <w:tcPr>
            <w:tcW w:w="2160" w:type="dxa"/>
          </w:tcPr>
          <w:p w14:paraId="0BBD0F16">
            <w:r>
              <w:t>Objectives: State specific objectives, including any prespecified hypotheses.</w:t>
            </w:r>
          </w:p>
        </w:tc>
        <w:tc>
          <w:tcPr>
            <w:tcW w:w="2160" w:type="dxa"/>
          </w:tcPr>
          <w:p w14:paraId="61B68252">
            <w:r>
              <w:t>States aim to evaluate refined energy device–free submucosal hemorrhoidectomy and its outcomes.</w:t>
            </w:r>
          </w:p>
        </w:tc>
        <w:tc>
          <w:tcPr>
            <w:tcW w:w="2160" w:type="dxa"/>
          </w:tcPr>
          <w:p w14:paraId="0F56C1C1">
            <w:r>
              <w:t>Abstract; Introduction</w:t>
            </w:r>
          </w:p>
        </w:tc>
      </w:tr>
      <w:tr w14:paraId="4E5A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00CFF6D">
            <w:r>
              <w:t>4</w:t>
            </w:r>
          </w:p>
        </w:tc>
        <w:tc>
          <w:tcPr>
            <w:tcW w:w="2160" w:type="dxa"/>
          </w:tcPr>
          <w:p w14:paraId="5C5AB508">
            <w:r>
              <w:t>Study design: Present key elements of study design early in the paper.</w:t>
            </w:r>
          </w:p>
        </w:tc>
        <w:tc>
          <w:tcPr>
            <w:tcW w:w="2160" w:type="dxa"/>
          </w:tcPr>
          <w:p w14:paraId="73E60B4E">
            <w:r>
              <w:t>Retrospective descriptive study stated in Abstract and Methods.</w:t>
            </w:r>
          </w:p>
        </w:tc>
        <w:tc>
          <w:tcPr>
            <w:tcW w:w="2160" w:type="dxa"/>
          </w:tcPr>
          <w:p w14:paraId="0C1B8332">
            <w:r>
              <w:t>Abstract; Methods 2.1</w:t>
            </w:r>
          </w:p>
        </w:tc>
      </w:tr>
      <w:tr w14:paraId="4644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E4DDCB5">
            <w:r>
              <w:t>5</w:t>
            </w:r>
          </w:p>
        </w:tc>
        <w:tc>
          <w:tcPr>
            <w:tcW w:w="2160" w:type="dxa"/>
          </w:tcPr>
          <w:p w14:paraId="0812770C">
            <w:r>
              <w:t>Setting: Describe the setting, locations, and relevant dates, including periods of recruitment and data collection.</w:t>
            </w:r>
          </w:p>
        </w:tc>
        <w:tc>
          <w:tcPr>
            <w:tcW w:w="2160" w:type="dxa"/>
          </w:tcPr>
          <w:p w14:paraId="4B891B99">
            <w:r>
              <w:t>Lin Kou Chang Gung Memorial Hospital, Taiwan; October 2022–May 2024.</w:t>
            </w:r>
          </w:p>
        </w:tc>
        <w:tc>
          <w:tcPr>
            <w:tcW w:w="2160" w:type="dxa"/>
          </w:tcPr>
          <w:p w14:paraId="6316E8E8">
            <w:r>
              <w:t>Methods 2.1</w:t>
            </w:r>
          </w:p>
        </w:tc>
      </w:tr>
      <w:tr w14:paraId="655E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691699D">
            <w:r>
              <w:t>6a</w:t>
            </w:r>
          </w:p>
        </w:tc>
        <w:tc>
          <w:tcPr>
            <w:tcW w:w="2160" w:type="dxa"/>
          </w:tcPr>
          <w:p w14:paraId="6B6FAB41">
            <w:r>
              <w:t>Participants: Give eligibility criteria, sources, and methods of selection of participants.</w:t>
            </w:r>
          </w:p>
        </w:tc>
        <w:tc>
          <w:tcPr>
            <w:tcW w:w="2160" w:type="dxa"/>
          </w:tcPr>
          <w:p w14:paraId="675CF357">
            <w:r>
              <w:t>Consecutive patients with symptomatic hemorrhoidal disease treated during study period.</w:t>
            </w:r>
          </w:p>
        </w:tc>
        <w:tc>
          <w:tcPr>
            <w:tcW w:w="2160" w:type="dxa"/>
          </w:tcPr>
          <w:p w14:paraId="3A2A6796">
            <w:r>
              <w:t>Methods 2.1</w:t>
            </w:r>
          </w:p>
        </w:tc>
      </w:tr>
      <w:tr w14:paraId="1658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AFFB047">
            <w:r>
              <w:t>7</w:t>
            </w:r>
          </w:p>
        </w:tc>
        <w:tc>
          <w:tcPr>
            <w:tcW w:w="2160" w:type="dxa"/>
          </w:tcPr>
          <w:p w14:paraId="22FFD575">
            <w:r>
              <w:t>Variables: Clearly define outcomes, exposures, predictors, and potential confounders.</w:t>
            </w:r>
          </w:p>
        </w:tc>
        <w:tc>
          <w:tcPr>
            <w:tcW w:w="2160" w:type="dxa"/>
          </w:tcPr>
          <w:p w14:paraId="6A3EB548">
            <w:r>
              <w:t>Primary variables: postoperative urinary retention, pain, complications, hospital stay; secondary: bleeding, abscess, fissure.</w:t>
            </w:r>
          </w:p>
        </w:tc>
        <w:tc>
          <w:tcPr>
            <w:tcW w:w="2160" w:type="dxa"/>
          </w:tcPr>
          <w:p w14:paraId="3D3441A6">
            <w:r>
              <w:t>Methods 2.1–2.4</w:t>
            </w:r>
          </w:p>
        </w:tc>
      </w:tr>
      <w:tr w14:paraId="60D8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84E606E">
            <w:r>
              <w:t>8</w:t>
            </w:r>
          </w:p>
        </w:tc>
        <w:tc>
          <w:tcPr>
            <w:tcW w:w="2160" w:type="dxa"/>
          </w:tcPr>
          <w:p w14:paraId="2482F713">
            <w:r>
              <w:t>Data sources/measurement: For each variable of interest, give sources of data and assessment methods.</w:t>
            </w:r>
          </w:p>
        </w:tc>
        <w:tc>
          <w:tcPr>
            <w:tcW w:w="2160" w:type="dxa"/>
          </w:tcPr>
          <w:p w14:paraId="46FB73A1">
            <w:r>
              <w:t>Clinical data extracted from medical records and follow-up visits; pain measured by NRS.</w:t>
            </w:r>
          </w:p>
        </w:tc>
        <w:tc>
          <w:tcPr>
            <w:tcW w:w="2160" w:type="dxa"/>
          </w:tcPr>
          <w:p w14:paraId="3B6A5430">
            <w:r>
              <w:t>Methods 2.1, 2.4</w:t>
            </w:r>
          </w:p>
        </w:tc>
      </w:tr>
      <w:tr w14:paraId="7CF60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E2228BA">
            <w:r>
              <w:t>9</w:t>
            </w:r>
          </w:p>
        </w:tc>
        <w:tc>
          <w:tcPr>
            <w:tcW w:w="2160" w:type="dxa"/>
          </w:tcPr>
          <w:p w14:paraId="075A385D">
            <w:r>
              <w:t>Bias: Describe efforts to address potential sources of bias.</w:t>
            </w:r>
          </w:p>
        </w:tc>
        <w:tc>
          <w:tcPr>
            <w:tcW w:w="2160" w:type="dxa"/>
          </w:tcPr>
          <w:p w14:paraId="6CBCFBAC">
            <w:r>
              <w:t>Standardized surgical technique and single-center consistency minimize variability.</w:t>
            </w:r>
          </w:p>
        </w:tc>
        <w:tc>
          <w:tcPr>
            <w:tcW w:w="2160" w:type="dxa"/>
          </w:tcPr>
          <w:p w14:paraId="4CC3980A">
            <w:r>
              <w:t>Methods 2.2, Discussion</w:t>
            </w:r>
          </w:p>
        </w:tc>
      </w:tr>
      <w:tr w14:paraId="694F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F7105B9">
            <w:r>
              <w:t>10</w:t>
            </w:r>
          </w:p>
        </w:tc>
        <w:tc>
          <w:tcPr>
            <w:tcW w:w="2160" w:type="dxa"/>
          </w:tcPr>
          <w:p w14:paraId="72836D47">
            <w:r>
              <w:t>Study size: Explain how the study size was arrived at.</w:t>
            </w:r>
          </w:p>
        </w:tc>
        <w:tc>
          <w:tcPr>
            <w:tcW w:w="2160" w:type="dxa"/>
          </w:tcPr>
          <w:p w14:paraId="73A9A102">
            <w:r>
              <w:t>Included all consecutive cases meeting criteria during time period (n=110).</w:t>
            </w:r>
          </w:p>
        </w:tc>
        <w:tc>
          <w:tcPr>
            <w:tcW w:w="2160" w:type="dxa"/>
          </w:tcPr>
          <w:p w14:paraId="69B1083C">
            <w:r>
              <w:t>Methods 2.1</w:t>
            </w:r>
          </w:p>
        </w:tc>
      </w:tr>
      <w:tr w14:paraId="7B66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E6B8915">
            <w:r>
              <w:t>11</w:t>
            </w:r>
          </w:p>
        </w:tc>
        <w:tc>
          <w:tcPr>
            <w:tcW w:w="2160" w:type="dxa"/>
          </w:tcPr>
          <w:p w14:paraId="685D691A">
            <w:r>
              <w:t>Quantitative variables: Explain how quantitative variables were handled in analyses.</w:t>
            </w:r>
          </w:p>
        </w:tc>
        <w:tc>
          <w:tcPr>
            <w:tcW w:w="2160" w:type="dxa"/>
          </w:tcPr>
          <w:p w14:paraId="67156A18">
            <w:r>
              <w:t>Descriptive statistics reported (means, proportions); no comparative tests.</w:t>
            </w:r>
          </w:p>
        </w:tc>
        <w:tc>
          <w:tcPr>
            <w:tcW w:w="2160" w:type="dxa"/>
          </w:tcPr>
          <w:p w14:paraId="70FB8606">
            <w:r>
              <w:t>Methods 2.1, Results</w:t>
            </w:r>
          </w:p>
        </w:tc>
      </w:tr>
      <w:tr w14:paraId="4113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DC9FBC3">
            <w:r>
              <w:t>12a</w:t>
            </w:r>
          </w:p>
        </w:tc>
        <w:tc>
          <w:tcPr>
            <w:tcW w:w="2160" w:type="dxa"/>
          </w:tcPr>
          <w:p w14:paraId="28BB9B06">
            <w:r>
              <w:t>Statistical methods: Describe all statistical methods, including those used to summarize data.</w:t>
            </w:r>
          </w:p>
        </w:tc>
        <w:tc>
          <w:tcPr>
            <w:tcW w:w="2160" w:type="dxa"/>
          </w:tcPr>
          <w:p w14:paraId="0478DB02">
            <w:r>
              <w:t>Descriptive analysis of outcomes and complication rates.</w:t>
            </w:r>
          </w:p>
        </w:tc>
        <w:tc>
          <w:tcPr>
            <w:tcW w:w="2160" w:type="dxa"/>
          </w:tcPr>
          <w:p w14:paraId="6B9397FB">
            <w:r>
              <w:t>Methods 2.1</w:t>
            </w:r>
          </w:p>
        </w:tc>
      </w:tr>
      <w:tr w14:paraId="17D5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5287501">
            <w:r>
              <w:t>13a</w:t>
            </w:r>
          </w:p>
        </w:tc>
        <w:tc>
          <w:tcPr>
            <w:tcW w:w="2160" w:type="dxa"/>
          </w:tcPr>
          <w:p w14:paraId="13B45D2D">
            <w:r>
              <w:t>Participants: Report numbers at each stage of study.</w:t>
            </w:r>
          </w:p>
        </w:tc>
        <w:tc>
          <w:tcPr>
            <w:tcW w:w="2160" w:type="dxa"/>
          </w:tcPr>
          <w:p w14:paraId="12890A47">
            <w:r>
              <w:t>Total 110 patients included; follow-up details provided.</w:t>
            </w:r>
          </w:p>
        </w:tc>
        <w:tc>
          <w:tcPr>
            <w:tcW w:w="2160" w:type="dxa"/>
          </w:tcPr>
          <w:p w14:paraId="0C36AB19">
            <w:r>
              <w:t>Results</w:t>
            </w:r>
          </w:p>
        </w:tc>
      </w:tr>
      <w:tr w14:paraId="7118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E9CCD4E">
            <w:r>
              <w:t>13b</w:t>
            </w:r>
          </w:p>
        </w:tc>
        <w:tc>
          <w:tcPr>
            <w:tcW w:w="2160" w:type="dxa"/>
          </w:tcPr>
          <w:p w14:paraId="5705EAB9">
            <w:r>
              <w:t>Reasons for non-participation at each stage.</w:t>
            </w:r>
          </w:p>
        </w:tc>
        <w:tc>
          <w:tcPr>
            <w:tcW w:w="2160" w:type="dxa"/>
          </w:tcPr>
          <w:p w14:paraId="084838A8">
            <w:r>
              <w:t>Not applicable (all consecutive eligible patients included).</w:t>
            </w:r>
          </w:p>
        </w:tc>
        <w:tc>
          <w:tcPr>
            <w:tcW w:w="2160" w:type="dxa"/>
          </w:tcPr>
          <w:p w14:paraId="4CC09626">
            <w:r>
              <w:t>–</w:t>
            </w:r>
          </w:p>
        </w:tc>
      </w:tr>
      <w:tr w14:paraId="1A21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FD175EE">
            <w:r>
              <w:t>14a</w:t>
            </w:r>
          </w:p>
        </w:tc>
        <w:tc>
          <w:tcPr>
            <w:tcW w:w="2160" w:type="dxa"/>
          </w:tcPr>
          <w:p w14:paraId="18A19A74">
            <w:r>
              <w:t>Descriptive data: Characteristics of study participants (e.g., demographics, clinical).</w:t>
            </w:r>
          </w:p>
        </w:tc>
        <w:tc>
          <w:tcPr>
            <w:tcW w:w="2160" w:type="dxa"/>
          </w:tcPr>
          <w:p w14:paraId="2226A81B">
            <w:r>
              <w:t>Table 1 and text describe age, sex, hemorrhoid grade, setting.</w:t>
            </w:r>
          </w:p>
        </w:tc>
        <w:tc>
          <w:tcPr>
            <w:tcW w:w="2160" w:type="dxa"/>
          </w:tcPr>
          <w:p w14:paraId="37B855F9">
            <w:r>
              <w:t>Results, Table 1</w:t>
            </w:r>
          </w:p>
        </w:tc>
      </w:tr>
      <w:tr w14:paraId="7F58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26F92CD">
            <w:r>
              <w:t>14b</w:t>
            </w:r>
          </w:p>
        </w:tc>
        <w:tc>
          <w:tcPr>
            <w:tcW w:w="2160" w:type="dxa"/>
          </w:tcPr>
          <w:p w14:paraId="69267F76">
            <w:r>
              <w:t>Indicate number of participants with missing data for each variable.</w:t>
            </w:r>
          </w:p>
        </w:tc>
        <w:tc>
          <w:tcPr>
            <w:tcW w:w="2160" w:type="dxa"/>
          </w:tcPr>
          <w:p w14:paraId="14958C02">
            <w:r>
              <w:t>Not specifically applicable; complete records available.</w:t>
            </w:r>
          </w:p>
        </w:tc>
        <w:tc>
          <w:tcPr>
            <w:tcW w:w="2160" w:type="dxa"/>
          </w:tcPr>
          <w:p w14:paraId="17753A89">
            <w:r>
              <w:t>Results</w:t>
            </w:r>
          </w:p>
        </w:tc>
      </w:tr>
      <w:tr w14:paraId="71BB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3B52E01">
            <w:r>
              <w:t>15</w:t>
            </w:r>
          </w:p>
        </w:tc>
        <w:tc>
          <w:tcPr>
            <w:tcW w:w="2160" w:type="dxa"/>
          </w:tcPr>
          <w:p w14:paraId="4F304EDD">
            <w:r>
              <w:t>Outcome data: Report numbers of outcome events or summary measures.</w:t>
            </w:r>
          </w:p>
        </w:tc>
        <w:tc>
          <w:tcPr>
            <w:tcW w:w="2160" w:type="dxa"/>
          </w:tcPr>
          <w:p w14:paraId="00F43695">
            <w:r>
              <w:t>Postoperative complications, pain, urinary retention, and analgesic use detailed.</w:t>
            </w:r>
          </w:p>
        </w:tc>
        <w:tc>
          <w:tcPr>
            <w:tcW w:w="2160" w:type="dxa"/>
          </w:tcPr>
          <w:p w14:paraId="2F51EEC3">
            <w:pPr>
              <w:rPr>
                <w:rFonts w:hint="default" w:eastAsia="SimSun"/>
                <w:lang w:val="en-US" w:eastAsia="zh-CN"/>
              </w:rPr>
            </w:pPr>
            <w:r>
              <w:t>Results</w:t>
            </w:r>
            <w:r>
              <w:rPr>
                <w:rFonts w:hint="eastAsia" w:eastAsia="SimSun"/>
                <w:lang w:val="en-US" w:eastAsia="zh-CN"/>
              </w:rPr>
              <w:t>, Table 2, Table 3</w:t>
            </w:r>
            <w:bookmarkStart w:id="0" w:name="_GoBack"/>
            <w:bookmarkEnd w:id="0"/>
          </w:p>
        </w:tc>
      </w:tr>
      <w:tr w14:paraId="2EE8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4EA3CD9">
            <w:r>
              <w:t>16</w:t>
            </w:r>
          </w:p>
        </w:tc>
        <w:tc>
          <w:tcPr>
            <w:tcW w:w="2160" w:type="dxa"/>
          </w:tcPr>
          <w:p w14:paraId="404DE99E">
            <w:r>
              <w:t>Main results: Summarize key results with reference to study objectives.</w:t>
            </w:r>
          </w:p>
        </w:tc>
        <w:tc>
          <w:tcPr>
            <w:tcW w:w="2160" w:type="dxa"/>
          </w:tcPr>
          <w:p w14:paraId="31989F2E">
            <w:r>
              <w:t>Discussion opening paragraph and conclusion restate key findings.</w:t>
            </w:r>
          </w:p>
        </w:tc>
        <w:tc>
          <w:tcPr>
            <w:tcW w:w="2160" w:type="dxa"/>
          </w:tcPr>
          <w:p w14:paraId="1A9D8346">
            <w:r>
              <w:t>Discussion</w:t>
            </w:r>
          </w:p>
        </w:tc>
      </w:tr>
      <w:tr w14:paraId="4DB7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AAB231A">
            <w:r>
              <w:t>17</w:t>
            </w:r>
          </w:p>
        </w:tc>
        <w:tc>
          <w:tcPr>
            <w:tcW w:w="2160" w:type="dxa"/>
          </w:tcPr>
          <w:p w14:paraId="50D0B706">
            <w:r>
              <w:t>Limitations: Discuss limitations of the study, taking into account potential bias or imprecision.</w:t>
            </w:r>
          </w:p>
        </w:tc>
        <w:tc>
          <w:tcPr>
            <w:tcW w:w="2160" w:type="dxa"/>
          </w:tcPr>
          <w:p w14:paraId="306EE2A2">
            <w:r>
              <w:t>Addresses sample size, retrospective design, and short-term follow-up.</w:t>
            </w:r>
          </w:p>
        </w:tc>
        <w:tc>
          <w:tcPr>
            <w:tcW w:w="2160" w:type="dxa"/>
          </w:tcPr>
          <w:p w14:paraId="29DB9638">
            <w:r>
              <w:t>Section 5. Limitations</w:t>
            </w:r>
          </w:p>
        </w:tc>
      </w:tr>
      <w:tr w14:paraId="260A0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86E5A0D">
            <w:r>
              <w:t>18</w:t>
            </w:r>
          </w:p>
        </w:tc>
        <w:tc>
          <w:tcPr>
            <w:tcW w:w="2160" w:type="dxa"/>
          </w:tcPr>
          <w:p w14:paraId="2BE98E98">
            <w:r>
              <w:t>Interpretation: Give a cautious overall interpretation considering objectives and results.</w:t>
            </w:r>
          </w:p>
        </w:tc>
        <w:tc>
          <w:tcPr>
            <w:tcW w:w="2160" w:type="dxa"/>
          </w:tcPr>
          <w:p w14:paraId="5C0DAF66">
            <w:r>
              <w:t>Discusses alignment with minimally invasive principles and reduced complications.</w:t>
            </w:r>
          </w:p>
        </w:tc>
        <w:tc>
          <w:tcPr>
            <w:tcW w:w="2160" w:type="dxa"/>
          </w:tcPr>
          <w:p w14:paraId="324C83AC">
            <w:r>
              <w:t>Discussion</w:t>
            </w:r>
          </w:p>
        </w:tc>
      </w:tr>
      <w:tr w14:paraId="1F005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BBA4193">
            <w:r>
              <w:t>19</w:t>
            </w:r>
          </w:p>
        </w:tc>
        <w:tc>
          <w:tcPr>
            <w:tcW w:w="2160" w:type="dxa"/>
          </w:tcPr>
          <w:p w14:paraId="6ACB326C">
            <w:r>
              <w:t>Generalizability: Discuss the generalizability (external validity) of the study results.</w:t>
            </w:r>
          </w:p>
        </w:tc>
        <w:tc>
          <w:tcPr>
            <w:tcW w:w="2160" w:type="dxa"/>
          </w:tcPr>
          <w:p w14:paraId="3BD391AF">
            <w:r>
              <w:t>Notes limited sample and single-center design; suggests further validation.</w:t>
            </w:r>
          </w:p>
        </w:tc>
        <w:tc>
          <w:tcPr>
            <w:tcW w:w="2160" w:type="dxa"/>
          </w:tcPr>
          <w:p w14:paraId="50B06F6E">
            <w:r>
              <w:t>Limitations section</w:t>
            </w:r>
          </w:p>
        </w:tc>
      </w:tr>
      <w:tr w14:paraId="3591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BD6044B">
            <w:r>
              <w:t>20</w:t>
            </w:r>
          </w:p>
        </w:tc>
        <w:tc>
          <w:tcPr>
            <w:tcW w:w="2160" w:type="dxa"/>
          </w:tcPr>
          <w:p w14:paraId="43AB5DC3">
            <w:r>
              <w:t>Funding: Give source of funding and role of funders.</w:t>
            </w:r>
          </w:p>
        </w:tc>
        <w:tc>
          <w:tcPr>
            <w:tcW w:w="2160" w:type="dxa"/>
          </w:tcPr>
          <w:p w14:paraId="228F5E9E">
            <w:r>
              <w:t>No funding received.</w:t>
            </w:r>
          </w:p>
        </w:tc>
        <w:tc>
          <w:tcPr>
            <w:tcW w:w="2160" w:type="dxa"/>
          </w:tcPr>
          <w:p w14:paraId="1F85066E">
            <w:r>
              <w:t>Funding section</w:t>
            </w:r>
          </w:p>
        </w:tc>
      </w:tr>
      <w:tr w14:paraId="613E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E61C0C8">
            <w:r>
              <w:t>21</w:t>
            </w:r>
          </w:p>
        </w:tc>
        <w:tc>
          <w:tcPr>
            <w:tcW w:w="2160" w:type="dxa"/>
          </w:tcPr>
          <w:p w14:paraId="25F20AEB">
            <w:r>
              <w:t>Ethics approval: Include ethical approval details.</w:t>
            </w:r>
          </w:p>
        </w:tc>
        <w:tc>
          <w:tcPr>
            <w:tcW w:w="2160" w:type="dxa"/>
          </w:tcPr>
          <w:p w14:paraId="16DCB19E">
            <w:r>
              <w:t>IRB approval provided (No. 202400418B0).</w:t>
            </w:r>
          </w:p>
        </w:tc>
        <w:tc>
          <w:tcPr>
            <w:tcW w:w="2160" w:type="dxa"/>
          </w:tcPr>
          <w:p w14:paraId="344B6BB8">
            <w:r>
              <w:t>Methods 2.1; Declarations</w:t>
            </w:r>
          </w:p>
        </w:tc>
      </w:tr>
      <w:tr w14:paraId="5421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3154E66">
            <w:r>
              <w:t>22</w:t>
            </w:r>
          </w:p>
        </w:tc>
        <w:tc>
          <w:tcPr>
            <w:tcW w:w="2160" w:type="dxa"/>
          </w:tcPr>
          <w:p w14:paraId="653AAB25">
            <w:r>
              <w:t>Data availability: Statement on data sharing.</w:t>
            </w:r>
          </w:p>
        </w:tc>
        <w:tc>
          <w:tcPr>
            <w:tcW w:w="2160" w:type="dxa"/>
          </w:tcPr>
          <w:p w14:paraId="10CDDB80">
            <w:r>
              <w:t>Data available upon reasonable request.</w:t>
            </w:r>
          </w:p>
        </w:tc>
        <w:tc>
          <w:tcPr>
            <w:tcW w:w="2160" w:type="dxa"/>
          </w:tcPr>
          <w:p w14:paraId="6833A567">
            <w:r>
              <w:t>Declarations</w:t>
            </w:r>
          </w:p>
        </w:tc>
      </w:tr>
    </w:tbl>
    <w:p w14:paraId="28949581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AB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Jayson Enn Ming Wong</cp:lastModifiedBy>
  <dcterms:modified xsi:type="dcterms:W3CDTF">2025-10-24T15:47:57Z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61F75488F940439A9AD4FD4FB55DCB3D_13</vt:lpwstr>
  </property>
</Properties>
</file>