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AdvPS6EC0" w:cs="Times New Roman"/>
          <w:color w:val="000000"/>
          <w:kern w:val="0"/>
          <w:sz w:val="24"/>
          <w:szCs w:val="24"/>
        </w:rPr>
        <w:t xml:space="preserve">Table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/>
        </w:rPr>
        <w:t>S</w:t>
      </w:r>
      <w:bookmarkStart w:id="0" w:name="_GoBack"/>
      <w:bookmarkEnd w:id="0"/>
      <w:r>
        <w:rPr>
          <w:rFonts w:hint="eastAsia" w:ascii="Times New Roman" w:hAnsi="Times New Roman" w:eastAsia="AdvPS6EC0" w:cs="Times New Roman"/>
          <w:color w:val="000000"/>
          <w:kern w:val="0"/>
          <w:sz w:val="24"/>
          <w:szCs w:val="24"/>
        </w:rPr>
        <w:t xml:space="preserve">2. </w:t>
      </w:r>
      <w:r>
        <w:rPr>
          <w:rFonts w:ascii="Times New Roman" w:hAnsi="Times New Roman" w:cs="Times New Roman"/>
          <w:szCs w:val="21"/>
        </w:rPr>
        <w:t xml:space="preserve">Treatment and Supportive Care for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modified </w:t>
      </w:r>
      <w:r>
        <w:rPr>
          <w:rFonts w:ascii="Times New Roman" w:hAnsi="Times New Roman" w:eastAsia="AdvOT3c2d9f11" w:cs="Times New Roman"/>
          <w:color w:val="000000"/>
          <w:kern w:val="0"/>
          <w:sz w:val="24"/>
          <w:szCs w:val="24"/>
        </w:rPr>
        <w:t>CODOX-M/IVAC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-R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1840"/>
        <w:gridCol w:w="1480"/>
        <w:gridCol w:w="2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1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Drug</w:t>
            </w:r>
          </w:p>
        </w:tc>
        <w:tc>
          <w:tcPr>
            <w:tcW w:w="1840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Dose</w:t>
            </w:r>
          </w:p>
        </w:tc>
        <w:tc>
          <w:tcPr>
            <w:tcW w:w="1480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Route</w:t>
            </w:r>
          </w:p>
        </w:tc>
        <w:tc>
          <w:tcPr>
            <w:tcW w:w="2201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Treatment Days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1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RegimenA: R-CODOX-M*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Rituximab*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Cyclophosphamide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Vincristine</w:t>
            </w: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†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Doxorubicin</w:t>
            </w: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††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Methotrexat</w:t>
            </w:r>
            <w:r>
              <w:rPr>
                <w:rFonts w:ascii="Times New Roman" w:hAnsi="Times New Roman" w:eastAsia="AdvPS6EC0" w:cs="Times New Roman"/>
                <w:kern w:val="0"/>
                <w:szCs w:val="21"/>
              </w:rPr>
              <w:t>e ||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 xml:space="preserve">Leucovorin </w:t>
            </w:r>
            <w:r>
              <w:rPr>
                <w:rFonts w:ascii="Times New Roman" w:hAnsi="Times New Roman" w:eastAsia="AdvP4C4E74" w:cs="Times New Roman"/>
                <w:color w:val="000000"/>
                <w:kern w:val="0"/>
                <w:szCs w:val="21"/>
              </w:rPr>
              <w:t>{</w:t>
            </w:r>
          </w:p>
        </w:tc>
        <w:tc>
          <w:tcPr>
            <w:tcW w:w="1840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375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400 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1.4 mg/m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50 mg/m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3000 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480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IVPB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IVPB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IVP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IVP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IVPB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IVPB</w:t>
            </w:r>
          </w:p>
        </w:tc>
        <w:tc>
          <w:tcPr>
            <w:tcW w:w="2201" w:type="dxa"/>
            <w:tcBorders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1, 2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1, 8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1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Regimen A: R-IVAC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Rituximab*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Ifosfamide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 xml:space="preserve">Mensa 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 xml:space="preserve">Etoposide 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 xml:space="preserve">Cytarabine </w:t>
            </w:r>
          </w:p>
        </w:tc>
        <w:tc>
          <w:tcPr>
            <w:tcW w:w="184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Starting dose：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375 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1500 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1500 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60 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2000 mg/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m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480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IVPB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CI</w:t>
            </w:r>
            <w:r>
              <w:rPr>
                <w:rFonts w:hint="eastAsia" w:ascii="Times New Roman" w:hAnsi="Times New Roman" w:eastAsia="AdvPS6EC0" w:cs="Times New Roman"/>
                <w:color w:val="000000"/>
                <w:kern w:val="0"/>
                <w:szCs w:val="21"/>
              </w:rPr>
              <w:t>V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CI</w:t>
            </w:r>
            <w:r>
              <w:rPr>
                <w:rFonts w:hint="eastAsia" w:ascii="Times New Roman" w:hAnsi="Times New Roman" w:eastAsia="AdvPS6EC0" w:cs="Times New Roman"/>
                <w:color w:val="000000"/>
                <w:kern w:val="0"/>
                <w:szCs w:val="21"/>
              </w:rPr>
              <w:t>V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CI</w:t>
            </w:r>
            <w:r>
              <w:rPr>
                <w:rFonts w:hint="eastAsia" w:ascii="Times New Roman" w:hAnsi="Times New Roman" w:eastAsia="AdvPS6EC0" w:cs="Times New Roman"/>
                <w:color w:val="000000"/>
                <w:kern w:val="0"/>
                <w:szCs w:val="21"/>
              </w:rPr>
              <w:t>V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IVPB (no cap)</w:t>
            </w:r>
          </w:p>
        </w:tc>
        <w:tc>
          <w:tcPr>
            <w:tcW w:w="2201" w:type="dxa"/>
            <w:tcBorders>
              <w:top w:val="single" w:color="FFFFFF" w:themeColor="background1" w:sz="4" w:space="0"/>
              <w:left w:val="single" w:color="FFFFFF" w:themeColor="background1" w:sz="4" w:space="0"/>
              <w:bottom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1,2,3,4,5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1,2,3,4,5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1,2,3,4,5</w:t>
            </w:r>
          </w:p>
          <w:p>
            <w:pPr>
              <w:widowControl/>
              <w:spacing w:after="0"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1,2 </w:t>
            </w: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 xml:space="preserve">every 12 h </w:t>
            </w:r>
            <w:r>
              <w:rPr>
                <w:rFonts w:ascii="Arial" w:hAnsi="Arial" w:eastAsia="AdvPS6EC0" w:cs="Arial"/>
                <w:color w:val="000000"/>
                <w:kern w:val="0"/>
                <w:szCs w:val="21"/>
              </w:rPr>
              <w:t xml:space="preserve">× </w:t>
            </w:r>
            <w:r>
              <w:rPr>
                <w:rFonts w:ascii="Times New Roman" w:hAnsi="Times New Roman" w:eastAsia="AdvPS6EC0" w:cs="Times New Roman"/>
                <w:color w:val="000000"/>
                <w:kern w:val="0"/>
                <w:szCs w:val="21"/>
              </w:rPr>
              <w:t>4 doses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001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Filgrastim</w:t>
            </w:r>
            <w:r>
              <w:rPr>
                <w:rFonts w:ascii="Times New Roman" w:hAnsi="Times New Roman" w:eastAsia="AdvPS6EC0" w:cs="Times New Roman"/>
                <w:color w:val="000000"/>
                <w:kern w:val="0"/>
                <w:sz w:val="24"/>
                <w:szCs w:val="24"/>
              </w:rPr>
              <w:t>§</w:t>
            </w:r>
          </w:p>
        </w:tc>
        <w:tc>
          <w:tcPr>
            <w:tcW w:w="1840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>5 µg/kg</w:t>
            </w:r>
          </w:p>
        </w:tc>
        <w:tc>
          <w:tcPr>
            <w:tcW w:w="1480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SC</w:t>
            </w:r>
          </w:p>
        </w:tc>
        <w:tc>
          <w:tcPr>
            <w:tcW w:w="2201" w:type="dxa"/>
            <w:tcBorders>
              <w:top w:val="single" w:color="FFFFFF" w:themeColor="background1" w:sz="4" w:space="0"/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widowControl/>
              <w:spacing w:after="0" w:line="240" w:lineRule="auto"/>
              <w:jc w:val="left"/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98425</wp:posOffset>
                      </wp:positionV>
                      <wp:extent cx="139700" cy="5715"/>
                      <wp:effectExtent l="0" t="45720" r="0" b="50165"/>
                      <wp:wrapNone/>
                      <wp:docPr id="25" name="直线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9700" cy="571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26" o:spid="_x0000_s1026" o:spt="20" style="position:absolute;left:0pt;flip:y;margin-left:7.1pt;margin-top:7.75pt;height:0.45pt;width:11pt;z-index:251705344;mso-width-relative:page;mso-height-relative:page;" filled="f" stroked="t" coordsize="21600,21600" o:gfxdata="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ouzd91AAAAAcBAAAPAAAAAAAAAAEAIAAA&#10;ACIAAABkcnMvZG93bnJldi54bWxQSwECFAAUAAAACACHTuJAVUS8BNcBAACeAwAADgAAAAAAAAAB&#10;ACAAAAAjAQAAZHJzL2Uyb0RvYy54bWxQSwUGAAAAAAYABgBZAQAAbAUAAAAA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eastAsia="Helvetica" w:cs="Times New Roman"/>
                <w:color w:val="231F20"/>
                <w:kern w:val="0"/>
                <w:szCs w:val="21"/>
              </w:rPr>
              <w:t xml:space="preserve">   ANC &gt;5000/µl (past nadir)</w:t>
            </w:r>
          </w:p>
        </w:tc>
      </w:tr>
    </w:tbl>
    <w:p>
      <w:pPr>
        <w:widowControl/>
        <w:spacing w:after="0" w:line="24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G-CSF, granulocyte colony-stimulating factor; 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>CIV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, intravenous continuous infusion; IVP, intravenous push; IVPB, intravenous piggyback. </w:t>
      </w:r>
    </w:p>
    <w:p>
      <w:pPr>
        <w:widowControl/>
        <w:spacing w:after="0" w:line="240" w:lineRule="auto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>*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Rituximab was given once each cycle. Acute presentation of high-grade lymphoma and scheduling constraints may make it difficult to administer rituximab on the first day of each cycle. Rituximab was given up to 3 days before a chemotherapy cycle and any time within the cycle such that a total of four doses were given with this regimen for patients with high-risk disease. A missed dose was made up within 28 days of the last dose of IVAC. </w:t>
      </w:r>
    </w:p>
    <w:p>
      <w:pPr>
        <w:widowControl/>
        <w:spacing w:after="0" w:line="240" w:lineRule="auto"/>
        <w:rPr>
          <w:rFonts w:ascii="Times New Roman" w:hAnsi="Times New Roman" w:eastAsia="AdvPS6EC0" w:cs="Times New Roman"/>
          <w:color w:val="000000"/>
          <w:kern w:val="0"/>
          <w:szCs w:val="21"/>
        </w:rPr>
      </w:pP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†Vincristine maximum 2-mg dose. Delays by a few days were allowed to accommodate scheduling or treatment of constipation. </w:t>
      </w:r>
    </w:p>
    <w:p>
      <w:pPr>
        <w:widowControl/>
        <w:spacing w:after="0" w:line="240" w:lineRule="auto"/>
        <w:rPr>
          <w:rFonts w:ascii="Times New Roman" w:hAnsi="Times New Roman" w:eastAsia="AdvPS6EC0" w:cs="Times New Roman"/>
          <w:color w:val="000000"/>
          <w:kern w:val="0"/>
          <w:szCs w:val="21"/>
        </w:rPr>
      </w:pP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††If </w:t>
      </w:r>
      <w:r>
        <w:rPr>
          <w:rFonts w:ascii="Times New Roman" w:hAnsi="Times New Roman" w:eastAsia="Helvetica" w:cs="Times New Roman"/>
          <w:color w:val="231F20"/>
          <w:kern w:val="0"/>
          <w:szCs w:val="21"/>
        </w:rPr>
        <w:t>Doxorubicin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 was not available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>, e</w:t>
      </w:r>
      <w:r>
        <w:rPr>
          <w:rFonts w:ascii="Times New Roman" w:hAnsi="Times New Roman"/>
          <w:color w:val="333333"/>
          <w:szCs w:val="21"/>
          <w:shd w:val="clear" w:color="auto" w:fill="FFFFFF"/>
        </w:rPr>
        <w:t>pirubicin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 xml:space="preserve">was administered 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>at a dose of 90 mg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>/m</w:t>
      </w:r>
      <w:r>
        <w:rPr>
          <w:rFonts w:ascii="Times New Roman" w:hAnsi="Times New Roman"/>
          <w:color w:val="000000"/>
          <w:kern w:val="0"/>
          <w:szCs w:val="21"/>
          <w:vertAlign w:val="superscript"/>
        </w:rPr>
        <w:t>2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 xml:space="preserve">. </w:t>
      </w:r>
    </w:p>
    <w:p>
      <w:pPr>
        <w:widowControl/>
        <w:spacing w:after="0" w:line="24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||Methotrexate levels were measured 24, 48, and 72 h after treatment with an anticipated tenfold decrement in levels every 24 hours. </w:t>
      </w:r>
    </w:p>
    <w:p>
      <w:pPr>
        <w:widowControl/>
        <w:spacing w:after="0" w:line="24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AdvP4C4E74" w:cs="Times New Roman"/>
          <w:color w:val="000000"/>
          <w:kern w:val="0"/>
          <w:szCs w:val="21"/>
        </w:rPr>
        <w:t>{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>Leucovorin was administered 24 h after methotrexate and was initiated with an IV dose of 200 mg/m</w:t>
      </w:r>
      <w:r>
        <w:rPr>
          <w:rFonts w:ascii="Times New Roman" w:hAnsi="Times New Roman"/>
          <w:color w:val="000000"/>
          <w:kern w:val="0"/>
          <w:szCs w:val="21"/>
          <w:vertAlign w:val="superscript"/>
        </w:rPr>
        <w:t>2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 followed by 25 mg/m</w:t>
      </w:r>
      <w:r>
        <w:rPr>
          <w:rFonts w:ascii="Times New Roman" w:hAnsi="Times New Roman"/>
          <w:color w:val="000000"/>
          <w:kern w:val="0"/>
          <w:szCs w:val="21"/>
          <w:vertAlign w:val="superscript"/>
        </w:rPr>
        <w:t>2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 IV every 6 h until the methotrexate level reached 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>&lt;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50 nmol/L. Leucovorin was titrated for delayed methotrexate clearance or increases in creatinine. </w:t>
      </w:r>
    </w:p>
    <w:p>
      <w:pPr>
        <w:widowControl/>
        <w:spacing w:after="0" w:line="240" w:lineRule="auto"/>
        <w:jc w:val="left"/>
      </w:pPr>
      <w:r>
        <w:rPr>
          <w:rFonts w:ascii="Times New Roman" w:hAnsi="Times New Roman" w:eastAsia="AdvPS6EC0" w:cs="Times New Roman"/>
          <w:color w:val="000000"/>
          <w:kern w:val="0"/>
          <w:szCs w:val="21"/>
        </w:rPr>
        <w:t xml:space="preserve">§G-CSF: Restarted after methotrexate levels had dropped below 50 nmol/L and continued until the ANC 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>&gt;5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>000</w:t>
      </w:r>
      <w:r>
        <w:rPr>
          <w:rFonts w:hint="eastAsia" w:ascii="Times New Roman" w:hAnsi="Times New Roman" w:eastAsia="AdvPS6EC0" w:cs="Times New Roman"/>
          <w:color w:val="000000"/>
          <w:kern w:val="0"/>
          <w:szCs w:val="21"/>
        </w:rPr>
        <w:t>/</w:t>
      </w:r>
      <w:r>
        <w:rPr>
          <w:rFonts w:ascii="Times New Roman" w:hAnsi="Times New Roman" w:eastAsia="AdvPS7DA6" w:cs="Times New Roman"/>
          <w:color w:val="000000"/>
          <w:kern w:val="0"/>
          <w:szCs w:val="21"/>
        </w:rPr>
        <w:t>µ</w:t>
      </w:r>
      <w:r>
        <w:rPr>
          <w:rFonts w:ascii="Times New Roman" w:hAnsi="Times New Roman" w:eastAsia="AdvPS6EC0" w:cs="Times New Roman"/>
          <w:color w:val="000000"/>
          <w:kern w:val="0"/>
          <w:szCs w:val="21"/>
        </w:rPr>
        <w:t>l.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dvPS6EC0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3c2d9f11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dvP4C4E74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7DA6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4EDB"/>
    <w:rsid w:val="00072442"/>
    <w:rsid w:val="000A5E5D"/>
    <w:rsid w:val="000F7570"/>
    <w:rsid w:val="00106A43"/>
    <w:rsid w:val="0016349E"/>
    <w:rsid w:val="00172A27"/>
    <w:rsid w:val="0018021B"/>
    <w:rsid w:val="001A49CF"/>
    <w:rsid w:val="00227821"/>
    <w:rsid w:val="002446E7"/>
    <w:rsid w:val="00246F55"/>
    <w:rsid w:val="002574EB"/>
    <w:rsid w:val="002651C0"/>
    <w:rsid w:val="0026629E"/>
    <w:rsid w:val="002A7254"/>
    <w:rsid w:val="002F350A"/>
    <w:rsid w:val="002F5131"/>
    <w:rsid w:val="003074E5"/>
    <w:rsid w:val="003104EA"/>
    <w:rsid w:val="00312644"/>
    <w:rsid w:val="00345D85"/>
    <w:rsid w:val="003C0636"/>
    <w:rsid w:val="003D589D"/>
    <w:rsid w:val="003D7DE1"/>
    <w:rsid w:val="003E1A05"/>
    <w:rsid w:val="003E5C3D"/>
    <w:rsid w:val="004046C7"/>
    <w:rsid w:val="00415629"/>
    <w:rsid w:val="004342D5"/>
    <w:rsid w:val="00434535"/>
    <w:rsid w:val="00473EFA"/>
    <w:rsid w:val="00474503"/>
    <w:rsid w:val="004A4A26"/>
    <w:rsid w:val="004B6B0E"/>
    <w:rsid w:val="004E51C6"/>
    <w:rsid w:val="004F0886"/>
    <w:rsid w:val="004F2D31"/>
    <w:rsid w:val="00511A58"/>
    <w:rsid w:val="00532080"/>
    <w:rsid w:val="00535CC9"/>
    <w:rsid w:val="00581ADE"/>
    <w:rsid w:val="00594FBA"/>
    <w:rsid w:val="005A2A8A"/>
    <w:rsid w:val="005B6B27"/>
    <w:rsid w:val="00633385"/>
    <w:rsid w:val="00641E55"/>
    <w:rsid w:val="00655623"/>
    <w:rsid w:val="0067295F"/>
    <w:rsid w:val="006D5815"/>
    <w:rsid w:val="006E5C0F"/>
    <w:rsid w:val="00700249"/>
    <w:rsid w:val="00731914"/>
    <w:rsid w:val="00746570"/>
    <w:rsid w:val="0076358A"/>
    <w:rsid w:val="00780CE6"/>
    <w:rsid w:val="007E1175"/>
    <w:rsid w:val="008733F3"/>
    <w:rsid w:val="00874F80"/>
    <w:rsid w:val="00883D74"/>
    <w:rsid w:val="00896D2F"/>
    <w:rsid w:val="008A06DC"/>
    <w:rsid w:val="008B4AC4"/>
    <w:rsid w:val="008B59FA"/>
    <w:rsid w:val="00993B6A"/>
    <w:rsid w:val="009C3393"/>
    <w:rsid w:val="00AA7417"/>
    <w:rsid w:val="00AC1627"/>
    <w:rsid w:val="00AD4B97"/>
    <w:rsid w:val="00B23682"/>
    <w:rsid w:val="00B32CA9"/>
    <w:rsid w:val="00B33220"/>
    <w:rsid w:val="00B37173"/>
    <w:rsid w:val="00B67721"/>
    <w:rsid w:val="00B754DE"/>
    <w:rsid w:val="00BA17DC"/>
    <w:rsid w:val="00BB1110"/>
    <w:rsid w:val="00BB5302"/>
    <w:rsid w:val="00BE5B78"/>
    <w:rsid w:val="00BF76D7"/>
    <w:rsid w:val="00C0695D"/>
    <w:rsid w:val="00C07DD4"/>
    <w:rsid w:val="00C4096F"/>
    <w:rsid w:val="00CD32AD"/>
    <w:rsid w:val="00D02BE8"/>
    <w:rsid w:val="00D31146"/>
    <w:rsid w:val="00D70A14"/>
    <w:rsid w:val="00DA07F1"/>
    <w:rsid w:val="00DB3F5B"/>
    <w:rsid w:val="00DC4ADB"/>
    <w:rsid w:val="00DD11A1"/>
    <w:rsid w:val="00E6717B"/>
    <w:rsid w:val="00EA7C84"/>
    <w:rsid w:val="00EC6E8C"/>
    <w:rsid w:val="00EF02FD"/>
    <w:rsid w:val="00F214FE"/>
    <w:rsid w:val="00F21CCA"/>
    <w:rsid w:val="00FF05CD"/>
    <w:rsid w:val="01185DB4"/>
    <w:rsid w:val="012D03F0"/>
    <w:rsid w:val="02351145"/>
    <w:rsid w:val="02387350"/>
    <w:rsid w:val="024F63A7"/>
    <w:rsid w:val="0283413F"/>
    <w:rsid w:val="02A9274A"/>
    <w:rsid w:val="02B5539D"/>
    <w:rsid w:val="03010CF0"/>
    <w:rsid w:val="036D5071"/>
    <w:rsid w:val="037263ED"/>
    <w:rsid w:val="03D8003B"/>
    <w:rsid w:val="03F05608"/>
    <w:rsid w:val="04056AEF"/>
    <w:rsid w:val="04B223C5"/>
    <w:rsid w:val="05390984"/>
    <w:rsid w:val="05726CA6"/>
    <w:rsid w:val="05DC78FF"/>
    <w:rsid w:val="06B46605"/>
    <w:rsid w:val="07BB5D64"/>
    <w:rsid w:val="07E00953"/>
    <w:rsid w:val="07E0297F"/>
    <w:rsid w:val="07FE0B3E"/>
    <w:rsid w:val="08383D39"/>
    <w:rsid w:val="08B37D7C"/>
    <w:rsid w:val="08B476E4"/>
    <w:rsid w:val="08FE3403"/>
    <w:rsid w:val="094F20F1"/>
    <w:rsid w:val="098D1F25"/>
    <w:rsid w:val="09992AE2"/>
    <w:rsid w:val="09CF5EC3"/>
    <w:rsid w:val="09D724F3"/>
    <w:rsid w:val="09D96D9B"/>
    <w:rsid w:val="09EA5FA6"/>
    <w:rsid w:val="09FE7368"/>
    <w:rsid w:val="0A701A97"/>
    <w:rsid w:val="0AEB2973"/>
    <w:rsid w:val="0AF93380"/>
    <w:rsid w:val="0BF663CA"/>
    <w:rsid w:val="0C3F5E34"/>
    <w:rsid w:val="0C77436D"/>
    <w:rsid w:val="0D065F81"/>
    <w:rsid w:val="0D1929B7"/>
    <w:rsid w:val="0D4302E2"/>
    <w:rsid w:val="0DD117A5"/>
    <w:rsid w:val="0DDA559D"/>
    <w:rsid w:val="0DF824DC"/>
    <w:rsid w:val="0E073B59"/>
    <w:rsid w:val="0E107F2A"/>
    <w:rsid w:val="0E5C026F"/>
    <w:rsid w:val="0EB950C9"/>
    <w:rsid w:val="0EBF4892"/>
    <w:rsid w:val="0F127CC6"/>
    <w:rsid w:val="0F4825C6"/>
    <w:rsid w:val="0FC158B5"/>
    <w:rsid w:val="0FCD4C84"/>
    <w:rsid w:val="0FF5202A"/>
    <w:rsid w:val="10322EF4"/>
    <w:rsid w:val="10355A8B"/>
    <w:rsid w:val="10434BDC"/>
    <w:rsid w:val="106E360D"/>
    <w:rsid w:val="10A51103"/>
    <w:rsid w:val="111D0775"/>
    <w:rsid w:val="11BF01C0"/>
    <w:rsid w:val="11D34E3A"/>
    <w:rsid w:val="12272198"/>
    <w:rsid w:val="12BD440F"/>
    <w:rsid w:val="142D1551"/>
    <w:rsid w:val="14665270"/>
    <w:rsid w:val="148B3B90"/>
    <w:rsid w:val="155B454B"/>
    <w:rsid w:val="15D309AC"/>
    <w:rsid w:val="161814E3"/>
    <w:rsid w:val="16EE1C15"/>
    <w:rsid w:val="172F1935"/>
    <w:rsid w:val="174560AC"/>
    <w:rsid w:val="174F469E"/>
    <w:rsid w:val="178022B3"/>
    <w:rsid w:val="1793356A"/>
    <w:rsid w:val="17D3017D"/>
    <w:rsid w:val="17EF0265"/>
    <w:rsid w:val="180C7EFC"/>
    <w:rsid w:val="183C285E"/>
    <w:rsid w:val="18444235"/>
    <w:rsid w:val="18647630"/>
    <w:rsid w:val="18A57083"/>
    <w:rsid w:val="18AD6D53"/>
    <w:rsid w:val="18E71D4C"/>
    <w:rsid w:val="192B7561"/>
    <w:rsid w:val="194C071D"/>
    <w:rsid w:val="19557518"/>
    <w:rsid w:val="196F086A"/>
    <w:rsid w:val="19AB5CF4"/>
    <w:rsid w:val="19CF3E81"/>
    <w:rsid w:val="19DA3CD2"/>
    <w:rsid w:val="1A5567A8"/>
    <w:rsid w:val="1A59378E"/>
    <w:rsid w:val="1A6A782B"/>
    <w:rsid w:val="1C3944C5"/>
    <w:rsid w:val="1D2D11DD"/>
    <w:rsid w:val="1D646065"/>
    <w:rsid w:val="1DAD58A8"/>
    <w:rsid w:val="1DF2413D"/>
    <w:rsid w:val="1DFF75A0"/>
    <w:rsid w:val="1E8471E5"/>
    <w:rsid w:val="1EAA528B"/>
    <w:rsid w:val="1FCA2EC1"/>
    <w:rsid w:val="1FD767F4"/>
    <w:rsid w:val="1FE85F8A"/>
    <w:rsid w:val="2042515A"/>
    <w:rsid w:val="204C685C"/>
    <w:rsid w:val="20DB28F3"/>
    <w:rsid w:val="20F758FC"/>
    <w:rsid w:val="211120AC"/>
    <w:rsid w:val="2218395F"/>
    <w:rsid w:val="222A4E94"/>
    <w:rsid w:val="2275050A"/>
    <w:rsid w:val="22EA2631"/>
    <w:rsid w:val="22EC5AB5"/>
    <w:rsid w:val="231B4188"/>
    <w:rsid w:val="233F4D86"/>
    <w:rsid w:val="238245FE"/>
    <w:rsid w:val="242F6C37"/>
    <w:rsid w:val="24670A8A"/>
    <w:rsid w:val="24BA27D8"/>
    <w:rsid w:val="2511776C"/>
    <w:rsid w:val="2531695F"/>
    <w:rsid w:val="259D6884"/>
    <w:rsid w:val="25FB1E78"/>
    <w:rsid w:val="270E24F3"/>
    <w:rsid w:val="27211C92"/>
    <w:rsid w:val="27C32226"/>
    <w:rsid w:val="27DA1939"/>
    <w:rsid w:val="282F5EEA"/>
    <w:rsid w:val="285323B0"/>
    <w:rsid w:val="29883DC3"/>
    <w:rsid w:val="299202AD"/>
    <w:rsid w:val="29953672"/>
    <w:rsid w:val="29C40E55"/>
    <w:rsid w:val="2A4A4F54"/>
    <w:rsid w:val="2A5C5B0A"/>
    <w:rsid w:val="2B2B29D1"/>
    <w:rsid w:val="2B487BB6"/>
    <w:rsid w:val="2C554D5D"/>
    <w:rsid w:val="2CD0216C"/>
    <w:rsid w:val="2CD267EA"/>
    <w:rsid w:val="2CE056EC"/>
    <w:rsid w:val="2CE45AD8"/>
    <w:rsid w:val="2CF623B7"/>
    <w:rsid w:val="2D5172C3"/>
    <w:rsid w:val="2D9D20BB"/>
    <w:rsid w:val="2F036DAB"/>
    <w:rsid w:val="2F0A6ADF"/>
    <w:rsid w:val="2FC72085"/>
    <w:rsid w:val="30713E64"/>
    <w:rsid w:val="30931A47"/>
    <w:rsid w:val="311E3330"/>
    <w:rsid w:val="312D7A5C"/>
    <w:rsid w:val="313343B5"/>
    <w:rsid w:val="31A164B0"/>
    <w:rsid w:val="320A7B5D"/>
    <w:rsid w:val="32146ACD"/>
    <w:rsid w:val="325C7971"/>
    <w:rsid w:val="325E5D28"/>
    <w:rsid w:val="327961A1"/>
    <w:rsid w:val="32926E25"/>
    <w:rsid w:val="33071E9F"/>
    <w:rsid w:val="331D0CA5"/>
    <w:rsid w:val="343B45CD"/>
    <w:rsid w:val="347C1E22"/>
    <w:rsid w:val="349602A5"/>
    <w:rsid w:val="354C245F"/>
    <w:rsid w:val="35581375"/>
    <w:rsid w:val="36510766"/>
    <w:rsid w:val="36657268"/>
    <w:rsid w:val="36B048E9"/>
    <w:rsid w:val="36CC5465"/>
    <w:rsid w:val="37306130"/>
    <w:rsid w:val="37424662"/>
    <w:rsid w:val="376601CF"/>
    <w:rsid w:val="37A25E95"/>
    <w:rsid w:val="37E95ED7"/>
    <w:rsid w:val="387D1696"/>
    <w:rsid w:val="38997B97"/>
    <w:rsid w:val="38F421D1"/>
    <w:rsid w:val="39154A3A"/>
    <w:rsid w:val="39400258"/>
    <w:rsid w:val="39C25C54"/>
    <w:rsid w:val="39D940C6"/>
    <w:rsid w:val="3A6F0B13"/>
    <w:rsid w:val="3ACE30D4"/>
    <w:rsid w:val="3AEC2884"/>
    <w:rsid w:val="3B1E6B6D"/>
    <w:rsid w:val="3B49249F"/>
    <w:rsid w:val="3B535907"/>
    <w:rsid w:val="3BB82457"/>
    <w:rsid w:val="3C096BB6"/>
    <w:rsid w:val="3C0B4AAA"/>
    <w:rsid w:val="3C3A6807"/>
    <w:rsid w:val="3C4215BA"/>
    <w:rsid w:val="3C6015F3"/>
    <w:rsid w:val="3C8D2F60"/>
    <w:rsid w:val="3CE61CC2"/>
    <w:rsid w:val="3E223C71"/>
    <w:rsid w:val="3E65022A"/>
    <w:rsid w:val="3E9F5653"/>
    <w:rsid w:val="3EA97C8F"/>
    <w:rsid w:val="3EEB6FA0"/>
    <w:rsid w:val="3F3C3D96"/>
    <w:rsid w:val="3F3F307F"/>
    <w:rsid w:val="3F472705"/>
    <w:rsid w:val="3FC929CA"/>
    <w:rsid w:val="3FEF7055"/>
    <w:rsid w:val="407E5293"/>
    <w:rsid w:val="41097A3E"/>
    <w:rsid w:val="414E6DAF"/>
    <w:rsid w:val="41EC22EF"/>
    <w:rsid w:val="429F444A"/>
    <w:rsid w:val="42CE5C0B"/>
    <w:rsid w:val="42F051ED"/>
    <w:rsid w:val="430916C4"/>
    <w:rsid w:val="431D0F9D"/>
    <w:rsid w:val="440F09EE"/>
    <w:rsid w:val="44293777"/>
    <w:rsid w:val="44520F03"/>
    <w:rsid w:val="450170EA"/>
    <w:rsid w:val="452503B8"/>
    <w:rsid w:val="45C553D5"/>
    <w:rsid w:val="45CC6D60"/>
    <w:rsid w:val="45D33CB3"/>
    <w:rsid w:val="45D70013"/>
    <w:rsid w:val="460A1E62"/>
    <w:rsid w:val="461C425E"/>
    <w:rsid w:val="464809E9"/>
    <w:rsid w:val="46B379DD"/>
    <w:rsid w:val="46CE5754"/>
    <w:rsid w:val="472C5065"/>
    <w:rsid w:val="474A4AF3"/>
    <w:rsid w:val="478E6F15"/>
    <w:rsid w:val="47AD2BB6"/>
    <w:rsid w:val="48374BB5"/>
    <w:rsid w:val="48547EE2"/>
    <w:rsid w:val="48707EC8"/>
    <w:rsid w:val="48DF774E"/>
    <w:rsid w:val="48EB0A18"/>
    <w:rsid w:val="492A0B28"/>
    <w:rsid w:val="493E4530"/>
    <w:rsid w:val="4990471B"/>
    <w:rsid w:val="49A41679"/>
    <w:rsid w:val="49E24849"/>
    <w:rsid w:val="4A1E500A"/>
    <w:rsid w:val="4A6A1419"/>
    <w:rsid w:val="4B134843"/>
    <w:rsid w:val="4B222518"/>
    <w:rsid w:val="4B4F27B8"/>
    <w:rsid w:val="4B632757"/>
    <w:rsid w:val="4B6B5A90"/>
    <w:rsid w:val="4B850922"/>
    <w:rsid w:val="4BAF2132"/>
    <w:rsid w:val="4BD84751"/>
    <w:rsid w:val="4C1F53B2"/>
    <w:rsid w:val="4C807A30"/>
    <w:rsid w:val="4CED721B"/>
    <w:rsid w:val="4D130C74"/>
    <w:rsid w:val="4DA414A2"/>
    <w:rsid w:val="4E4B0C1A"/>
    <w:rsid w:val="4EA9273E"/>
    <w:rsid w:val="4EC173BF"/>
    <w:rsid w:val="4ED57FE6"/>
    <w:rsid w:val="4EF3518B"/>
    <w:rsid w:val="4F530DF7"/>
    <w:rsid w:val="4F6F3861"/>
    <w:rsid w:val="4F715F5C"/>
    <w:rsid w:val="4F9A4796"/>
    <w:rsid w:val="4FDA4604"/>
    <w:rsid w:val="5009357C"/>
    <w:rsid w:val="50B728DC"/>
    <w:rsid w:val="50BF286E"/>
    <w:rsid w:val="51085368"/>
    <w:rsid w:val="517B087F"/>
    <w:rsid w:val="51860B17"/>
    <w:rsid w:val="51BA675D"/>
    <w:rsid w:val="51CD4BBB"/>
    <w:rsid w:val="51CF1D49"/>
    <w:rsid w:val="52652DA9"/>
    <w:rsid w:val="526B7937"/>
    <w:rsid w:val="52837DA7"/>
    <w:rsid w:val="52D6036A"/>
    <w:rsid w:val="52FC61E9"/>
    <w:rsid w:val="53321FE4"/>
    <w:rsid w:val="539E792D"/>
    <w:rsid w:val="53E33203"/>
    <w:rsid w:val="53FE6A1A"/>
    <w:rsid w:val="54102A8F"/>
    <w:rsid w:val="5485629B"/>
    <w:rsid w:val="54F72A54"/>
    <w:rsid w:val="55457FF3"/>
    <w:rsid w:val="5612284A"/>
    <w:rsid w:val="56577A7F"/>
    <w:rsid w:val="56675B6E"/>
    <w:rsid w:val="56C227D0"/>
    <w:rsid w:val="56FC286D"/>
    <w:rsid w:val="57230116"/>
    <w:rsid w:val="57C63245"/>
    <w:rsid w:val="57DE180E"/>
    <w:rsid w:val="57DF44E8"/>
    <w:rsid w:val="57DF4669"/>
    <w:rsid w:val="585946DD"/>
    <w:rsid w:val="5898192F"/>
    <w:rsid w:val="59621C5F"/>
    <w:rsid w:val="59F35343"/>
    <w:rsid w:val="59FD3ED0"/>
    <w:rsid w:val="5A1805DB"/>
    <w:rsid w:val="5A3350F6"/>
    <w:rsid w:val="5A5F41A7"/>
    <w:rsid w:val="5A8F3A6C"/>
    <w:rsid w:val="5AB032EB"/>
    <w:rsid w:val="5AF063F1"/>
    <w:rsid w:val="5B117744"/>
    <w:rsid w:val="5B3F48A5"/>
    <w:rsid w:val="5B455D0A"/>
    <w:rsid w:val="5BCC5045"/>
    <w:rsid w:val="5C27723E"/>
    <w:rsid w:val="5C3819B8"/>
    <w:rsid w:val="5C686B4B"/>
    <w:rsid w:val="5C837907"/>
    <w:rsid w:val="5C9E6667"/>
    <w:rsid w:val="5DC263C6"/>
    <w:rsid w:val="5F19563D"/>
    <w:rsid w:val="5FD95A7C"/>
    <w:rsid w:val="606C4CEF"/>
    <w:rsid w:val="608651B4"/>
    <w:rsid w:val="60C359E6"/>
    <w:rsid w:val="60E66FC9"/>
    <w:rsid w:val="621A4D4C"/>
    <w:rsid w:val="62A26214"/>
    <w:rsid w:val="63772028"/>
    <w:rsid w:val="6469352C"/>
    <w:rsid w:val="647F62D6"/>
    <w:rsid w:val="65EB357F"/>
    <w:rsid w:val="65ED59B4"/>
    <w:rsid w:val="661625F6"/>
    <w:rsid w:val="66845830"/>
    <w:rsid w:val="66B50AE2"/>
    <w:rsid w:val="671D23FB"/>
    <w:rsid w:val="67AA2ED8"/>
    <w:rsid w:val="67D11844"/>
    <w:rsid w:val="67DF3475"/>
    <w:rsid w:val="681C0354"/>
    <w:rsid w:val="68564396"/>
    <w:rsid w:val="68D64501"/>
    <w:rsid w:val="68F5629A"/>
    <w:rsid w:val="69891E6D"/>
    <w:rsid w:val="699F61AE"/>
    <w:rsid w:val="6A427D92"/>
    <w:rsid w:val="6B185B5F"/>
    <w:rsid w:val="6B242D3B"/>
    <w:rsid w:val="6B2545E2"/>
    <w:rsid w:val="6B5221C1"/>
    <w:rsid w:val="6B693D98"/>
    <w:rsid w:val="6B854D4B"/>
    <w:rsid w:val="6C1217B3"/>
    <w:rsid w:val="6C596FD8"/>
    <w:rsid w:val="6CE61B36"/>
    <w:rsid w:val="6D1735A8"/>
    <w:rsid w:val="6D4F1A3D"/>
    <w:rsid w:val="6D62788C"/>
    <w:rsid w:val="6D720277"/>
    <w:rsid w:val="6DB95639"/>
    <w:rsid w:val="6DD41341"/>
    <w:rsid w:val="6E732B30"/>
    <w:rsid w:val="6E8E39A3"/>
    <w:rsid w:val="6F1F04CA"/>
    <w:rsid w:val="6FEA224E"/>
    <w:rsid w:val="70593B5F"/>
    <w:rsid w:val="70EC5D83"/>
    <w:rsid w:val="710E165A"/>
    <w:rsid w:val="714E0621"/>
    <w:rsid w:val="726A2F0E"/>
    <w:rsid w:val="751972E0"/>
    <w:rsid w:val="75A87B53"/>
    <w:rsid w:val="75F05CCA"/>
    <w:rsid w:val="75FF62BF"/>
    <w:rsid w:val="764A6FC6"/>
    <w:rsid w:val="76514921"/>
    <w:rsid w:val="765B5B42"/>
    <w:rsid w:val="766410A5"/>
    <w:rsid w:val="76706A83"/>
    <w:rsid w:val="76743174"/>
    <w:rsid w:val="76FE192B"/>
    <w:rsid w:val="771B56CB"/>
    <w:rsid w:val="7805496B"/>
    <w:rsid w:val="78E204A2"/>
    <w:rsid w:val="78EA07F4"/>
    <w:rsid w:val="79E13058"/>
    <w:rsid w:val="7AC2073C"/>
    <w:rsid w:val="7B02048A"/>
    <w:rsid w:val="7B1A7614"/>
    <w:rsid w:val="7B834BBD"/>
    <w:rsid w:val="7B863991"/>
    <w:rsid w:val="7B8B753A"/>
    <w:rsid w:val="7C0D48DC"/>
    <w:rsid w:val="7C424AEB"/>
    <w:rsid w:val="7C5F15FB"/>
    <w:rsid w:val="7CD0485F"/>
    <w:rsid w:val="7D4D7746"/>
    <w:rsid w:val="7D944634"/>
    <w:rsid w:val="7DD87896"/>
    <w:rsid w:val="7E387832"/>
    <w:rsid w:val="7FBB7F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="0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="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4"/>
    <w:unhideWhenUsed/>
    <w:qFormat/>
    <w:uiPriority w:val="99"/>
    <w:pPr>
      <w:spacing w:line="240" w:lineRule="auto"/>
    </w:pPr>
    <w:rPr>
      <w:rFonts w:asciiTheme="majorBidi" w:hAnsiTheme="majorBidi"/>
      <w:sz w:val="20"/>
      <w:szCs w:val="20"/>
    </w:rPr>
  </w:style>
  <w:style w:type="paragraph" w:styleId="6">
    <w:name w:val="Balloon Text"/>
    <w:basedOn w:val="1"/>
    <w:link w:val="23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5"/>
    <w:next w:val="5"/>
    <w:link w:val="25"/>
    <w:semiHidden/>
    <w:unhideWhenUsed/>
    <w:qFormat/>
    <w:uiPriority w:val="99"/>
    <w:rPr>
      <w:rFonts w:asciiTheme="minorHAnsi" w:hAnsiTheme="minorHAnsi"/>
      <w:b/>
      <w:bCs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Emphasis"/>
    <w:basedOn w:val="13"/>
    <w:qFormat/>
    <w:uiPriority w:val="20"/>
    <w:rPr>
      <w:i/>
    </w:rPr>
  </w:style>
  <w:style w:type="character" w:styleId="16">
    <w:name w:val="line number"/>
    <w:basedOn w:val="13"/>
    <w:semiHidden/>
    <w:unhideWhenUsed/>
    <w:qFormat/>
    <w:uiPriority w:val="99"/>
  </w:style>
  <w:style w:type="character" w:styleId="17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3"/>
    <w:semiHidden/>
    <w:unhideWhenUsed/>
    <w:qFormat/>
    <w:uiPriority w:val="99"/>
    <w:rPr>
      <w:sz w:val="16"/>
      <w:szCs w:val="16"/>
    </w:rPr>
  </w:style>
  <w:style w:type="character" w:customStyle="1" w:styleId="19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20">
    <w:name w:val="页脚 Char"/>
    <w:basedOn w:val="13"/>
    <w:link w:val="7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widowControl/>
      <w:ind w:firstLine="200" w:firstLineChars="200"/>
      <w:jc w:val="left"/>
    </w:pPr>
    <w:rPr>
      <w:rFonts w:ascii="Calibri" w:hAnsi="Calibri" w:eastAsia="宋体" w:cs="宋体"/>
      <w:kern w:val="0"/>
      <w:sz w:val="24"/>
    </w:rPr>
  </w:style>
  <w:style w:type="character" w:customStyle="1" w:styleId="22">
    <w:name w:val="无"/>
    <w:qFormat/>
    <w:uiPriority w:val="0"/>
  </w:style>
  <w:style w:type="character" w:customStyle="1" w:styleId="23">
    <w:name w:val="批注框文本 Char"/>
    <w:basedOn w:val="13"/>
    <w:link w:val="6"/>
    <w:semiHidden/>
    <w:qFormat/>
    <w:uiPriority w:val="99"/>
    <w:rPr>
      <w:rFonts w:ascii="Segoe UI" w:hAnsi="Segoe UI" w:cs="Segoe UI" w:eastAsiaTheme="minorEastAsia"/>
      <w:kern w:val="2"/>
      <w:sz w:val="18"/>
      <w:szCs w:val="18"/>
      <w:lang w:eastAsia="zh-CN"/>
    </w:rPr>
  </w:style>
  <w:style w:type="character" w:customStyle="1" w:styleId="24">
    <w:name w:val="批注文字 Char"/>
    <w:basedOn w:val="13"/>
    <w:link w:val="5"/>
    <w:qFormat/>
    <w:uiPriority w:val="99"/>
    <w:rPr>
      <w:rFonts w:asciiTheme="majorBidi" w:hAnsiTheme="majorBidi" w:eastAsiaTheme="minorEastAsia" w:cstheme="minorBidi"/>
      <w:kern w:val="2"/>
      <w:lang w:eastAsia="zh-CN"/>
    </w:rPr>
  </w:style>
  <w:style w:type="character" w:customStyle="1" w:styleId="25">
    <w:name w:val="批注主题 Char"/>
    <w:basedOn w:val="24"/>
    <w:link w:val="10"/>
    <w:semiHidden/>
    <w:qFormat/>
    <w:uiPriority w:val="99"/>
    <w:rPr>
      <w:rFonts w:asciiTheme="minorHAnsi" w:hAnsiTheme="minorHAnsi" w:eastAsiaTheme="minorEastAsia" w:cstheme="minorBidi"/>
      <w:b/>
      <w:bCs/>
      <w:kern w:val="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09B3E7-BBC2-4058-81B5-54C4856889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1184</Words>
  <Characters>6413</Characters>
  <Lines>53</Lines>
  <Paragraphs>15</Paragraphs>
  <TotalTime>11</TotalTime>
  <ScaleCrop>false</ScaleCrop>
  <LinksUpToDate>false</LinksUpToDate>
  <CharactersWithSpaces>7582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2020-07-17T08:31:00Z</dcterms:created>
  <dc:creator>MC SYSTEM</dc:creator>
  <cp:lastModifiedBy>丁晓燕</cp:lastModifiedBy>
  <dcterms:modified xsi:type="dcterms:W3CDTF">2020-08-25T08:57:31Z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