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152A" w14:textId="2EE55B08" w:rsidR="00905FCE" w:rsidRPr="00905FCE" w:rsidRDefault="00905FCE" w:rsidP="00905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S2. Propensity score matching (1:1) diagnostics with ESS</w:t>
      </w: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1701"/>
        <w:gridCol w:w="2410"/>
        <w:gridCol w:w="2410"/>
        <w:gridCol w:w="2693"/>
        <w:gridCol w:w="1843"/>
        <w:gridCol w:w="769"/>
        <w:gridCol w:w="1095"/>
        <w:gridCol w:w="1085"/>
      </w:tblGrid>
      <w:tr w:rsidR="00836F36" w:rsidRPr="00905FCE" w14:paraId="58592E69" w14:textId="77777777" w:rsidTr="000B742F">
        <w:trPr>
          <w:tblHeader/>
          <w:jc w:val="center"/>
        </w:trPr>
        <w:tc>
          <w:tcPr>
            <w:tcW w:w="17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8F93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A802" w14:textId="0E31D392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Risk </w:t>
            </w:r>
            <w:r w:rsidR="00836F36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for </w:t>
            </w: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</w:t>
            </w:r>
            <w:r w:rsidR="00836F36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TI</w:t>
            </w:r>
          </w:p>
        </w:tc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A1AC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Risk</w:t>
            </w:r>
            <w:r w:rsidR="00836F36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for</w:t>
            </w: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GA</w:t>
            </w:r>
          </w:p>
          <w:p w14:paraId="3C38512F" w14:textId="7D92E940" w:rsidR="00836F36" w:rsidRPr="00905FCE" w:rsidRDefault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(%) [95% CI]</w:t>
            </w:r>
          </w:p>
        </w:tc>
        <w:tc>
          <w:tcPr>
            <w:tcW w:w="269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56D6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</w:t>
            </w:r>
            <w:r w:rsidR="00836F36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isk difference</w:t>
            </w:r>
          </w:p>
          <w:p w14:paraId="578F46AC" w14:textId="046F0B84" w:rsidR="00836F36" w:rsidRPr="00905FCE" w:rsidRDefault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(%) [95% CI]</w:t>
            </w:r>
          </w:p>
        </w:tc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5EDE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Risk ratio</w:t>
            </w:r>
          </w:p>
          <w:p w14:paraId="2E972314" w14:textId="2388451F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[95% CI]</w:t>
            </w:r>
          </w:p>
        </w:tc>
        <w:tc>
          <w:tcPr>
            <w:tcW w:w="76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CF2D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ESS</w:t>
            </w:r>
          </w:p>
          <w:p w14:paraId="772993FF" w14:textId="4B78672E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09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E41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ESS</w:t>
            </w:r>
          </w:p>
          <w:p w14:paraId="111FA6C2" w14:textId="1FAF6098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ATI</w:t>
            </w:r>
          </w:p>
        </w:tc>
        <w:tc>
          <w:tcPr>
            <w:tcW w:w="108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15AF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ESS</w:t>
            </w:r>
          </w:p>
          <w:p w14:paraId="064D238B" w14:textId="48F0B6DF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GA</w:t>
            </w:r>
          </w:p>
        </w:tc>
      </w:tr>
      <w:tr w:rsidR="00836F36" w:rsidRPr="00905FCE" w14:paraId="07FE7AB3" w14:textId="77777777" w:rsidTr="000B742F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9653A" w14:textId="059501B0" w:rsidR="00200E4A" w:rsidRPr="00905FCE" w:rsidRDefault="000B74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Peri-intubation events (composite)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8DA9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8.7% (3.7%–15.1%)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69E9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26.1% (20.0%–36.7%)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B721" w14:textId="00379469" w:rsidR="00200E4A" w:rsidRPr="00905FCE" w:rsidRDefault="000B74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17.4% (</w:t>
            </w: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29.4%–</w:t>
            </w: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9.2%)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62A0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0.33 (0.12–0.59)</w:t>
            </w:r>
          </w:p>
        </w:tc>
        <w:tc>
          <w:tcPr>
            <w:tcW w:w="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802C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EEF9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C23E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836F36" w:rsidRPr="00905FCE" w14:paraId="0064B5CD" w14:textId="77777777" w:rsidTr="000B742F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E504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hypotension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DAE7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8.7% (3.7%–15.1%)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8FFB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23.9% (16.4%–33.3%)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75A2" w14:textId="4874F348" w:rsidR="00200E4A" w:rsidRPr="00905FCE" w:rsidRDefault="000B74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15.2% (-25.6%–</w:t>
            </w: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5.7%)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C5F4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0.36 (0.14–0.70)</w:t>
            </w:r>
          </w:p>
        </w:tc>
        <w:tc>
          <w:tcPr>
            <w:tcW w:w="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1662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60EE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4E32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836F36" w:rsidRPr="00905FCE" w14:paraId="4FEB6538" w14:textId="77777777" w:rsidTr="000B742F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096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hypoxemia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0D18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1.1% (0.0%–2.3%)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2A10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6.5% (1.8%–13.0%)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6135" w14:textId="4D38BFDB" w:rsidR="00200E4A" w:rsidRPr="00905FCE" w:rsidRDefault="000B74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5.4% (</w:t>
            </w: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12.9%–</w:t>
            </w:r>
            <w:r w:rsidRPr="00905FCE">
              <w:rPr>
                <w:rFonts w:ascii="Times New Roman" w:hAnsi="Times New Roman" w:cs="Times New Roman"/>
              </w:rPr>
              <w:t>−</w:t>
            </w:r>
            <w:r w:rsidR="00200E4A"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1.1%)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0D57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0.17 (0.00–0.50)</w:t>
            </w:r>
          </w:p>
        </w:tc>
        <w:tc>
          <w:tcPr>
            <w:tcW w:w="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94CE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6046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5B89" w14:textId="77777777" w:rsidR="00200E4A" w:rsidRPr="00905FCE" w:rsidRDefault="00200E4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836F36" w:rsidRPr="00905FCE" w14:paraId="13D23113" w14:textId="77777777" w:rsidTr="000B742F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AF59" w14:textId="77777777" w:rsidR="000B742F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28-day</w:t>
            </w:r>
          </w:p>
          <w:p w14:paraId="2D108E8C" w14:textId="19B091A2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mortality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68AC" w14:textId="3AE737C6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14.1% (7.1%–20.5%)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8A32" w14:textId="53538C28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8.7% (3.2%–15.9%)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4F73" w14:textId="44B01775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+5.4% (</w:t>
            </w:r>
            <w:r w:rsidR="000B742F" w:rsidRPr="00905FCE">
              <w:rPr>
                <w:rFonts w:ascii="Times New Roman" w:hAnsi="Times New Roman" w:cs="Times New Roman"/>
              </w:rPr>
              <w:t>−</w:t>
            </w: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4.1%–13.8%)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937E" w14:textId="4E3FF7EE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1.62 (0.67–4.25)</w:t>
            </w:r>
          </w:p>
        </w:tc>
        <w:tc>
          <w:tcPr>
            <w:tcW w:w="76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22C3" w14:textId="07174646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9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7272" w14:textId="22EF929F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8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F76ED" w14:textId="5BD89129" w:rsidR="00836F36" w:rsidRPr="00905FCE" w:rsidRDefault="00836F36" w:rsidP="00836F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905FC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</w:tbl>
    <w:p w14:paraId="1496F601" w14:textId="77777777" w:rsidR="00A73363" w:rsidRDefault="00A73363">
      <w:pPr>
        <w:rPr>
          <w:rFonts w:ascii="Times New Roman" w:hAnsi="Times New Roman" w:cs="Times New Roman"/>
          <w:lang w:eastAsia="ja-JP"/>
        </w:rPr>
      </w:pPr>
    </w:p>
    <w:p w14:paraId="1F91F813" w14:textId="4A5973DA" w:rsidR="005A79DB" w:rsidRPr="00BE078C" w:rsidRDefault="00BE078C" w:rsidP="00BE078C">
      <w:pPr>
        <w:rPr>
          <w:rFonts w:ascii="Times New Roman" w:hAnsi="Times New Roman" w:cs="Times New Roman" w:hint="eastAsia"/>
          <w:lang w:eastAsia="ja-JP"/>
        </w:rPr>
      </w:pPr>
      <w:r w:rsidRPr="00BE078C">
        <w:rPr>
          <w:rFonts w:ascii="Times New Roman" w:hAnsi="Times New Roman" w:cs="Times New Roman"/>
          <w:b/>
          <w:bCs/>
          <w:lang w:eastAsia="ja-JP"/>
        </w:rPr>
        <w:t xml:space="preserve">Notes. </w:t>
      </w:r>
      <w:r w:rsidRPr="00BE078C">
        <w:rPr>
          <w:rFonts w:ascii="Times New Roman" w:hAnsi="Times New Roman" w:cs="Times New Roman"/>
          <w:lang w:eastAsia="ja-JP"/>
        </w:rPr>
        <w:t>1:1 nearest-neighbor propensity score matching without replacement using a caliper of 0.25 SD on the logit of the propensity score</w:t>
      </w:r>
      <w:r>
        <w:rPr>
          <w:rFonts w:ascii="Times New Roman" w:hAnsi="Times New Roman" w:cs="Times New Roman"/>
          <w:lang w:eastAsia="ja-JP"/>
        </w:rPr>
        <w:t xml:space="preserve">, </w:t>
      </w:r>
      <w:r w:rsidRPr="00BE078C">
        <w:rPr>
          <w:rFonts w:ascii="Times New Roman" w:hAnsi="Times New Roman" w:cs="Times New Roman" w:hint="eastAsia"/>
          <w:lang w:eastAsia="ja-JP"/>
        </w:rPr>
        <w:t>e</w:t>
      </w:r>
      <w:r w:rsidRPr="00BE078C">
        <w:rPr>
          <w:rFonts w:ascii="Times New Roman" w:hAnsi="Times New Roman" w:cs="Times New Roman"/>
          <w:lang w:eastAsia="ja-JP"/>
        </w:rPr>
        <w:t xml:space="preserve">stimand </w:t>
      </w:r>
      <w:r>
        <w:rPr>
          <w:rFonts w:ascii="Times New Roman" w:hAnsi="Times New Roman" w:cs="Times New Roman"/>
          <w:lang w:eastAsia="ja-JP"/>
        </w:rPr>
        <w:t>is</w:t>
      </w:r>
      <w:r w:rsidRPr="00BE078C">
        <w:rPr>
          <w:rFonts w:ascii="Times New Roman" w:hAnsi="Times New Roman" w:cs="Times New Roman"/>
          <w:lang w:eastAsia="ja-JP"/>
        </w:rPr>
        <w:t xml:space="preserve"> ATT. Reported values are weighted (matched-sample) risks, risk differences (Awake − GA), and risk ratios with 95% bootstrap CIs (1,000 resamples; matching repeated per resample). ESS denotes effective sample size, computed as </w:t>
      </w:r>
      <m:oMath>
        <m:r>
          <w:rPr>
            <w:rFonts w:ascii="Cambria Math" w:hAnsi="Cambria Math" w:cs="Times New Roman"/>
            <w:lang w:eastAsia="ja-JP"/>
          </w:rPr>
          <m:t>(∑w</m:t>
        </m:r>
        <m:sSup>
          <m:sSupPr>
            <m:ctrlPr>
              <w:rPr>
                <w:rFonts w:ascii="Cambria Math" w:hAnsi="Cambria Math" w:cs="Times New Roman"/>
                <w:lang w:eastAsia="ja-JP"/>
              </w:rPr>
            </m:ctrlPr>
          </m:sSupPr>
          <m:e>
            <m:r>
              <w:rPr>
                <w:rFonts w:ascii="Cambria Math" w:hAnsi="Cambria Math" w:cs="Times New Roman"/>
                <w:lang w:eastAsia="ja-JP"/>
              </w:rPr>
              <m:t>)</m:t>
            </m:r>
          </m:e>
          <m:sup>
            <m:r>
              <w:rPr>
                <w:rFonts w:ascii="Cambria Math" w:hAnsi="Cambria Math" w:cs="Times New Roman"/>
                <w:lang w:eastAsia="ja-JP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ja-JP"/>
          </w:rPr>
          <m:t>/</m:t>
        </m:r>
        <m:r>
          <w:rPr>
            <w:rFonts w:ascii="Cambria Math" w:hAnsi="Cambria Math" w:cs="Times New Roman"/>
            <w:lang w:eastAsia="ja-JP"/>
          </w:rPr>
          <m:t>∑</m:t>
        </m:r>
        <m:sSup>
          <m:sSupPr>
            <m:ctrlPr>
              <w:rPr>
                <w:rFonts w:ascii="Cambria Math" w:hAnsi="Cambria Math" w:cs="Times New Roman"/>
                <w:lang w:eastAsia="ja-JP"/>
              </w:rPr>
            </m:ctrlPr>
          </m:sSupPr>
          <m:e>
            <m:r>
              <w:rPr>
                <w:rFonts w:ascii="Cambria Math" w:hAnsi="Cambria Math" w:cs="Times New Roman"/>
                <w:lang w:eastAsia="ja-JP"/>
              </w:rPr>
              <m:t>w</m:t>
            </m:r>
          </m:e>
          <m:sup>
            <m:r>
              <w:rPr>
                <w:rFonts w:ascii="Cambria Math" w:hAnsi="Cambria Math" w:cs="Times New Roman"/>
                <w:lang w:eastAsia="ja-JP"/>
              </w:rPr>
              <m:t>2</m:t>
            </m:r>
          </m:sup>
        </m:sSup>
      </m:oMath>
      <w:r w:rsidRPr="00BE078C">
        <w:rPr>
          <w:rFonts w:ascii="Times New Roman" w:hAnsi="Times New Roman" w:cs="Times New Roman"/>
          <w:lang w:eastAsia="ja-JP"/>
        </w:rPr>
        <w:t>for all units and by treatment group.</w:t>
      </w:r>
    </w:p>
    <w:sectPr w:rsidR="005A79DB" w:rsidRPr="00BE078C" w:rsidSect="00200E4A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8239">
    <w:abstractNumId w:val="1"/>
  </w:num>
  <w:num w:numId="2" w16cid:durableId="1598901162">
    <w:abstractNumId w:val="2"/>
  </w:num>
  <w:num w:numId="3" w16cid:durableId="19565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5C"/>
    <w:rsid w:val="000B742F"/>
    <w:rsid w:val="00200E4A"/>
    <w:rsid w:val="005A00F3"/>
    <w:rsid w:val="005A79DB"/>
    <w:rsid w:val="00836F36"/>
    <w:rsid w:val="008B06D7"/>
    <w:rsid w:val="00905FCE"/>
    <w:rsid w:val="00A73363"/>
    <w:rsid w:val="00BE078C"/>
    <w:rsid w:val="00D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60BA5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Masuda</dc:creator>
  <cp:keywords/>
  <dc:description/>
  <cp:lastModifiedBy>Takahiro Masuda</cp:lastModifiedBy>
  <cp:revision>2</cp:revision>
  <dcterms:created xsi:type="dcterms:W3CDTF">2025-10-24T06:12:00Z</dcterms:created>
  <dcterms:modified xsi:type="dcterms:W3CDTF">2025-10-24T06:12:00Z</dcterms:modified>
  <cp:category/>
</cp:coreProperties>
</file>