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F476" w14:textId="40C5955D" w:rsidR="00EA5E4E" w:rsidRPr="00EA5E4E" w:rsidRDefault="00EA5E4E" w:rsidP="00EA5E4E">
      <w:r>
        <w:t xml:space="preserve">Table 2. </w:t>
      </w:r>
      <w:r w:rsidRPr="00EA5E4E">
        <w:rPr>
          <w:rFonts w:ascii="Times New Roman" w:hAnsi="Times New Roman" w:cs="Times New Roman"/>
        </w:rPr>
        <w:t>Adjusted risks and effect estimates using g-computation analysis</w:t>
      </w:r>
    </w:p>
    <w:tbl>
      <w:tblPr>
        <w:tblpPr w:leftFromText="142" w:rightFromText="142" w:vertAnchor="page" w:horzAnchor="margin" w:tblpY="1858"/>
        <w:tblW w:w="5000" w:type="pct"/>
        <w:tblLayout w:type="fixed"/>
        <w:tblLook w:val="0420" w:firstRow="1" w:lastRow="0" w:firstColumn="0" w:lastColumn="0" w:noHBand="0" w:noVBand="1"/>
      </w:tblPr>
      <w:tblGrid>
        <w:gridCol w:w="2268"/>
        <w:gridCol w:w="2552"/>
        <w:gridCol w:w="2410"/>
        <w:gridCol w:w="3118"/>
        <w:gridCol w:w="2113"/>
        <w:gridCol w:w="1545"/>
      </w:tblGrid>
      <w:tr w:rsidR="00EA5E4E" w:rsidRPr="00EA5E4E" w14:paraId="583254E1" w14:textId="77777777" w:rsidTr="00EA5E4E">
        <w:trPr>
          <w:tblHeader/>
        </w:trPr>
        <w:tc>
          <w:tcPr>
            <w:tcW w:w="226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537B9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Outcome</w:t>
            </w:r>
          </w:p>
        </w:tc>
        <w:tc>
          <w:tcPr>
            <w:tcW w:w="255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78BF2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Adjusted Risk, ATI (%) [95% CI]</w:t>
            </w:r>
          </w:p>
        </w:tc>
        <w:tc>
          <w:tcPr>
            <w:tcW w:w="241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B7A8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Adjusted Risk, GA (%) [95% CI]</w:t>
            </w:r>
          </w:p>
        </w:tc>
        <w:tc>
          <w:tcPr>
            <w:tcW w:w="311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5B81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Risk difference (pp) [95% CI]</w:t>
            </w:r>
          </w:p>
        </w:tc>
        <w:tc>
          <w:tcPr>
            <w:tcW w:w="2113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D5BE6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Risk ratio [95% CI]</w:t>
            </w:r>
          </w:p>
        </w:tc>
        <w:tc>
          <w:tcPr>
            <w:tcW w:w="154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B6019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NNT/NNH</w:t>
            </w:r>
          </w:p>
        </w:tc>
      </w:tr>
      <w:tr w:rsidR="00EA5E4E" w:rsidRPr="00EA5E4E" w14:paraId="663D54F4" w14:textId="77777777" w:rsidTr="00EA5E4E">
        <w:tc>
          <w:tcPr>
            <w:tcW w:w="226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F259D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Peri-intubation events (composite)</w:t>
            </w:r>
          </w:p>
        </w:tc>
        <w:tc>
          <w:tcPr>
            <w:tcW w:w="255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C4C2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17.0% [6.8%–29.6%]</w:t>
            </w:r>
          </w:p>
        </w:tc>
        <w:tc>
          <w:tcPr>
            <w:tcW w:w="241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346AF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55.8% [49.8%–61.7%]</w:t>
            </w:r>
          </w:p>
        </w:tc>
        <w:tc>
          <w:tcPr>
            <w:tcW w:w="311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52F6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hAnsi="Times New Roman" w:cs="Times New Roman"/>
              </w:rPr>
              <w:t>−</w:t>
            </w: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38.8% [</w:t>
            </w:r>
            <w:r w:rsidRPr="00EA5E4E">
              <w:rPr>
                <w:rFonts w:ascii="Times New Roman" w:hAnsi="Times New Roman" w:cs="Times New Roman"/>
              </w:rPr>
              <w:t>−</w:t>
            </w: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50.8%–</w:t>
            </w:r>
            <w:r w:rsidRPr="00EA5E4E">
              <w:rPr>
                <w:rFonts w:ascii="Times New Roman" w:hAnsi="Times New Roman" w:cs="Times New Roman"/>
              </w:rPr>
              <w:t>−</w:t>
            </w: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25.1%]</w:t>
            </w:r>
          </w:p>
        </w:tc>
        <w:tc>
          <w:tcPr>
            <w:tcW w:w="2113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A615D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0.30 [0.12–0.53]</w:t>
            </w:r>
          </w:p>
        </w:tc>
        <w:tc>
          <w:tcPr>
            <w:tcW w:w="154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5F6E3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NNT 3 (4–2)</w:t>
            </w:r>
          </w:p>
        </w:tc>
      </w:tr>
      <w:tr w:rsidR="00EA5E4E" w:rsidRPr="00EA5E4E" w14:paraId="3EB76D81" w14:textId="77777777" w:rsidTr="00EA5E4E"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10375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Hypotension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E9226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16.5% [6.5%–28.5%)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96BD5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47.0% [41.4%–52.9%]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B4C7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hAnsi="Times New Roman" w:cs="Times New Roman"/>
              </w:rPr>
              <w:t>−</w:t>
            </w: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30.5% [</w:t>
            </w:r>
            <w:r w:rsidRPr="00EA5E4E">
              <w:rPr>
                <w:rFonts w:ascii="Times New Roman" w:hAnsi="Times New Roman" w:cs="Times New Roman"/>
              </w:rPr>
              <w:t>−</w:t>
            </w: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42.6%–</w:t>
            </w:r>
            <w:r w:rsidRPr="00EA5E4E">
              <w:rPr>
                <w:rFonts w:ascii="Times New Roman" w:hAnsi="Times New Roman" w:cs="Times New Roman"/>
              </w:rPr>
              <w:t>−</w:t>
            </w: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18.0%]</w:t>
            </w:r>
          </w:p>
        </w:tc>
        <w:tc>
          <w:tcPr>
            <w:tcW w:w="21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60D6F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0.35 [0.14–0.61]</w:t>
            </w:r>
          </w:p>
        </w:tc>
        <w:tc>
          <w:tcPr>
            <w:tcW w:w="1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3EAF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NNT 3 (6–2)</w:t>
            </w:r>
          </w:p>
        </w:tc>
      </w:tr>
      <w:tr w:rsidR="00EA5E4E" w:rsidRPr="00EA5E4E" w14:paraId="0475A42B" w14:textId="77777777" w:rsidTr="00EA5E4E"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0D4F8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Hypoxemia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DF2C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2.3% [0.0%–6.0%]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C73D9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16.8% [12.7%–21.3%]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3601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hAnsi="Times New Roman" w:cs="Times New Roman"/>
              </w:rPr>
              <w:t>−</w:t>
            </w: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14.4% [</w:t>
            </w:r>
            <w:r w:rsidRPr="00EA5E4E">
              <w:rPr>
                <w:rFonts w:ascii="Times New Roman" w:hAnsi="Times New Roman" w:cs="Times New Roman"/>
              </w:rPr>
              <w:t>−</w:t>
            </w: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20.2%–</w:t>
            </w:r>
            <w:r w:rsidRPr="00EA5E4E">
              <w:rPr>
                <w:rFonts w:ascii="Times New Roman" w:hAnsi="Times New Roman" w:cs="Times New Roman"/>
              </w:rPr>
              <w:t>−</w:t>
            </w: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9.1%]</w:t>
            </w:r>
          </w:p>
        </w:tc>
        <w:tc>
          <w:tcPr>
            <w:tcW w:w="21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5ACF7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0.14 [0.00–0.38]</w:t>
            </w:r>
          </w:p>
        </w:tc>
        <w:tc>
          <w:tcPr>
            <w:tcW w:w="1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94915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NNT 7 (11–5)</w:t>
            </w:r>
          </w:p>
        </w:tc>
      </w:tr>
      <w:tr w:rsidR="00EA5E4E" w:rsidRPr="00EA5E4E" w14:paraId="67EE87F7" w14:textId="77777777" w:rsidTr="00EA5E4E"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7AA90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28-day mortality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71ED7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30.1% [17.6%–42.7%]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717B6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18.1% [13.9%–22.4%]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599D5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+11.9% [</w:t>
            </w:r>
            <w:r w:rsidRPr="00EA5E4E">
              <w:rPr>
                <w:rFonts w:ascii="Times New Roman" w:hAnsi="Times New Roman" w:cs="Times New Roman"/>
              </w:rPr>
              <w:t>−</w:t>
            </w: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0.8%–25.2%]</w:t>
            </w:r>
          </w:p>
        </w:tc>
        <w:tc>
          <w:tcPr>
            <w:tcW w:w="2113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B2577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1.66 [0.96–2.56]</w:t>
            </w:r>
          </w:p>
        </w:tc>
        <w:tc>
          <w:tcPr>
            <w:tcW w:w="154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9430F" w14:textId="77777777" w:rsidR="00EA5E4E" w:rsidRPr="00EA5E4E" w:rsidRDefault="00EA5E4E" w:rsidP="00EA5E4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EA5E4E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NNH 8</w:t>
            </w:r>
          </w:p>
        </w:tc>
      </w:tr>
    </w:tbl>
    <w:p w14:paraId="65AC2C0E" w14:textId="77777777" w:rsidR="00AC3E28" w:rsidRPr="00EA5E4E" w:rsidRDefault="00AC3E28" w:rsidP="00AC3E28">
      <w:pPr>
        <w:rPr>
          <w:rFonts w:ascii="Times New Roman" w:hAnsi="Times New Roman" w:cs="Times New Roman"/>
        </w:rPr>
      </w:pPr>
    </w:p>
    <w:p w14:paraId="35B38357" w14:textId="77777777" w:rsidR="00D73FDD" w:rsidRPr="009D5A26" w:rsidRDefault="00D73FDD" w:rsidP="00D73FDD">
      <w:pPr>
        <w:spacing w:line="480" w:lineRule="auto"/>
        <w:rPr>
          <w:rFonts w:ascii="Times New Roman" w:hAnsi="Times New Roman" w:cs="Times New Roman"/>
          <w:noProof/>
        </w:rPr>
      </w:pPr>
      <w:r w:rsidRPr="00F1593E">
        <w:rPr>
          <w:rFonts w:ascii="Times New Roman" w:hAnsi="Times New Roman" w:cs="Times New Roman"/>
          <w:b/>
          <w:bCs/>
        </w:rPr>
        <w:t xml:space="preserve">Notes. </w:t>
      </w:r>
      <w:r w:rsidRPr="00F1593E">
        <w:rPr>
          <w:rFonts w:ascii="Times New Roman" w:hAnsi="Times New Roman" w:cs="Times New Roman"/>
        </w:rPr>
        <w:t>Adjusted risks estimated via g-computation (logistic regression with marginal standardization). Covariates: age, sex, BMI, SOFA, APACHE II, and indication (respiratory failure, shock). RD (ATI</w:t>
      </w:r>
      <w:r w:rsidRPr="00F1593E">
        <w:rPr>
          <w:rFonts w:ascii="Times New Roman" w:hAnsi="Times New Roman" w:cs="Times New Roman" w:hint="eastAsia"/>
        </w:rPr>
        <w:t>−</w:t>
      </w:r>
      <w:r w:rsidRPr="00F1593E">
        <w:rPr>
          <w:rFonts w:ascii="Times New Roman" w:hAnsi="Times New Roman" w:cs="Times New Roman"/>
        </w:rPr>
        <w:t>GA) is in percentage points; negative values favor ATI. 95% CIs from nonparametric patient-level bootstrap (1,000 replicates; percentile method). NNT/NNH is 1/|RD| and shown only when the CI does not cross 0. Outcomes assessed within 30 minutes from intubation start. Abbreviations: ATI=awake tracheal intubation; GA=general anesthesia; RD=risk difference; RR=risk ratio; CI=confidence interval; NNT/NNH=number needed to treat/harm.</w:t>
      </w:r>
    </w:p>
    <w:p w14:paraId="3CB983EE" w14:textId="77777777" w:rsidR="00664F64" w:rsidRDefault="00664F64"/>
    <w:sectPr w:rsidR="00664F64" w:rsidSect="008A3BDA">
      <w:type w:val="continuous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7723220">
    <w:abstractNumId w:val="1"/>
  </w:num>
  <w:num w:numId="2" w16cid:durableId="863328731">
    <w:abstractNumId w:val="2"/>
  </w:num>
  <w:num w:numId="3" w16cid:durableId="68486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97E"/>
    <w:rsid w:val="005A00F3"/>
    <w:rsid w:val="00664F64"/>
    <w:rsid w:val="008A3BDA"/>
    <w:rsid w:val="008B06D7"/>
    <w:rsid w:val="00A96BE7"/>
    <w:rsid w:val="00AA397E"/>
    <w:rsid w:val="00AC3E28"/>
    <w:rsid w:val="00D73FDD"/>
    <w:rsid w:val="00EA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A81709"/>
  <w15:docId w15:val="{666AFAA8-FA55-E444-BF53-84B22774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強調太字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1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見出し 1 (文字)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12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 Masuda</dc:creator>
  <cp:keywords/>
  <dc:description/>
  <cp:lastModifiedBy>Takahiro Masuda</cp:lastModifiedBy>
  <cp:revision>4</cp:revision>
  <dcterms:created xsi:type="dcterms:W3CDTF">2025-10-21T04:44:00Z</dcterms:created>
  <dcterms:modified xsi:type="dcterms:W3CDTF">2025-10-24T06:00:00Z</dcterms:modified>
  <cp:category/>
</cp:coreProperties>
</file>