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2"/>
      </w:pPr>
      <w:r>
        <w:t xml:space="preserve">Table S1. Covariate balance before and after adjustment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171"/>
        <w:gridCol w:w="1524"/>
        <w:gridCol w:w="1878"/>
        <w:gridCol w:w="1340"/>
      </w:tblGrid>
      <w:tr>
        <w:trPr>
          <w:trHeight w:val="618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Covariate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|SMD| Unadjusted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|SMD| PSM 1:1 (ATT)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|SMD| EB (ATE)</w:t>
            </w:r>
          </w:p>
        </w:tc>
      </w:tr>
      <w:tr>
        <w:trPr>
          <w:trHeight w:val="577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age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0.287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0.102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569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sex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569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BMI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0.446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577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SOFA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0.341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577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APACHE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0.088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618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respiratory_failure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0.062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573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shock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0.106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0.000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</w:t>
            </w:r>
          </w:p>
        </w:tc>
      </w:tr>
      <w:tr>
        <w:trPr>
          <w:trHeight w:val="573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0.001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</w:tr>
    </w:tbl>
    <w:p>
      <w:pPr>
        <w:pStyle w:val="Normal"/>
      </w:pPr>
      <w:r>
        <w:t xml:space="preserve"/>
      </w:r>
    </w:p>
    <w:p>
      <w:pPr>
        <w:pStyle w:val="Normal"/>
      </w:pPr>
      <w:r>
        <w:t xml:space="preserve">Notes: Entries are absolute standardized mean differences (|SMD|). PSM used 1:1 nearest-neighbor matching with a 0.25 SD caliper on the logit of the propensity score targeting the ATT. Entropy balancing targeted the ATE and enforces exact mean balance on prespecified covariates.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tmasmacbook</cp:lastModifiedBy>
  <cp:revision>9</cp:revision>
  <dcterms:created xsi:type="dcterms:W3CDTF">2017-02-28T11:18:00Z</dcterms:created>
  <dcterms:modified xsi:type="dcterms:W3CDTF">2025-10-23T07:38:07Z</dcterms:modified>
  <cp:category/>
</cp:coreProperties>
</file>