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5EDA4E">
      <w:pPr>
        <w:adjustRightInd w:val="0"/>
        <w:snapToGrid w:val="0"/>
        <w:spacing w:line="48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bookmarkStart w:id="0" w:name="_Hlk206250864"/>
      <w:r>
        <w:rPr>
          <w:rFonts w:hint="default" w:ascii="Times New Roman" w:hAnsi="Times New Roman" w:cs="Times New Roman"/>
          <w:b/>
          <w:bCs/>
          <w:sz w:val="28"/>
          <w:szCs w:val="28"/>
        </w:rPr>
        <w:t>Thiazolo[5,4-</w:t>
      </w: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  <w:t>d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]thiazole-Based CMPs as Bifunctional Photocatalysts for H₂O₂ Production and Organic Pollutant Degradation</w:t>
      </w:r>
    </w:p>
    <w:p w14:paraId="25EC2069">
      <w:pPr>
        <w:adjustRightInd w:val="0"/>
        <w:snapToGrid w:val="0"/>
        <w:spacing w:line="480" w:lineRule="auto"/>
        <w:jc w:val="center"/>
        <w:rPr>
          <w:rFonts w:ascii="Times" w:hAnsi="Times" w:eastAsia="宋体"/>
          <w:iCs/>
          <w:lang w:eastAsia="en-US"/>
        </w:rPr>
      </w:pPr>
      <w:r>
        <w:rPr>
          <w:rFonts w:hint="eastAsia" w:ascii="Times" w:hAnsi="Times" w:eastAsia="宋体"/>
          <w:iCs/>
        </w:rPr>
        <w:t>Yuting Ren</w:t>
      </w:r>
      <w:r>
        <w:rPr>
          <w:rFonts w:hint="eastAsia" w:ascii="Times" w:hAnsi="Times" w:eastAsia="宋体"/>
          <w:iCs/>
          <w:lang w:eastAsia="en-US"/>
        </w:rPr>
        <w:t xml:space="preserve">, </w:t>
      </w:r>
      <w:r>
        <w:rPr>
          <w:rFonts w:hint="eastAsia" w:ascii="Times" w:hAnsi="Times" w:eastAsia="宋体"/>
          <w:iCs/>
        </w:rPr>
        <w:t>Mingyue Wang, Shuangjie Zhang, Chunhua Yuan</w:t>
      </w:r>
      <w:r>
        <w:rPr>
          <w:rFonts w:hint="eastAsia" w:ascii="Times" w:hAnsi="Times" w:eastAsia="宋体"/>
          <w:iCs/>
          <w:lang w:eastAsia="en-US"/>
        </w:rPr>
        <w:t xml:space="preserve">, </w:t>
      </w:r>
      <w:r>
        <w:rPr>
          <w:rFonts w:hint="eastAsia" w:ascii="Times" w:hAnsi="Times" w:eastAsia="宋体"/>
          <w:iCs/>
        </w:rPr>
        <w:t xml:space="preserve">Jianmei Zhou, </w:t>
      </w:r>
      <w:r>
        <w:rPr>
          <w:rFonts w:hint="eastAsia" w:ascii="Times" w:hAnsi="Times" w:eastAsia="宋体"/>
          <w:iCs/>
          <w:lang w:eastAsia="en-US"/>
        </w:rPr>
        <w:t>Dongmei Li*, Zhongzhen Tian*</w:t>
      </w:r>
      <w:bookmarkStart w:id="4" w:name="_GoBack"/>
      <w:bookmarkEnd w:id="4"/>
    </w:p>
    <w:p w14:paraId="6EA422B9">
      <w:pPr>
        <w:adjustRightInd w:val="0"/>
        <w:snapToGrid w:val="0"/>
        <w:spacing w:line="480" w:lineRule="auto"/>
        <w:jc w:val="center"/>
        <w:rPr>
          <w:rFonts w:ascii="Times" w:hAnsi="Times" w:eastAsia="宋体"/>
          <w:iCs/>
          <w:lang w:eastAsia="en-US"/>
        </w:rPr>
      </w:pPr>
      <w:r>
        <w:rPr>
          <w:rFonts w:hint="eastAsia" w:ascii="Times" w:hAnsi="Times" w:eastAsia="宋体"/>
          <w:iCs/>
          <w:lang w:eastAsia="en-US"/>
        </w:rPr>
        <w:t>Inner Mongolia Key Laboratory of Coal Chemical Engineering and Comprehensive Utilization, School of Chemistry and Chemical Engineering, Inner Mongolia University of Science &amp; Technology, Baotou 014010, China</w:t>
      </w:r>
    </w:p>
    <w:p w14:paraId="29D51775">
      <w:pPr>
        <w:adjustRightInd w:val="0"/>
        <w:snapToGrid w:val="0"/>
        <w:spacing w:line="480" w:lineRule="auto"/>
        <w:jc w:val="center"/>
        <w:rPr>
          <w:rFonts w:ascii="Times" w:hAnsi="Times" w:eastAsia="宋体"/>
          <w:iCs/>
          <w:lang w:eastAsia="en-US"/>
        </w:rPr>
      </w:pPr>
      <w:r>
        <w:rPr>
          <w:rFonts w:hint="eastAsia" w:ascii="Times" w:hAnsi="Times" w:eastAsia="宋体"/>
          <w:iCs/>
          <w:lang w:eastAsia="en-US"/>
        </w:rPr>
        <w:t>Corresponding E-mail: 2019951@imust.edu.cn  Tel: +86 15047405248</w:t>
      </w:r>
    </w:p>
    <w:p w14:paraId="6EF1ADE8">
      <w:pPr>
        <w:adjustRightInd w:val="0"/>
        <w:snapToGrid w:val="0"/>
        <w:spacing w:line="480" w:lineRule="auto"/>
        <w:jc w:val="center"/>
        <w:rPr>
          <w:rFonts w:ascii="Times" w:hAnsi="Times" w:eastAsia="宋体"/>
          <w:iCs/>
          <w:lang w:eastAsia="en-US"/>
        </w:rPr>
      </w:pPr>
      <w:r>
        <w:rPr>
          <w:rFonts w:hint="eastAsia" w:ascii="Times" w:hAnsi="Times" w:eastAsia="宋体"/>
          <w:iCs/>
          <w:lang w:eastAsia="en-US"/>
        </w:rPr>
        <w:t>2019952@imust.edu.cn  Tel: +86 15044988327</w:t>
      </w:r>
    </w:p>
    <w:p w14:paraId="48A98548">
      <w:pPr>
        <w:adjustRightInd w:val="0"/>
        <w:snapToGrid w:val="0"/>
        <w:spacing w:line="480" w:lineRule="auto"/>
        <w:jc w:val="center"/>
      </w:pPr>
      <w:r>
        <w:rPr>
          <w:rFonts w:hint="eastAsia" w:ascii="Times" w:hAnsi="Times" w:eastAsia="宋体"/>
          <w:iCs/>
          <w:lang w:eastAsia="en-US"/>
        </w:rPr>
        <w:t>Address: No. 7, Alding Street, Baotou 014010, Inner Mongolia, China</w:t>
      </w:r>
    </w:p>
    <w:bookmarkEnd w:id="0"/>
    <w:p w14:paraId="2AA6CA38">
      <w:pPr>
        <w:pStyle w:val="64"/>
        <w:rPr>
          <w:rFonts w:ascii="Times New Roman" w:hAnsi="Times New Roman"/>
          <w:b/>
          <w:bCs/>
          <w:lang w:eastAsia="zh-CN"/>
        </w:rPr>
        <w:sectPr>
          <w:pgSz w:w="12240" w:h="15840"/>
          <w:pgMar w:top="1440" w:right="1800" w:bottom="1440" w:left="1800" w:header="720" w:footer="720" w:gutter="0"/>
          <w:cols w:space="720" w:num="1"/>
        </w:sectPr>
      </w:pPr>
    </w:p>
    <w:p w14:paraId="7DA4D092">
      <w:pPr>
        <w:pStyle w:val="64"/>
        <w:numPr>
          <w:ilvl w:val="0"/>
          <w:numId w:val="1"/>
        </w:numPr>
        <w:ind w:left="0" w:firstLine="0"/>
        <w:rPr>
          <w:rFonts w:ascii="Times New Roman" w:hAnsi="Times New Roman"/>
          <w:b/>
          <w:bCs/>
          <w:lang w:eastAsia="zh-CN"/>
        </w:rPr>
      </w:pPr>
      <w:r>
        <w:rPr>
          <w:rFonts w:ascii="Times New Roman" w:hAnsi="Times New Roman"/>
          <w:b/>
          <w:bCs/>
          <w:lang w:eastAsia="zh-CN"/>
        </w:rPr>
        <w:t>H</w:t>
      </w:r>
      <w:r>
        <w:rPr>
          <w:rFonts w:ascii="Times New Roman" w:hAnsi="Times New Roman"/>
          <w:b/>
          <w:bCs/>
          <w:vertAlign w:val="subscript"/>
          <w:lang w:eastAsia="zh-CN"/>
        </w:rPr>
        <w:t>2</w:t>
      </w:r>
      <w:r>
        <w:rPr>
          <w:rFonts w:ascii="Times New Roman" w:hAnsi="Times New Roman"/>
          <w:b/>
          <w:bCs/>
          <w:lang w:eastAsia="zh-CN"/>
        </w:rPr>
        <w:t>O</w:t>
      </w:r>
      <w:r>
        <w:rPr>
          <w:rFonts w:ascii="Times New Roman" w:hAnsi="Times New Roman"/>
          <w:b/>
          <w:bCs/>
          <w:vertAlign w:val="subscript"/>
          <w:lang w:eastAsia="zh-CN"/>
        </w:rPr>
        <w:t>2</w:t>
      </w:r>
      <w:r>
        <w:rPr>
          <w:rFonts w:ascii="Times New Roman" w:hAnsi="Times New Roman"/>
          <w:b/>
          <w:bCs/>
          <w:lang w:eastAsia="zh-CN"/>
        </w:rPr>
        <w:t xml:space="preserve"> standard curve</w:t>
      </w:r>
    </w:p>
    <w:p w14:paraId="3A10FD2A">
      <w:pPr>
        <w:pStyle w:val="64"/>
        <w:autoSpaceDE w:val="0"/>
        <w:ind w:firstLine="480" w:firstLineChars="200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The standard curve of H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O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 xml:space="preserve"> was determined by iodometric method. First, 1.66 g of potassium iodide (KI) and 1.24 g of ammonium molybdate, tetrahydrate （(NH</w:t>
      </w:r>
      <w:r>
        <w:rPr>
          <w:rFonts w:ascii="Times New Roman" w:hAnsi="Times New Roman"/>
          <w:vertAlign w:val="subscript"/>
          <w:lang w:eastAsia="zh-CN"/>
        </w:rPr>
        <w:t>4</w:t>
      </w:r>
      <w:r>
        <w:rPr>
          <w:rFonts w:ascii="Times New Roman" w:hAnsi="Times New Roman"/>
          <w:lang w:eastAsia="zh-CN"/>
        </w:rPr>
        <w:t>)</w:t>
      </w:r>
      <w:r>
        <w:rPr>
          <w:rFonts w:ascii="Times New Roman" w:hAnsi="Times New Roman"/>
          <w:vertAlign w:val="subscript"/>
          <w:lang w:eastAsia="zh-CN"/>
        </w:rPr>
        <w:t>6</w:t>
      </w:r>
      <w:r>
        <w:rPr>
          <w:rFonts w:ascii="Times New Roman" w:hAnsi="Times New Roman"/>
          <w:lang w:eastAsia="zh-CN"/>
        </w:rPr>
        <w:t>Mo</w:t>
      </w:r>
      <w:r>
        <w:rPr>
          <w:rFonts w:ascii="Times New Roman" w:hAnsi="Times New Roman"/>
          <w:vertAlign w:val="subscript"/>
          <w:lang w:eastAsia="zh-CN"/>
        </w:rPr>
        <w:t>7</w:t>
      </w:r>
      <w:r>
        <w:rPr>
          <w:rFonts w:ascii="Times New Roman" w:hAnsi="Times New Roman"/>
          <w:lang w:eastAsia="zh-CN"/>
        </w:rPr>
        <w:t>O</w:t>
      </w:r>
      <w:r>
        <w:rPr>
          <w:rFonts w:ascii="Times New Roman" w:hAnsi="Times New Roman"/>
          <w:vertAlign w:val="subscript"/>
          <w:lang w:eastAsia="zh-CN"/>
        </w:rPr>
        <w:t>24</w:t>
      </w:r>
      <w:r>
        <w:rPr>
          <w:rFonts w:ascii="Times New Roman" w:hAnsi="Times New Roman"/>
          <w:lang w:eastAsia="zh-CN"/>
        </w:rPr>
        <w:t>·4H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O） were weighed into 100 mL volumetric flasks, respectively. Then, deionized water was added to them to fix the volume and this was used as a color developer. Five 250 mL volumetric flasks were prepared and configured with concentration gradients of 0 µM, 50 µM, 150 µM, 250 µM and 350 µM of H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O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 xml:space="preserve"> solution. 1.00 mL of solution was sampled from each volumetric flask with different H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O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 xml:space="preserve"> concentration gradients into the corresponding colorimetric tubes. Then, 2.00 mL of potassium iodide solution (0.10 mol L</w:t>
      </w:r>
      <w:r>
        <w:rPr>
          <w:rFonts w:ascii="Times New Roman" w:hAnsi="Times New Roman"/>
          <w:vertAlign w:val="superscript"/>
          <w:lang w:eastAsia="zh-CN"/>
        </w:rPr>
        <w:t>-1</w:t>
      </w:r>
      <w:r>
        <w:rPr>
          <w:rFonts w:ascii="Times New Roman" w:hAnsi="Times New Roman"/>
          <w:lang w:eastAsia="zh-CN"/>
        </w:rPr>
        <w:t>) and 50.0 µL of ammonium molybdate solution (0.01 mol L</w:t>
      </w:r>
      <w:r>
        <w:rPr>
          <w:rFonts w:ascii="Times New Roman" w:hAnsi="Times New Roman"/>
          <w:vertAlign w:val="superscript"/>
          <w:lang w:eastAsia="zh-CN"/>
        </w:rPr>
        <w:t>-1</w:t>
      </w:r>
      <w:r>
        <w:rPr>
          <w:rFonts w:ascii="Times New Roman" w:hAnsi="Times New Roman"/>
          <w:lang w:eastAsia="zh-CN"/>
        </w:rPr>
        <w:t>) were added to each cuvette and left to stand for 10 min. Finally, the reaction solution was poured into the cuvettes and placed in a UV-</w:t>
      </w:r>
      <w:r>
        <w:rPr>
          <w:rFonts w:hint="eastAsia" w:ascii="Times New Roman" w:hAnsi="Times New Roman"/>
          <w:lang w:eastAsia="zh-CN"/>
        </w:rPr>
        <w:t>Vis</w:t>
      </w:r>
      <w:r>
        <w:rPr>
          <w:rFonts w:ascii="Times New Roman" w:hAnsi="Times New Roman"/>
          <w:lang w:eastAsia="zh-CN"/>
        </w:rPr>
        <w:t xml:space="preserve"> spectrophotometer to measure the absorbance. The absorbance at 351 nm was analyzed for different concentrations of the solution, and the concentration-absorbance standard curve was plotted. The resulting absorbance curves for different concentrations of H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O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 xml:space="preserve"> and the corresponding standard curves are shown in Figure S1.</w:t>
      </w:r>
    </w:p>
    <w:p w14:paraId="717240DA">
      <w:pPr>
        <w:pStyle w:val="64"/>
        <w:autoSpaceDE w:val="0"/>
        <w:ind w:firstLine="480" w:firstLineChars="200"/>
        <w:rPr>
          <w:rFonts w:ascii="Times New Roman" w:hAnsi="Times New Roman"/>
          <w:lang w:eastAsia="zh-CN"/>
        </w:rPr>
      </w:pPr>
    </w:p>
    <w:p w14:paraId="7E2AC3EC">
      <w:pPr>
        <w:pStyle w:val="64"/>
        <w:jc w:val="center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drawing>
          <wp:inline distT="0" distB="0" distL="0" distR="0">
            <wp:extent cx="2879725" cy="2316480"/>
            <wp:effectExtent l="0" t="0" r="0" b="7620"/>
            <wp:docPr id="19362188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18821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16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C09F8">
      <w:pPr>
        <w:pStyle w:val="68"/>
        <w:rPr>
          <w:rFonts w:ascii="Times New Roman" w:hAnsi="Times New Roman"/>
          <w:sz w:val="21"/>
          <w:szCs w:val="16"/>
          <w:lang w:eastAsia="zh-CN"/>
        </w:rPr>
      </w:pPr>
      <w:r>
        <w:rPr>
          <w:rFonts w:ascii="Times New Roman" w:hAnsi="Times New Roman"/>
          <w:b/>
          <w:bCs/>
          <w:sz w:val="21"/>
          <w:szCs w:val="16"/>
        </w:rPr>
        <w:t xml:space="preserve">Figure </w:t>
      </w:r>
      <w:r>
        <w:rPr>
          <w:rFonts w:hint="eastAsia" w:ascii="Times New Roman" w:hAnsi="Times New Roman"/>
          <w:b/>
          <w:bCs/>
          <w:sz w:val="21"/>
          <w:szCs w:val="16"/>
          <w:lang w:eastAsia="zh-CN"/>
        </w:rPr>
        <w:t>S1.</w:t>
      </w:r>
      <w:r>
        <w:rPr>
          <w:rFonts w:ascii="Times New Roman" w:hAnsi="Times New Roman"/>
          <w:sz w:val="21"/>
          <w:szCs w:val="16"/>
        </w:rPr>
        <w:t xml:space="preserve"> </w:t>
      </w:r>
      <w:r>
        <w:rPr>
          <w:rFonts w:ascii="Times New Roman" w:hAnsi="Times New Roman"/>
          <w:sz w:val="21"/>
          <w:szCs w:val="16"/>
          <w:lang w:eastAsia="zh-CN"/>
        </w:rPr>
        <w:t>F</w:t>
      </w:r>
      <w:r>
        <w:rPr>
          <w:rFonts w:ascii="Times New Roman" w:hAnsi="Times New Roman"/>
          <w:sz w:val="21"/>
          <w:szCs w:val="16"/>
        </w:rPr>
        <w:t>itting curve of absorbance and concentration at 35</w:t>
      </w:r>
      <w:r>
        <w:rPr>
          <w:rFonts w:hint="eastAsia" w:ascii="Times New Roman" w:hAnsi="Times New Roman"/>
          <w:sz w:val="21"/>
          <w:szCs w:val="16"/>
          <w:lang w:eastAsia="zh-CN"/>
        </w:rPr>
        <w:t>1</w:t>
      </w:r>
      <w:r>
        <w:rPr>
          <w:rFonts w:ascii="Times New Roman" w:hAnsi="Times New Roman"/>
          <w:sz w:val="21"/>
          <w:szCs w:val="16"/>
        </w:rPr>
        <w:t xml:space="preserve"> nm</w:t>
      </w:r>
      <w:r>
        <w:rPr>
          <w:rFonts w:ascii="Times New Roman" w:hAnsi="Times New Roman"/>
          <w:sz w:val="21"/>
          <w:szCs w:val="16"/>
          <w:lang w:eastAsia="zh-CN"/>
        </w:rPr>
        <w:t>.</w:t>
      </w:r>
    </w:p>
    <w:p w14:paraId="37C83CB8">
      <w:pPr>
        <w:pStyle w:val="64"/>
        <w:numPr>
          <w:ilvl w:val="0"/>
          <w:numId w:val="2"/>
        </w:numPr>
        <w:ind w:left="0" w:firstLine="0"/>
        <w:rPr>
          <w:rFonts w:ascii="Times New Roman" w:hAnsi="Times New Roman"/>
          <w:b/>
          <w:bCs/>
          <w:lang w:eastAsia="zh-CN"/>
        </w:rPr>
      </w:pPr>
      <w:r>
        <w:rPr>
          <w:rFonts w:ascii="Times New Roman" w:hAnsi="Times New Roman"/>
          <w:b/>
          <w:bCs/>
          <w:lang w:eastAsia="zh-CN"/>
        </w:rPr>
        <w:t xml:space="preserve">Apparent Quantum Yield (AQY) measurement </w:t>
      </w:r>
    </w:p>
    <w:p w14:paraId="5FA9AB5A">
      <w:pPr>
        <w:pStyle w:val="64"/>
        <w:ind w:firstLine="480" w:firstLineChars="200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In this study, the H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O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 xml:space="preserve"> yields of the samples were determined under monochromatic light (λ=380 nm, 435 nm and 578 nm) irradiation for 60 min. Then, the apparent quantum yields of the samples under different monochromatic lights were calculated using the following equation:</w:t>
      </w:r>
    </w:p>
    <w:p w14:paraId="55EEE55E">
      <w:pPr>
        <w:pStyle w:val="64"/>
        <w:tabs>
          <w:tab w:val="left" w:pos="7797"/>
        </w:tabs>
        <w:ind w:firstLine="200"/>
        <w:rPr>
          <w:rFonts w:ascii="Times New Roman" w:hAnsi="Times New Roman"/>
          <w:lang w:eastAsia="zh-CN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eastAsia="zh-CN"/>
            </w:rPr>
            <m:t>AQY%=</m:t>
          </m:r>
          <m:f>
            <m:fPr>
              <m:ctrlPr>
                <w:rPr>
                  <w:rFonts w:ascii="Cambria Math" w:hAnsi="Cambria Math"/>
                  <w:lang w:eastAsia="zh-C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 xml:space="preserve">Number of reacted electrons </m:t>
              </m:r>
              <m:d>
                <m:dPr>
                  <m:ctrlPr>
                    <w:rPr>
                      <w:rFonts w:ascii="Cambria Math" w:hAnsi="Cambria Math"/>
                      <w:lang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eastAsia="zh-C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zh-CN"/>
                        </w:rPr>
                        <m:t>N</m:t>
                      </m:r>
                      <m:ctrlPr>
                        <w:rPr>
                          <w:rFonts w:ascii="Cambria Math" w:hAnsi="Cambria Math"/>
                          <w:lang w:eastAsia="zh-CN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zh-CN"/>
                        </w:rPr>
                        <m:t>e</m:t>
                      </m:r>
                      <m:ctrlPr>
                        <w:rPr>
                          <w:rFonts w:ascii="Cambria Math" w:hAnsi="Cambria Math"/>
                          <w:lang w:eastAsia="zh-CN"/>
                        </w:rPr>
                      </m:ctrlPr>
                    </m:sub>
                  </m:sSub>
                  <m:ctrlPr>
                    <w:rPr>
                      <w:rFonts w:ascii="Cambria Math" w:hAnsi="Cambria Math"/>
                      <w:lang w:eastAsia="zh-CN"/>
                    </w:rPr>
                  </m:ctrlPr>
                </m:e>
              </m:d>
              <m:ctrlPr>
                <w:rPr>
                  <w:rFonts w:ascii="Cambria Math" w:hAnsi="Cambria Math"/>
                  <w:lang w:eastAsia="zh-CN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 xml:space="preserve">Total number of incident photons </m:t>
              </m:r>
              <m:d>
                <m:dPr>
                  <m:ctrlPr>
                    <w:rPr>
                      <w:rFonts w:ascii="Cambria Math" w:hAnsi="Cambria Math"/>
                      <w:lang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eastAsia="zh-C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zh-CN"/>
                        </w:rPr>
                        <m:t>N</m:t>
                      </m:r>
                      <m:ctrlPr>
                        <w:rPr>
                          <w:rFonts w:ascii="Cambria Math" w:hAnsi="Cambria Math"/>
                          <w:lang w:eastAsia="zh-CN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zh-CN"/>
                        </w:rPr>
                        <m:t>P</m:t>
                      </m:r>
                      <m:ctrlPr>
                        <w:rPr>
                          <w:rFonts w:ascii="Cambria Math" w:hAnsi="Cambria Math"/>
                          <w:lang w:eastAsia="zh-CN"/>
                        </w:rPr>
                      </m:ctrlPr>
                    </m:sub>
                  </m:sSub>
                  <m:ctrlPr>
                    <w:rPr>
                      <w:rFonts w:ascii="Cambria Math" w:hAnsi="Cambria Math"/>
                      <w:lang w:eastAsia="zh-CN"/>
                    </w:rPr>
                  </m:ctrlPr>
                </m:e>
              </m:d>
              <m:ctrlPr>
                <w:rPr>
                  <w:rFonts w:ascii="Cambria Math" w:hAnsi="Cambria Math"/>
                  <w:lang w:eastAsia="zh-CN"/>
                </w:rPr>
              </m:ctrlPr>
            </m:den>
          </m:f>
          <m:r>
            <m:rPr>
              <m:sty m:val="p"/>
            </m:rPr>
            <w:rPr>
              <w:rFonts w:ascii="Cambria Math" w:hAnsi="Cambria Math"/>
              <w:lang w:eastAsia="zh-CN"/>
            </w:rPr>
            <m:t>×100%</m:t>
          </m:r>
        </m:oMath>
      </m:oMathPara>
    </w:p>
    <w:p w14:paraId="19F45C75">
      <w:pPr>
        <w:pStyle w:val="64"/>
        <w:tabs>
          <w:tab w:val="left" w:pos="7797"/>
        </w:tabs>
        <w:ind w:firstLine="200"/>
        <w:rPr>
          <w:rFonts w:ascii="Times New Roman" w:hAnsi="Times New Roman"/>
          <w:lang w:eastAsia="zh-CN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eastAsia="zh-CN"/>
            </w:rPr>
            <m:t>AQY%=</m:t>
          </m:r>
          <m:f>
            <m:fPr>
              <m:ctrlPr>
                <w:rPr>
                  <w:rFonts w:ascii="Cambria Math" w:hAnsi="Cambria Math"/>
                  <w:lang w:eastAsia="zh-C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>2×n×</m:t>
              </m:r>
              <m:sSub>
                <m:sSubPr>
                  <m:ctrlPr>
                    <w:rPr>
                      <w:rFonts w:ascii="Cambria Math" w:hAnsi="Cambria Math"/>
                      <w:iCs/>
                      <w:lang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zh-CN"/>
                    </w:rPr>
                    <m:t>N</m:t>
                  </m:r>
                  <m:ctrlPr>
                    <w:rPr>
                      <w:rFonts w:ascii="Cambria Math" w:hAnsi="Cambria Math"/>
                      <w:iCs/>
                      <w:lang w:eastAsia="zh-CN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eastAsia="zh-CN"/>
                    </w:rPr>
                    <m:t>A</m:t>
                  </m:r>
                  <m:ctrlPr>
                    <w:rPr>
                      <w:rFonts w:ascii="Cambria Math" w:hAnsi="Cambria Math"/>
                      <w:iCs/>
                      <w:lang w:eastAsia="zh-CN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 xml:space="preserve">×h×c </m:t>
              </m:r>
              <m:ctrlPr>
                <w:rPr>
                  <w:rFonts w:ascii="Cambria Math" w:hAnsi="Cambria Math"/>
                  <w:lang w:eastAsia="zh-CN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>S×P×t×λ</m:t>
              </m:r>
              <m:ctrlPr>
                <w:rPr>
                  <w:rFonts w:ascii="Cambria Math" w:hAnsi="Cambria Math"/>
                  <w:lang w:eastAsia="zh-CN"/>
                </w:rPr>
              </m:ctrlPr>
            </m:den>
          </m:f>
          <m:r>
            <m:rPr>
              <m:sty m:val="p"/>
            </m:rPr>
            <w:rPr>
              <w:rFonts w:ascii="Cambria Math" w:hAnsi="Cambria Math"/>
              <w:lang w:eastAsia="zh-CN"/>
            </w:rPr>
            <m:t>×100%</m:t>
          </m:r>
        </m:oMath>
      </m:oMathPara>
    </w:p>
    <w:p w14:paraId="095E9F27">
      <w:pPr>
        <w:pStyle w:val="64"/>
        <w:ind w:firstLine="480" w:firstLineChars="200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where n is the amount of H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O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 xml:space="preserve"> molecules (mol), NA is Avogadro's constant (6.022 × 10</w:t>
      </w:r>
      <w:r>
        <w:rPr>
          <w:rFonts w:ascii="Times New Roman" w:hAnsi="Times New Roman"/>
          <w:vertAlign w:val="superscript"/>
          <w:lang w:eastAsia="zh-CN"/>
        </w:rPr>
        <w:t>23</w:t>
      </w:r>
      <w:r>
        <w:rPr>
          <w:rFonts w:ascii="Times New Roman" w:hAnsi="Times New Roman"/>
          <w:lang w:eastAsia="zh-CN"/>
        </w:rPr>
        <w:t xml:space="preserve"> mol</w:t>
      </w:r>
      <w:r>
        <w:rPr>
          <w:rFonts w:ascii="Times New Roman" w:hAnsi="Times New Roman"/>
          <w:vertAlign w:val="superscript"/>
          <w:lang w:eastAsia="zh-CN"/>
        </w:rPr>
        <w:t>-1</w:t>
      </w:r>
      <w:r>
        <w:rPr>
          <w:rFonts w:ascii="Times New Roman" w:hAnsi="Times New Roman"/>
          <w:lang w:eastAsia="zh-CN"/>
        </w:rPr>
        <w:t>), h is Planck's constant (6.626 × 10</w:t>
      </w:r>
      <w:r>
        <w:rPr>
          <w:rFonts w:ascii="Times New Roman" w:hAnsi="Times New Roman"/>
          <w:vertAlign w:val="superscript"/>
          <w:lang w:eastAsia="zh-CN"/>
        </w:rPr>
        <w:t>-34</w:t>
      </w:r>
      <w:r>
        <w:rPr>
          <w:rFonts w:ascii="Times New Roman" w:hAnsi="Times New Roman"/>
          <w:lang w:eastAsia="zh-CN"/>
        </w:rPr>
        <w:t xml:space="preserve"> J·S), c is the speed of light (3 × 10</w:t>
      </w:r>
      <w:r>
        <w:rPr>
          <w:rFonts w:ascii="Times New Roman" w:hAnsi="Times New Roman"/>
          <w:vertAlign w:val="superscript"/>
          <w:lang w:eastAsia="zh-CN"/>
        </w:rPr>
        <w:t>8</w:t>
      </w:r>
      <w:r>
        <w:rPr>
          <w:rFonts w:ascii="Times New Roman" w:hAnsi="Times New Roman"/>
          <w:lang w:eastAsia="zh-CN"/>
        </w:rPr>
        <w:t xml:space="preserve"> m s</w:t>
      </w:r>
      <w:r>
        <w:rPr>
          <w:rFonts w:ascii="Times New Roman" w:hAnsi="Times New Roman"/>
          <w:vertAlign w:val="superscript"/>
          <w:lang w:eastAsia="zh-CN"/>
        </w:rPr>
        <w:t>-1</w:t>
      </w:r>
      <w:r>
        <w:rPr>
          <w:rFonts w:ascii="Times New Roman" w:hAnsi="Times New Roman"/>
          <w:lang w:eastAsia="zh-CN"/>
        </w:rPr>
        <w:t>), S is the irradiated area，P is the irradiated light intensity (100 mW cm</w:t>
      </w:r>
      <w:r>
        <w:rPr>
          <w:rFonts w:ascii="Times New Roman" w:hAnsi="Times New Roman"/>
          <w:vertAlign w:val="superscript"/>
          <w:lang w:eastAsia="zh-CN"/>
        </w:rPr>
        <w:t>-2</w:t>
      </w:r>
      <w:r>
        <w:rPr>
          <w:rFonts w:ascii="Times New Roman" w:hAnsi="Times New Roman"/>
          <w:lang w:eastAsia="zh-CN"/>
        </w:rPr>
        <w:t>), t is the light time (3600 s), and λ is the wavelength of monochromatic light (m).</w:t>
      </w:r>
    </w:p>
    <w:p w14:paraId="074CFD95">
      <w:pPr>
        <w:pStyle w:val="64"/>
        <w:rPr>
          <w:rFonts w:ascii="Times New Roman" w:hAnsi="Times New Roman"/>
          <w:b/>
          <w:bCs/>
          <w:lang w:eastAsia="zh-CN"/>
        </w:rPr>
        <w:sectPr>
          <w:footerReference r:id="rId3" w:type="default"/>
          <w:pgSz w:w="12240" w:h="15840"/>
          <w:pgMar w:top="1440" w:right="1800" w:bottom="1440" w:left="1800" w:header="720" w:footer="720" w:gutter="0"/>
          <w:pgNumType w:start="1"/>
          <w:cols w:space="720" w:num="1"/>
        </w:sectPr>
      </w:pPr>
    </w:p>
    <w:p w14:paraId="435AC1ED">
      <w:pPr>
        <w:pStyle w:val="64"/>
        <w:numPr>
          <w:ilvl w:val="0"/>
          <w:numId w:val="2"/>
        </w:numPr>
        <w:ind w:left="0" w:firstLine="0"/>
        <w:rPr>
          <w:rFonts w:ascii="Times New Roman" w:hAnsi="Times New Roman"/>
          <w:b/>
          <w:bCs/>
          <w:lang w:eastAsia="zh-CN"/>
        </w:rPr>
      </w:pPr>
      <w:r>
        <w:rPr>
          <w:rFonts w:ascii="Times New Roman" w:hAnsi="Times New Roman"/>
          <w:b/>
          <w:bCs/>
          <w:lang w:eastAsia="zh-CN"/>
        </w:rPr>
        <w:t>Figures ang legends</w:t>
      </w:r>
    </w:p>
    <w:p w14:paraId="0B9E159B">
      <w:pPr>
        <w:pStyle w:val="64"/>
        <w:jc w:val="center"/>
        <w:rPr>
          <w:rFonts w:ascii="Times New Roman" w:hAnsi="Times New Roman"/>
          <w:sz w:val="21"/>
          <w:szCs w:val="16"/>
          <w:lang w:eastAsia="zh-CN"/>
        </w:rPr>
      </w:pPr>
      <w:r>
        <w:rPr>
          <w:rFonts w:ascii="Times New Roman" w:hAnsi="Times New Roman"/>
          <w:sz w:val="21"/>
          <w:szCs w:val="16"/>
          <w:lang w:eastAsia="zh-CN"/>
        </w:rPr>
        <w:drawing>
          <wp:inline distT="0" distB="0" distL="0" distR="0">
            <wp:extent cx="2879725" cy="2274570"/>
            <wp:effectExtent l="0" t="0" r="0" b="0"/>
            <wp:docPr id="8315872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587263" name="图片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7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4779C">
      <w:pPr>
        <w:pStyle w:val="68"/>
        <w:spacing w:after="0" w:line="24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>Figure S</w:t>
      </w:r>
      <w:r>
        <w:rPr>
          <w:rFonts w:hint="eastAsia" w:ascii="Times New Roman" w:hAnsi="Times New Roman"/>
          <w:b/>
          <w:bCs/>
          <w:sz w:val="21"/>
          <w:szCs w:val="21"/>
          <w:lang w:eastAsia="zh-CN"/>
        </w:rPr>
        <w:t>2</w:t>
      </w:r>
      <w:r>
        <w:rPr>
          <w:rFonts w:ascii="Times New Roman" w:hAnsi="Times New Roman"/>
          <w:b/>
          <w:bCs/>
          <w:sz w:val="21"/>
          <w:szCs w:val="21"/>
        </w:rPr>
        <w:t>.</w:t>
      </w:r>
      <w:r>
        <w:rPr>
          <w:rFonts w:ascii="Times New Roman" w:hAnsi="Times New Roman"/>
          <w:sz w:val="21"/>
          <w:szCs w:val="21"/>
        </w:rPr>
        <w:t xml:space="preserve"> The thermogravimetric analysis (TGA) curve of </w:t>
      </w:r>
      <w:r>
        <w:rPr>
          <w:rFonts w:ascii="Times New Roman" w:hAnsi="Times New Roman"/>
          <w:sz w:val="21"/>
          <w:szCs w:val="21"/>
          <w:lang w:eastAsia="zh-CN"/>
        </w:rPr>
        <w:t>TT-PA</w:t>
      </w:r>
      <w:r>
        <w:rPr>
          <w:rFonts w:ascii="Times New Roman" w:hAnsi="Times New Roman"/>
          <w:sz w:val="21"/>
          <w:szCs w:val="21"/>
        </w:rPr>
        <w:t xml:space="preserve"> and </w:t>
      </w:r>
      <w:r>
        <w:rPr>
          <w:rFonts w:ascii="Times New Roman" w:hAnsi="Times New Roman"/>
          <w:sz w:val="21"/>
          <w:szCs w:val="21"/>
          <w:lang w:eastAsia="zh-CN"/>
        </w:rPr>
        <w:t>TT-BPA</w:t>
      </w:r>
      <w:r>
        <w:rPr>
          <w:rFonts w:ascii="Times New Roman" w:hAnsi="Times New Roman"/>
          <w:sz w:val="21"/>
          <w:szCs w:val="21"/>
        </w:rPr>
        <w:t>.</w:t>
      </w:r>
    </w:p>
    <w:p w14:paraId="08949A4A"/>
    <w:p w14:paraId="3F05F992">
      <w:pPr>
        <w:pStyle w:val="64"/>
        <w:jc w:val="center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drawing>
          <wp:inline distT="0" distB="0" distL="0" distR="0">
            <wp:extent cx="2879725" cy="2453005"/>
            <wp:effectExtent l="0" t="0" r="0" b="4445"/>
            <wp:docPr id="4790034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03425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53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CB371C">
      <w:pPr>
        <w:pStyle w:val="64"/>
        <w:tabs>
          <w:tab w:val="left" w:pos="7685"/>
        </w:tabs>
        <w:spacing w:line="240" w:lineRule="auto"/>
        <w:ind w:firstLine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Figure </w:t>
      </w:r>
      <w:r>
        <w:rPr>
          <w:rFonts w:hint="eastAsia" w:ascii="Times New Roman" w:hAnsi="Times New Roman"/>
          <w:b/>
          <w:bCs/>
          <w:sz w:val="21"/>
          <w:szCs w:val="21"/>
          <w:lang w:eastAsia="zh-CN"/>
        </w:rPr>
        <w:t>S3</w:t>
      </w:r>
      <w:r>
        <w:rPr>
          <w:rFonts w:ascii="Times New Roman" w:hAnsi="Times New Roman"/>
          <w:b/>
          <w:bCs/>
          <w:sz w:val="21"/>
          <w:szCs w:val="21"/>
        </w:rPr>
        <w:t>.</w:t>
      </w:r>
      <w:r>
        <w:rPr>
          <w:rFonts w:ascii="Times New Roman" w:hAnsi="Times New Roman"/>
          <w:sz w:val="21"/>
          <w:szCs w:val="21"/>
        </w:rPr>
        <w:t xml:space="preserve"> Powder X-ray diffraction profiles of TT-PA and TT-BPA.</w:t>
      </w:r>
    </w:p>
    <w:p w14:paraId="28978484">
      <w:pPr>
        <w:pStyle w:val="64"/>
        <w:tabs>
          <w:tab w:val="left" w:pos="7685"/>
        </w:tabs>
        <w:spacing w:line="240" w:lineRule="auto"/>
        <w:ind w:firstLine="0"/>
        <w:rPr>
          <w:rFonts w:ascii="Times New Roman" w:hAnsi="Times New Roman"/>
        </w:rPr>
      </w:pPr>
    </w:p>
    <w:p w14:paraId="0F533632">
      <w:pPr>
        <w:pStyle w:val="64"/>
        <w:tabs>
          <w:tab w:val="left" w:pos="7685"/>
        </w:tabs>
        <w:spacing w:line="240" w:lineRule="auto"/>
        <w:ind w:firstLine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drawing>
          <wp:inline distT="0" distB="0" distL="0" distR="0">
            <wp:extent cx="2879725" cy="2352040"/>
            <wp:effectExtent l="0" t="0" r="0" b="0"/>
            <wp:docPr id="10078863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8632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52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10104">
      <w:pPr>
        <w:pStyle w:val="64"/>
        <w:tabs>
          <w:tab w:val="left" w:pos="7685"/>
        </w:tabs>
        <w:spacing w:line="240" w:lineRule="auto"/>
        <w:ind w:firstLine="0"/>
        <w:rPr>
          <w:rFonts w:ascii="Times New Roman" w:hAnsi="Times New Roman"/>
          <w:sz w:val="21"/>
          <w:szCs w:val="16"/>
          <w:lang w:eastAsia="zh-CN"/>
        </w:rPr>
      </w:pPr>
      <w:r>
        <w:rPr>
          <w:rFonts w:ascii="Times New Roman" w:hAnsi="Times New Roman"/>
          <w:b/>
          <w:bCs/>
          <w:sz w:val="21"/>
          <w:szCs w:val="16"/>
        </w:rPr>
        <w:t xml:space="preserve">Figure </w:t>
      </w:r>
      <w:r>
        <w:rPr>
          <w:rFonts w:hint="eastAsia" w:ascii="Times New Roman" w:hAnsi="Times New Roman"/>
          <w:b/>
          <w:bCs/>
          <w:sz w:val="21"/>
          <w:szCs w:val="16"/>
          <w:lang w:eastAsia="zh-CN"/>
        </w:rPr>
        <w:t>S4</w:t>
      </w:r>
      <w:r>
        <w:rPr>
          <w:rFonts w:ascii="Times New Roman" w:hAnsi="Times New Roman"/>
          <w:b/>
          <w:bCs/>
          <w:sz w:val="21"/>
          <w:szCs w:val="16"/>
        </w:rPr>
        <w:t>.</w:t>
      </w:r>
      <w:r>
        <w:rPr>
          <w:rFonts w:ascii="Times New Roman" w:hAnsi="Times New Roman"/>
          <w:sz w:val="21"/>
          <w:szCs w:val="16"/>
        </w:rPr>
        <w:t xml:space="preserve"> N</w:t>
      </w:r>
      <w:r>
        <w:rPr>
          <w:rFonts w:ascii="Times New Roman" w:hAnsi="Times New Roman"/>
          <w:sz w:val="21"/>
          <w:szCs w:val="16"/>
          <w:vertAlign w:val="subscript"/>
        </w:rPr>
        <w:t>2</w:t>
      </w:r>
      <w:r>
        <w:rPr>
          <w:rFonts w:ascii="Times New Roman" w:hAnsi="Times New Roman"/>
          <w:sz w:val="21"/>
          <w:szCs w:val="16"/>
        </w:rPr>
        <w:t xml:space="preserve"> absorption-desorption isotherms of TT-PA and TT-BPA.</w:t>
      </w:r>
    </w:p>
    <w:p w14:paraId="39832098">
      <w:pPr>
        <w:pStyle w:val="64"/>
        <w:tabs>
          <w:tab w:val="left" w:pos="7685"/>
        </w:tabs>
        <w:spacing w:line="240" w:lineRule="auto"/>
        <w:ind w:firstLine="0"/>
        <w:rPr>
          <w:rFonts w:ascii="Times New Roman" w:hAnsi="Times New Roman"/>
          <w:lang w:eastAsia="zh-CN"/>
        </w:rPr>
      </w:pPr>
    </w:p>
    <w:p w14:paraId="1649FBD5">
      <w:pPr>
        <w:pStyle w:val="64"/>
        <w:tabs>
          <w:tab w:val="left" w:pos="7685"/>
        </w:tabs>
        <w:spacing w:line="240" w:lineRule="auto"/>
        <w:ind w:firstLine="0"/>
        <w:jc w:val="center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drawing>
          <wp:inline distT="0" distB="0" distL="0" distR="0">
            <wp:extent cx="2879725" cy="2449195"/>
            <wp:effectExtent l="0" t="0" r="0" b="8255"/>
            <wp:docPr id="17676413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41387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49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586BDD">
      <w:pPr>
        <w:pStyle w:val="68"/>
        <w:spacing w:after="0" w:line="240" w:lineRule="auto"/>
        <w:rPr>
          <w:rFonts w:ascii="Times New Roman" w:hAnsi="Times New Roman"/>
          <w:sz w:val="21"/>
          <w:szCs w:val="16"/>
        </w:rPr>
      </w:pPr>
      <w:r>
        <w:rPr>
          <w:rFonts w:ascii="Times New Roman" w:hAnsi="Times New Roman"/>
          <w:b/>
          <w:bCs/>
          <w:sz w:val="21"/>
          <w:szCs w:val="16"/>
        </w:rPr>
        <w:t>Figure S</w:t>
      </w:r>
      <w:r>
        <w:rPr>
          <w:rFonts w:hint="eastAsia" w:ascii="Times New Roman" w:hAnsi="Times New Roman"/>
          <w:b/>
          <w:bCs/>
          <w:sz w:val="21"/>
          <w:szCs w:val="16"/>
          <w:lang w:eastAsia="zh-CN"/>
        </w:rPr>
        <w:t>5</w:t>
      </w:r>
      <w:r>
        <w:rPr>
          <w:rFonts w:ascii="Times New Roman" w:hAnsi="Times New Roman"/>
          <w:b/>
          <w:bCs/>
          <w:sz w:val="21"/>
          <w:szCs w:val="16"/>
        </w:rPr>
        <w:t xml:space="preserve">. </w:t>
      </w:r>
      <w:r>
        <w:rPr>
          <w:rFonts w:ascii="Times New Roman" w:hAnsi="Times New Roman"/>
          <w:sz w:val="21"/>
          <w:szCs w:val="16"/>
        </w:rPr>
        <w:t>Pore size distribution of TT-PA.</w:t>
      </w:r>
    </w:p>
    <w:p w14:paraId="2ACF846F">
      <w:pPr>
        <w:pStyle w:val="64"/>
        <w:ind w:firstLine="0"/>
        <w:rPr>
          <w:rFonts w:ascii="Times New Roman" w:hAnsi="Times New Roman"/>
          <w:lang w:eastAsia="zh-CN"/>
        </w:rPr>
      </w:pPr>
    </w:p>
    <w:p w14:paraId="188808B7">
      <w:pPr>
        <w:pStyle w:val="64"/>
        <w:jc w:val="center"/>
        <w:rPr>
          <w:rFonts w:ascii="Times New Roman" w:hAnsi="Times New Roman"/>
          <w:lang w:eastAsia="zh-CN"/>
        </w:rPr>
      </w:pPr>
    </w:p>
    <w:p w14:paraId="06151A46">
      <w:pPr>
        <w:pStyle w:val="6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879725" cy="2292350"/>
            <wp:effectExtent l="0" t="0" r="0" b="0"/>
            <wp:docPr id="13514329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3295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92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11020">
      <w:pPr>
        <w:pStyle w:val="68"/>
        <w:spacing w:after="0" w:line="240" w:lineRule="auto"/>
        <w:rPr>
          <w:rFonts w:ascii="Times New Roman" w:hAnsi="Times New Roman"/>
          <w:sz w:val="21"/>
          <w:szCs w:val="16"/>
        </w:rPr>
      </w:pPr>
      <w:r>
        <w:rPr>
          <w:rFonts w:ascii="Times New Roman" w:hAnsi="Times New Roman"/>
          <w:b/>
          <w:bCs/>
          <w:sz w:val="21"/>
          <w:szCs w:val="16"/>
        </w:rPr>
        <w:t>Figure S</w:t>
      </w:r>
      <w:r>
        <w:rPr>
          <w:rFonts w:hint="eastAsia" w:ascii="Times New Roman" w:hAnsi="Times New Roman"/>
          <w:b/>
          <w:bCs/>
          <w:sz w:val="21"/>
          <w:szCs w:val="16"/>
          <w:lang w:eastAsia="zh-CN"/>
        </w:rPr>
        <w:t>6</w:t>
      </w:r>
      <w:r>
        <w:rPr>
          <w:rFonts w:ascii="Times New Roman" w:hAnsi="Times New Roman"/>
          <w:b/>
          <w:bCs/>
          <w:sz w:val="21"/>
          <w:szCs w:val="16"/>
        </w:rPr>
        <w:t xml:space="preserve">. </w:t>
      </w:r>
      <w:r>
        <w:rPr>
          <w:rFonts w:ascii="Times New Roman" w:hAnsi="Times New Roman"/>
          <w:sz w:val="21"/>
          <w:szCs w:val="16"/>
        </w:rPr>
        <w:t>Pore size distribution of TT-</w:t>
      </w:r>
      <w:r>
        <w:rPr>
          <w:rFonts w:ascii="Times New Roman" w:hAnsi="Times New Roman"/>
          <w:sz w:val="21"/>
          <w:szCs w:val="16"/>
          <w:lang w:eastAsia="zh-CN"/>
        </w:rPr>
        <w:t>B</w:t>
      </w:r>
      <w:r>
        <w:rPr>
          <w:rFonts w:ascii="Times New Roman" w:hAnsi="Times New Roman"/>
          <w:sz w:val="21"/>
          <w:szCs w:val="16"/>
        </w:rPr>
        <w:t>PA.</w:t>
      </w:r>
    </w:p>
    <w:p w14:paraId="0DD78D1C"/>
    <w:p w14:paraId="732C290B">
      <w:pPr>
        <w:pStyle w:val="64"/>
        <w:jc w:val="center"/>
        <w:rPr>
          <w:rFonts w:hint="eastAsia"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drawing>
          <wp:inline distT="0" distB="0" distL="0" distR="0">
            <wp:extent cx="5039995" cy="919480"/>
            <wp:effectExtent l="0" t="0" r="0" b="0"/>
            <wp:docPr id="13289986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98644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919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E56EE">
      <w:pPr>
        <w:pStyle w:val="64"/>
        <w:spacing w:line="240" w:lineRule="auto"/>
        <w:ind w:firstLine="204"/>
        <w:jc w:val="center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drawing>
          <wp:inline distT="0" distB="0" distL="0" distR="0">
            <wp:extent cx="5039995" cy="882015"/>
            <wp:effectExtent l="0" t="0" r="8255" b="0"/>
            <wp:docPr id="1464479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79173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882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08449D">
      <w:pPr>
        <w:pStyle w:val="64"/>
        <w:spacing w:line="240" w:lineRule="auto"/>
        <w:ind w:firstLine="204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b/>
          <w:bCs/>
          <w:sz w:val="21"/>
          <w:szCs w:val="16"/>
        </w:rPr>
        <w:t>Figure S</w:t>
      </w:r>
      <w:r>
        <w:rPr>
          <w:rFonts w:hint="eastAsia" w:ascii="Times New Roman" w:hAnsi="Times New Roman"/>
          <w:b/>
          <w:bCs/>
          <w:sz w:val="21"/>
          <w:szCs w:val="16"/>
          <w:lang w:eastAsia="zh-CN"/>
        </w:rPr>
        <w:t>7</w:t>
      </w:r>
      <w:r>
        <w:rPr>
          <w:rFonts w:ascii="Times New Roman" w:hAnsi="Times New Roman"/>
          <w:sz w:val="21"/>
          <w:szCs w:val="16"/>
        </w:rPr>
        <w:t>.</w:t>
      </w:r>
      <w:r>
        <w:rPr>
          <w:rFonts w:ascii="Times New Roman" w:hAnsi="Times New Roman"/>
          <w:sz w:val="21"/>
          <w:szCs w:val="16"/>
          <w:lang w:eastAsia="zh-CN"/>
        </w:rPr>
        <w:t xml:space="preserve"> E</w:t>
      </w:r>
      <w:r>
        <w:rPr>
          <w:rFonts w:ascii="Times New Roman" w:hAnsi="Times New Roman"/>
          <w:sz w:val="21"/>
          <w:szCs w:val="16"/>
        </w:rPr>
        <w:t>lemental mapping shows the contents of C, O, N, and S for TT-PA</w:t>
      </w:r>
      <w:r>
        <w:rPr>
          <w:rFonts w:hint="eastAsia" w:ascii="Times New Roman" w:hAnsi="Times New Roman"/>
          <w:sz w:val="21"/>
          <w:szCs w:val="16"/>
          <w:lang w:eastAsia="zh-CN"/>
        </w:rPr>
        <w:t xml:space="preserve"> and TT-BPA</w:t>
      </w:r>
      <w:r>
        <w:rPr>
          <w:rFonts w:ascii="Times New Roman" w:hAnsi="Times New Roman"/>
          <w:sz w:val="21"/>
          <w:szCs w:val="16"/>
        </w:rPr>
        <w:t>.</w:t>
      </w:r>
    </w:p>
    <w:p w14:paraId="25C56E0A">
      <w:pPr>
        <w:pStyle w:val="64"/>
        <w:rPr>
          <w:rFonts w:ascii="Times New Roman" w:hAnsi="Times New Roman"/>
          <w:lang w:eastAsia="zh-CN"/>
        </w:rPr>
      </w:pPr>
    </w:p>
    <w:p w14:paraId="25AF097C">
      <w:pPr>
        <w:pStyle w:val="64"/>
        <w:jc w:val="center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drawing>
          <wp:inline distT="0" distB="0" distL="0" distR="0">
            <wp:extent cx="2879725" cy="2346960"/>
            <wp:effectExtent l="0" t="0" r="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9B2BD">
      <w:pPr>
        <w:pStyle w:val="64"/>
        <w:jc w:val="left"/>
        <w:rPr>
          <w:rFonts w:hint="eastAsia"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b/>
          <w:bCs/>
          <w:sz w:val="21"/>
          <w:szCs w:val="21"/>
        </w:rPr>
        <w:t>Figure S</w:t>
      </w:r>
      <w:r>
        <w:rPr>
          <w:rFonts w:hint="eastAsia" w:ascii="Times New Roman" w:hAnsi="Times New Roman"/>
          <w:b/>
          <w:bCs/>
          <w:sz w:val="21"/>
          <w:szCs w:val="21"/>
          <w:lang w:eastAsia="zh-CN"/>
        </w:rPr>
        <w:t>8</w:t>
      </w:r>
      <w:r>
        <w:rPr>
          <w:rFonts w:ascii="Times New Roman" w:hAnsi="Times New Roman"/>
          <w:sz w:val="21"/>
          <w:szCs w:val="21"/>
        </w:rPr>
        <w:t>.</w:t>
      </w:r>
      <w:r>
        <w:rPr>
          <w:rFonts w:hint="eastAsia" w:ascii="Times New Roman" w:hAnsi="Times New Roman"/>
          <w:sz w:val="21"/>
          <w:szCs w:val="21"/>
          <w:lang w:eastAsia="zh-CN"/>
        </w:rPr>
        <w:t xml:space="preserve"> </w:t>
      </w:r>
      <w:r>
        <w:rPr>
          <w:rFonts w:ascii="Times New Roman" w:hAnsi="Times New Roman"/>
          <w:sz w:val="21"/>
          <w:szCs w:val="21"/>
          <w:lang w:eastAsia="zh-CN"/>
        </w:rPr>
        <w:t>Mott–Schottky plots of TT-BPA.</w:t>
      </w:r>
    </w:p>
    <w:p w14:paraId="011E2736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inline distT="0" distB="0" distL="0" distR="0">
            <wp:extent cx="5039995" cy="3825875"/>
            <wp:effectExtent l="0" t="0" r="8255" b="3175"/>
            <wp:docPr id="5544894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89438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26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D71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</w:rPr>
        <w:t>9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 Performance comparison of TT-PA and TT-BPA with other reported photocatalysts. (Table S</w:t>
      </w: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). (</w:t>
      </w:r>
      <w:r>
        <w:rPr>
          <w:rFonts w:hint="eastAsia"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 Comparison of the decomposition properties of TT-PA and TT-BPA.</w:t>
      </w:r>
      <w:r>
        <w:rPr>
          <w:rFonts w:hint="eastAsia"/>
          <w:sz w:val="18"/>
          <w:szCs w:val="20"/>
        </w:rPr>
        <w:t xml:space="preserve"> </w:t>
      </w: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</w:rPr>
        <w:t>c, d</w:t>
      </w:r>
      <w:r>
        <w:rPr>
          <w:rFonts w:ascii="Times New Roman" w:hAnsi="Times New Roman" w:cs="Times New Roman"/>
        </w:rPr>
        <w:t>) Active species capture experiment of photocatalytic generation of 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.</w:t>
      </w:r>
    </w:p>
    <w:p w14:paraId="292AAEEE">
      <w:pPr>
        <w:rPr>
          <w:rFonts w:ascii="Times New Roman" w:hAnsi="Times New Roman" w:cs="Times New Roman"/>
          <w:sz w:val="24"/>
          <w:szCs w:val="28"/>
        </w:rPr>
      </w:pPr>
    </w:p>
    <w:p w14:paraId="38DCADCB">
      <w:pPr>
        <w:pStyle w:val="6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039995" cy="1971675"/>
            <wp:effectExtent l="0" t="0" r="8255" b="9525"/>
            <wp:docPr id="4252227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22785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71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97772">
      <w:pPr>
        <w:pStyle w:val="64"/>
        <w:spacing w:line="240" w:lineRule="auto"/>
        <w:ind w:firstLine="204"/>
        <w:rPr>
          <w:rFonts w:ascii="Times New Roman" w:hAnsi="Times New Roman"/>
          <w:sz w:val="21"/>
          <w:szCs w:val="16"/>
          <w:lang w:eastAsia="zh-CN"/>
        </w:rPr>
      </w:pPr>
      <w:r>
        <w:rPr>
          <w:rFonts w:ascii="Times New Roman" w:hAnsi="Times New Roman"/>
          <w:b/>
          <w:bCs/>
          <w:sz w:val="21"/>
          <w:szCs w:val="16"/>
        </w:rPr>
        <w:t>Figure S</w:t>
      </w:r>
      <w:r>
        <w:rPr>
          <w:rFonts w:hint="eastAsia" w:ascii="Times New Roman" w:hAnsi="Times New Roman"/>
          <w:b/>
          <w:bCs/>
          <w:sz w:val="21"/>
          <w:szCs w:val="16"/>
          <w:lang w:eastAsia="zh-CN"/>
        </w:rPr>
        <w:t>10</w:t>
      </w:r>
      <w:r>
        <w:rPr>
          <w:rFonts w:ascii="Times New Roman" w:hAnsi="Times New Roman"/>
          <w:b/>
          <w:bCs/>
          <w:sz w:val="21"/>
          <w:szCs w:val="16"/>
        </w:rPr>
        <w:t xml:space="preserve">. </w:t>
      </w:r>
      <w:r>
        <w:rPr>
          <w:rFonts w:ascii="Times New Roman" w:hAnsi="Times New Roman"/>
          <w:sz w:val="21"/>
          <w:szCs w:val="16"/>
        </w:rPr>
        <w:t xml:space="preserve">Degradation of </w:t>
      </w:r>
      <w:r>
        <w:rPr>
          <w:rFonts w:ascii="Times New Roman" w:hAnsi="Times New Roman"/>
          <w:sz w:val="21"/>
          <w:szCs w:val="16"/>
          <w:lang w:eastAsia="zh-CN"/>
        </w:rPr>
        <w:t>R</w:t>
      </w:r>
      <w:r>
        <w:rPr>
          <w:rFonts w:ascii="Times New Roman" w:hAnsi="Times New Roman"/>
          <w:sz w:val="21"/>
          <w:szCs w:val="16"/>
        </w:rPr>
        <w:t>h</w:t>
      </w:r>
      <w:r>
        <w:rPr>
          <w:rFonts w:ascii="Times New Roman" w:hAnsi="Times New Roman"/>
          <w:sz w:val="21"/>
          <w:szCs w:val="16"/>
          <w:lang w:eastAsia="zh-CN"/>
        </w:rPr>
        <w:t>B</w:t>
      </w:r>
      <w:r>
        <w:rPr>
          <w:rFonts w:ascii="Times New Roman" w:hAnsi="Times New Roman"/>
          <w:sz w:val="21"/>
          <w:szCs w:val="16"/>
        </w:rPr>
        <w:t xml:space="preserve"> kinetic curves</w:t>
      </w:r>
      <w:r>
        <w:rPr>
          <w:rFonts w:hint="eastAsia" w:ascii="Times New Roman" w:hAnsi="Times New Roman"/>
          <w:sz w:val="21"/>
          <w:szCs w:val="16"/>
          <w:lang w:eastAsia="zh-CN"/>
        </w:rPr>
        <w:t>.</w:t>
      </w:r>
    </w:p>
    <w:p w14:paraId="3D4207E7">
      <w:pPr>
        <w:pStyle w:val="64"/>
        <w:jc w:val="center"/>
        <w:rPr>
          <w:rFonts w:ascii="Times New Roman" w:hAnsi="Times New Roman"/>
        </w:rPr>
      </w:pPr>
    </w:p>
    <w:p w14:paraId="77031C13">
      <w:pPr>
        <w:pStyle w:val="64"/>
        <w:jc w:val="center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drawing>
          <wp:inline distT="0" distB="0" distL="0" distR="0">
            <wp:extent cx="5039995" cy="2652395"/>
            <wp:effectExtent l="0" t="0" r="8255" b="0"/>
            <wp:docPr id="72155609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56095" name="图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7" t="23741" r="5799" b="132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5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16FEA">
      <w:pPr>
        <w:pStyle w:val="68"/>
        <w:spacing w:after="0" w:line="240" w:lineRule="auto"/>
        <w:rPr>
          <w:rFonts w:ascii="Times New Roman" w:hAnsi="Times New Roman"/>
          <w:sz w:val="21"/>
          <w:szCs w:val="16"/>
          <w:lang w:eastAsia="zh-CN"/>
        </w:rPr>
      </w:pPr>
      <w:r>
        <w:rPr>
          <w:rFonts w:ascii="Times New Roman" w:hAnsi="Times New Roman"/>
          <w:b/>
          <w:bCs/>
          <w:sz w:val="21"/>
          <w:szCs w:val="16"/>
        </w:rPr>
        <w:t xml:space="preserve">Figure </w:t>
      </w:r>
      <w:r>
        <w:rPr>
          <w:rFonts w:ascii="Times New Roman" w:hAnsi="Times New Roman"/>
          <w:b/>
          <w:bCs/>
          <w:sz w:val="21"/>
          <w:szCs w:val="16"/>
          <w:lang w:eastAsia="zh-CN"/>
        </w:rPr>
        <w:t>S</w:t>
      </w:r>
      <w:r>
        <w:rPr>
          <w:rFonts w:hint="eastAsia" w:ascii="Times New Roman" w:hAnsi="Times New Roman"/>
          <w:b/>
          <w:bCs/>
          <w:sz w:val="21"/>
          <w:szCs w:val="16"/>
          <w:lang w:eastAsia="zh-CN"/>
        </w:rPr>
        <w:t>11</w:t>
      </w:r>
      <w:r>
        <w:rPr>
          <w:rFonts w:ascii="Times New Roman" w:hAnsi="Times New Roman"/>
          <w:b/>
          <w:bCs/>
          <w:sz w:val="21"/>
          <w:szCs w:val="16"/>
        </w:rPr>
        <w:t>.</w:t>
      </w:r>
      <w:r>
        <w:rPr>
          <w:rFonts w:ascii="Times New Roman" w:hAnsi="Times New Roman"/>
          <w:sz w:val="21"/>
          <w:szCs w:val="16"/>
          <w:lang w:eastAsia="zh-CN"/>
        </w:rPr>
        <w:t xml:space="preserve"> Color comparison of </w:t>
      </w:r>
      <w:r>
        <w:rPr>
          <w:rFonts w:hint="eastAsia" w:ascii="Times New Roman" w:hAnsi="Times New Roman"/>
          <w:sz w:val="21"/>
          <w:szCs w:val="16"/>
          <w:lang w:eastAsia="zh-CN"/>
        </w:rPr>
        <w:t>R</w:t>
      </w:r>
      <w:r>
        <w:rPr>
          <w:rFonts w:ascii="Times New Roman" w:hAnsi="Times New Roman"/>
          <w:sz w:val="21"/>
          <w:szCs w:val="16"/>
          <w:lang w:eastAsia="zh-CN"/>
        </w:rPr>
        <w:t>h</w:t>
      </w:r>
      <w:r>
        <w:rPr>
          <w:rFonts w:hint="eastAsia" w:ascii="Times New Roman" w:hAnsi="Times New Roman"/>
          <w:sz w:val="21"/>
          <w:szCs w:val="16"/>
          <w:lang w:eastAsia="zh-CN"/>
        </w:rPr>
        <w:t>B</w:t>
      </w:r>
      <w:r>
        <w:rPr>
          <w:rFonts w:ascii="Times New Roman" w:hAnsi="Times New Roman"/>
          <w:sz w:val="21"/>
          <w:szCs w:val="16"/>
          <w:lang w:eastAsia="zh-CN"/>
        </w:rPr>
        <w:t xml:space="preserve"> degradation by photocatalysts</w:t>
      </w:r>
      <w:r>
        <w:rPr>
          <w:rFonts w:hint="eastAsia" w:ascii="Times New Roman" w:hAnsi="Times New Roman"/>
          <w:sz w:val="21"/>
          <w:szCs w:val="16"/>
          <w:lang w:eastAsia="zh-CN"/>
        </w:rPr>
        <w:t>(0min-105min)</w:t>
      </w:r>
      <w:r>
        <w:rPr>
          <w:rFonts w:ascii="Times New Roman" w:hAnsi="Times New Roman"/>
          <w:sz w:val="21"/>
          <w:szCs w:val="16"/>
          <w:lang w:eastAsia="zh-CN"/>
        </w:rPr>
        <w:t>.</w:t>
      </w:r>
    </w:p>
    <w:p w14:paraId="54FBB486"/>
    <w:p w14:paraId="139F8BFE">
      <w:pPr>
        <w:pStyle w:val="64"/>
        <w:jc w:val="center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drawing>
          <wp:inline distT="0" distB="0" distL="0" distR="0">
            <wp:extent cx="5041900" cy="2524125"/>
            <wp:effectExtent l="0" t="0" r="6350" b="9525"/>
            <wp:docPr id="1806350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5015" name="图片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05A5E4">
      <w:pPr>
        <w:pStyle w:val="68"/>
        <w:adjustRightInd w:val="0"/>
        <w:snapToGrid w:val="0"/>
        <w:spacing w:after="0"/>
        <w:rPr>
          <w:rFonts w:ascii="Times New Roman" w:hAnsi="Times New Roman"/>
          <w:sz w:val="21"/>
          <w:szCs w:val="16"/>
          <w:lang w:eastAsia="zh-CN"/>
        </w:rPr>
      </w:pPr>
      <w:bookmarkStart w:id="1" w:name="_Hlk191117465"/>
      <w:r>
        <w:rPr>
          <w:rFonts w:ascii="Times New Roman" w:hAnsi="Times New Roman"/>
          <w:b/>
          <w:bCs/>
          <w:sz w:val="21"/>
          <w:szCs w:val="16"/>
        </w:rPr>
        <w:t xml:space="preserve">Figure </w:t>
      </w:r>
      <w:r>
        <w:rPr>
          <w:rFonts w:hint="eastAsia" w:ascii="Times New Roman" w:hAnsi="Times New Roman"/>
          <w:b/>
          <w:bCs/>
          <w:sz w:val="21"/>
          <w:szCs w:val="16"/>
          <w:lang w:eastAsia="zh-CN"/>
        </w:rPr>
        <w:t>S12</w:t>
      </w:r>
      <w:r>
        <w:rPr>
          <w:rFonts w:ascii="Times New Roman" w:hAnsi="Times New Roman"/>
          <w:b/>
          <w:bCs/>
          <w:sz w:val="21"/>
          <w:szCs w:val="16"/>
        </w:rPr>
        <w:t xml:space="preserve">. </w:t>
      </w:r>
      <w:r>
        <w:rPr>
          <w:rFonts w:ascii="Times New Roman" w:hAnsi="Times New Roman"/>
          <w:sz w:val="21"/>
          <w:szCs w:val="16"/>
        </w:rPr>
        <w:t xml:space="preserve">Photocatalytic degradation of RhB by TT-PA under visible light irradiation: </w:t>
      </w:r>
      <w:r>
        <w:rPr>
          <w:rFonts w:ascii="Times New Roman" w:hAnsi="Times New Roman"/>
          <w:sz w:val="21"/>
          <w:szCs w:val="16"/>
          <w:lang w:eastAsia="zh-CN"/>
        </w:rPr>
        <w:t>(</w:t>
      </w:r>
      <w:r>
        <w:rPr>
          <w:rFonts w:ascii="Times New Roman" w:hAnsi="Times New Roman"/>
          <w:sz w:val="21"/>
          <w:szCs w:val="16"/>
        </w:rPr>
        <w:t>a</w:t>
      </w:r>
      <w:r>
        <w:rPr>
          <w:rFonts w:ascii="Times New Roman" w:hAnsi="Times New Roman"/>
          <w:sz w:val="21"/>
          <w:szCs w:val="16"/>
          <w:lang w:eastAsia="zh-CN"/>
        </w:rPr>
        <w:t>) D</w:t>
      </w:r>
      <w:r>
        <w:rPr>
          <w:rFonts w:ascii="Times New Roman" w:hAnsi="Times New Roman"/>
          <w:sz w:val="21"/>
          <w:szCs w:val="16"/>
        </w:rPr>
        <w:t>ifferent RhB concentrations,</w:t>
      </w:r>
      <w:r>
        <w:rPr>
          <w:rFonts w:ascii="Times New Roman" w:hAnsi="Times New Roman"/>
          <w:sz w:val="21"/>
          <w:szCs w:val="16"/>
          <w:lang w:eastAsia="zh-CN"/>
        </w:rPr>
        <w:t xml:space="preserve"> (</w:t>
      </w:r>
      <w:r>
        <w:rPr>
          <w:rFonts w:ascii="Times New Roman" w:hAnsi="Times New Roman"/>
          <w:sz w:val="21"/>
          <w:szCs w:val="16"/>
        </w:rPr>
        <w:t>b</w:t>
      </w:r>
      <w:r>
        <w:rPr>
          <w:rFonts w:ascii="Times New Roman" w:hAnsi="Times New Roman"/>
          <w:sz w:val="21"/>
          <w:szCs w:val="16"/>
          <w:lang w:eastAsia="zh-CN"/>
        </w:rPr>
        <w:t>) D</w:t>
      </w:r>
      <w:r>
        <w:rPr>
          <w:rFonts w:ascii="Times New Roman" w:hAnsi="Times New Roman"/>
          <w:sz w:val="21"/>
          <w:szCs w:val="16"/>
        </w:rPr>
        <w:t>ifferent catalyst qualities,</w:t>
      </w:r>
      <w:r>
        <w:rPr>
          <w:rFonts w:ascii="Times New Roman" w:hAnsi="Times New Roman"/>
          <w:sz w:val="21"/>
          <w:szCs w:val="16"/>
          <w:lang w:eastAsia="zh-CN"/>
        </w:rPr>
        <w:t xml:space="preserve"> (</w:t>
      </w:r>
      <w:r>
        <w:rPr>
          <w:rFonts w:ascii="Times New Roman" w:hAnsi="Times New Roman"/>
          <w:sz w:val="21"/>
          <w:szCs w:val="16"/>
        </w:rPr>
        <w:t>c</w:t>
      </w:r>
      <w:r>
        <w:rPr>
          <w:rFonts w:ascii="Times New Roman" w:hAnsi="Times New Roman"/>
          <w:sz w:val="21"/>
          <w:szCs w:val="16"/>
          <w:lang w:eastAsia="zh-CN"/>
        </w:rPr>
        <w:t>) D</w:t>
      </w:r>
      <w:r>
        <w:rPr>
          <w:rFonts w:ascii="Times New Roman" w:hAnsi="Times New Roman"/>
          <w:sz w:val="21"/>
          <w:szCs w:val="16"/>
        </w:rPr>
        <w:t>ifferent pH.</w:t>
      </w:r>
      <w:r>
        <w:rPr>
          <w:rFonts w:ascii="Times New Roman" w:hAnsi="Times New Roman"/>
          <w:sz w:val="21"/>
          <w:szCs w:val="16"/>
          <w:lang w:eastAsia="zh-CN"/>
        </w:rPr>
        <w:t xml:space="preserve"> (</w:t>
      </w:r>
      <w:r>
        <w:rPr>
          <w:rFonts w:ascii="Times New Roman" w:hAnsi="Times New Roman"/>
          <w:sz w:val="21"/>
          <w:szCs w:val="16"/>
        </w:rPr>
        <w:t>d</w:t>
      </w:r>
      <w:r>
        <w:rPr>
          <w:rFonts w:ascii="Times New Roman" w:hAnsi="Times New Roman"/>
          <w:sz w:val="21"/>
          <w:szCs w:val="16"/>
          <w:lang w:eastAsia="zh-CN"/>
        </w:rPr>
        <w:t xml:space="preserve">, </w:t>
      </w:r>
      <w:r>
        <w:rPr>
          <w:rFonts w:ascii="Times New Roman" w:hAnsi="Times New Roman"/>
          <w:sz w:val="21"/>
          <w:szCs w:val="16"/>
        </w:rPr>
        <w:t>e</w:t>
      </w:r>
      <w:r>
        <w:rPr>
          <w:rFonts w:ascii="Times New Roman" w:hAnsi="Times New Roman"/>
          <w:sz w:val="21"/>
          <w:szCs w:val="16"/>
          <w:lang w:eastAsia="zh-CN"/>
        </w:rPr>
        <w:t>)</w:t>
      </w:r>
      <w:r>
        <w:rPr>
          <w:rFonts w:ascii="Times New Roman" w:hAnsi="Times New Roman"/>
          <w:sz w:val="21"/>
          <w:szCs w:val="16"/>
        </w:rPr>
        <w:t xml:space="preserve"> </w:t>
      </w:r>
      <w:r>
        <w:rPr>
          <w:rFonts w:ascii="Times New Roman" w:hAnsi="Times New Roman"/>
          <w:sz w:val="21"/>
          <w:szCs w:val="16"/>
          <w:lang w:eastAsia="zh-CN"/>
        </w:rPr>
        <w:t>E</w:t>
      </w:r>
      <w:r>
        <w:rPr>
          <w:rFonts w:ascii="Times New Roman" w:hAnsi="Times New Roman"/>
          <w:sz w:val="21"/>
          <w:szCs w:val="16"/>
        </w:rPr>
        <w:t>ffect of different trapping agents on the photocatalytic degradation of RhB (10 mg</w:t>
      </w:r>
      <w:r>
        <w:rPr>
          <w:rFonts w:ascii="Times New Roman" w:hAnsi="Times New Roman"/>
          <w:sz w:val="21"/>
          <w:szCs w:val="16"/>
          <w:lang w:eastAsia="zh-CN"/>
        </w:rPr>
        <w:t xml:space="preserve"> </w:t>
      </w:r>
      <w:r>
        <w:rPr>
          <w:rFonts w:ascii="Times New Roman" w:hAnsi="Times New Roman"/>
          <w:sz w:val="21"/>
          <w:szCs w:val="16"/>
        </w:rPr>
        <w:t>L</w:t>
      </w:r>
      <w:r>
        <w:rPr>
          <w:rFonts w:ascii="Times New Roman" w:hAnsi="Times New Roman"/>
          <w:sz w:val="21"/>
          <w:szCs w:val="16"/>
          <w:vertAlign w:val="superscript"/>
          <w:lang w:eastAsia="zh-CN"/>
        </w:rPr>
        <w:t>-1</w:t>
      </w:r>
      <w:r>
        <w:rPr>
          <w:rFonts w:ascii="Times New Roman" w:hAnsi="Times New Roman"/>
          <w:sz w:val="21"/>
          <w:szCs w:val="16"/>
        </w:rPr>
        <w:t>) by TT-PA (0.3 g</w:t>
      </w:r>
      <w:r>
        <w:rPr>
          <w:rFonts w:ascii="Times New Roman" w:hAnsi="Times New Roman"/>
          <w:sz w:val="21"/>
          <w:szCs w:val="16"/>
          <w:lang w:eastAsia="zh-CN"/>
        </w:rPr>
        <w:t xml:space="preserve"> </w:t>
      </w:r>
      <w:r>
        <w:rPr>
          <w:rFonts w:ascii="Times New Roman" w:hAnsi="Times New Roman"/>
          <w:sz w:val="21"/>
          <w:szCs w:val="16"/>
        </w:rPr>
        <w:t>L</w:t>
      </w:r>
      <w:r>
        <w:rPr>
          <w:rFonts w:ascii="Times New Roman" w:hAnsi="Times New Roman"/>
          <w:sz w:val="21"/>
          <w:szCs w:val="16"/>
          <w:vertAlign w:val="superscript"/>
          <w:lang w:eastAsia="zh-CN"/>
        </w:rPr>
        <w:t>-1</w:t>
      </w:r>
      <w:r>
        <w:rPr>
          <w:rFonts w:ascii="Times New Roman" w:hAnsi="Times New Roman"/>
          <w:sz w:val="21"/>
          <w:szCs w:val="16"/>
        </w:rPr>
        <w:t>).</w:t>
      </w:r>
      <w:r>
        <w:rPr>
          <w:rFonts w:ascii="Times New Roman" w:hAnsi="Times New Roman"/>
          <w:sz w:val="21"/>
          <w:szCs w:val="16"/>
          <w:lang w:eastAsia="zh-CN"/>
        </w:rPr>
        <w:t xml:space="preserve"> (</w:t>
      </w:r>
      <w:r>
        <w:rPr>
          <w:rFonts w:ascii="Times New Roman" w:hAnsi="Times New Roman"/>
          <w:sz w:val="21"/>
          <w:szCs w:val="16"/>
        </w:rPr>
        <w:t>f</w:t>
      </w:r>
      <w:r>
        <w:rPr>
          <w:rFonts w:ascii="Times New Roman" w:hAnsi="Times New Roman"/>
          <w:sz w:val="21"/>
          <w:szCs w:val="16"/>
          <w:lang w:eastAsia="zh-CN"/>
        </w:rPr>
        <w:t>)</w:t>
      </w:r>
      <w:r>
        <w:rPr>
          <w:rFonts w:ascii="Times New Roman" w:hAnsi="Times New Roman"/>
          <w:sz w:val="21"/>
          <w:szCs w:val="16"/>
        </w:rPr>
        <w:t xml:space="preserve"> Photocatalytic cycling experiment</w:t>
      </w:r>
      <w:r>
        <w:rPr>
          <w:rFonts w:hint="eastAsia" w:ascii="Times New Roman" w:hAnsi="Times New Roman"/>
          <w:sz w:val="21"/>
          <w:szCs w:val="16"/>
          <w:lang w:eastAsia="zh-CN"/>
        </w:rPr>
        <w:t>.</w:t>
      </w:r>
    </w:p>
    <w:bookmarkEnd w:id="1"/>
    <w:p w14:paraId="680C0650">
      <w:pPr>
        <w:pStyle w:val="64"/>
        <w:jc w:val="center"/>
        <w:rPr>
          <w:rFonts w:ascii="Times New Roman" w:hAnsi="Times New Roman"/>
          <w:lang w:eastAsia="zh-CN"/>
        </w:rPr>
      </w:pPr>
    </w:p>
    <w:p w14:paraId="7F9DD5A4">
      <w:pPr>
        <w:pStyle w:val="64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drawing>
          <wp:inline distT="0" distB="0" distL="0" distR="0">
            <wp:extent cx="5039995" cy="2635250"/>
            <wp:effectExtent l="0" t="0" r="8255" b="0"/>
            <wp:docPr id="13474603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460376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35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B63327">
      <w:pPr>
        <w:pStyle w:val="68"/>
        <w:spacing w:after="0" w:line="240" w:lineRule="auto"/>
        <w:rPr>
          <w:rFonts w:ascii="Times New Roman" w:hAnsi="Times New Roman"/>
          <w:sz w:val="21"/>
          <w:szCs w:val="16"/>
          <w:lang w:eastAsia="zh-CN"/>
        </w:rPr>
      </w:pPr>
      <w:bookmarkStart w:id="2" w:name="_Hlk201301727"/>
      <w:r>
        <w:rPr>
          <w:rFonts w:ascii="Times New Roman" w:hAnsi="Times New Roman"/>
          <w:b/>
          <w:bCs/>
          <w:sz w:val="21"/>
          <w:szCs w:val="16"/>
        </w:rPr>
        <w:t xml:space="preserve">Figure </w:t>
      </w:r>
      <w:r>
        <w:rPr>
          <w:rFonts w:ascii="Times New Roman" w:hAnsi="Times New Roman"/>
          <w:b/>
          <w:bCs/>
          <w:sz w:val="21"/>
          <w:szCs w:val="16"/>
          <w:lang w:eastAsia="zh-CN"/>
        </w:rPr>
        <w:t>S</w:t>
      </w:r>
      <w:r>
        <w:rPr>
          <w:rFonts w:hint="eastAsia" w:ascii="Times New Roman" w:hAnsi="Times New Roman"/>
          <w:b/>
          <w:bCs/>
          <w:sz w:val="21"/>
          <w:szCs w:val="16"/>
          <w:lang w:eastAsia="zh-CN"/>
        </w:rPr>
        <w:t>13</w:t>
      </w:r>
      <w:r>
        <w:rPr>
          <w:rFonts w:ascii="Times New Roman" w:hAnsi="Times New Roman"/>
          <w:b/>
          <w:bCs/>
          <w:sz w:val="21"/>
          <w:szCs w:val="16"/>
        </w:rPr>
        <w:t xml:space="preserve">. </w:t>
      </w:r>
      <w:r>
        <w:rPr>
          <w:rFonts w:ascii="Times New Roman" w:hAnsi="Times New Roman"/>
          <w:sz w:val="21"/>
          <w:szCs w:val="16"/>
        </w:rPr>
        <w:t>Photocatalytic degra</w:t>
      </w:r>
      <w:bookmarkEnd w:id="2"/>
      <w:r>
        <w:rPr>
          <w:rFonts w:ascii="Times New Roman" w:hAnsi="Times New Roman"/>
          <w:sz w:val="21"/>
          <w:szCs w:val="16"/>
        </w:rPr>
        <w:t>dation of RhB by TT-</w:t>
      </w:r>
      <w:r>
        <w:rPr>
          <w:rFonts w:ascii="Times New Roman" w:hAnsi="Times New Roman"/>
          <w:sz w:val="21"/>
          <w:szCs w:val="16"/>
          <w:lang w:eastAsia="zh-CN"/>
        </w:rPr>
        <w:t>B</w:t>
      </w:r>
      <w:r>
        <w:rPr>
          <w:rFonts w:ascii="Times New Roman" w:hAnsi="Times New Roman"/>
          <w:sz w:val="21"/>
          <w:szCs w:val="16"/>
        </w:rPr>
        <w:t xml:space="preserve">PA under visible light irradiation: </w:t>
      </w:r>
      <w:r>
        <w:rPr>
          <w:rFonts w:ascii="Times New Roman" w:hAnsi="Times New Roman"/>
          <w:sz w:val="21"/>
          <w:szCs w:val="16"/>
          <w:lang w:eastAsia="zh-CN"/>
        </w:rPr>
        <w:t>(</w:t>
      </w:r>
      <w:r>
        <w:rPr>
          <w:rFonts w:ascii="Times New Roman" w:hAnsi="Times New Roman"/>
          <w:sz w:val="21"/>
          <w:szCs w:val="16"/>
        </w:rPr>
        <w:t>a</w:t>
      </w:r>
      <w:r>
        <w:rPr>
          <w:rFonts w:ascii="Times New Roman" w:hAnsi="Times New Roman"/>
          <w:sz w:val="21"/>
          <w:szCs w:val="16"/>
          <w:lang w:eastAsia="zh-CN"/>
        </w:rPr>
        <w:t>)D</w:t>
      </w:r>
      <w:r>
        <w:rPr>
          <w:rFonts w:ascii="Times New Roman" w:hAnsi="Times New Roman"/>
          <w:sz w:val="21"/>
          <w:szCs w:val="16"/>
        </w:rPr>
        <w:t>ifferent RhB concentrations</w:t>
      </w:r>
      <w:r>
        <w:rPr>
          <w:rFonts w:ascii="Times New Roman" w:hAnsi="Times New Roman"/>
          <w:sz w:val="21"/>
          <w:szCs w:val="16"/>
          <w:lang w:eastAsia="zh-CN"/>
        </w:rPr>
        <w:t>. (</w:t>
      </w:r>
      <w:r>
        <w:rPr>
          <w:rFonts w:ascii="Times New Roman" w:hAnsi="Times New Roman"/>
          <w:sz w:val="21"/>
          <w:szCs w:val="16"/>
        </w:rPr>
        <w:t>b</w:t>
      </w:r>
      <w:r>
        <w:rPr>
          <w:rFonts w:ascii="Times New Roman" w:hAnsi="Times New Roman"/>
          <w:sz w:val="21"/>
          <w:szCs w:val="16"/>
          <w:lang w:eastAsia="zh-CN"/>
        </w:rPr>
        <w:t>)D</w:t>
      </w:r>
      <w:r>
        <w:rPr>
          <w:rFonts w:ascii="Times New Roman" w:hAnsi="Times New Roman"/>
          <w:sz w:val="21"/>
          <w:szCs w:val="16"/>
        </w:rPr>
        <w:t>ifferent catalyst qualities</w:t>
      </w:r>
      <w:r>
        <w:rPr>
          <w:rFonts w:ascii="Times New Roman" w:hAnsi="Times New Roman"/>
          <w:sz w:val="21"/>
          <w:szCs w:val="16"/>
          <w:lang w:eastAsia="zh-CN"/>
        </w:rPr>
        <w:t>. (</w:t>
      </w:r>
      <w:r>
        <w:rPr>
          <w:rFonts w:ascii="Times New Roman" w:hAnsi="Times New Roman"/>
          <w:sz w:val="21"/>
          <w:szCs w:val="16"/>
        </w:rPr>
        <w:t>c</w:t>
      </w:r>
      <w:r>
        <w:rPr>
          <w:rFonts w:ascii="Times New Roman" w:hAnsi="Times New Roman"/>
          <w:sz w:val="21"/>
          <w:szCs w:val="16"/>
          <w:lang w:eastAsia="zh-CN"/>
        </w:rPr>
        <w:t>)D</w:t>
      </w:r>
      <w:r>
        <w:rPr>
          <w:rFonts w:ascii="Times New Roman" w:hAnsi="Times New Roman"/>
          <w:sz w:val="21"/>
          <w:szCs w:val="16"/>
        </w:rPr>
        <w:t>ifferent pH.</w:t>
      </w:r>
      <w:r>
        <w:rPr>
          <w:rFonts w:ascii="Times New Roman" w:hAnsi="Times New Roman"/>
          <w:sz w:val="21"/>
          <w:szCs w:val="16"/>
          <w:lang w:eastAsia="zh-CN"/>
        </w:rPr>
        <w:t xml:space="preserve"> (</w:t>
      </w:r>
      <w:r>
        <w:rPr>
          <w:rFonts w:ascii="Times New Roman" w:hAnsi="Times New Roman"/>
          <w:sz w:val="21"/>
          <w:szCs w:val="16"/>
        </w:rPr>
        <w:t>d</w:t>
      </w:r>
      <w:r>
        <w:rPr>
          <w:rFonts w:ascii="Times New Roman" w:hAnsi="Times New Roman"/>
          <w:sz w:val="21"/>
          <w:szCs w:val="16"/>
          <w:lang w:eastAsia="zh-CN"/>
        </w:rPr>
        <w:t xml:space="preserve">, </w:t>
      </w:r>
      <w:r>
        <w:rPr>
          <w:rFonts w:ascii="Times New Roman" w:hAnsi="Times New Roman"/>
          <w:sz w:val="21"/>
          <w:szCs w:val="16"/>
        </w:rPr>
        <w:t>e</w:t>
      </w:r>
      <w:r>
        <w:rPr>
          <w:rFonts w:ascii="Times New Roman" w:hAnsi="Times New Roman"/>
          <w:sz w:val="21"/>
          <w:szCs w:val="16"/>
          <w:lang w:eastAsia="zh-CN"/>
        </w:rPr>
        <w:t>)</w:t>
      </w:r>
      <w:r>
        <w:rPr>
          <w:rFonts w:ascii="Times New Roman" w:hAnsi="Times New Roman"/>
          <w:sz w:val="21"/>
          <w:szCs w:val="16"/>
        </w:rPr>
        <w:t xml:space="preserve"> </w:t>
      </w:r>
      <w:r>
        <w:rPr>
          <w:rFonts w:ascii="Times New Roman" w:hAnsi="Times New Roman"/>
          <w:sz w:val="21"/>
          <w:szCs w:val="16"/>
          <w:lang w:eastAsia="zh-CN"/>
        </w:rPr>
        <w:t>E</w:t>
      </w:r>
      <w:r>
        <w:rPr>
          <w:rFonts w:ascii="Times New Roman" w:hAnsi="Times New Roman"/>
          <w:sz w:val="21"/>
          <w:szCs w:val="16"/>
        </w:rPr>
        <w:t>ffect of different trapping agents on the photocatalytic degradation of RhB (10 m</w:t>
      </w:r>
      <w:bookmarkStart w:id="3" w:name="_Hlk191117528"/>
      <w:r>
        <w:rPr>
          <w:rFonts w:ascii="Times New Roman" w:hAnsi="Times New Roman"/>
          <w:sz w:val="21"/>
          <w:szCs w:val="16"/>
        </w:rPr>
        <w:t>g</w:t>
      </w:r>
      <w:r>
        <w:rPr>
          <w:rFonts w:ascii="Times New Roman" w:hAnsi="Times New Roman"/>
          <w:sz w:val="21"/>
          <w:szCs w:val="16"/>
          <w:lang w:eastAsia="zh-CN"/>
        </w:rPr>
        <w:t xml:space="preserve"> </w:t>
      </w:r>
      <w:r>
        <w:rPr>
          <w:rFonts w:ascii="Times New Roman" w:hAnsi="Times New Roman"/>
          <w:sz w:val="21"/>
          <w:szCs w:val="16"/>
        </w:rPr>
        <w:t>L</w:t>
      </w:r>
      <w:r>
        <w:rPr>
          <w:rFonts w:ascii="Times New Roman" w:hAnsi="Times New Roman"/>
          <w:sz w:val="21"/>
          <w:szCs w:val="16"/>
          <w:vertAlign w:val="superscript"/>
          <w:lang w:eastAsia="zh-CN"/>
        </w:rPr>
        <w:t>-1</w:t>
      </w:r>
      <w:bookmarkEnd w:id="3"/>
      <w:r>
        <w:rPr>
          <w:rFonts w:ascii="Times New Roman" w:hAnsi="Times New Roman"/>
          <w:sz w:val="21"/>
          <w:szCs w:val="16"/>
        </w:rPr>
        <w:t>) by TT-PA (0.3 g</w:t>
      </w:r>
      <w:r>
        <w:rPr>
          <w:rFonts w:ascii="Times New Roman" w:hAnsi="Times New Roman"/>
          <w:sz w:val="21"/>
          <w:szCs w:val="16"/>
          <w:lang w:eastAsia="zh-CN"/>
        </w:rPr>
        <w:t xml:space="preserve"> </w:t>
      </w:r>
      <w:r>
        <w:rPr>
          <w:rFonts w:ascii="Times New Roman" w:hAnsi="Times New Roman"/>
          <w:sz w:val="21"/>
          <w:szCs w:val="16"/>
        </w:rPr>
        <w:t>L</w:t>
      </w:r>
      <w:r>
        <w:rPr>
          <w:rFonts w:ascii="Times New Roman" w:hAnsi="Times New Roman"/>
          <w:sz w:val="21"/>
          <w:szCs w:val="16"/>
          <w:vertAlign w:val="superscript"/>
          <w:lang w:eastAsia="zh-CN"/>
        </w:rPr>
        <w:t>-1</w:t>
      </w:r>
      <w:r>
        <w:rPr>
          <w:rFonts w:ascii="Times New Roman" w:hAnsi="Times New Roman"/>
          <w:sz w:val="21"/>
          <w:szCs w:val="16"/>
        </w:rPr>
        <w:t>).</w:t>
      </w:r>
      <w:r>
        <w:rPr>
          <w:rFonts w:ascii="Times New Roman" w:hAnsi="Times New Roman"/>
          <w:sz w:val="21"/>
          <w:szCs w:val="16"/>
          <w:lang w:eastAsia="zh-CN"/>
        </w:rPr>
        <w:t xml:space="preserve"> (</w:t>
      </w:r>
      <w:r>
        <w:rPr>
          <w:rFonts w:ascii="Times New Roman" w:hAnsi="Times New Roman"/>
          <w:sz w:val="21"/>
          <w:szCs w:val="16"/>
        </w:rPr>
        <w:t>f</w:t>
      </w:r>
      <w:r>
        <w:rPr>
          <w:rFonts w:ascii="Times New Roman" w:hAnsi="Times New Roman"/>
          <w:sz w:val="21"/>
          <w:szCs w:val="16"/>
          <w:lang w:eastAsia="zh-CN"/>
        </w:rPr>
        <w:t>)</w:t>
      </w:r>
      <w:r>
        <w:rPr>
          <w:rFonts w:ascii="Times New Roman" w:hAnsi="Times New Roman"/>
          <w:sz w:val="21"/>
          <w:szCs w:val="16"/>
        </w:rPr>
        <w:t xml:space="preserve"> Photocatalytic cycling experiment</w:t>
      </w:r>
      <w:r>
        <w:rPr>
          <w:rFonts w:ascii="Times New Roman" w:hAnsi="Times New Roman"/>
          <w:sz w:val="21"/>
          <w:szCs w:val="16"/>
          <w:lang w:eastAsia="zh-CN"/>
        </w:rPr>
        <w:t>.</w:t>
      </w:r>
    </w:p>
    <w:p w14:paraId="7DC3B111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3595B82E">
      <w:pPr>
        <w:pStyle w:val="65"/>
        <w:spacing w:after="0" w:line="480" w:lineRule="auto"/>
        <w:jc w:val="center"/>
        <w:rPr>
          <w:b/>
          <w:bCs/>
          <w:sz w:val="21"/>
          <w:szCs w:val="16"/>
        </w:rPr>
      </w:pPr>
      <w:r>
        <w:rPr>
          <w:b/>
          <w:bCs/>
          <w:sz w:val="21"/>
          <w:szCs w:val="16"/>
        </w:rPr>
        <w:br w:type="page"/>
      </w:r>
    </w:p>
    <w:p w14:paraId="1375ADF9">
      <w:pPr>
        <w:pStyle w:val="65"/>
        <w:spacing w:after="0" w:line="480" w:lineRule="auto"/>
        <w:jc w:val="center"/>
        <w:rPr>
          <w:sz w:val="21"/>
          <w:szCs w:val="16"/>
          <w:lang w:eastAsia="zh-CN"/>
        </w:rPr>
      </w:pPr>
      <w:r>
        <w:rPr>
          <w:b/>
          <w:bCs/>
          <w:sz w:val="21"/>
          <w:szCs w:val="16"/>
        </w:rPr>
        <w:t xml:space="preserve">Table </w:t>
      </w:r>
      <w:r>
        <w:rPr>
          <w:rFonts w:hint="eastAsia"/>
          <w:b/>
          <w:bCs/>
          <w:sz w:val="21"/>
          <w:szCs w:val="16"/>
          <w:lang w:eastAsia="zh-CN"/>
        </w:rPr>
        <w:t>S1.</w:t>
      </w:r>
      <w:r>
        <w:rPr>
          <w:sz w:val="21"/>
          <w:szCs w:val="16"/>
        </w:rPr>
        <w:t xml:space="preserve"> Performance of photocatalysts for overall H</w:t>
      </w:r>
      <w:r>
        <w:rPr>
          <w:sz w:val="21"/>
          <w:szCs w:val="16"/>
          <w:vertAlign w:val="subscript"/>
        </w:rPr>
        <w:t>2</w:t>
      </w:r>
      <w:r>
        <w:rPr>
          <w:sz w:val="21"/>
          <w:szCs w:val="16"/>
        </w:rPr>
        <w:t>O</w:t>
      </w:r>
      <w:r>
        <w:rPr>
          <w:sz w:val="21"/>
          <w:szCs w:val="16"/>
          <w:vertAlign w:val="subscript"/>
        </w:rPr>
        <w:t>2</w:t>
      </w:r>
      <w:r>
        <w:rPr>
          <w:sz w:val="21"/>
          <w:szCs w:val="16"/>
        </w:rPr>
        <w:t xml:space="preserve"> photosynthesis</w:t>
      </w:r>
      <w:r>
        <w:rPr>
          <w:rFonts w:hint="eastAsia"/>
          <w:sz w:val="21"/>
          <w:szCs w:val="16"/>
          <w:lang w:eastAsia="zh-CN"/>
        </w:rPr>
        <w:t>.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3"/>
        <w:gridCol w:w="122"/>
        <w:gridCol w:w="1865"/>
        <w:gridCol w:w="1866"/>
        <w:gridCol w:w="1557"/>
        <w:gridCol w:w="1367"/>
      </w:tblGrid>
      <w:tr w14:paraId="74141E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5" w:type="dxa"/>
            <w:gridSpan w:val="2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249FF4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Photocatalysts</w:t>
            </w:r>
          </w:p>
        </w:tc>
        <w:tc>
          <w:tcPr>
            <w:tcW w:w="1865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277DA55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Wavelength</w:t>
            </w:r>
            <w:r>
              <w:rPr>
                <w:rFonts w:hint="eastAsia" w:ascii="Times New Roman" w:hAnsi="Times New Roman" w:cs="Times New Roman"/>
                <w:sz w:val="24"/>
              </w:rPr>
              <w:t>(nm)</w:t>
            </w:r>
          </w:p>
        </w:tc>
        <w:tc>
          <w:tcPr>
            <w:tcW w:w="1866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1A3E00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Solvent</w:t>
            </w:r>
          </w:p>
        </w:tc>
        <w:tc>
          <w:tcPr>
            <w:tcW w:w="1557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57AFE4B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rate (</w:t>
            </w:r>
            <w:r>
              <w:rPr>
                <w:rFonts w:ascii="Times New Roman" w:hAnsi="Times New Roman" w:cs="Times New Roman"/>
                <w:sz w:val="24"/>
                <w:lang w:val="el-GR"/>
              </w:rPr>
              <w:t>μ</w:t>
            </w:r>
            <w:r>
              <w:rPr>
                <w:rFonts w:ascii="Times New Roman" w:hAnsi="Times New Roman" w:cs="Times New Roman"/>
                <w:sz w:val="24"/>
              </w:rPr>
              <w:t>mol g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367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11E75E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Ref.</w:t>
            </w:r>
          </w:p>
        </w:tc>
      </w:tr>
      <w:tr w14:paraId="6435E9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3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42E37CB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TiCOF-spn</w:t>
            </w:r>
          </w:p>
        </w:tc>
        <w:tc>
          <w:tcPr>
            <w:tcW w:w="1987" w:type="dxa"/>
            <w:gridSpan w:val="2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2C33DB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＞420</w:t>
            </w:r>
          </w:p>
        </w:tc>
        <w:tc>
          <w:tcPr>
            <w:tcW w:w="1866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5C7DB2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H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 w:val="24"/>
              </w:rPr>
              <w:t>O</w:t>
            </w:r>
          </w:p>
        </w:tc>
        <w:tc>
          <w:tcPr>
            <w:tcW w:w="1557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5D2E86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223.55</w:t>
            </w:r>
          </w:p>
        </w:tc>
        <w:tc>
          <w:tcPr>
            <w:tcW w:w="1367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5CE8A6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instrText xml:space="preserve"> ADDIN EN.CITE &lt;EndNote&gt;&lt;Cite&gt;&lt;Author&gt;Han&lt;/Author&gt;&lt;Year&gt;2022&lt;/Year&gt;&lt;RecNum&gt;75&lt;/RecNum&gt;&lt;DisplayText&gt;[1]&lt;/DisplayText&gt;&lt;record&gt;&lt;rec-number&gt;75&lt;/rec-number&gt;&lt;foreign-keys&gt;&lt;key app="EN" db-id="v5d9dspwyt5rx5easzb5dr0bv2fwwv5vrtde" timestamp="1750407223"&gt;75&lt;/key&gt;&lt;/foreign-keys&gt;&lt;ref-type name="Journal Article"&gt;17&lt;/ref-type&gt;&lt;contributors&gt;&lt;authors&gt;&lt;author&gt;Han, Wang-Kang&lt;/author&gt;&lt;author&gt;Lu, Hui-Shu&lt;/author&gt;&lt;author&gt;Fu, Jia-Xing&lt;/author&gt;&lt;author&gt;Liu, Xin&lt;/author&gt;&lt;author&gt;Zhu, Xiangmiao&lt;/author&gt;&lt;author&gt;Yan, Xiaodong&lt;/author&gt;&lt;author&gt;Zhang, Jiangwei&lt;/author&gt;&lt;author&gt;Jiang, Yuqin&lt;/author&gt;&lt;author&gt;Dong, Hongliang&lt;/author&gt;&lt;author&gt;Gu, Zhi-Guo&lt;/author&gt;&lt;/authors&gt;&lt;/contributors&gt;&lt;titles&gt;&lt;title&gt;Targeted construction of a three-dimensional metal covalent organic framework with spn topology for photocatalytic hydrogen peroxide production&lt;/title&gt;&lt;secondary-title&gt;Chemical Engineering Journal&lt;/secondary-title&gt;&lt;/titles&gt;&lt;pages&gt;137802&lt;/pages&gt;&lt;volume&gt;449&lt;/volume&gt;&lt;keywords&gt;&lt;keyword&gt;Covalent organic frameworks&lt;/keyword&gt;&lt;keyword&gt;Three-dimensional&lt;/keyword&gt;&lt;keyword&gt;Photocatalysis&lt;/keyword&gt;&lt;keyword&gt;Hydrogen peroxide production&lt;/keyword&gt;&lt;/keywords&gt;&lt;dates&gt;&lt;year&gt;2022&lt;/year&gt;&lt;pub-dates&gt;&lt;date&gt;2022/12/01/&lt;/date&gt;&lt;/pub-dates&gt;&lt;/dates&gt;&lt;isbn&gt;1385-8947&lt;/isbn&gt;&lt;urls&gt;&lt;related-urls&gt;&lt;url&gt;https://www.sciencedirect.com/science/article/pii/S1385894722032892&lt;/url&gt;&lt;/related-urls&gt;&lt;/urls&gt;&lt;electronic-resource-num&gt;https://doi.org/10.1016/j.cej.2022.137802&lt;/electronic-resource-num&gt;&lt;/record&gt;&lt;/Cite&gt;&lt;/EndNote&gt;</w:instrTex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t>[1]</w: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end"/>
            </w:r>
          </w:p>
        </w:tc>
      </w:tr>
      <w:tr w14:paraId="49E30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E671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COF-TfpBpy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6B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＞420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445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H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 w:val="24"/>
              </w:rPr>
              <w:t>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BF1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695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222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instrText xml:space="preserve"> ADDIN EN.CITE &lt;EndNote&gt;&lt;Cite&gt;&lt;Author&gt;Kou&lt;/Author&gt;&lt;Year&gt;2022&lt;/Year&gt;&lt;RecNum&gt;76&lt;/RecNum&gt;&lt;DisplayText&gt;[2]&lt;/DisplayText&gt;&lt;record&gt;&lt;rec-number&gt;76&lt;/rec-number&gt;&lt;foreign-keys&gt;&lt;key app="EN" db-id="v5d9dspwyt5rx5easzb5dr0bv2fwwv5vrtde" timestamp="1750407906"&gt;76&lt;/key&gt;&lt;/foreign-keys&gt;&lt;ref-type name="Journal Article"&gt;17&lt;/ref-type&gt;&lt;contributors&gt;&lt;authors&gt;&lt;author&gt;Kou, Mingpu&lt;/author&gt;&lt;author&gt;Wang, Yongye&lt;/author&gt;&lt;author&gt;Xu, Yixue&lt;/author&gt;&lt;author&gt;Ye, Liqun&lt;/author&gt;&lt;author&gt;Huang, Yingping&lt;/author&gt;&lt;author&gt;Jia, Baohua&lt;/author&gt;&lt;author&gt;Li, Hui&lt;/author&gt;&lt;author&gt;Ren, Jiaqi&lt;/author&gt;&lt;author&gt;Deng, Yu&lt;/author&gt;&lt;author&gt;Chen, Jiahao&lt;/author&gt;&lt;author&gt;Zhou, Ying&lt;/author&gt;&lt;author&gt;Lei, Kai&lt;/author&gt;&lt;author&gt;Wang, Li&lt;/author&gt;&lt;author&gt;Liu, Wei&lt;/author&gt;&lt;author&gt;Huang, Hongwei&lt;/author&gt;&lt;author&gt;Ma, Tianyi&lt;/author&gt;&lt;/authors&gt;&lt;/contributors&gt;&lt;titles&gt;&lt;title&gt;Molecularly Engineered Covalent Organic Frameworks for Hydrogen Peroxide Photosynthesis&lt;/title&gt;&lt;secondary-title&gt;Angewandte Chemie International Edition&lt;/secondary-title&gt;&lt;/titles&gt;&lt;pages&gt;e202200413&lt;/pages&gt;&lt;volume&gt;61&lt;/volume&gt;&lt;number&gt;19&lt;/number&gt;&lt;keywords&gt;&lt;keyword&gt;Bipyridine&lt;/keyword&gt;&lt;keyword&gt;COFs&lt;/keyword&gt;&lt;keyword&gt;Environmental Chemistry&lt;/keyword&gt;&lt;keyword&gt;H2O2&lt;/keyword&gt;&lt;keyword&gt;Photosynthesis&lt;/keyword&gt;&lt;/keywords&gt;&lt;dates&gt;&lt;year&gt;2022&lt;/year&gt;&lt;pub-dates&gt;&lt;date&gt;2022/05/02&lt;/date&gt;&lt;/pub-dates&gt;&lt;/dates&gt;&lt;publisher&gt;John Wiley &amp;amp; Sons, Ltd&lt;/publisher&gt;&lt;isbn&gt;1433-7851&lt;/isbn&gt;&lt;urls&gt;&lt;related-urls&gt;&lt;url&gt;https://doi.org/10.1002/anie.202200413&lt;/url&gt;&lt;/related-urls&gt;&lt;/urls&gt;&lt;electronic-resource-num&gt;https://doi.org/10.1002/anie.202200413&lt;/electronic-resource-num&gt;&lt;access-date&gt;2025/06/20&lt;/access-date&gt;&lt;/record&gt;&lt;/Cite&gt;&lt;/EndNote&gt;</w:instrTex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t>[2]</w: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end"/>
            </w:r>
          </w:p>
        </w:tc>
      </w:tr>
      <w:tr w14:paraId="30719F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F98F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HIAM-0009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B6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＞420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2C9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H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 w:val="24"/>
              </w:rPr>
              <w:t>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208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796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3B2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instrText xml:space="preserve"> ADDIN EN.CITE &lt;EndNote&gt;&lt;Cite&gt;&lt;Author&gt;Han&lt;/Author&gt;&lt;Year&gt;2024&lt;/Year&gt;&lt;RecNum&gt;78&lt;/RecNum&gt;&lt;DisplayText&gt;[3]&lt;/DisplayText&gt;&lt;record&gt;&lt;rec-number&gt;78&lt;/rec-number&gt;&lt;foreign-keys&gt;&lt;key app="EN" db-id="v5d9dspwyt5rx5easzb5dr0bv2fwwv5vrtde" timestamp="1750409947"&gt;78&lt;/key&gt;&lt;/foreign-keys&gt;&lt;ref-type name="Journal Article"&gt;17&lt;/ref-type&gt;&lt;contributors&gt;&lt;authors&gt;&lt;author&gt;Han, Chao-Qin&lt;/author&gt;&lt;author&gt;Guo, Jia-Xin&lt;/author&gt;&lt;author&gt;Wang, Lei&lt;/author&gt;&lt;author&gt;Sun, Shuai&lt;/author&gt;&lt;author&gt;Lv, Jie&lt;/author&gt;&lt;author&gt;Sun, Xiaokang&lt;/author&gt;&lt;author&gt;Hu, Hanlin&lt;/author&gt;&lt;author&gt;Huang, Xiaoxi&lt;/author&gt;&lt;author&gt;Liu, Xiao-Yuan&lt;/author&gt;&lt;/authors&gt;&lt;/contributors&gt;&lt;titles&gt;&lt;title&gt;Linker engineering of benzothiadiazole and its derivative-based covalent organic frameworks for efficient photocatalytic oxidative amine coupling and hydrogen peroxide generation&lt;/title&gt;&lt;secondary-title&gt;Journal of Materials Chemistry C&lt;/secondary-title&gt;&lt;/titles&gt;&lt;pages&gt;16059-16066&lt;/pages&gt;&lt;volume&gt;12&lt;/volume&gt;&lt;number&gt;39&lt;/number&gt;&lt;dates&gt;&lt;year&gt;2024&lt;/year&gt;&lt;/dates&gt;&lt;urls&gt;&lt;/urls&gt;&lt;electronic-resource-num&gt;https://doi.org/10.1039/d5qi00417a&lt;/electronic-resource-num&gt;&lt;/record&gt;&lt;/Cite&gt;&lt;/EndNote&gt;</w:instrTex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t>[3]</w: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end"/>
            </w:r>
          </w:p>
        </w:tc>
      </w:tr>
      <w:tr w14:paraId="2DE9A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1773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TPTZ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7B1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＞420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55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H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 w:val="24"/>
              </w:rPr>
              <w:t>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8DD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1418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43A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instrText xml:space="preserve"> ADDIN EN.CITE &lt;EndNote&gt;&lt;Cite&gt;&lt;Author&gt;Liao&lt;/Author&gt;&lt;Year&gt;2023&lt;/Year&gt;&lt;RecNum&gt;77&lt;/RecNum&gt;&lt;DisplayText&gt;[4]&lt;/DisplayText&gt;&lt;record&gt;&lt;rec-number&gt;77&lt;/rec-number&gt;&lt;foreign-keys&gt;&lt;key app="EN" db-id="v5d9dspwyt5rx5easzb5dr0bv2fwwv5vrtde" timestamp="1750409812"&gt;77&lt;/key&gt;&lt;/foreign-keys&gt;&lt;ref-type name="Journal Article"&gt;17&lt;/ref-type&gt;&lt;contributors&gt;&lt;authors&gt;&lt;author&gt;Liao, Qiaobo&lt;/author&gt;&lt;author&gt;Sun, Qiannan&lt;/author&gt;&lt;author&gt;Xu, Haocheng&lt;/author&gt;&lt;author&gt;Wang, Yandong&lt;/author&gt;&lt;author&gt;Xu, Yang&lt;/author&gt;&lt;author&gt;Li, Ziyu&lt;/author&gt;&lt;author&gt;Hu, Jinwu&lt;/author&gt;&lt;author&gt;Wang, Ding&lt;/author&gt;&lt;author&gt;Li, Huijun&lt;/author&gt;&lt;author&gt;Xi, Kai&lt;/author&gt;&lt;/authors&gt;&lt;/contributors&gt;&lt;titles&gt;&lt;title&gt;Regulating relative nitrogen locations of diazine functionalized covalent organic frameworks for overall H2O2 photosynthesis&lt;/title&gt;&lt;secondary-title&gt;Angewandte Chemie&lt;/secondary-title&gt;&lt;/titles&gt;&lt;pages&gt;e202310556&lt;/pages&gt;&lt;volume&gt;135&lt;/volume&gt;&lt;number&gt;41&lt;/number&gt;&lt;dates&gt;&lt;year&gt;2023&lt;/year&gt;&lt;/dates&gt;&lt;isbn&gt;0044-8249&lt;/isbn&gt;&lt;urls&gt;&lt;/urls&gt;&lt;electronic-resource-num&gt;https://doi.org/10.1002/anie.202310556&lt;/electronic-resource-num&gt;&lt;/record&gt;&lt;/Cite&gt;&lt;/EndNote&gt;</w:instrTex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t>[4]</w: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end"/>
            </w:r>
          </w:p>
        </w:tc>
      </w:tr>
      <w:tr w14:paraId="588AC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276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PMCR-1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842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＞420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E42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H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 w:val="24"/>
              </w:rPr>
              <w:t>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A50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1445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EAE8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instrText xml:space="preserve"> ADDIN EN.CITE &lt;EndNote&gt;&lt;Cite&gt;&lt;Author&gt;Das&lt;/Author&gt;&lt;Year&gt;2023&lt;/Year&gt;&lt;RecNum&gt;79&lt;/RecNum&gt;&lt;DisplayText&gt;[5]&lt;/DisplayText&gt;&lt;record&gt;&lt;rec-number&gt;79&lt;/rec-number&gt;&lt;foreign-keys&gt;&lt;key app="EN" db-id="v5d9dspwyt5rx5easzb5dr0bv2fwwv5vrtde" timestamp="1750410121"&gt;79&lt;/key&gt;&lt;/foreign-keys&gt;&lt;ref-type name="Journal Article"&gt;17&lt;/ref-type&gt;&lt;contributors&gt;&lt;authors&gt;&lt;author&gt;Das, Prasenjit&lt;/author&gt;&lt;author&gt;Roeser, Jérôme&lt;/author&gt;&lt;author&gt;Thomas, Arne&lt;/author&gt;&lt;/authors&gt;&lt;/contributors&gt;&lt;titles&gt;&lt;title&gt;Solar light driven H2O2 production and selective oxidations using a covalent organic framework photocatalyst prepared by a multicomponent reaction&lt;/title&gt;&lt;secondary-title&gt;Angewandte Chemie&lt;/secondary-title&gt;&lt;/titles&gt;&lt;pages&gt;e202304349&lt;/pages&gt;&lt;volume&gt;135&lt;/volume&gt;&lt;number&gt;29&lt;/number&gt;&lt;dates&gt;&lt;year&gt;2023&lt;/year&gt;&lt;/dates&gt;&lt;isbn&gt;0044-8249&lt;/isbn&gt;&lt;urls&gt;&lt;/urls&gt;&lt;electronic-resource-num&gt;https://doi.org/10.1002/anie.202304349&lt;/electronic-resource-num&gt;&lt;/record&gt;&lt;/Cite&gt;&lt;/EndNote&gt;</w:instrTex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t>[5]</w: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end"/>
            </w:r>
          </w:p>
        </w:tc>
      </w:tr>
      <w:tr w14:paraId="1BFA3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FD6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1H-COF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74E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＞420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E49B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H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 w:val="24"/>
              </w:rPr>
              <w:t>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E59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1483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23E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instrText xml:space="preserve"> ADDIN EN.CITE &lt;EndNote&gt;&lt;Cite&gt;&lt;Author&gt;Hu&lt;/Author&gt;&lt;Year&gt;2023&lt;/Year&gt;&lt;RecNum&gt;80&lt;/RecNum&gt;&lt;DisplayText&gt;[6]&lt;/DisplayText&gt;&lt;record&gt;&lt;rec-number&gt;80&lt;/rec-number&gt;&lt;foreign-keys&gt;&lt;key app="EN" db-id="v5d9dspwyt5rx5easzb5dr0bv2fwwv5vrtde" timestamp="1750410276"&gt;80&lt;/key&gt;&lt;/foreign-keys&gt;&lt;ref-type name="Journal Article"&gt;17&lt;/ref-type&gt;&lt;contributors&gt;&lt;authors&gt;&lt;author&gt;Hu, Hao&lt;/author&gt;&lt;author&gt;Tao, Yinglong&lt;/author&gt;&lt;author&gt;Wang, Di&lt;/author&gt;&lt;author&gt;Li, Changlai&lt;/author&gt;&lt;author&gt;Jiang, Qichao&lt;/author&gt;&lt;author&gt;Shi, Yuexin&lt;/author&gt;&lt;author&gt;Wang, Jian&lt;/author&gt;&lt;author&gt;Qin, Jinping&lt;/author&gt;&lt;author&gt;Zhou, Shijian&lt;/author&gt;&lt;author&gt;Kong, Yan&lt;/author&gt;&lt;/authors&gt;&lt;/contributors&gt;&lt;titles&gt;&lt;title&gt;Rational modification of hydroxy-functionalized covalent organic frameworks for enhanced photocatalytic hydrogen peroxide evolution&lt;/title&gt;&lt;secondary-title&gt;Journal of Colloid and Interface Science&lt;/secondary-title&gt;&lt;/titles&gt;&lt;pages&gt;750-762&lt;/pages&gt;&lt;volume&gt;629&lt;/volume&gt;&lt;dates&gt;&lt;year&gt;2023&lt;/year&gt;&lt;/dates&gt;&lt;isbn&gt;0021-9797&lt;/isbn&gt;&lt;urls&gt;&lt;/urls&gt;&lt;electronic-resource-num&gt;https://doi.org/10.1016/j.jcis.2022.09.111&lt;/electronic-resource-num&gt;&lt;/record&gt;&lt;/Cite&gt;&lt;/EndNote&gt;</w:instrTex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t>[6]</w: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end"/>
            </w:r>
          </w:p>
        </w:tc>
      </w:tr>
      <w:tr w14:paraId="670BA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0E0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N0-COF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079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＞</w:t>
            </w:r>
            <w:r>
              <w:rPr>
                <w:rFonts w:ascii="Times New Roman" w:hAnsi="Times New Roman"/>
                <w:sz w:val="24"/>
              </w:rPr>
              <w:t>495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C3F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H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 w:val="24"/>
              </w:rPr>
              <w:t>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BB0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1570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D77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instrText xml:space="preserve"> ADDIN EN.CITE &lt;EndNote&gt;&lt;Cite&gt;&lt;Author&gt;Chai&lt;/Author&gt;&lt;Year&gt;2022&lt;/Year&gt;&lt;RecNum&gt;81&lt;/RecNum&gt;&lt;DisplayText&gt;[7]&lt;/DisplayText&gt;&lt;record&gt;&lt;rec-number&gt;81&lt;/rec-number&gt;&lt;foreign-keys&gt;&lt;key app="EN" db-id="v5d9dspwyt5rx5easzb5dr0bv2fwwv5vrtde" timestamp="1750410408"&gt;81&lt;/key&gt;&lt;/foreign-keys&gt;&lt;ref-type name="Journal Article"&gt;17&lt;/ref-type&gt;&lt;contributors&gt;&lt;authors&gt;&lt;author&gt;Chai, Shuming&lt;/author&gt;&lt;author&gt;Chen, Xiaowen&lt;/author&gt;&lt;author&gt;Zhang, Xirui&lt;/author&gt;&lt;author&gt;Fang, Yuanxing&lt;/author&gt;&lt;author&gt;Sprick, Reiner Sebastian&lt;/author&gt;&lt;author&gt;Chen, Xiong&lt;/author&gt;&lt;/authors&gt;&lt;/contributors&gt;&lt;titles&gt;&lt;title&gt;Rational design of covalent organic frameworks for efficient photocatalytic hydrogen peroxide production&lt;/title&gt;&lt;secondary-title&gt;Environmental Science: Nano&lt;/secondary-title&gt;&lt;/titles&gt;&lt;pages&gt;2464-2469&lt;/pages&gt;&lt;volume&gt;9&lt;/volume&gt;&lt;number&gt;7&lt;/number&gt;&lt;dates&gt;&lt;year&gt;2022&lt;/year&gt;&lt;/dates&gt;&lt;urls&gt;&lt;/urls&gt;&lt;electronic-resource-num&gt;https://doi.org/10.1039/d2en00135g&lt;/electronic-resource-num&gt;&lt;/record&gt;&lt;/Cite&gt;&lt;/EndNote&gt;</w:instrTex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t>[7]</w: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end"/>
            </w:r>
          </w:p>
        </w:tc>
      </w:tr>
      <w:tr w14:paraId="57235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3EB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4PE-N-S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BABB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＞420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660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H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 w:val="24"/>
              </w:rPr>
              <w:t>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52F2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1574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F1F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instrText xml:space="preserve"> ADDIN EN.CITE &lt;EndNote&gt;&lt;Cite&gt;&lt;Author&gt;Deng&lt;/Author&gt;&lt;Year&gt;2023&lt;/Year&gt;&lt;RecNum&gt;82&lt;/RecNum&gt;&lt;DisplayText&gt;[8]&lt;/DisplayText&gt;&lt;record&gt;&lt;rec-number&gt;82&lt;/rec-number&gt;&lt;foreign-keys&gt;&lt;key app="EN" db-id="v5d9dspwyt5rx5easzb5dr0bv2fwwv5vrtde" timestamp="1750410517"&gt;82&lt;/key&gt;&lt;/foreign-keys&gt;&lt;ref-type name="Journal Article"&gt;17&lt;/ref-type&gt;&lt;contributors&gt;&lt;authors&gt;&lt;author&gt;Deng, Maojun&lt;/author&gt;&lt;author&gt;Sun, Jiamin&lt;/author&gt;&lt;author&gt;Laemont, Andreas&lt;/author&gt;&lt;author&gt;Liu, Chunhui&lt;/author&gt;&lt;author&gt;Wang, Linyang&lt;/author&gt;&lt;author&gt;Bourda, Laurens&lt;/author&gt;&lt;author&gt;Chakraborty, Jeet&lt;/author&gt;&lt;author&gt;Van Hecke, Kristof&lt;/author&gt;&lt;author&gt;Morent, Rino&lt;/author&gt;&lt;author&gt;De Geyter, Nathalie&lt;/author&gt;&lt;/authors&gt;&lt;/contributors&gt;&lt;titles&gt;&lt;title&gt;&lt;style face="normal" font="default" size="100%"&gt;Extending the &lt;/style&gt;&lt;style face="normal" font="default" charset="161" size="100%"&gt;π-conjugation system of covalent organic frameworks for more efficient photocatalytic H 2 O 2 production&lt;/style&gt;&lt;/title&gt;&lt;secondary-title&gt;Green Chemistry&lt;/secondary-title&gt;&lt;/titles&gt;&lt;pages&gt;3069-3076&lt;/pages&gt;&lt;volume&gt;25&lt;/volume&gt;&lt;number&gt;8&lt;/number&gt;&lt;dates&gt;&lt;year&gt;2023&lt;/year&gt;&lt;/dates&gt;&lt;urls&gt;&lt;/urls&gt;&lt;electronic-resource-num&gt;https://doi.org/10.1039/d2gc04459e&lt;/electronic-resource-num&gt;&lt;/record&gt;&lt;/Cite&gt;&lt;/EndNote&gt;</w:instrTex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t>[8]</w: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end"/>
            </w:r>
          </w:p>
        </w:tc>
      </w:tr>
      <w:tr w14:paraId="774FE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48D9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HEP-TAPT-COF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879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＞420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D8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H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 w:val="24"/>
              </w:rPr>
              <w:t>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10C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1705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8EB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instrText xml:space="preserve"> ADDIN EN.CITE &lt;EndNote&gt;&lt;Cite&gt;&lt;Author&gt;Chen&lt;/Author&gt;&lt;Year&gt;2023&lt;/Year&gt;&lt;RecNum&gt;83&lt;/RecNum&gt;&lt;DisplayText&gt;[9]&lt;/DisplayText&gt;&lt;record&gt;&lt;rec-number&gt;83&lt;/rec-number&gt;&lt;foreign-keys&gt;&lt;key app="EN" db-id="v5d9dspwyt5rx5easzb5dr0bv2fwwv5vrtde" timestamp="1750410664"&gt;83&lt;/key&gt;&lt;/foreign-keys&gt;&lt;ref-type name="Journal Article"&gt;17&lt;/ref-type&gt;&lt;contributors&gt;&lt;authors&gt;&lt;author&gt;Chen, Dan&lt;/author&gt;&lt;author&gt;Chen, Weiben&lt;/author&gt;&lt;author&gt;Wu, Yuting&lt;/author&gt;&lt;author&gt;Wang, Lei&lt;/author&gt;&lt;author&gt;Wu, Xiaojun&lt;/author&gt;&lt;author&gt;Xu, Hangxun&lt;/author&gt;&lt;author&gt;Chen, Long&lt;/author&gt;&lt;/authors&gt;&lt;/contributors&gt;&lt;titles&gt;&lt;title&gt;Covalent organic frameworks containing dual O2 reduction centers for overall photosynthetic hydrogen peroxide production&lt;/title&gt;&lt;secondary-title&gt;Angewandte Chemie International Edition&lt;/secondary-title&gt;&lt;/titles&gt;&lt;pages&gt;e202217479&lt;/pages&gt;&lt;volume&gt;62&lt;/volume&gt;&lt;number&gt;9&lt;/number&gt;&lt;dates&gt;&lt;year&gt;2023&lt;/year&gt;&lt;/dates&gt;&lt;isbn&gt;1433-7851&lt;/isbn&gt;&lt;urls&gt;&lt;/urls&gt;&lt;electronic-resource-num&gt;https://doi.org/10.1002/anie.202217479&lt;/electronic-resource-num&gt;&lt;/record&gt;&lt;/Cite&gt;&lt;/EndNote&gt;</w:instrTex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t>[9]</w: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end"/>
            </w:r>
          </w:p>
        </w:tc>
      </w:tr>
      <w:tr w14:paraId="1E978E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6C1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TAPB-PDA-OH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91E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＞420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82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H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 w:val="24"/>
              </w:rPr>
              <w:t>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019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1841.3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01A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begin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instrText xml:space="preserve"> ADDIN EN.CITE &lt;EndNote&gt;&lt;Cite&gt;&lt;Author&gt;Yang&lt;/Author&gt;&lt;Year&gt;2022&lt;/Year&gt;&lt;RecNum&gt;84&lt;/RecNum&gt;&lt;DisplayText&gt;[10]&lt;/DisplayText&gt;&lt;record&gt;&lt;rec-number&gt;84&lt;/rec-number&gt;&lt;foreign-keys&gt;&lt;key app="EN" db-id="v5d9dspwyt5rx5easzb5dr0bv2fwwv5vrtde" timestamp="1750410756"&gt;84&lt;/key&gt;&lt;/foreign-keys&gt;&lt;ref-type name="Journal Article"&gt;17&lt;/ref-type&gt;&lt;contributors&gt;&lt;authors&gt;&lt;author&gt;Yang, Yepeng&lt;/author&gt;&lt;author&gt;Kang, Juanxue&lt;/author&gt;&lt;author&gt;Li, Yuan&lt;/author&gt;&lt;author&gt;Liang, Jingjing&lt;/author&gt;&lt;author&gt;Liang, Jiaxuan&lt;/author&gt;&lt;author&gt;Jiang, Liang&lt;/author&gt;&lt;author&gt;Chen, Daomei&lt;/author&gt;&lt;author&gt;He, Jiao&lt;/author&gt;&lt;author&gt;Chen, Yongjuan&lt;/author&gt;&lt;author&gt;Wang, Jiaqiang&lt;/author&gt;&lt;/authors&gt;&lt;/contributors&gt;&lt;titles&gt;&lt;title&gt;Enhanced photocatalytic hydrogen peroxide production activity of imine-linked covalent organic frameworks via modification with functional groups&lt;/title&gt;&lt;secondary-title&gt;New Journal of Chemistry&lt;/secondary-title&gt;&lt;/titles&gt;&lt;pages&gt;21605-21614&lt;/pages&gt;&lt;volume&gt;46&lt;/volume&gt;&lt;number&gt;45&lt;/number&gt;&lt;dates&gt;&lt;year&gt;2022&lt;/year&gt;&lt;/dates&gt;&lt;urls&gt;&lt;/urls&gt;&lt;electronic-resource-num&gt;https://doi.org/10.1039/d2nj03744k&lt;/electronic-resource-num&gt;&lt;/record&gt;&lt;/Cite&gt;&lt;/EndNote&gt;</w:instrTex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 w:eastAsia="等线"/>
                <w:color w:val="000000"/>
                <w:sz w:val="24"/>
              </w:rPr>
              <w:t>[10]</w:t>
            </w:r>
            <w:r>
              <w:rPr>
                <w:rFonts w:ascii="Times New Roman" w:hAnsi="Times New Roman" w:eastAsia="等线"/>
                <w:color w:val="000000"/>
                <w:sz w:val="24"/>
              </w:rPr>
              <w:fldChar w:fldCharType="end"/>
            </w:r>
          </w:p>
        </w:tc>
      </w:tr>
      <w:tr w14:paraId="2430E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2F9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TT-BPA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A44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＞420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903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H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 w:val="24"/>
              </w:rPr>
              <w:t>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2B0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2041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7609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This work</w:t>
            </w:r>
          </w:p>
        </w:tc>
      </w:tr>
      <w:tr w14:paraId="52932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729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4"/>
                <w:szCs w:val="24"/>
              </w:rPr>
              <w:t>COF-JLU52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B05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</w:rPr>
              <w:t>＞</w:t>
            </w:r>
            <w:r>
              <w:rPr>
                <w:rFonts w:ascii="Times New Roman" w:hAnsi="Times New Roman" w:eastAsia="等线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BCE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</w:rPr>
              <w:t>H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 w:val="24"/>
              </w:rPr>
              <w:t>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690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4"/>
                <w:szCs w:val="24"/>
              </w:rPr>
              <w:t>2301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0D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</w:rPr>
              <w:instrText xml:space="preserve"> ADDIN EN.CITE &lt;EndNote&gt;&lt;Cite&gt;&lt;Author&gt;Zhang&lt;/Author&gt;&lt;Year&gt;2024&lt;/Year&gt;&lt;RecNum&gt;85&lt;/RecNum&gt;&lt;DisplayText&gt;[11]&lt;/DisplayText&gt;&lt;record&gt;&lt;rec-number&gt;85&lt;/rec-number&gt;&lt;foreign-keys&gt;&lt;key app="EN" db-id="v5d9dspwyt5rx5easzb5dr0bv2fwwv5vrtde" timestamp="1750410851"&gt;85&lt;/key&gt;&lt;/foreign-keys&gt;&lt;ref-type name="Journal Article"&gt;17&lt;/ref-type&gt;&lt;contributors&gt;&lt;authors&gt;&lt;author&gt;Zhang, Zhenwei&lt;/author&gt;&lt;author&gt;Zhang, Qi&lt;/author&gt;&lt;author&gt;Hou, Yuxin&lt;/author&gt;&lt;author&gt;Li, Jiali&lt;/author&gt;&lt;author&gt;Zhu, Shanshan&lt;/author&gt;&lt;author&gt;Xia, Hong&lt;/author&gt;&lt;a</w:instrText>
            </w:r>
            <w:r>
              <w:rPr>
                <w:rFonts w:hint="eastAsia" w:ascii="Times New Roman" w:hAnsi="Times New Roman" w:cs="Times New Roman"/>
                <w:sz w:val="24"/>
              </w:rPr>
              <w:instrText xml:space="preserve">uthor&gt;Yue, Huijuan&lt;/author&gt;&lt;author&gt;Liu, Xiaoming&lt;/author&gt;&lt;/authors&gt;&lt;/contributors&gt;&lt;titles&gt;&lt;title&gt;Tris (triazolo) triazine‐Based Covalent Organic Frameworks for Efficiently Photocatalytic Hydrogen Peroxide Production&lt;/title&gt;&lt;secondary-title&gt;Angewandte Chem</w:instrText>
            </w:r>
            <w:r>
              <w:rPr>
                <w:rFonts w:ascii="Times New Roman" w:hAnsi="Times New Roman" w:cs="Times New Roman"/>
                <w:sz w:val="24"/>
              </w:rPr>
              <w:instrText xml:space="preserve">ie International Edition&lt;/secondary-title&gt;&lt;/titles&gt;&lt;pages&gt;e202411546&lt;/pages&gt;&lt;volume&gt;63&lt;/volume&gt;&lt;number&gt;45&lt;/number&gt;&lt;dates&gt;&lt;year&gt;2024&lt;/year&gt;&lt;/dates&gt;&lt;isbn&gt;1433-7851&lt;/isbn&gt;&lt;urls&gt;&lt;/urls&gt;&lt;electronic-resource-num&gt;https://doi.org/10.1002/anie.202411546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</w:rPr>
              <w:t>[11]</w:t>
            </w:r>
            <w:r>
              <w:rPr>
                <w:rFonts w:ascii="Times New Roman" w:hAnsi="Times New Roman" w:cs="Times New Roman"/>
                <w:sz w:val="24"/>
              </w:rPr>
              <w:fldChar w:fldCharType="end"/>
            </w:r>
          </w:p>
        </w:tc>
      </w:tr>
      <w:tr w14:paraId="45AA6B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AE8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4"/>
                <w:szCs w:val="24"/>
              </w:rPr>
              <w:t>TTA-TTTA-COF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DC4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</w:rPr>
              <w:t>＞</w:t>
            </w:r>
            <w:r>
              <w:rPr>
                <w:rFonts w:ascii="Times New Roman" w:hAnsi="Times New Roman" w:eastAsia="等线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FEB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</w:rPr>
              <w:t>H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 w:val="24"/>
              </w:rPr>
              <w:t>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AC0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4"/>
                <w:szCs w:val="24"/>
              </w:rPr>
              <w:t>2406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A4D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</w:rPr>
              <w:instrText xml:space="preserve"> ADDIN EN.CITE &lt;EndNote&gt;&lt;Cite&gt;&lt;Author&gt;Tan&lt;/Author&gt;&lt;Year&gt;2022&lt;/Year&gt;&lt;RecNum&gt;86&lt;/RecNum&gt;&lt;DisplayText&gt;[12]&lt;/DisplayText&gt;&lt;record&gt;&lt;rec-number&gt;86&lt;/rec-number&gt;&lt;foreign-keys&gt;&lt;key app="EN" db-id="v5d9dspwyt5rx5easzb5dr0bv2fwwv5vrtde" timestamp="1750411035"&gt;86&lt;/key&gt;&lt;/foreign-keys&gt;&lt;ref-type name="Journal Article"&gt;17&lt;/ref-type&gt;&lt;contributors&gt;&lt;authors&gt;&lt;author&gt;Tan, Fanglin&lt;/author&gt;&lt;author&gt;Zheng, Yuanyuan&lt;/author&gt;&lt;author&gt;Zhou, Zhipeng&lt;/author&gt;&lt;author&gt;Wang, Honglei&lt;/author&gt;&lt;author&gt;Dong, Xin&lt;/author&gt;&lt;author&gt;Yang, Jing&lt;/author&gt;&lt;author&gt;Ou, Zhaowei&lt;/author&gt;&lt;author&gt;Qi, Haoyuan&lt;/author&gt;&lt;author&gt;Liu, Wei&lt;/author&gt;&lt;author&gt;Zheng, Zhikun&lt;/author&gt;&lt;/authors&gt;&lt;/contributors&gt;&lt;titles&gt;&lt;title&gt;Aqueous synthesis of covalent organic frameworks as photocatalysts for hydrogen peroxide production&lt;/title&gt;&lt;secondary-title&gt;CCS Chemistry&lt;/secondary-title&gt;&lt;/titles&gt;&lt;pages&gt;3751-3761&lt;/pages&gt;&lt;volume&gt;4&lt;/volume&gt;&lt;number&gt;12&lt;/number&gt;&lt;dates&gt;&lt;year&gt;2022&lt;/year&gt;&lt;/dates&gt;&lt;isbn&gt;2096-5745&lt;/isbn&gt;&lt;urls&gt;&lt;/urls&gt;&lt;electronic-resource-num&gt;https://doi.org/10.31635/ccschem.022.202101578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</w:rPr>
              <w:t>[12]</w:t>
            </w:r>
            <w:r>
              <w:rPr>
                <w:rFonts w:ascii="Times New Roman" w:hAnsi="Times New Roman" w:cs="Times New Roman"/>
                <w:sz w:val="24"/>
              </w:rPr>
              <w:fldChar w:fldCharType="end"/>
            </w:r>
          </w:p>
        </w:tc>
      </w:tr>
      <w:tr w14:paraId="773E90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757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4"/>
                <w:szCs w:val="24"/>
              </w:rPr>
              <w:t>TT-PA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A8C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</w:rPr>
              <w:t>＞</w:t>
            </w:r>
            <w:r>
              <w:rPr>
                <w:rFonts w:ascii="Times New Roman" w:hAnsi="Times New Roman" w:eastAsia="等线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F3C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</w:rPr>
              <w:t>H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 w:val="24"/>
              </w:rPr>
              <w:t>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3040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4"/>
                <w:szCs w:val="24"/>
              </w:rPr>
              <w:t>2470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E36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This work</w:t>
            </w:r>
          </w:p>
        </w:tc>
      </w:tr>
      <w:tr w14:paraId="3BEB54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837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4"/>
                <w:szCs w:val="24"/>
              </w:rPr>
              <w:t>FS-COFs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75F9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</w:rPr>
              <w:t>＞</w:t>
            </w:r>
            <w:r>
              <w:rPr>
                <w:rFonts w:ascii="Times New Roman" w:hAnsi="Times New Roman" w:eastAsia="等线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B99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</w:rPr>
              <w:t>H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 w:val="24"/>
              </w:rPr>
              <w:t>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FFA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4"/>
                <w:szCs w:val="24"/>
              </w:rPr>
              <w:t>3904.2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C72C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</w:rPr>
              <w:instrText xml:space="preserve"> ADDIN EN.CITE &lt;EndNote&gt;&lt;Cite&gt;&lt;Author&gt;Luo&lt;/Author&gt;&lt;Year&gt;2023&lt;/Year&gt;&lt;RecNum&gt;87&lt;/RecNum&gt;&lt;DisplayText&gt;[13]&lt;/DisplayText&gt;&lt;record&gt;&lt;rec-number&gt;87&lt;/rec-number&gt;&lt;foreign-keys&gt;&lt;key app="EN" db-id="v5d9dspwyt5rx5easzb5dr0bv2fwwv5vrtde" timestamp="1750411126"&gt;87&lt;/key&gt;&lt;/foreign-keys&gt;&lt;ref-type name="Journal Article"&gt;17&lt;/ref-type&gt;&lt;contributors&gt;&lt;authors&gt;&lt;author&gt;Luo, Yu&lt;/author&gt;&lt;author&gt;Zhang, Beiping&lt;/author&gt;&lt;author&gt;Liu, Chenchen&lt;/author&gt;&lt;author&gt;Xia, Dehua&lt;/author&gt;&lt;author&gt;Ou, Xinwen&lt;/author&gt;&lt;author&gt;Cai, Yanpeng&lt;/author&gt;&lt;a</w:instrText>
            </w:r>
            <w:r>
              <w:rPr>
                <w:rFonts w:hint="eastAsia" w:ascii="Times New Roman" w:hAnsi="Times New Roman" w:cs="Times New Roman"/>
                <w:sz w:val="24"/>
              </w:rPr>
              <w:instrText xml:space="preserve">uthor&gt;Zhou, Yang&lt;/author&gt;&lt;author&gt;Jiang, Jin&lt;/author&gt;&lt;author&gt;Han, Bin&lt;/author&gt;&lt;/authors&gt;&lt;/contributors&gt;&lt;titles&gt;&lt;title&gt;Sulfone‐modified covalent organic frameworks enabling efficient photocatalytic hydrogen peroxide generation via one‐step two‐electron O2 r</w:instrText>
            </w:r>
            <w:r>
              <w:rPr>
                <w:rFonts w:ascii="Times New Roman" w:hAnsi="Times New Roman" w:cs="Times New Roman"/>
                <w:sz w:val="24"/>
              </w:rPr>
              <w:instrText xml:space="preserve">eduction&lt;/title&gt;&lt;secondary-title&gt;Angewandte Chemie International Edition&lt;/secondary-title&gt;&lt;/titles&gt;&lt;pages&gt;e202305355&lt;/pages&gt;&lt;volume&gt;62&lt;/volume&gt;&lt;number&gt;26&lt;/number&gt;&lt;dates&gt;&lt;year&gt;2023&lt;/year&gt;&lt;/dates&gt;&lt;isbn&gt;1433-7851&lt;/isbn&gt;&lt;urls&gt;&lt;/urls&gt;&lt;electronic-resource-num&gt;https://doi.org/10.1002/ange.202305355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</w:rPr>
              <w:t>[13]</w:t>
            </w:r>
            <w:r>
              <w:rPr>
                <w:rFonts w:ascii="Times New Roman" w:hAnsi="Times New Roman" w:cs="Times New Roman"/>
                <w:sz w:val="24"/>
              </w:rPr>
              <w:fldChar w:fldCharType="end"/>
            </w:r>
          </w:p>
        </w:tc>
      </w:tr>
      <w:tr w14:paraId="3915CF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863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E21B5C2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4"/>
                <w:szCs w:val="24"/>
              </w:rPr>
              <w:t>Bpy-TAPT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E46B987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</w:rPr>
              <w:t>＞</w:t>
            </w:r>
            <w:r>
              <w:rPr>
                <w:rFonts w:ascii="Times New Roman" w:hAnsi="Times New Roman" w:eastAsia="等线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866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A48590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H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 w:val="24"/>
              </w:rPr>
              <w:t>O</w:t>
            </w:r>
          </w:p>
        </w:tc>
        <w:tc>
          <w:tcPr>
            <w:tcW w:w="1557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48BDAB9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4"/>
                <w:szCs w:val="24"/>
              </w:rPr>
              <w:t>4038</w:t>
            </w:r>
          </w:p>
        </w:tc>
        <w:tc>
          <w:tcPr>
            <w:tcW w:w="1367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452D7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</w:rPr>
              <w:instrText xml:space="preserve"> ADDIN EN.CITE &lt;EndNote&gt;&lt;Cite&gt;&lt;Author&gt;Liu&lt;/Author&gt;&lt;Year&gt;2023&lt;/Year&gt;&lt;RecNum&gt;88&lt;/RecNum&gt;&lt;DisplayText&gt;[14]&lt;/DisplayText&gt;&lt;record&gt;&lt;rec-number&gt;88&lt;/rec-number&gt;&lt;foreign-keys&gt;&lt;key app="EN" db-id="v5d9dspwyt5rx5easzb5dr0bv2fwwv5vrtde" timestamp="1750411221"&gt;88&lt;/key&gt;&lt;/foreign-keys&gt;&lt;ref-type name="Journal Article"&gt;17&lt;/ref-type&gt;&lt;contributors&gt;&lt;authors&gt;&lt;author&gt;Liu, Yong&lt;/author&gt;&lt;author&gt;Han, Wang-Kang&lt;/author&gt;&lt;author&gt;Chi, Wenwen&lt;/author&gt;&lt;author&gt;Mao, Yuqian&lt;/author&gt;&lt;author&gt;Jiang, Yuqin&lt;/author&gt;&lt;author&gt;Yan, Xiaodong&lt;/author&gt;&lt;author&gt;Gu, Zhi-Guo&lt;/author&gt;&lt;/authors&gt;&lt;/contributors&gt;&lt;titles&gt;&lt;title&gt;Substoichiometric covalent organic frameworks with uncondensed aldehyde for highly efficient hydrogen peroxide photosynthesis in pure water&lt;/title&gt;&lt;secondary-title&gt;Applied Catalysis B: Environmental&lt;/secondary-title&gt;&lt;/titles&gt;&lt;pages&gt;122691&lt;/pages&gt;&lt;volume&gt;331&lt;/volume&gt;&lt;dates&gt;&lt;year&gt;2023&lt;/year&gt;&lt;/dates&gt;&lt;isbn&gt;0926-3373&lt;/isbn&gt;&lt;urls&gt;&lt;/urls&gt;&lt;electronic-resource-num&gt;https://doi.org/10.1016/j.apcatb.2023.122691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</w:rPr>
              <w:t>[14]</w:t>
            </w:r>
            <w:r>
              <w:rPr>
                <w:rFonts w:ascii="Times New Roman" w:hAnsi="Times New Roman" w:cs="Times New Roman"/>
                <w:sz w:val="24"/>
              </w:rPr>
              <w:fldChar w:fldCharType="end"/>
            </w:r>
          </w:p>
        </w:tc>
      </w:tr>
    </w:tbl>
    <w:p w14:paraId="14CF38D7">
      <w:pPr>
        <w:pStyle w:val="65"/>
        <w:spacing w:after="0" w:line="480" w:lineRule="auto"/>
        <w:jc w:val="center"/>
        <w:rPr>
          <w:b/>
          <w:bCs/>
          <w:sz w:val="21"/>
          <w:szCs w:val="16"/>
        </w:rPr>
      </w:pPr>
    </w:p>
    <w:p w14:paraId="56B36CC3">
      <w:pPr>
        <w:pStyle w:val="65"/>
        <w:spacing w:after="0" w:line="480" w:lineRule="auto"/>
        <w:jc w:val="center"/>
        <w:rPr>
          <w:sz w:val="21"/>
          <w:szCs w:val="16"/>
          <w:lang w:eastAsia="zh-CN"/>
        </w:rPr>
      </w:pPr>
      <w:r>
        <w:rPr>
          <w:b/>
          <w:bCs/>
          <w:sz w:val="21"/>
          <w:szCs w:val="16"/>
        </w:rPr>
        <w:t xml:space="preserve">Table </w:t>
      </w:r>
      <w:r>
        <w:rPr>
          <w:rFonts w:hint="eastAsia"/>
          <w:b/>
          <w:bCs/>
          <w:sz w:val="21"/>
          <w:szCs w:val="16"/>
          <w:lang w:eastAsia="zh-CN"/>
        </w:rPr>
        <w:t>S2.</w:t>
      </w:r>
      <w:r>
        <w:rPr>
          <w:sz w:val="21"/>
          <w:szCs w:val="16"/>
        </w:rPr>
        <w:t xml:space="preserve"> AQY</w:t>
      </w:r>
      <w:r>
        <w:rPr>
          <w:rFonts w:hint="eastAsia"/>
          <w:sz w:val="21"/>
          <w:szCs w:val="16"/>
        </w:rPr>
        <w:t xml:space="preserve"> </w:t>
      </w:r>
      <w:r>
        <w:rPr>
          <w:sz w:val="21"/>
          <w:szCs w:val="16"/>
        </w:rPr>
        <w:t xml:space="preserve">of </w:t>
      </w:r>
      <w:r>
        <w:rPr>
          <w:rFonts w:hint="eastAsia"/>
          <w:sz w:val="21"/>
          <w:szCs w:val="16"/>
        </w:rPr>
        <w:t xml:space="preserve">TT-PA </w:t>
      </w:r>
      <w:r>
        <w:rPr>
          <w:sz w:val="21"/>
          <w:szCs w:val="16"/>
        </w:rPr>
        <w:t>and</w:t>
      </w:r>
      <w:r>
        <w:rPr>
          <w:rFonts w:hint="eastAsia"/>
          <w:sz w:val="21"/>
          <w:szCs w:val="16"/>
        </w:rPr>
        <w:t xml:space="preserve"> TT-BPA</w:t>
      </w:r>
      <w:r>
        <w:rPr>
          <w:sz w:val="21"/>
          <w:szCs w:val="16"/>
        </w:rPr>
        <w:t xml:space="preserve"> at different wavelength</w:t>
      </w:r>
      <w:r>
        <w:rPr>
          <w:rFonts w:hint="eastAsia"/>
          <w:sz w:val="21"/>
          <w:szCs w:val="16"/>
          <w:lang w:eastAsia="zh-CN"/>
        </w:rPr>
        <w:t>.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268"/>
        <w:gridCol w:w="2706"/>
        <w:gridCol w:w="2214"/>
      </w:tblGrid>
      <w:tr w14:paraId="5995A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3C605F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582F9E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Wavelength</w:t>
            </w:r>
            <w:r>
              <w:rPr>
                <w:rFonts w:hint="eastAsia" w:ascii="Times New Roman" w:hAnsi="Times New Roman" w:cs="Times New Roman"/>
              </w:rPr>
              <w:t>(nm)</w:t>
            </w:r>
          </w:p>
        </w:tc>
        <w:tc>
          <w:tcPr>
            <w:tcW w:w="2706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35DDC97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Light</w:t>
            </w:r>
            <w:r>
              <w:rPr>
                <w:rFonts w:hint="eastAsia"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intensity (mW</w:t>
            </w:r>
            <w:r>
              <w:rPr>
                <w:rFonts w:hint="eastAsia"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cm</w:t>
            </w:r>
            <w:r>
              <w:rPr>
                <w:rFonts w:ascii="Times New Roman" w:hAnsi="Times New Roman" w:cs="Times New Roman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14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1885A19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AQY(%)</w:t>
            </w:r>
          </w:p>
        </w:tc>
      </w:tr>
      <w:tr w14:paraId="4AB9C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vMerge w:val="restar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5C72138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TT-PA</w:t>
            </w:r>
          </w:p>
        </w:tc>
        <w:tc>
          <w:tcPr>
            <w:tcW w:w="2268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1F63393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380</w:t>
            </w:r>
          </w:p>
        </w:tc>
        <w:tc>
          <w:tcPr>
            <w:tcW w:w="2706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3C96EEC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8.9</w:t>
            </w:r>
          </w:p>
        </w:tc>
        <w:tc>
          <w:tcPr>
            <w:tcW w:w="2214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05528B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0.55</w:t>
            </w:r>
          </w:p>
        </w:tc>
      </w:tr>
      <w:tr w14:paraId="3940C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544337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71E4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435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2300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37.7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9AE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0.13</w:t>
            </w:r>
          </w:p>
        </w:tc>
      </w:tr>
      <w:tr w14:paraId="282CCD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051766E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3DA9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578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522C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25.1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3089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0.11</w:t>
            </w:r>
          </w:p>
        </w:tc>
      </w:tr>
      <w:tr w14:paraId="77585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D998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TT-BPA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705D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380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8CFD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8.9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B56A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0.49</w:t>
            </w:r>
          </w:p>
        </w:tc>
      </w:tr>
      <w:tr w14:paraId="0354F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122E5B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8192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435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AECF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37.7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10E0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0.03</w:t>
            </w:r>
          </w:p>
        </w:tc>
      </w:tr>
      <w:tr w14:paraId="3B154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668" w:type="dxa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6DD199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D0C5BC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578</w:t>
            </w:r>
          </w:p>
        </w:tc>
        <w:tc>
          <w:tcPr>
            <w:tcW w:w="2706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E2A5B0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25.1</w:t>
            </w:r>
          </w:p>
        </w:tc>
        <w:tc>
          <w:tcPr>
            <w:tcW w:w="2214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39F305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0.02</w:t>
            </w:r>
          </w:p>
        </w:tc>
      </w:tr>
    </w:tbl>
    <w:p w14:paraId="3A5B03F8">
      <w:pPr>
        <w:spacing w:line="480" w:lineRule="auto"/>
        <w:rPr>
          <w:rFonts w:ascii="Times New Roman" w:hAnsi="Times New Roman" w:cs="Times New Roman"/>
        </w:rPr>
      </w:pPr>
    </w:p>
    <w:p w14:paraId="61E36F20">
      <w:pPr>
        <w:pStyle w:val="16"/>
        <w:spacing w:after="0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REFERENCES</w:t>
      </w:r>
    </w:p>
    <w:p w14:paraId="5EFEEA22">
      <w:pPr>
        <w:pStyle w:val="76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ADDIN EN.REFLIST </w:instrText>
      </w:r>
      <w:r>
        <w:rPr>
          <w:rFonts w:ascii="Times New Roman" w:hAnsi="Times New Roman" w:cs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t>[1] W.-K. Han, H.-S. Lu, J.-X. Fu, X. Liu, X. Zhu, X. Yan, J. Zhang, Y. Jiang, H. Dong, Z.-G. Gu. Targeted construction of a three-dimensional metal covalent organic framework with spn topology for photocatalytic hydrogen peroxide production, C</w:t>
      </w:r>
      <w:r>
        <w:rPr>
          <w:rFonts w:hint="eastAsia" w:ascii="Times New Roman" w:hAnsi="Times New Roman"/>
          <w:sz w:val="24"/>
        </w:rPr>
        <w:t>hem.</w:t>
      </w:r>
      <w:r>
        <w:rPr>
          <w:rFonts w:ascii="Times New Roman" w:hAnsi="Times New Roman"/>
          <w:sz w:val="24"/>
        </w:rPr>
        <w:t xml:space="preserve"> </w:t>
      </w:r>
      <w:r>
        <w:rPr>
          <w:rFonts w:hint="eastAsia" w:ascii="Times New Roman" w:hAnsi="Times New Roman"/>
          <w:sz w:val="24"/>
        </w:rPr>
        <w:t>Eng.</w:t>
      </w:r>
      <w:r>
        <w:rPr>
          <w:rFonts w:ascii="Times New Roman" w:hAnsi="Times New Roman"/>
          <w:sz w:val="24"/>
        </w:rPr>
        <w:t xml:space="preserve"> J</w:t>
      </w:r>
      <w:r>
        <w:rPr>
          <w:rFonts w:hint="eastAsia"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449 (2022) 137802. http://doi.org</w:t>
      </w:r>
      <w:r>
        <w:rPr>
          <w:rFonts w:hint="eastAsia" w:ascii="Times New Roman" w:hAnsi="Times New Roman"/>
          <w:sz w:val="24"/>
        </w:rPr>
        <w:t>/</w:t>
      </w:r>
      <w:r>
        <w:rPr>
          <w:rFonts w:ascii="Times New Roman" w:hAnsi="Times New Roman"/>
          <w:sz w:val="24"/>
        </w:rPr>
        <w:t>10.1016/j.cej.2022.137802.</w:t>
      </w:r>
    </w:p>
    <w:p w14:paraId="243F1E25">
      <w:pPr>
        <w:pStyle w:val="7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[2] M. Kou, Y. Wang, Y. Xu, L. Ye, Y. Huang, B. Jia, H. Li, J. Ren, Y. Deng, J. Chen, Y. Zhou, K. Lei, L. Wang, W. Liu, H. Huang, T. Ma. Molecularly Engineered Covalent Organic Frameworks for Hydrogen Peroxide Photosynthesis, Angew. Chem. Int. Ed. 61 (2022) e202200413. http://doi.org</w:t>
      </w:r>
      <w:r>
        <w:rPr>
          <w:rFonts w:hint="eastAsia" w:ascii="Times New Roman" w:hAnsi="Times New Roman"/>
          <w:sz w:val="24"/>
        </w:rPr>
        <w:t>/</w:t>
      </w:r>
      <w:r>
        <w:rPr>
          <w:rFonts w:ascii="Times New Roman" w:hAnsi="Times New Roman"/>
          <w:sz w:val="24"/>
        </w:rPr>
        <w:t>10.1002/anie.202200413.</w:t>
      </w:r>
    </w:p>
    <w:p w14:paraId="5285BCDA">
      <w:pPr>
        <w:pStyle w:val="7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[3] C.-Q. Han, J.-X. Guo, L. Wang, S. Sun, J. Lv, X. Sun, H. Hu, X. Huang, X.-Y. Liu. Linker engineering of benzothiadiazole and its derivative-based covalent organic frameworks for efficient photocatalytic oxidative amine coupling and hydrogen peroxide generation, J. Mater. Chem. C. 12 (2024) 16059-16066. http://doi.org</w:t>
      </w:r>
      <w:r>
        <w:rPr>
          <w:rFonts w:hint="eastAsia" w:ascii="Times New Roman" w:hAnsi="Times New Roman"/>
          <w:sz w:val="24"/>
        </w:rPr>
        <w:t>/</w:t>
      </w:r>
      <w:r>
        <w:rPr>
          <w:rFonts w:ascii="Times New Roman" w:hAnsi="Times New Roman"/>
          <w:sz w:val="24"/>
        </w:rPr>
        <w:t>10.1039/d5qi00417a.</w:t>
      </w:r>
    </w:p>
    <w:p w14:paraId="6EB4B869">
      <w:pPr>
        <w:pStyle w:val="7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[4] Q. Liao, Q. Sun, H. Xu, Y. Wang, Y. Xu, Z. Li, J. Hu, D. Wang, H. Li, K. Xi. Regulating relative nitrogen locations of diazine functionalized covalent organic frameworks for overall H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photosynthesis, Angew. Chem. Int. Ed. 135 (2023) e202310556. http://doi.org</w:t>
      </w:r>
      <w:r>
        <w:rPr>
          <w:rFonts w:hint="eastAsia" w:ascii="Times New Roman" w:hAnsi="Times New Roman"/>
          <w:sz w:val="24"/>
        </w:rPr>
        <w:t>/</w:t>
      </w:r>
      <w:r>
        <w:rPr>
          <w:rFonts w:ascii="Times New Roman" w:hAnsi="Times New Roman"/>
          <w:sz w:val="24"/>
        </w:rPr>
        <w:t>10.1002/anie.202310556.</w:t>
      </w:r>
    </w:p>
    <w:p w14:paraId="2EC6F5AB">
      <w:pPr>
        <w:pStyle w:val="7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[5] P. Das, J. Roeser, A. Thomas. Solar light driven H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production and selective oxidations using a covalent organic framework photocatalyst prepared by a multicomponent reaction, Angew. Chem. Int. Ed. 135 (2023) e202304349. http://doi.org/10.1002/anie.202304349.</w:t>
      </w:r>
    </w:p>
    <w:p w14:paraId="5F287BDC">
      <w:pPr>
        <w:pStyle w:val="7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[6] H. Hu, Y. Tao, D. Wang, C. Li, Q. Jiang, Y. Shi, J. Wang, J. Qin, S. Zhou, Y. Kong. Rational modification of hydroxy-functionalized covalent organic frameworks for enhanced photocatalytic hydrogen peroxide evolution, J. Colloid Interface Sci. 629 (2023) 750-762.</w:t>
      </w:r>
      <w:r>
        <w:rPr>
          <w:rFonts w:hint="eastAsia"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http://doi.org/ 10.1016/j.jcis.2022.09.111.</w:t>
      </w:r>
    </w:p>
    <w:p w14:paraId="2A49ED2B">
      <w:pPr>
        <w:pStyle w:val="7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[7] S. Chai, X. Chen, X. Zhang, Y. Fang, R.S. Sprick, X. Chen. Rational design of covalent organic frameworks for efficient photocatalytic hydrogen peroxide production, Environ. Sci.-Nano. 9 (2022) 2464-2469. http://doi.org/10.1039/d2en00135g.</w:t>
      </w:r>
    </w:p>
    <w:p w14:paraId="2B4D4BC0">
      <w:pPr>
        <w:pStyle w:val="7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[8] M. Deng, J. Sun, A. Laemont, C. Liu, L. Wang, L. Bourda, J. Chakraborty, K. Van Hecke, R. Morent, N. De Geyter. Extending the π-conjugation system of covalent organic frameworks for more efficient photocatalytic H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production, Green Chem. 25 (2023) 3069-3076. http://doi.org</w:t>
      </w:r>
      <w:r>
        <w:rPr>
          <w:rFonts w:hint="eastAsia" w:ascii="Times New Roman" w:hAnsi="Times New Roman"/>
          <w:sz w:val="24"/>
        </w:rPr>
        <w:t>/</w:t>
      </w:r>
      <w:r>
        <w:rPr>
          <w:rFonts w:ascii="Times New Roman" w:hAnsi="Times New Roman"/>
          <w:sz w:val="24"/>
        </w:rPr>
        <w:t>10.1039/d2gc04459e.</w:t>
      </w:r>
    </w:p>
    <w:p w14:paraId="230755D4">
      <w:pPr>
        <w:pStyle w:val="7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[9] D. Chen, W. Chen, Y. Wu, L. Wang, X. Wu, H. Xu, L. Chen. Covalent organic frameworks containing dual O2 reduction centers for overall photosynthetic hydrogen peroxide production, Angew. Chem. Int. Ed. 62 (2023) e202217479. http://doi.org/10.1002/anie.202217479.</w:t>
      </w:r>
    </w:p>
    <w:p w14:paraId="299888DF">
      <w:pPr>
        <w:pStyle w:val="7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[10] Y. Yang, J. Kang, Y. Li, J. Liang, J. Liang, L. Jiang, D. Chen, J. He, Y. Chen, J. Wang. Enhanced photocatalytic hydrogen peroxide production activity of imine-linked covalent organic frameworks via modification with functional groups, New J. Chem. 46 (2022) 21605-21614. http://doi.org/10.1039/d2nj03744k.</w:t>
      </w:r>
    </w:p>
    <w:p w14:paraId="4E1BE4A0">
      <w:pPr>
        <w:pStyle w:val="7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[11] Z. Zhang, Q. Zhang, Y. Hou, J. Li, S. Zhu, H. Xia, H. Yue, X. Liu. Tris (triazolo</w:t>
      </w:r>
      <w:r>
        <w:rPr>
          <w:rFonts w:hint="eastAsia" w:ascii="Times New Roman" w:hAnsi="Times New Roman"/>
          <w:sz w:val="24"/>
        </w:rPr>
        <w:t xml:space="preserve">) triazine‐Based Covalent Organic Frameworks for Efficiently Photocatalytic Hydrogen Peroxide Production, </w:t>
      </w:r>
      <w:r>
        <w:rPr>
          <w:rFonts w:ascii="Times New Roman" w:hAnsi="Times New Roman"/>
          <w:sz w:val="24"/>
        </w:rPr>
        <w:t>Angew. Chem. Int. Ed</w:t>
      </w:r>
      <w:r>
        <w:rPr>
          <w:rFonts w:hint="eastAsia" w:ascii="Times New Roman" w:hAnsi="Times New Roman"/>
          <w:sz w:val="24"/>
        </w:rPr>
        <w:t>. 63 (2024) e202411546. http://doi.org/10.1002/anie.202411546.</w:t>
      </w:r>
    </w:p>
    <w:p w14:paraId="283E6F47">
      <w:pPr>
        <w:pStyle w:val="7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[12] F. Tan, Y. Zheng, Z. Zhou, H. Wang, X. Dong, J. Yang, Z. Ou, H. Qi, W. Liu, Z. Zheng. Aqueous synthesis of covalent organic frameworks as photocatalysts for hydrogen peroxide production, CCS Chem. 4 (2022) 3751-3761. http://doi.org/10.31635/ccschem.022.202101578.</w:t>
      </w:r>
    </w:p>
    <w:p w14:paraId="58276260">
      <w:pPr>
        <w:pStyle w:val="76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[13] Y. Luo, B. Zhang, C. Liu, D. Xia, X. Ou, Y. Cai, Y. Zhou, J. Jiang, B. Han. Sulfone‐modified covalent organic frameworks enabling efficient photocatalytic hydrogen peroxide generation via one‐step two‐electron O</w:t>
      </w:r>
      <w:r>
        <w:rPr>
          <w:rFonts w:hint="eastAsia" w:ascii="Times New Roman" w:hAnsi="Times New Roman"/>
          <w:sz w:val="24"/>
          <w:vertAlign w:val="subscript"/>
        </w:rPr>
        <w:t>2</w:t>
      </w:r>
      <w:r>
        <w:rPr>
          <w:rFonts w:hint="eastAsia" w:ascii="Times New Roman" w:hAnsi="Times New Roman"/>
          <w:sz w:val="24"/>
        </w:rPr>
        <w:t xml:space="preserve"> reduction, </w:t>
      </w:r>
      <w:r>
        <w:rPr>
          <w:rFonts w:ascii="Times New Roman" w:hAnsi="Times New Roman"/>
          <w:sz w:val="24"/>
        </w:rPr>
        <w:t>Angew. Chem. Int. Ed. 62 (2023) e202305355. http://doi.org</w:t>
      </w:r>
      <w:r>
        <w:rPr>
          <w:rFonts w:hint="eastAsia" w:ascii="Times New Roman" w:hAnsi="Times New Roman"/>
          <w:sz w:val="24"/>
        </w:rPr>
        <w:t>/</w:t>
      </w:r>
      <w:r>
        <w:rPr>
          <w:rFonts w:ascii="Times New Roman" w:hAnsi="Times New Roman"/>
          <w:sz w:val="24"/>
        </w:rPr>
        <w:t>10.1002/ange.202305355.</w:t>
      </w:r>
    </w:p>
    <w:p w14:paraId="5E90E768">
      <w:pPr>
        <w:pStyle w:val="7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[14] Y. Liu, W.-K. Han, W. Chi, Y. Mao, Y. Jiang, X. Yan, Z.-G. Gu. Substoichiometric covalent organic frameworks with uncondensed aldehyde for highly efficient hydrogen peroxide photosynthesis in pure water, Appl. Catal. B: Environ. 331 (2023) 122691. https://doi.org/10.1016/j.apcatb.2023.122691.</w:t>
      </w:r>
    </w:p>
    <w:p w14:paraId="3C91B8F4">
      <w:pPr>
        <w:pStyle w:val="16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fldChar w:fldCharType="end"/>
      </w:r>
    </w:p>
    <w:sectPr>
      <w:pgSz w:w="12240" w:h="15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Arno Pro">
    <w:altName w:val="Times New Roman"/>
    <w:panose1 w:val="00000000000000000000"/>
    <w:charset w:val="00"/>
    <w:family w:val="roman"/>
    <w:pitch w:val="default"/>
    <w:sig w:usb0="00000000" w:usb1="00000000" w:usb2="00000000" w:usb3="00000000" w:csb0="0000019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Times New Roman" w:hAnsi="Times New Roman" w:cs="Times New Roman"/>
      </w:rPr>
      <w:id w:val="1859769812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14:paraId="4434FE7E">
        <w:pPr>
          <w:pStyle w:val="12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729B4E21">
    <w:pPr>
      <w:pStyle w:val="12"/>
      <w:rPr>
        <w:rFonts w:ascii="Times New Roman" w:hAnsi="Times New Roman" w:cs="Times New Roman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6148DE"/>
    <w:multiLevelType w:val="multilevel"/>
    <w:tmpl w:val="246148DE"/>
    <w:lvl w:ilvl="0" w:tentative="0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82" w:hanging="440"/>
      </w:pPr>
    </w:lvl>
    <w:lvl w:ilvl="2" w:tentative="0">
      <w:start w:val="1"/>
      <w:numFmt w:val="lowerRoman"/>
      <w:lvlText w:val="%3."/>
      <w:lvlJc w:val="right"/>
      <w:pPr>
        <w:ind w:left="1522" w:hanging="440"/>
      </w:pPr>
    </w:lvl>
    <w:lvl w:ilvl="3" w:tentative="0">
      <w:start w:val="1"/>
      <w:numFmt w:val="decimal"/>
      <w:lvlText w:val="%4."/>
      <w:lvlJc w:val="left"/>
      <w:pPr>
        <w:ind w:left="1962" w:hanging="440"/>
      </w:pPr>
    </w:lvl>
    <w:lvl w:ilvl="4" w:tentative="0">
      <w:start w:val="1"/>
      <w:numFmt w:val="lowerLetter"/>
      <w:lvlText w:val="%5)"/>
      <w:lvlJc w:val="left"/>
      <w:pPr>
        <w:ind w:left="2402" w:hanging="440"/>
      </w:pPr>
    </w:lvl>
    <w:lvl w:ilvl="5" w:tentative="0">
      <w:start w:val="1"/>
      <w:numFmt w:val="lowerRoman"/>
      <w:lvlText w:val="%6."/>
      <w:lvlJc w:val="right"/>
      <w:pPr>
        <w:ind w:left="2842" w:hanging="440"/>
      </w:pPr>
    </w:lvl>
    <w:lvl w:ilvl="6" w:tentative="0">
      <w:start w:val="1"/>
      <w:numFmt w:val="decimal"/>
      <w:lvlText w:val="%7."/>
      <w:lvlJc w:val="left"/>
      <w:pPr>
        <w:ind w:left="3282" w:hanging="440"/>
      </w:pPr>
    </w:lvl>
    <w:lvl w:ilvl="7" w:tentative="0">
      <w:start w:val="1"/>
      <w:numFmt w:val="lowerLetter"/>
      <w:lvlText w:val="%8)"/>
      <w:lvlJc w:val="left"/>
      <w:pPr>
        <w:ind w:left="3722" w:hanging="440"/>
      </w:pPr>
    </w:lvl>
    <w:lvl w:ilvl="8" w:tentative="0">
      <w:start w:val="1"/>
      <w:numFmt w:val="lowerRoman"/>
      <w:lvlText w:val="%9."/>
      <w:lvlJc w:val="right"/>
      <w:pPr>
        <w:ind w:left="4162" w:hanging="440"/>
      </w:pPr>
    </w:lvl>
  </w:abstractNum>
  <w:abstractNum w:abstractNumId="1">
    <w:nsid w:val="6C007AE2"/>
    <w:multiLevelType w:val="multilevel"/>
    <w:tmpl w:val="6C007AE2"/>
    <w:lvl w:ilvl="0" w:tentative="0">
      <w:start w:val="2"/>
      <w:numFmt w:val="decimal"/>
      <w:lvlText w:val="%1."/>
      <w:lvlJc w:val="left"/>
      <w:pPr>
        <w:ind w:left="642" w:hanging="44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082" w:hanging="440"/>
      </w:pPr>
    </w:lvl>
    <w:lvl w:ilvl="2" w:tentative="0">
      <w:start w:val="1"/>
      <w:numFmt w:val="lowerRoman"/>
      <w:lvlText w:val="%3."/>
      <w:lvlJc w:val="right"/>
      <w:pPr>
        <w:ind w:left="1522" w:hanging="440"/>
      </w:pPr>
    </w:lvl>
    <w:lvl w:ilvl="3" w:tentative="0">
      <w:start w:val="1"/>
      <w:numFmt w:val="decimal"/>
      <w:lvlText w:val="%4."/>
      <w:lvlJc w:val="left"/>
      <w:pPr>
        <w:ind w:left="1962" w:hanging="440"/>
      </w:pPr>
    </w:lvl>
    <w:lvl w:ilvl="4" w:tentative="0">
      <w:start w:val="1"/>
      <w:numFmt w:val="lowerLetter"/>
      <w:lvlText w:val="%5)"/>
      <w:lvlJc w:val="left"/>
      <w:pPr>
        <w:ind w:left="2402" w:hanging="440"/>
      </w:pPr>
    </w:lvl>
    <w:lvl w:ilvl="5" w:tentative="0">
      <w:start w:val="1"/>
      <w:numFmt w:val="lowerRoman"/>
      <w:lvlText w:val="%6."/>
      <w:lvlJc w:val="right"/>
      <w:pPr>
        <w:ind w:left="2842" w:hanging="440"/>
      </w:pPr>
    </w:lvl>
    <w:lvl w:ilvl="6" w:tentative="0">
      <w:start w:val="1"/>
      <w:numFmt w:val="decimal"/>
      <w:lvlText w:val="%7."/>
      <w:lvlJc w:val="left"/>
      <w:pPr>
        <w:ind w:left="3282" w:hanging="440"/>
      </w:pPr>
    </w:lvl>
    <w:lvl w:ilvl="7" w:tentative="0">
      <w:start w:val="1"/>
      <w:numFmt w:val="lowerLetter"/>
      <w:lvlText w:val="%8)"/>
      <w:lvlJc w:val="left"/>
      <w:pPr>
        <w:ind w:left="3722" w:hanging="440"/>
      </w:pPr>
    </w:lvl>
    <w:lvl w:ilvl="8" w:tentative="0">
      <w:start w:val="1"/>
      <w:numFmt w:val="lowerRoman"/>
      <w:lvlText w:val="%9."/>
      <w:lvlJc w:val="right"/>
      <w:pPr>
        <w:ind w:left="4162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副本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5d9dspwyt5rx5easzb5dr0bv2fwwv5vrtde&quot;&gt;我的EndNote数据库&lt;record-ids&gt;&lt;item&gt;75&lt;/item&gt;&lt;item&gt;76&lt;/item&gt;&lt;item&gt;77&lt;/item&gt;&lt;item&gt;78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/record-ids&gt;&lt;/item&gt;&lt;/Libraries&gt;"/>
  </w:docVars>
  <w:rsids>
    <w:rsidRoot w:val="001A4137"/>
    <w:rsid w:val="0000098C"/>
    <w:rsid w:val="00012667"/>
    <w:rsid w:val="000202B1"/>
    <w:rsid w:val="0002161D"/>
    <w:rsid w:val="00031243"/>
    <w:rsid w:val="00031533"/>
    <w:rsid w:val="00032E9B"/>
    <w:rsid w:val="00035EF7"/>
    <w:rsid w:val="00035FA1"/>
    <w:rsid w:val="00041396"/>
    <w:rsid w:val="000560DB"/>
    <w:rsid w:val="0005625E"/>
    <w:rsid w:val="0006350C"/>
    <w:rsid w:val="000731EE"/>
    <w:rsid w:val="000759AA"/>
    <w:rsid w:val="00095CEB"/>
    <w:rsid w:val="000A485A"/>
    <w:rsid w:val="000B3D8F"/>
    <w:rsid w:val="000C0070"/>
    <w:rsid w:val="000C42B1"/>
    <w:rsid w:val="000D5A15"/>
    <w:rsid w:val="000D6EF9"/>
    <w:rsid w:val="000E2CCB"/>
    <w:rsid w:val="000F34D0"/>
    <w:rsid w:val="00116A9B"/>
    <w:rsid w:val="00117563"/>
    <w:rsid w:val="00137501"/>
    <w:rsid w:val="00141904"/>
    <w:rsid w:val="00145533"/>
    <w:rsid w:val="00146249"/>
    <w:rsid w:val="001560D6"/>
    <w:rsid w:val="00157746"/>
    <w:rsid w:val="00164D84"/>
    <w:rsid w:val="0016746A"/>
    <w:rsid w:val="001749BF"/>
    <w:rsid w:val="0017608F"/>
    <w:rsid w:val="0018478A"/>
    <w:rsid w:val="00184F33"/>
    <w:rsid w:val="0018629D"/>
    <w:rsid w:val="00191A52"/>
    <w:rsid w:val="00192E71"/>
    <w:rsid w:val="001A3E57"/>
    <w:rsid w:val="001A4137"/>
    <w:rsid w:val="001B01CF"/>
    <w:rsid w:val="001B0FF5"/>
    <w:rsid w:val="001B179A"/>
    <w:rsid w:val="001C2532"/>
    <w:rsid w:val="001D4DEA"/>
    <w:rsid w:val="001D582A"/>
    <w:rsid w:val="001D736A"/>
    <w:rsid w:val="001E4DFD"/>
    <w:rsid w:val="001F13B0"/>
    <w:rsid w:val="002001E3"/>
    <w:rsid w:val="00203BF1"/>
    <w:rsid w:val="00216FB4"/>
    <w:rsid w:val="0023264A"/>
    <w:rsid w:val="0024252E"/>
    <w:rsid w:val="00242F7C"/>
    <w:rsid w:val="00251590"/>
    <w:rsid w:val="00252545"/>
    <w:rsid w:val="00252603"/>
    <w:rsid w:val="00254B4B"/>
    <w:rsid w:val="002605B8"/>
    <w:rsid w:val="0026787C"/>
    <w:rsid w:val="00273380"/>
    <w:rsid w:val="00282E81"/>
    <w:rsid w:val="0029518D"/>
    <w:rsid w:val="002B2397"/>
    <w:rsid w:val="002B67AD"/>
    <w:rsid w:val="002C4700"/>
    <w:rsid w:val="002C7D8E"/>
    <w:rsid w:val="002D250F"/>
    <w:rsid w:val="002E5268"/>
    <w:rsid w:val="002E6FAE"/>
    <w:rsid w:val="002F0F92"/>
    <w:rsid w:val="00302555"/>
    <w:rsid w:val="00306614"/>
    <w:rsid w:val="00327EB2"/>
    <w:rsid w:val="00334C73"/>
    <w:rsid w:val="00335DD3"/>
    <w:rsid w:val="003403EE"/>
    <w:rsid w:val="00346207"/>
    <w:rsid w:val="003472CF"/>
    <w:rsid w:val="00347920"/>
    <w:rsid w:val="00350FF1"/>
    <w:rsid w:val="00362C4C"/>
    <w:rsid w:val="003759C3"/>
    <w:rsid w:val="00377EFD"/>
    <w:rsid w:val="00384FBD"/>
    <w:rsid w:val="003862E7"/>
    <w:rsid w:val="0039517B"/>
    <w:rsid w:val="00396DAC"/>
    <w:rsid w:val="003D7888"/>
    <w:rsid w:val="003E343E"/>
    <w:rsid w:val="003F0E10"/>
    <w:rsid w:val="003F31FC"/>
    <w:rsid w:val="00400982"/>
    <w:rsid w:val="00403C8A"/>
    <w:rsid w:val="004111D6"/>
    <w:rsid w:val="00412B8B"/>
    <w:rsid w:val="004262B4"/>
    <w:rsid w:val="004327E5"/>
    <w:rsid w:val="00433185"/>
    <w:rsid w:val="00434DCA"/>
    <w:rsid w:val="00441751"/>
    <w:rsid w:val="0045200B"/>
    <w:rsid w:val="0046199C"/>
    <w:rsid w:val="00471C69"/>
    <w:rsid w:val="00473EAE"/>
    <w:rsid w:val="00494954"/>
    <w:rsid w:val="004A1EE0"/>
    <w:rsid w:val="004A3256"/>
    <w:rsid w:val="004A53EB"/>
    <w:rsid w:val="004B028D"/>
    <w:rsid w:val="004B0F64"/>
    <w:rsid w:val="004C4484"/>
    <w:rsid w:val="004D1BEF"/>
    <w:rsid w:val="004D2EAB"/>
    <w:rsid w:val="004E40AE"/>
    <w:rsid w:val="004F017C"/>
    <w:rsid w:val="005065CF"/>
    <w:rsid w:val="0051171C"/>
    <w:rsid w:val="00514EEE"/>
    <w:rsid w:val="00521174"/>
    <w:rsid w:val="00534440"/>
    <w:rsid w:val="005405B5"/>
    <w:rsid w:val="00547E6E"/>
    <w:rsid w:val="0055121B"/>
    <w:rsid w:val="005533A2"/>
    <w:rsid w:val="005533FB"/>
    <w:rsid w:val="00565154"/>
    <w:rsid w:val="00570090"/>
    <w:rsid w:val="00576D8B"/>
    <w:rsid w:val="00580742"/>
    <w:rsid w:val="00580E7B"/>
    <w:rsid w:val="00591710"/>
    <w:rsid w:val="0059321E"/>
    <w:rsid w:val="005B1199"/>
    <w:rsid w:val="005C0915"/>
    <w:rsid w:val="005C72D7"/>
    <w:rsid w:val="005E11C8"/>
    <w:rsid w:val="005F293A"/>
    <w:rsid w:val="00603D2C"/>
    <w:rsid w:val="006130BC"/>
    <w:rsid w:val="0061344B"/>
    <w:rsid w:val="0061474E"/>
    <w:rsid w:val="00625999"/>
    <w:rsid w:val="00651584"/>
    <w:rsid w:val="00653272"/>
    <w:rsid w:val="00663191"/>
    <w:rsid w:val="00664EC7"/>
    <w:rsid w:val="00665779"/>
    <w:rsid w:val="00666E9B"/>
    <w:rsid w:val="00671300"/>
    <w:rsid w:val="00672AE7"/>
    <w:rsid w:val="006735D3"/>
    <w:rsid w:val="006836A9"/>
    <w:rsid w:val="00692860"/>
    <w:rsid w:val="00692A9F"/>
    <w:rsid w:val="006A136E"/>
    <w:rsid w:val="006B08B5"/>
    <w:rsid w:val="006B1244"/>
    <w:rsid w:val="006B1AC1"/>
    <w:rsid w:val="006C50EC"/>
    <w:rsid w:val="006D1419"/>
    <w:rsid w:val="006E198C"/>
    <w:rsid w:val="006F0B8E"/>
    <w:rsid w:val="0070437A"/>
    <w:rsid w:val="007113E7"/>
    <w:rsid w:val="007236CA"/>
    <w:rsid w:val="0073062A"/>
    <w:rsid w:val="00731754"/>
    <w:rsid w:val="00734045"/>
    <w:rsid w:val="00735301"/>
    <w:rsid w:val="0074129A"/>
    <w:rsid w:val="00750198"/>
    <w:rsid w:val="007713C4"/>
    <w:rsid w:val="00775E1B"/>
    <w:rsid w:val="00782C35"/>
    <w:rsid w:val="007836B4"/>
    <w:rsid w:val="007B5218"/>
    <w:rsid w:val="007C5453"/>
    <w:rsid w:val="007C6DBA"/>
    <w:rsid w:val="007D3424"/>
    <w:rsid w:val="007F1908"/>
    <w:rsid w:val="007F238E"/>
    <w:rsid w:val="007F3E3F"/>
    <w:rsid w:val="007F714A"/>
    <w:rsid w:val="0080478B"/>
    <w:rsid w:val="00813CA7"/>
    <w:rsid w:val="00814492"/>
    <w:rsid w:val="0081582D"/>
    <w:rsid w:val="00815F41"/>
    <w:rsid w:val="0082633C"/>
    <w:rsid w:val="008428F7"/>
    <w:rsid w:val="00864CFB"/>
    <w:rsid w:val="008701DD"/>
    <w:rsid w:val="00872E4B"/>
    <w:rsid w:val="00880503"/>
    <w:rsid w:val="008808A1"/>
    <w:rsid w:val="0088440D"/>
    <w:rsid w:val="00886911"/>
    <w:rsid w:val="008873F6"/>
    <w:rsid w:val="0088743B"/>
    <w:rsid w:val="008A166F"/>
    <w:rsid w:val="008A5A9A"/>
    <w:rsid w:val="008C052F"/>
    <w:rsid w:val="008C08F5"/>
    <w:rsid w:val="008C4853"/>
    <w:rsid w:val="008C79B6"/>
    <w:rsid w:val="008D1DB6"/>
    <w:rsid w:val="008D42AF"/>
    <w:rsid w:val="008D64A2"/>
    <w:rsid w:val="008D6628"/>
    <w:rsid w:val="008D78EE"/>
    <w:rsid w:val="008E3833"/>
    <w:rsid w:val="008E3DB8"/>
    <w:rsid w:val="008E638F"/>
    <w:rsid w:val="00901298"/>
    <w:rsid w:val="00927160"/>
    <w:rsid w:val="00930E2C"/>
    <w:rsid w:val="009312FA"/>
    <w:rsid w:val="00935B5F"/>
    <w:rsid w:val="00941946"/>
    <w:rsid w:val="00946A9C"/>
    <w:rsid w:val="0096113D"/>
    <w:rsid w:val="00972FA8"/>
    <w:rsid w:val="0097488D"/>
    <w:rsid w:val="009816F5"/>
    <w:rsid w:val="0098302C"/>
    <w:rsid w:val="00996CDC"/>
    <w:rsid w:val="009A27E4"/>
    <w:rsid w:val="009A3C8F"/>
    <w:rsid w:val="009B2C45"/>
    <w:rsid w:val="009C0DE2"/>
    <w:rsid w:val="009C0E54"/>
    <w:rsid w:val="009C5740"/>
    <w:rsid w:val="009F2B65"/>
    <w:rsid w:val="00A0050A"/>
    <w:rsid w:val="00A04C5C"/>
    <w:rsid w:val="00A13D1D"/>
    <w:rsid w:val="00A14CC2"/>
    <w:rsid w:val="00A150BC"/>
    <w:rsid w:val="00A24B51"/>
    <w:rsid w:val="00A374D5"/>
    <w:rsid w:val="00A445AB"/>
    <w:rsid w:val="00A54190"/>
    <w:rsid w:val="00A657D1"/>
    <w:rsid w:val="00A776DA"/>
    <w:rsid w:val="00A77D29"/>
    <w:rsid w:val="00A857BD"/>
    <w:rsid w:val="00A87568"/>
    <w:rsid w:val="00A908BF"/>
    <w:rsid w:val="00A92181"/>
    <w:rsid w:val="00AA126F"/>
    <w:rsid w:val="00AC250B"/>
    <w:rsid w:val="00AD5708"/>
    <w:rsid w:val="00AE1F76"/>
    <w:rsid w:val="00AE6821"/>
    <w:rsid w:val="00AF5C07"/>
    <w:rsid w:val="00AF6364"/>
    <w:rsid w:val="00B04FD3"/>
    <w:rsid w:val="00B071A7"/>
    <w:rsid w:val="00B10616"/>
    <w:rsid w:val="00B21BDC"/>
    <w:rsid w:val="00B438E8"/>
    <w:rsid w:val="00B451A9"/>
    <w:rsid w:val="00B51FEE"/>
    <w:rsid w:val="00B52AD4"/>
    <w:rsid w:val="00B55BA1"/>
    <w:rsid w:val="00B61A86"/>
    <w:rsid w:val="00B63974"/>
    <w:rsid w:val="00B642E2"/>
    <w:rsid w:val="00B7009C"/>
    <w:rsid w:val="00B70146"/>
    <w:rsid w:val="00B712D9"/>
    <w:rsid w:val="00B8197A"/>
    <w:rsid w:val="00B86C91"/>
    <w:rsid w:val="00B91B71"/>
    <w:rsid w:val="00B92A9C"/>
    <w:rsid w:val="00BA0E2C"/>
    <w:rsid w:val="00BA67B5"/>
    <w:rsid w:val="00BC63CE"/>
    <w:rsid w:val="00BD63C2"/>
    <w:rsid w:val="00BE2435"/>
    <w:rsid w:val="00BE4A63"/>
    <w:rsid w:val="00BE5277"/>
    <w:rsid w:val="00BE77AA"/>
    <w:rsid w:val="00BF1D45"/>
    <w:rsid w:val="00BF25B8"/>
    <w:rsid w:val="00BF5973"/>
    <w:rsid w:val="00C170B8"/>
    <w:rsid w:val="00C25AB6"/>
    <w:rsid w:val="00C25DF8"/>
    <w:rsid w:val="00C3766B"/>
    <w:rsid w:val="00C378F1"/>
    <w:rsid w:val="00C460BF"/>
    <w:rsid w:val="00C72D5A"/>
    <w:rsid w:val="00C80C70"/>
    <w:rsid w:val="00C8181A"/>
    <w:rsid w:val="00CA02CE"/>
    <w:rsid w:val="00CA4B39"/>
    <w:rsid w:val="00CA547F"/>
    <w:rsid w:val="00CA6053"/>
    <w:rsid w:val="00CA742C"/>
    <w:rsid w:val="00CB423B"/>
    <w:rsid w:val="00CD43D9"/>
    <w:rsid w:val="00CE1041"/>
    <w:rsid w:val="00CF6E5B"/>
    <w:rsid w:val="00D02BEB"/>
    <w:rsid w:val="00D13845"/>
    <w:rsid w:val="00D21DB3"/>
    <w:rsid w:val="00D26A84"/>
    <w:rsid w:val="00D37D18"/>
    <w:rsid w:val="00D419AD"/>
    <w:rsid w:val="00D5049D"/>
    <w:rsid w:val="00D508F6"/>
    <w:rsid w:val="00D66F94"/>
    <w:rsid w:val="00D71D0C"/>
    <w:rsid w:val="00D85E7C"/>
    <w:rsid w:val="00D937FA"/>
    <w:rsid w:val="00D96E15"/>
    <w:rsid w:val="00DA2768"/>
    <w:rsid w:val="00DA45AE"/>
    <w:rsid w:val="00DA76DB"/>
    <w:rsid w:val="00DB4CD1"/>
    <w:rsid w:val="00DC3EC1"/>
    <w:rsid w:val="00DD5F24"/>
    <w:rsid w:val="00DE687A"/>
    <w:rsid w:val="00DF5A5E"/>
    <w:rsid w:val="00E133CB"/>
    <w:rsid w:val="00E17931"/>
    <w:rsid w:val="00E20CAE"/>
    <w:rsid w:val="00E21DC5"/>
    <w:rsid w:val="00E2514B"/>
    <w:rsid w:val="00E25AA8"/>
    <w:rsid w:val="00E33266"/>
    <w:rsid w:val="00E356D6"/>
    <w:rsid w:val="00E3723A"/>
    <w:rsid w:val="00E477BD"/>
    <w:rsid w:val="00E54D8B"/>
    <w:rsid w:val="00E6604F"/>
    <w:rsid w:val="00E74231"/>
    <w:rsid w:val="00E84095"/>
    <w:rsid w:val="00E8545F"/>
    <w:rsid w:val="00E90E0B"/>
    <w:rsid w:val="00E91DA7"/>
    <w:rsid w:val="00E94322"/>
    <w:rsid w:val="00EB13CD"/>
    <w:rsid w:val="00EB768B"/>
    <w:rsid w:val="00ED05CE"/>
    <w:rsid w:val="00ED4859"/>
    <w:rsid w:val="00ED7E39"/>
    <w:rsid w:val="00F020CD"/>
    <w:rsid w:val="00F047C8"/>
    <w:rsid w:val="00F054AF"/>
    <w:rsid w:val="00F05FBC"/>
    <w:rsid w:val="00F10DCF"/>
    <w:rsid w:val="00F17E40"/>
    <w:rsid w:val="00F23661"/>
    <w:rsid w:val="00F4261B"/>
    <w:rsid w:val="00F44A28"/>
    <w:rsid w:val="00F46556"/>
    <w:rsid w:val="00F53825"/>
    <w:rsid w:val="00F77CB8"/>
    <w:rsid w:val="00F82727"/>
    <w:rsid w:val="00F84B19"/>
    <w:rsid w:val="00F92DD0"/>
    <w:rsid w:val="00F940B6"/>
    <w:rsid w:val="00FA655A"/>
    <w:rsid w:val="00FB076D"/>
    <w:rsid w:val="00FC13DF"/>
    <w:rsid w:val="00FC3399"/>
    <w:rsid w:val="00FD733D"/>
    <w:rsid w:val="00FE04BA"/>
    <w:rsid w:val="00FE2243"/>
    <w:rsid w:val="00FE3434"/>
    <w:rsid w:val="00FF190E"/>
    <w:rsid w:val="50602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376092" w:themeColor="accent1" w:themeShade="BF"/>
      <w:sz w:val="48"/>
      <w:szCs w:val="48"/>
    </w:rPr>
  </w:style>
  <w:style w:type="paragraph" w:styleId="3">
    <w:name w:val="heading 2"/>
    <w:basedOn w:val="1"/>
    <w:next w:val="1"/>
    <w:link w:val="25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376092" w:themeColor="accent1" w:themeShade="BF"/>
      <w:sz w:val="40"/>
      <w:szCs w:val="40"/>
    </w:rPr>
  </w:style>
  <w:style w:type="paragraph" w:styleId="4">
    <w:name w:val="heading 3"/>
    <w:basedOn w:val="1"/>
    <w:next w:val="1"/>
    <w:link w:val="26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paragraph" w:styleId="5">
    <w:name w:val="heading 4"/>
    <w:basedOn w:val="1"/>
    <w:next w:val="1"/>
    <w:link w:val="27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376092" w:themeColor="accent1" w:themeShade="BF"/>
      <w:sz w:val="28"/>
      <w:szCs w:val="28"/>
    </w:rPr>
  </w:style>
  <w:style w:type="paragraph" w:styleId="6">
    <w:name w:val="heading 5"/>
    <w:basedOn w:val="1"/>
    <w:next w:val="1"/>
    <w:link w:val="28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376092" w:themeColor="accent1" w:themeShade="BF"/>
      <w:sz w:val="24"/>
      <w:szCs w:val="24"/>
    </w:r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376092" w:themeColor="accent1" w:themeShade="BF"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1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2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2">
    <w:name w:val="footer"/>
    <w:basedOn w:val="1"/>
    <w:link w:val="4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4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footnote text"/>
    <w:basedOn w:val="1"/>
    <w:next w:val="16"/>
    <w:link w:val="72"/>
    <w:semiHidden/>
    <w:qFormat/>
    <w:uiPriority w:val="0"/>
    <w:pPr>
      <w:widowControl/>
      <w:spacing w:after="200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16">
    <w:name w:val="TF_References_Section"/>
    <w:basedOn w:val="1"/>
    <w:qFormat/>
    <w:uiPriority w:val="0"/>
    <w:pPr>
      <w:widowControl/>
      <w:spacing w:after="200" w:line="480" w:lineRule="auto"/>
      <w:ind w:firstLine="187"/>
    </w:pPr>
    <w:rPr>
      <w:rFonts w:ascii="Times" w:hAnsi="Times" w:cs="Times New Roman"/>
      <w:kern w:val="0"/>
      <w:sz w:val="24"/>
      <w:szCs w:val="20"/>
      <w:lang w:eastAsia="en-US"/>
    </w:rPr>
  </w:style>
  <w:style w:type="paragraph" w:styleId="17">
    <w:name w:val="Title"/>
    <w:basedOn w:val="1"/>
    <w:next w:val="1"/>
    <w:link w:val="33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9">
    <w:name w:val="Table Grid"/>
    <w:basedOn w:val="1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FollowedHyperlink"/>
    <w:qFormat/>
    <w:uiPriority w:val="0"/>
    <w:rPr>
      <w:color w:val="800080"/>
      <w:u w:val="single"/>
    </w:rPr>
  </w:style>
  <w:style w:type="character" w:styleId="22">
    <w:name w:val="Hyperlink"/>
    <w:qFormat/>
    <w:uiPriority w:val="0"/>
    <w:rPr>
      <w:color w:val="0000FF"/>
      <w:u w:val="single"/>
    </w:rPr>
  </w:style>
  <w:style w:type="paragraph" w:customStyle="1" w:styleId="23">
    <w:name w:val="1级标题"/>
    <w:basedOn w:val="1"/>
    <w:qFormat/>
    <w:uiPriority w:val="0"/>
    <w:pPr>
      <w:spacing w:before="240" w:after="240"/>
      <w:jc w:val="center"/>
    </w:pPr>
    <w:rPr>
      <w:rFonts w:ascii="黑体" w:hAnsi="黑体" w:eastAsia="黑体"/>
      <w:sz w:val="32"/>
      <w:szCs w:val="24"/>
    </w:rPr>
  </w:style>
  <w:style w:type="character" w:customStyle="1" w:styleId="24">
    <w:name w:val="标题 1 字符"/>
    <w:basedOn w:val="20"/>
    <w:link w:val="2"/>
    <w:qFormat/>
    <w:uiPriority w:val="9"/>
    <w:rPr>
      <w:rFonts w:asciiTheme="majorHAnsi" w:hAnsiTheme="majorHAnsi" w:eastAsiaTheme="majorEastAsia" w:cstheme="majorBidi"/>
      <w:color w:val="376092" w:themeColor="accent1" w:themeShade="BF"/>
      <w:sz w:val="48"/>
      <w:szCs w:val="48"/>
    </w:rPr>
  </w:style>
  <w:style w:type="character" w:customStyle="1" w:styleId="25">
    <w:name w:val="标题 2 字符"/>
    <w:basedOn w:val="20"/>
    <w:link w:val="3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40"/>
      <w:szCs w:val="40"/>
    </w:rPr>
  </w:style>
  <w:style w:type="character" w:customStyle="1" w:styleId="26">
    <w:name w:val="标题 3 字符"/>
    <w:basedOn w:val="20"/>
    <w:link w:val="4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character" w:customStyle="1" w:styleId="27">
    <w:name w:val="标题 4 字符"/>
    <w:basedOn w:val="20"/>
    <w:link w:val="5"/>
    <w:semiHidden/>
    <w:qFormat/>
    <w:uiPriority w:val="9"/>
    <w:rPr>
      <w:rFonts w:cstheme="majorBidi"/>
      <w:color w:val="376092" w:themeColor="accent1" w:themeShade="BF"/>
      <w:sz w:val="28"/>
      <w:szCs w:val="28"/>
    </w:rPr>
  </w:style>
  <w:style w:type="character" w:customStyle="1" w:styleId="28">
    <w:name w:val="标题 5 字符"/>
    <w:basedOn w:val="20"/>
    <w:link w:val="6"/>
    <w:semiHidden/>
    <w:qFormat/>
    <w:uiPriority w:val="9"/>
    <w:rPr>
      <w:rFonts w:cstheme="majorBidi"/>
      <w:color w:val="376092" w:themeColor="accent1" w:themeShade="BF"/>
      <w:sz w:val="24"/>
      <w:szCs w:val="24"/>
    </w:rPr>
  </w:style>
  <w:style w:type="character" w:customStyle="1" w:styleId="29">
    <w:name w:val="标题 6 字符"/>
    <w:basedOn w:val="20"/>
    <w:link w:val="7"/>
    <w:semiHidden/>
    <w:qFormat/>
    <w:uiPriority w:val="9"/>
    <w:rPr>
      <w:rFonts w:cstheme="majorBidi"/>
      <w:b/>
      <w:bCs/>
      <w:color w:val="376092" w:themeColor="accent1" w:themeShade="BF"/>
    </w:rPr>
  </w:style>
  <w:style w:type="character" w:customStyle="1" w:styleId="30">
    <w:name w:val="标题 7 字符"/>
    <w:basedOn w:val="20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8 字符"/>
    <w:basedOn w:val="20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标题 9 字符"/>
    <w:basedOn w:val="20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3">
    <w:name w:val="标题 字符"/>
    <w:basedOn w:val="20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4">
    <w:name w:val="副标题 字符"/>
    <w:basedOn w:val="20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5">
    <w:name w:val="Quote"/>
    <w:basedOn w:val="1"/>
    <w:next w:val="1"/>
    <w:link w:val="36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6">
    <w:name w:val="引用 字符"/>
    <w:basedOn w:val="20"/>
    <w:link w:val="35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7">
    <w:name w:val="List Paragraph"/>
    <w:basedOn w:val="1"/>
    <w:qFormat/>
    <w:uiPriority w:val="34"/>
    <w:pPr>
      <w:ind w:left="720"/>
      <w:contextualSpacing/>
    </w:pPr>
  </w:style>
  <w:style w:type="character" w:customStyle="1" w:styleId="38">
    <w:name w:val="Intense Emphasis"/>
    <w:basedOn w:val="20"/>
    <w:qFormat/>
    <w:uiPriority w:val="21"/>
    <w:rPr>
      <w:i/>
      <w:iCs/>
      <w:color w:val="376092" w:themeColor="accent1" w:themeShade="BF"/>
    </w:rPr>
  </w:style>
  <w:style w:type="paragraph" w:styleId="39">
    <w:name w:val="Intense Quote"/>
    <w:basedOn w:val="1"/>
    <w:next w:val="1"/>
    <w:link w:val="40"/>
    <w:qFormat/>
    <w:uiPriority w:val="30"/>
    <w:pPr>
      <w:pBdr>
        <w:top w:val="single" w:color="366091" w:themeColor="accent1" w:themeShade="BF" w:sz="4" w:space="10"/>
        <w:bottom w:val="single" w:color="366091" w:themeColor="accent1" w:themeShade="BF" w:sz="4" w:space="10"/>
      </w:pBdr>
      <w:spacing w:before="360" w:after="360"/>
      <w:ind w:left="864" w:right="864"/>
      <w:jc w:val="center"/>
    </w:pPr>
    <w:rPr>
      <w:i/>
      <w:iCs/>
      <w:color w:val="376092" w:themeColor="accent1" w:themeShade="BF"/>
    </w:rPr>
  </w:style>
  <w:style w:type="character" w:customStyle="1" w:styleId="40">
    <w:name w:val="明显引用 字符"/>
    <w:basedOn w:val="20"/>
    <w:link w:val="39"/>
    <w:qFormat/>
    <w:uiPriority w:val="30"/>
    <w:rPr>
      <w:i/>
      <w:iCs/>
      <w:color w:val="376092" w:themeColor="accent1" w:themeShade="BF"/>
    </w:rPr>
  </w:style>
  <w:style w:type="character" w:customStyle="1" w:styleId="41">
    <w:name w:val="Intense Reference"/>
    <w:basedOn w:val="20"/>
    <w:qFormat/>
    <w:uiPriority w:val="32"/>
    <w:rPr>
      <w:b/>
      <w:bCs/>
      <w:smallCaps/>
      <w:color w:val="376092" w:themeColor="accent1" w:themeShade="BF"/>
      <w:spacing w:val="5"/>
    </w:rPr>
  </w:style>
  <w:style w:type="character" w:customStyle="1" w:styleId="42">
    <w:name w:val="页眉 字符"/>
    <w:basedOn w:val="20"/>
    <w:link w:val="13"/>
    <w:qFormat/>
    <w:uiPriority w:val="99"/>
    <w:rPr>
      <w:sz w:val="18"/>
      <w:szCs w:val="18"/>
    </w:rPr>
  </w:style>
  <w:style w:type="character" w:customStyle="1" w:styleId="43">
    <w:name w:val="页脚 字符"/>
    <w:basedOn w:val="20"/>
    <w:link w:val="12"/>
    <w:qFormat/>
    <w:uiPriority w:val="99"/>
    <w:rPr>
      <w:sz w:val="18"/>
      <w:szCs w:val="18"/>
    </w:rPr>
  </w:style>
  <w:style w:type="paragraph" w:customStyle="1" w:styleId="44">
    <w:name w:val="AF_Title_Running_Head"/>
    <w:basedOn w:val="1"/>
    <w:next w:val="1"/>
    <w:qFormat/>
    <w:uiPriority w:val="0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45">
    <w:name w:val="AI_Received_Date"/>
    <w:basedOn w:val="1"/>
    <w:next w:val="1"/>
    <w:qFormat/>
    <w:uiPriority w:val="0"/>
    <w:pPr>
      <w:widowControl/>
      <w:spacing w:after="240" w:line="480" w:lineRule="auto"/>
    </w:pPr>
    <w:rPr>
      <w:rFonts w:ascii="Times" w:hAnsi="Times" w:cs="Times New Roman"/>
      <w:b/>
      <w:kern w:val="0"/>
      <w:sz w:val="24"/>
      <w:szCs w:val="20"/>
      <w:lang w:eastAsia="en-US"/>
    </w:rPr>
  </w:style>
  <w:style w:type="paragraph" w:customStyle="1" w:styleId="46">
    <w:name w:val="BA_Title"/>
    <w:basedOn w:val="1"/>
    <w:next w:val="1"/>
    <w:qFormat/>
    <w:uiPriority w:val="0"/>
    <w:pPr>
      <w:widowControl/>
      <w:spacing w:before="720" w:after="360" w:line="480" w:lineRule="auto"/>
      <w:jc w:val="center"/>
    </w:pPr>
    <w:rPr>
      <w:rFonts w:ascii="Times New Roman" w:hAnsi="Times New Roman" w:cs="Times New Roman"/>
      <w:kern w:val="0"/>
      <w:sz w:val="44"/>
      <w:szCs w:val="20"/>
      <w:lang w:eastAsia="en-US"/>
    </w:rPr>
  </w:style>
  <w:style w:type="paragraph" w:customStyle="1" w:styleId="47">
    <w:name w:val="BB_Author_Name"/>
    <w:basedOn w:val="1"/>
    <w:next w:val="1"/>
    <w:qFormat/>
    <w:uiPriority w:val="0"/>
    <w:pPr>
      <w:widowControl/>
      <w:spacing w:after="240" w:line="480" w:lineRule="auto"/>
      <w:jc w:val="center"/>
    </w:pPr>
    <w:rPr>
      <w:rFonts w:ascii="Times" w:hAnsi="Times" w:cs="Times New Roman"/>
      <w:i/>
      <w:kern w:val="0"/>
      <w:sz w:val="24"/>
      <w:szCs w:val="20"/>
      <w:lang w:eastAsia="en-US"/>
    </w:rPr>
  </w:style>
  <w:style w:type="paragraph" w:customStyle="1" w:styleId="48">
    <w:name w:val="BC_Author_Address"/>
    <w:basedOn w:val="1"/>
    <w:next w:val="1"/>
    <w:qFormat/>
    <w:uiPriority w:val="0"/>
    <w:pPr>
      <w:widowControl/>
      <w:spacing w:after="240" w:line="480" w:lineRule="auto"/>
      <w:jc w:val="center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49">
    <w:name w:val="BD_Abstract"/>
    <w:basedOn w:val="1"/>
    <w:next w:val="1"/>
    <w:qFormat/>
    <w:uiPriority w:val="0"/>
    <w:pPr>
      <w:widowControl/>
      <w:spacing w:before="360" w:after="36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50">
    <w:name w:val="BE_Author_Biography"/>
    <w:basedOn w:val="1"/>
    <w:qFormat/>
    <w:uiPriority w:val="0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51">
    <w:name w:val="BG_Keywords"/>
    <w:basedOn w:val="1"/>
    <w:qFormat/>
    <w:uiPriority w:val="0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52">
    <w:name w:val="BH_Briefs"/>
    <w:basedOn w:val="1"/>
    <w:qFormat/>
    <w:uiPriority w:val="0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53">
    <w:name w:val="BI_Email_Address"/>
    <w:basedOn w:val="1"/>
    <w:next w:val="45"/>
    <w:qFormat/>
    <w:uiPriority w:val="0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54">
    <w:name w:val="Default"/>
    <w:qFormat/>
    <w:uiPriority w:val="0"/>
    <w:pPr>
      <w:autoSpaceDE w:val="0"/>
      <w:autoSpaceDN w:val="0"/>
      <w:adjustRightInd w:val="0"/>
    </w:pPr>
    <w:rPr>
      <w:rFonts w:ascii="Symbol" w:hAnsi="Symbol" w:cs="Symbol" w:eastAsiaTheme="minorEastAsia"/>
      <w:color w:val="000000"/>
      <w:kern w:val="0"/>
      <w:sz w:val="24"/>
      <w:szCs w:val="24"/>
      <w:lang w:val="en-US" w:eastAsia="en-US" w:bidi="ar-SA"/>
    </w:rPr>
  </w:style>
  <w:style w:type="paragraph" w:customStyle="1" w:styleId="55">
    <w:name w:val="FA_Author_Info_Subtitle"/>
    <w:basedOn w:val="1"/>
    <w:link w:val="56"/>
    <w:autoRedefine/>
    <w:qFormat/>
    <w:uiPriority w:val="0"/>
    <w:pPr>
      <w:widowControl/>
      <w:spacing w:before="120" w:after="60" w:line="480" w:lineRule="auto"/>
      <w:jc w:val="left"/>
    </w:pPr>
    <w:rPr>
      <w:rFonts w:ascii="Times" w:hAnsi="Times" w:cs="Times New Roman"/>
      <w:b/>
      <w:kern w:val="0"/>
      <w:sz w:val="24"/>
      <w:szCs w:val="20"/>
      <w:lang w:eastAsia="en-US"/>
    </w:rPr>
  </w:style>
  <w:style w:type="character" w:customStyle="1" w:styleId="56">
    <w:name w:val="FA_Author_Info_Subtitle Char"/>
    <w:link w:val="55"/>
    <w:qFormat/>
    <w:uiPriority w:val="0"/>
    <w:rPr>
      <w:rFonts w:ascii="Times" w:hAnsi="Times" w:cs="Times New Roman"/>
      <w:b/>
      <w:kern w:val="0"/>
      <w:sz w:val="24"/>
      <w:szCs w:val="20"/>
      <w:lang w:eastAsia="en-US"/>
    </w:rPr>
  </w:style>
  <w:style w:type="paragraph" w:customStyle="1" w:styleId="57">
    <w:name w:val="FA_Corresponding_Author_Footnote"/>
    <w:basedOn w:val="1"/>
    <w:next w:val="1"/>
    <w:qFormat/>
    <w:uiPriority w:val="0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58">
    <w:name w:val="FC_Chart_Footnote"/>
    <w:basedOn w:val="1"/>
    <w:next w:val="1"/>
    <w:qFormat/>
    <w:uiPriority w:val="0"/>
    <w:pPr>
      <w:widowControl/>
      <w:spacing w:after="200"/>
      <w:ind w:firstLine="187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59">
    <w:name w:val="FD_Scheme_Footnote"/>
    <w:basedOn w:val="1"/>
    <w:next w:val="1"/>
    <w:qFormat/>
    <w:uiPriority w:val="0"/>
    <w:pPr>
      <w:widowControl/>
      <w:spacing w:after="200"/>
      <w:ind w:firstLine="187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60">
    <w:name w:val="FE_Table_Footnote"/>
    <w:basedOn w:val="1"/>
    <w:next w:val="1"/>
    <w:qFormat/>
    <w:uiPriority w:val="0"/>
    <w:pPr>
      <w:widowControl/>
      <w:spacing w:after="200"/>
      <w:ind w:firstLine="187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61">
    <w:name w:val="SN_Synopsis_TOC"/>
    <w:basedOn w:val="1"/>
    <w:qFormat/>
    <w:uiPriority w:val="0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62">
    <w:name w:val="Style FA_Corresponding_Author_Footnote + 7 pt"/>
    <w:basedOn w:val="1"/>
    <w:next w:val="51"/>
    <w:link w:val="63"/>
    <w:autoRedefine/>
    <w:qFormat/>
    <w:uiPriority w:val="0"/>
    <w:pPr>
      <w:widowControl/>
      <w:jc w:val="left"/>
    </w:pPr>
    <w:rPr>
      <w:rFonts w:ascii="Arno Pro" w:hAnsi="Arno Pro" w:cs="Times New Roman"/>
      <w:kern w:val="20"/>
      <w:sz w:val="18"/>
      <w:szCs w:val="20"/>
      <w:lang w:eastAsia="en-US"/>
    </w:rPr>
  </w:style>
  <w:style w:type="character" w:customStyle="1" w:styleId="63">
    <w:name w:val="Style FA_Corresponding_Author_Footnote + 7 pt Char"/>
    <w:link w:val="62"/>
    <w:qFormat/>
    <w:uiPriority w:val="0"/>
    <w:rPr>
      <w:rFonts w:ascii="Arno Pro" w:hAnsi="Arno Pro" w:cs="Times New Roman"/>
      <w:kern w:val="20"/>
      <w:sz w:val="18"/>
      <w:szCs w:val="20"/>
      <w:lang w:eastAsia="en-US"/>
    </w:rPr>
  </w:style>
  <w:style w:type="paragraph" w:customStyle="1" w:styleId="64">
    <w:name w:val="TA_Main_Text"/>
    <w:basedOn w:val="1"/>
    <w:qFormat/>
    <w:uiPriority w:val="0"/>
    <w:pPr>
      <w:widowControl/>
      <w:spacing w:line="480" w:lineRule="auto"/>
      <w:ind w:firstLine="202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65">
    <w:name w:val="TC_Table_Body"/>
    <w:basedOn w:val="1"/>
    <w:qFormat/>
    <w:uiPriority w:val="0"/>
    <w:pPr>
      <w:widowControl/>
      <w:spacing w:after="200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66">
    <w:name w:val="TD_Acknowledgments"/>
    <w:basedOn w:val="1"/>
    <w:next w:val="1"/>
    <w:qFormat/>
    <w:uiPriority w:val="0"/>
    <w:pPr>
      <w:widowControl/>
      <w:spacing w:before="200" w:after="200" w:line="480" w:lineRule="auto"/>
      <w:ind w:firstLine="202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67">
    <w:name w:val="TE_Supporting_Information"/>
    <w:basedOn w:val="1"/>
    <w:next w:val="1"/>
    <w:qFormat/>
    <w:uiPriority w:val="0"/>
    <w:pPr>
      <w:widowControl/>
      <w:spacing w:after="200" w:line="480" w:lineRule="auto"/>
      <w:ind w:firstLine="187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68">
    <w:name w:val="VA_Figure_Caption"/>
    <w:basedOn w:val="1"/>
    <w:next w:val="1"/>
    <w:qFormat/>
    <w:uiPriority w:val="0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69">
    <w:name w:val="VB_Chart_Title"/>
    <w:basedOn w:val="1"/>
    <w:next w:val="1"/>
    <w:qFormat/>
    <w:uiPriority w:val="0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70">
    <w:name w:val="VC_Scheme_Title"/>
    <w:basedOn w:val="1"/>
    <w:next w:val="1"/>
    <w:qFormat/>
    <w:uiPriority w:val="0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71">
    <w:name w:val="VD_Table_Title"/>
    <w:basedOn w:val="1"/>
    <w:next w:val="1"/>
    <w:qFormat/>
    <w:uiPriority w:val="0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character" w:customStyle="1" w:styleId="72">
    <w:name w:val="脚注文本 字符"/>
    <w:basedOn w:val="20"/>
    <w:link w:val="15"/>
    <w:semiHidden/>
    <w:qFormat/>
    <w:uiPriority w:val="0"/>
    <w:rPr>
      <w:rFonts w:ascii="Times" w:hAnsi="Times" w:cs="Times New Roman"/>
      <w:kern w:val="0"/>
      <w:sz w:val="24"/>
      <w:szCs w:val="20"/>
      <w:lang w:eastAsia="en-US"/>
    </w:rPr>
  </w:style>
  <w:style w:type="character" w:styleId="73">
    <w:name w:val="Placeholder Text"/>
    <w:basedOn w:val="20"/>
    <w:semiHidden/>
    <w:qFormat/>
    <w:uiPriority w:val="99"/>
    <w:rPr>
      <w:color w:val="666666"/>
    </w:rPr>
  </w:style>
  <w:style w:type="paragraph" w:customStyle="1" w:styleId="74">
    <w:name w:val="EndNote Bibliography Title"/>
    <w:basedOn w:val="1"/>
    <w:link w:val="75"/>
    <w:qFormat/>
    <w:uiPriority w:val="0"/>
    <w:pPr>
      <w:jc w:val="center"/>
    </w:pPr>
    <w:rPr>
      <w:rFonts w:ascii="Calibri" w:hAnsi="Calibri" w:cs="Calibri"/>
      <w:sz w:val="20"/>
    </w:rPr>
  </w:style>
  <w:style w:type="character" w:customStyle="1" w:styleId="75">
    <w:name w:val="EndNote Bibliography Title 字符"/>
    <w:basedOn w:val="20"/>
    <w:link w:val="74"/>
    <w:qFormat/>
    <w:uiPriority w:val="0"/>
    <w:rPr>
      <w:rFonts w:ascii="Calibri" w:hAnsi="Calibri" w:cs="Calibri"/>
      <w:sz w:val="20"/>
    </w:rPr>
  </w:style>
  <w:style w:type="paragraph" w:customStyle="1" w:styleId="76">
    <w:name w:val="EndNote Bibliography"/>
    <w:basedOn w:val="1"/>
    <w:link w:val="77"/>
    <w:qFormat/>
    <w:uiPriority w:val="0"/>
    <w:rPr>
      <w:rFonts w:ascii="Calibri" w:hAnsi="Calibri" w:cs="Calibri"/>
      <w:sz w:val="20"/>
    </w:rPr>
  </w:style>
  <w:style w:type="character" w:customStyle="1" w:styleId="77">
    <w:name w:val="EndNote Bibliography 字符"/>
    <w:basedOn w:val="20"/>
    <w:link w:val="76"/>
    <w:qFormat/>
    <w:uiPriority w:val="0"/>
    <w:rPr>
      <w:rFonts w:ascii="Calibri" w:hAnsi="Calibri" w:cs="Calibri"/>
      <w:sz w:val="20"/>
    </w:rPr>
  </w:style>
  <w:style w:type="character" w:customStyle="1" w:styleId="78">
    <w:name w:val="Unresolved Mention"/>
    <w:basedOn w:val="2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79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tiff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6434;&#19971;&#26434;&#20843;\&#20869;&#31185;&#22823;\&#24072;&#22992;&#23567;&#35770;&#25991;&#25968;&#25454;\&#35770;&#25991;\acstemplate_msw2010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9828F-CD61-4C9B-878A-E94D27B25B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acstemplate_msw2010.dotx</Template>
  <Pages>12</Pages>
  <Words>644</Words>
  <Characters>3679</Characters>
  <Lines>178</Lines>
  <Paragraphs>50</Paragraphs>
  <TotalTime>0</TotalTime>
  <ScaleCrop>false</ScaleCrop>
  <LinksUpToDate>false</LinksUpToDate>
  <CharactersWithSpaces>4283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2025-09-26T02:39:00Z</dcterms:created>
  <dc:creator>Rain CN</dc:creator>
  <cp:lastModifiedBy>田忠贞</cp:lastModifiedBy>
  <cp:lastPrinted>2025-09-29T12:38:00Z</cp:lastPrinted>
  <dcterms:modified xsi:type="dcterms:W3CDTF">2025-10-02T03:40:21Z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eyJoZGlkIjoiMTk5ODNkN2ZiZTVkZmQ0NDRlYzViMDFjZTU4MWQ3NDYiLCJ1c2VySWQiOiI0MjA2NTE2MzkifQ==</vt:lpwstr>
  </property>
  <property fmtid="{D5CDD505-2E9C-101B-9397-08002B2CF9AE}" pid="3" name="KSOProductBuildVer">
    <vt:lpwstr>2052-12.1.0.23125</vt:lpwstr>
  </property>
  <property fmtid="{D5CDD505-2E9C-101B-9397-08002B2CF9AE}" pid="4" name="ICV">
    <vt:lpwstr>73A2C8EAB038455FB1E6D46655ED7F2D_12</vt:lpwstr>
  </property>
</Properties>
</file>