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4142" w14:textId="709C64E8" w:rsidR="00D07C48" w:rsidRPr="005E1F20" w:rsidRDefault="000455E4" w:rsidP="006F2651">
      <w:pPr>
        <w:jc w:val="both"/>
        <w:rPr>
          <w:b/>
          <w:bCs/>
        </w:rPr>
      </w:pPr>
      <w:r>
        <w:rPr>
          <w:b/>
          <w:bCs/>
        </w:rPr>
        <w:t>SUPPLEMENTARY INFORMATION</w:t>
      </w:r>
    </w:p>
    <w:p w14:paraId="35B509C7" w14:textId="77777777" w:rsidR="00625D77" w:rsidRPr="00625D77" w:rsidRDefault="00625D77" w:rsidP="00625D77">
      <w:pPr>
        <w:jc w:val="both"/>
        <w:rPr>
          <w:b/>
          <w:bCs/>
          <w:sz w:val="22"/>
        </w:rPr>
      </w:pPr>
      <w:r w:rsidRPr="00625D77">
        <w:rPr>
          <w:b/>
          <w:bCs/>
          <w:sz w:val="22"/>
        </w:rPr>
        <w:t>Breast cancer tumour characteristics and screening data</w:t>
      </w:r>
    </w:p>
    <w:p w14:paraId="7D44E690" w14:textId="77777777" w:rsidR="00625D77" w:rsidRPr="00625D77" w:rsidRDefault="00625D77" w:rsidP="00625D77">
      <w:pPr>
        <w:jc w:val="both"/>
        <w:rPr>
          <w:sz w:val="22"/>
        </w:rPr>
      </w:pPr>
      <w:r w:rsidRPr="00625D77">
        <w:rPr>
          <w:sz w:val="22"/>
        </w:rPr>
        <w:t xml:space="preserve">Breast cancers were defined as incident ductal carcinoma </w:t>
      </w:r>
      <w:r w:rsidRPr="00625D77">
        <w:rPr>
          <w:i/>
          <w:sz w:val="22"/>
        </w:rPr>
        <w:t>in situ</w:t>
      </w:r>
      <w:r w:rsidRPr="00625D77">
        <w:rPr>
          <w:sz w:val="22"/>
        </w:rPr>
        <w:t xml:space="preserve"> (DCIS; ICD code D051 and unspecified codes D059 or D05Z assumed to be DCIS (N=3)) or invasive breast cancer (ICD codes starting with C50). Information on tumour characteristics (morphology, histological grade, tumour size, lymph node involvement, oestrogen receptor (ER), progesterone receptor (PR) and human epidermal growth factor receptor 2 (HER2) status were obtained from cancer registrations and pathology reports.</w:t>
      </w:r>
    </w:p>
    <w:p w14:paraId="27924F77" w14:textId="04444185" w:rsidR="00625D77" w:rsidRPr="00625D77" w:rsidRDefault="00625D77" w:rsidP="006F2651">
      <w:pPr>
        <w:jc w:val="both"/>
        <w:rPr>
          <w:sz w:val="22"/>
        </w:rPr>
      </w:pPr>
      <w:r w:rsidRPr="00625D77">
        <w:rPr>
          <w:sz w:val="22"/>
        </w:rPr>
        <w:t xml:space="preserve">The </w:t>
      </w:r>
      <w:r w:rsidR="00A42306" w:rsidRPr="00A42306">
        <w:rPr>
          <w:sz w:val="22"/>
        </w:rPr>
        <w:t>National Health Service Breast Screening Programme (NHSBSP)</w:t>
      </w:r>
      <w:r w:rsidR="00A42306">
        <w:rPr>
          <w:sz w:val="22"/>
        </w:rPr>
        <w:t xml:space="preserve"> </w:t>
      </w:r>
      <w:r w:rsidRPr="00625D77">
        <w:rPr>
          <w:sz w:val="22"/>
        </w:rPr>
        <w:t>in England is a nationally organised programme that operates through around 80 breast screening facilities. Linkage between the BGS cohort and NHSBSP data was performed between January and May 2016. Women eligible for linkage were born before 1977, had a valid NHS number and had provided the relevant consent. Linkage resulted in breast screening histories for 71,482 women residents in England with approximately 350,000 screening episodes between 1988-2016. For each episode, the date of invitation, attendance and assessment and the outcome of each stage were returned. Summarised biopsy results, final action and status at episode closure were also supplied in addition to the screening centre where the episode took place. When available, for cases diagnosed after the latest episode information supplied by NHSBSP linkage, we used the screen-detected flag from the cancer registration and assumed that cancers not flagged as screen-detected were interval cancers</w:t>
      </w:r>
      <w:r w:rsidRPr="00625D77" w:rsidDel="0079757D">
        <w:rPr>
          <w:sz w:val="22"/>
        </w:rPr>
        <w:t xml:space="preserve"> </w:t>
      </w:r>
      <w:r w:rsidRPr="00625D77">
        <w:rPr>
          <w:sz w:val="22"/>
        </w:rPr>
        <w:t>(</w:t>
      </w:r>
      <w:r w:rsidRPr="00625D77">
        <w:rPr>
          <w:b/>
          <w:bCs/>
          <w:sz w:val="22"/>
        </w:rPr>
        <w:t>Supplementary Table 1</w:t>
      </w:r>
      <w:r w:rsidRPr="00625D77">
        <w:rPr>
          <w:sz w:val="22"/>
        </w:rPr>
        <w:t xml:space="preserve">). </w:t>
      </w:r>
    </w:p>
    <w:p w14:paraId="3349F07C" w14:textId="470F0DD4" w:rsidR="006D0FDD" w:rsidRPr="001821AF" w:rsidRDefault="002C29DE" w:rsidP="006F2651">
      <w:pPr>
        <w:jc w:val="both"/>
        <w:rPr>
          <w:b/>
          <w:bCs/>
          <w:sz w:val="22"/>
        </w:rPr>
      </w:pPr>
      <w:r w:rsidRPr="001821AF">
        <w:rPr>
          <w:b/>
          <w:bCs/>
          <w:sz w:val="22"/>
        </w:rPr>
        <w:t xml:space="preserve">Derivation of </w:t>
      </w:r>
      <w:r w:rsidR="0063645B">
        <w:rPr>
          <w:b/>
          <w:bCs/>
          <w:sz w:val="22"/>
        </w:rPr>
        <w:t>mode of detection</w:t>
      </w:r>
      <w:r w:rsidR="00193329" w:rsidRPr="001821AF">
        <w:rPr>
          <w:b/>
          <w:bCs/>
          <w:sz w:val="22"/>
        </w:rPr>
        <w:t xml:space="preserve"> </w:t>
      </w:r>
      <w:r w:rsidR="009A4AE5">
        <w:rPr>
          <w:b/>
          <w:bCs/>
          <w:sz w:val="22"/>
        </w:rPr>
        <w:t>during mammographic screening</w:t>
      </w:r>
    </w:p>
    <w:p w14:paraId="393D0660" w14:textId="7CD52102" w:rsidR="00EF39F2" w:rsidRPr="001821AF" w:rsidRDefault="0068050B" w:rsidP="006F2651">
      <w:pPr>
        <w:jc w:val="both"/>
        <w:rPr>
          <w:sz w:val="22"/>
        </w:rPr>
      </w:pPr>
      <w:r w:rsidRPr="001821AF">
        <w:rPr>
          <w:sz w:val="22"/>
        </w:rPr>
        <w:t>C</w:t>
      </w:r>
      <w:r w:rsidR="008A28DC" w:rsidRPr="001821AF">
        <w:rPr>
          <w:sz w:val="22"/>
        </w:rPr>
        <w:t>ases were designated as screen-detected</w:t>
      </w:r>
      <w:r w:rsidRPr="001821AF">
        <w:rPr>
          <w:sz w:val="22"/>
        </w:rPr>
        <w:t xml:space="preserve"> breast cancer (SDBC) if they were detected at, or directly resulting from, findings at a routine screen. This includes cases diagnosed </w:t>
      </w:r>
      <w:proofErr w:type="gramStart"/>
      <w:r w:rsidR="00721C19">
        <w:rPr>
          <w:sz w:val="22"/>
        </w:rPr>
        <w:t>as a result of</w:t>
      </w:r>
      <w:proofErr w:type="gramEnd"/>
      <w:r w:rsidRPr="001821AF">
        <w:rPr>
          <w:sz w:val="22"/>
        </w:rPr>
        <w:t xml:space="preserve"> assessment following an abnormal screen</w:t>
      </w:r>
      <w:r w:rsidR="009A5DA0">
        <w:rPr>
          <w:sz w:val="22"/>
        </w:rPr>
        <w:t xml:space="preserve">, and </w:t>
      </w:r>
      <w:r w:rsidR="00441D63" w:rsidRPr="001821AF">
        <w:rPr>
          <w:sz w:val="22"/>
        </w:rPr>
        <w:t>cases diagnosed at an early recall screen that was prompted by the findings of a routine screen.</w:t>
      </w:r>
    </w:p>
    <w:p w14:paraId="54293413" w14:textId="04972D57" w:rsidR="00441D63" w:rsidRPr="001821AF" w:rsidRDefault="00EB6FCA" w:rsidP="006F2651">
      <w:pPr>
        <w:jc w:val="both"/>
        <w:rPr>
          <w:sz w:val="22"/>
        </w:rPr>
      </w:pPr>
      <w:r w:rsidRPr="001821AF">
        <w:rPr>
          <w:sz w:val="22"/>
        </w:rPr>
        <w:t>The NHSBSP operates a 3-year screening interval. Cases were designated as interval breast cancer (IBC) if they were detected and diagnosed following a negative (normal) routine screen</w:t>
      </w:r>
      <w:r w:rsidR="00FB65E3">
        <w:rPr>
          <w:sz w:val="22"/>
        </w:rPr>
        <w:t xml:space="preserve"> </w:t>
      </w:r>
      <w:r w:rsidR="00193329" w:rsidRPr="001821AF">
        <w:rPr>
          <w:sz w:val="22"/>
        </w:rPr>
        <w:t>(and associated assessment where relevant)</w:t>
      </w:r>
      <w:r w:rsidRPr="001821AF">
        <w:rPr>
          <w:sz w:val="22"/>
        </w:rPr>
        <w:t xml:space="preserve"> and before the next scheduled screen</w:t>
      </w:r>
      <w:r w:rsidR="00190F8F">
        <w:rPr>
          <w:sz w:val="22"/>
        </w:rPr>
        <w:t>.</w:t>
      </w:r>
      <w:r w:rsidR="006D26DF">
        <w:rPr>
          <w:sz w:val="22"/>
        </w:rPr>
        <w:t xml:space="preserve"> </w:t>
      </w:r>
      <w:r w:rsidR="0002312B">
        <w:rPr>
          <w:sz w:val="22"/>
        </w:rPr>
        <w:t xml:space="preserve">For women </w:t>
      </w:r>
      <w:r w:rsidR="00F91284">
        <w:rPr>
          <w:sz w:val="22"/>
        </w:rPr>
        <w:t>whose</w:t>
      </w:r>
      <w:r w:rsidR="0002312B">
        <w:rPr>
          <w:sz w:val="22"/>
        </w:rPr>
        <w:t xml:space="preserve"> </w:t>
      </w:r>
      <w:r w:rsidR="0082047E">
        <w:rPr>
          <w:sz w:val="22"/>
        </w:rPr>
        <w:t xml:space="preserve">screening episode occurred </w:t>
      </w:r>
      <w:r w:rsidR="00FB6B50">
        <w:rPr>
          <w:sz w:val="22"/>
        </w:rPr>
        <w:t xml:space="preserve">within the available data linkage period, but with cancer diagnosis after the linkage period, </w:t>
      </w:r>
      <w:r w:rsidR="000810C1">
        <w:rPr>
          <w:sz w:val="22"/>
        </w:rPr>
        <w:t>we</w:t>
      </w:r>
      <w:r w:rsidR="00D42E33">
        <w:rPr>
          <w:sz w:val="22"/>
        </w:rPr>
        <w:t xml:space="preserve"> </w:t>
      </w:r>
      <w:r w:rsidR="00C06F17">
        <w:rPr>
          <w:sz w:val="22"/>
        </w:rPr>
        <w:t>identified</w:t>
      </w:r>
      <w:r w:rsidR="00D42E33">
        <w:rPr>
          <w:sz w:val="22"/>
        </w:rPr>
        <w:t xml:space="preserve"> diagnos</w:t>
      </w:r>
      <w:r w:rsidR="00B62AC1">
        <w:rPr>
          <w:sz w:val="22"/>
        </w:rPr>
        <w:t>e</w:t>
      </w:r>
      <w:r w:rsidR="00D42E33">
        <w:rPr>
          <w:sz w:val="22"/>
        </w:rPr>
        <w:t>s between 3 to 36 months after</w:t>
      </w:r>
      <w:r w:rsidR="00D468C5">
        <w:rPr>
          <w:sz w:val="22"/>
        </w:rPr>
        <w:t xml:space="preserve"> an attended</w:t>
      </w:r>
      <w:r w:rsidR="00D653FA">
        <w:rPr>
          <w:sz w:val="22"/>
        </w:rPr>
        <w:t xml:space="preserve"> negative</w:t>
      </w:r>
      <w:r w:rsidR="00D468C5">
        <w:rPr>
          <w:sz w:val="22"/>
        </w:rPr>
        <w:t xml:space="preserve"> routine screening episode </w:t>
      </w:r>
      <w:r w:rsidR="00E754AE">
        <w:rPr>
          <w:sz w:val="22"/>
        </w:rPr>
        <w:t xml:space="preserve">as </w:t>
      </w:r>
      <w:r w:rsidR="00D804B4">
        <w:rPr>
          <w:sz w:val="22"/>
        </w:rPr>
        <w:t>IBC</w:t>
      </w:r>
      <w:r w:rsidR="00D42E33">
        <w:rPr>
          <w:sz w:val="22"/>
        </w:rPr>
        <w:t>.</w:t>
      </w:r>
      <w:r w:rsidR="00171E6B">
        <w:rPr>
          <w:sz w:val="22"/>
        </w:rPr>
        <w:t xml:space="preserve"> </w:t>
      </w:r>
    </w:p>
    <w:p w14:paraId="47FA8F63" w14:textId="62CA8F2C" w:rsidR="00756AB1" w:rsidRPr="001821AF" w:rsidRDefault="00792312" w:rsidP="6BD73E8D">
      <w:pPr>
        <w:jc w:val="both"/>
        <w:rPr>
          <w:sz w:val="22"/>
        </w:rPr>
      </w:pPr>
      <w:r w:rsidRPr="6BD73E8D">
        <w:rPr>
          <w:sz w:val="22"/>
        </w:rPr>
        <w:t xml:space="preserve">An individual </w:t>
      </w:r>
      <w:r w:rsidR="00B17AF7" w:rsidRPr="6BD73E8D">
        <w:rPr>
          <w:sz w:val="22"/>
        </w:rPr>
        <w:t>must</w:t>
      </w:r>
      <w:r w:rsidRPr="6BD73E8D">
        <w:rPr>
          <w:sz w:val="22"/>
        </w:rPr>
        <w:t xml:space="preserve"> have attended at least one routine screen </w:t>
      </w:r>
      <w:r w:rsidR="00C46598" w:rsidRPr="6BD73E8D">
        <w:rPr>
          <w:sz w:val="22"/>
        </w:rPr>
        <w:t>for</w:t>
      </w:r>
      <w:r w:rsidRPr="6BD73E8D">
        <w:rPr>
          <w:sz w:val="22"/>
        </w:rPr>
        <w:t xml:space="preserve"> their breast cancer to qualify as SDBC or IBC. Not all breast cancers diagnosed in screening attenders </w:t>
      </w:r>
      <w:r w:rsidR="00721C19">
        <w:rPr>
          <w:sz w:val="22"/>
        </w:rPr>
        <w:t>fell</w:t>
      </w:r>
      <w:r w:rsidR="00721C19" w:rsidRPr="6BD73E8D">
        <w:rPr>
          <w:sz w:val="22"/>
        </w:rPr>
        <w:t xml:space="preserve"> </w:t>
      </w:r>
      <w:r w:rsidRPr="6BD73E8D">
        <w:rPr>
          <w:sz w:val="22"/>
        </w:rPr>
        <w:t xml:space="preserve">into these two categories. For example, a woman </w:t>
      </w:r>
      <w:r w:rsidR="00C0584A" w:rsidRPr="6BD73E8D">
        <w:rPr>
          <w:sz w:val="22"/>
        </w:rPr>
        <w:t>may</w:t>
      </w:r>
      <w:r w:rsidRPr="6BD73E8D">
        <w:rPr>
          <w:sz w:val="22"/>
        </w:rPr>
        <w:t xml:space="preserve"> attend </w:t>
      </w:r>
      <w:r w:rsidR="00C0584A" w:rsidRPr="6BD73E8D">
        <w:rPr>
          <w:sz w:val="22"/>
        </w:rPr>
        <w:t xml:space="preserve">a screen </w:t>
      </w:r>
      <w:r w:rsidRPr="6BD73E8D">
        <w:rPr>
          <w:sz w:val="22"/>
        </w:rPr>
        <w:t xml:space="preserve">then chooses not to attend </w:t>
      </w:r>
      <w:r w:rsidR="00C0584A" w:rsidRPr="6BD73E8D">
        <w:rPr>
          <w:sz w:val="22"/>
        </w:rPr>
        <w:t>her next invitation. If she is subsequently diagnosed with breast cancers, she is neither an</w:t>
      </w:r>
      <w:r w:rsidR="004902D0" w:rsidRPr="6BD73E8D">
        <w:rPr>
          <w:sz w:val="22"/>
        </w:rPr>
        <w:t xml:space="preserve"> IBC </w:t>
      </w:r>
      <w:r w:rsidR="007E7CA1">
        <w:rPr>
          <w:sz w:val="22"/>
        </w:rPr>
        <w:t>n</w:t>
      </w:r>
      <w:r w:rsidR="004902D0" w:rsidRPr="6BD73E8D">
        <w:rPr>
          <w:sz w:val="22"/>
        </w:rPr>
        <w:t xml:space="preserve">or an </w:t>
      </w:r>
      <w:r w:rsidR="001F4B37" w:rsidRPr="6BD73E8D">
        <w:rPr>
          <w:sz w:val="22"/>
        </w:rPr>
        <w:t>SDBC but</w:t>
      </w:r>
      <w:r w:rsidR="004902D0" w:rsidRPr="6BD73E8D">
        <w:rPr>
          <w:sz w:val="22"/>
        </w:rPr>
        <w:t xml:space="preserve"> is designated a lapsed attender. She may self-refer and have her breast cancer detected, but the self-referral may have been prompted by symptoms and cannot be considered </w:t>
      </w:r>
      <w:r w:rsidR="00D67E58" w:rsidRPr="6BD73E8D">
        <w:rPr>
          <w:sz w:val="22"/>
        </w:rPr>
        <w:t>screen detected</w:t>
      </w:r>
      <w:r w:rsidR="004902D0" w:rsidRPr="6BD73E8D">
        <w:rPr>
          <w:sz w:val="22"/>
        </w:rPr>
        <w:t>.</w:t>
      </w:r>
      <w:r w:rsidR="00650866" w:rsidRPr="6BD73E8D">
        <w:rPr>
          <w:sz w:val="22"/>
        </w:rPr>
        <w:t xml:space="preserve"> </w:t>
      </w:r>
    </w:p>
    <w:p w14:paraId="60DB90BC" w14:textId="2DDF1747" w:rsidR="00756AB1" w:rsidRPr="005F09A0" w:rsidRDefault="002C36CA" w:rsidP="006F2651">
      <w:pPr>
        <w:jc w:val="both"/>
        <w:rPr>
          <w:sz w:val="22"/>
        </w:rPr>
      </w:pPr>
      <w:r w:rsidRPr="0069086E">
        <w:rPr>
          <w:color w:val="000000" w:themeColor="text1"/>
          <w:sz w:val="22"/>
        </w:rPr>
        <w:t xml:space="preserve">For </w:t>
      </w:r>
      <w:r w:rsidR="00D36926">
        <w:rPr>
          <w:color w:val="000000" w:themeColor="text1"/>
          <w:sz w:val="22"/>
        </w:rPr>
        <w:t>most cases (</w:t>
      </w:r>
      <w:r w:rsidR="008A7246" w:rsidRPr="0069086E">
        <w:rPr>
          <w:color w:val="000000" w:themeColor="text1"/>
          <w:sz w:val="22"/>
        </w:rPr>
        <w:t>86</w:t>
      </w:r>
      <w:r w:rsidRPr="0069086E">
        <w:rPr>
          <w:color w:val="000000" w:themeColor="text1"/>
          <w:sz w:val="22"/>
        </w:rPr>
        <w:t>%</w:t>
      </w:r>
      <w:r w:rsidR="00D36926">
        <w:rPr>
          <w:color w:val="000000" w:themeColor="text1"/>
          <w:sz w:val="22"/>
        </w:rPr>
        <w:t>)</w:t>
      </w:r>
      <w:r w:rsidRPr="0069086E">
        <w:rPr>
          <w:color w:val="000000" w:themeColor="text1"/>
          <w:sz w:val="22"/>
        </w:rPr>
        <w:t xml:space="preserve">, </w:t>
      </w:r>
      <w:r w:rsidR="0063645B" w:rsidRPr="0069086E">
        <w:rPr>
          <w:color w:val="000000" w:themeColor="text1"/>
          <w:sz w:val="22"/>
        </w:rPr>
        <w:t>mode of detection</w:t>
      </w:r>
      <w:r w:rsidR="00756AB1" w:rsidRPr="0069086E">
        <w:rPr>
          <w:color w:val="000000" w:themeColor="text1"/>
          <w:sz w:val="22"/>
        </w:rPr>
        <w:t xml:space="preserve"> was derived </w:t>
      </w:r>
      <w:r w:rsidRPr="0069086E">
        <w:rPr>
          <w:color w:val="000000" w:themeColor="text1"/>
          <w:sz w:val="22"/>
        </w:rPr>
        <w:t>using the date of breast cancer diagnosis in conjunction with</w:t>
      </w:r>
      <w:r w:rsidR="00756AB1" w:rsidRPr="0069086E">
        <w:rPr>
          <w:color w:val="000000" w:themeColor="text1"/>
          <w:sz w:val="22"/>
        </w:rPr>
        <w:t xml:space="preserve"> the detailed </w:t>
      </w:r>
      <w:r w:rsidR="00756AB1" w:rsidRPr="001821AF">
        <w:rPr>
          <w:sz w:val="22"/>
        </w:rPr>
        <w:t xml:space="preserve">screening histories obtained from </w:t>
      </w:r>
      <w:r w:rsidR="00484D16" w:rsidRPr="001821AF">
        <w:rPr>
          <w:sz w:val="22"/>
        </w:rPr>
        <w:t xml:space="preserve">NHSBSP </w:t>
      </w:r>
      <w:r w:rsidR="00756AB1" w:rsidRPr="001821AF">
        <w:rPr>
          <w:sz w:val="22"/>
        </w:rPr>
        <w:t xml:space="preserve">linkage. </w:t>
      </w:r>
      <w:r w:rsidR="00484D16">
        <w:rPr>
          <w:sz w:val="22"/>
        </w:rPr>
        <w:t>A</w:t>
      </w:r>
      <w:r w:rsidR="002E434E" w:rsidRPr="001821AF">
        <w:rPr>
          <w:sz w:val="22"/>
        </w:rPr>
        <w:t xml:space="preserve"> screen-detected flag provided by cancer registration</w:t>
      </w:r>
      <w:r w:rsidR="002E434E">
        <w:rPr>
          <w:sz w:val="22"/>
        </w:rPr>
        <w:t xml:space="preserve"> </w:t>
      </w:r>
      <w:r w:rsidR="00BC52FF">
        <w:rPr>
          <w:sz w:val="22"/>
        </w:rPr>
        <w:t xml:space="preserve">was used as a </w:t>
      </w:r>
      <w:r w:rsidR="007E0FD1">
        <w:rPr>
          <w:sz w:val="22"/>
        </w:rPr>
        <w:t>proxy</w:t>
      </w:r>
      <w:r w:rsidR="00BC52FF">
        <w:rPr>
          <w:sz w:val="22"/>
        </w:rPr>
        <w:t xml:space="preserve"> for SDBC </w:t>
      </w:r>
      <w:r w:rsidR="0038036A">
        <w:rPr>
          <w:sz w:val="22"/>
        </w:rPr>
        <w:t>(</w:t>
      </w:r>
      <w:r w:rsidR="0065532E" w:rsidRPr="001821AF">
        <w:rPr>
          <w:sz w:val="22"/>
        </w:rPr>
        <w:t xml:space="preserve">screen-detected </w:t>
      </w:r>
      <w:r w:rsidR="0038036A">
        <w:rPr>
          <w:sz w:val="22"/>
        </w:rPr>
        <w:t xml:space="preserve">flag = Yes) </w:t>
      </w:r>
      <w:r w:rsidR="00BC52FF">
        <w:rPr>
          <w:sz w:val="22"/>
        </w:rPr>
        <w:t xml:space="preserve">and IBC </w:t>
      </w:r>
      <w:r w:rsidR="0038036A">
        <w:rPr>
          <w:sz w:val="22"/>
        </w:rPr>
        <w:t>(</w:t>
      </w:r>
      <w:r w:rsidR="0065532E" w:rsidRPr="001821AF">
        <w:rPr>
          <w:sz w:val="22"/>
        </w:rPr>
        <w:t xml:space="preserve">screen-detected </w:t>
      </w:r>
      <w:r w:rsidR="0038036A">
        <w:rPr>
          <w:sz w:val="22"/>
        </w:rPr>
        <w:t>flag = No)</w:t>
      </w:r>
      <w:r w:rsidR="007E01D1" w:rsidRPr="001821AF">
        <w:rPr>
          <w:sz w:val="22"/>
        </w:rPr>
        <w:t xml:space="preserve">. </w:t>
      </w:r>
      <w:r w:rsidR="00BB4669" w:rsidRPr="0065532E">
        <w:rPr>
          <w:b/>
          <w:bCs/>
          <w:sz w:val="22"/>
        </w:rPr>
        <w:t>Supplementary Table 1</w:t>
      </w:r>
      <w:r w:rsidR="005F09A0">
        <w:rPr>
          <w:sz w:val="22"/>
        </w:rPr>
        <w:t xml:space="preserve"> shows the </w:t>
      </w:r>
      <w:r w:rsidR="005F09A0">
        <w:rPr>
          <w:sz w:val="22"/>
        </w:rPr>
        <w:lastRenderedPageBreak/>
        <w:t>cross-classification of the cancer registration screen-detected</w:t>
      </w:r>
      <w:r w:rsidR="007E01D1" w:rsidRPr="001821AF">
        <w:rPr>
          <w:sz w:val="22"/>
        </w:rPr>
        <w:t xml:space="preserve"> flag </w:t>
      </w:r>
      <w:r w:rsidR="005F09A0">
        <w:rPr>
          <w:sz w:val="22"/>
        </w:rPr>
        <w:t xml:space="preserve">and our derived mode of detection variable </w:t>
      </w:r>
      <w:r w:rsidR="00A8694D">
        <w:rPr>
          <w:sz w:val="22"/>
        </w:rPr>
        <w:t>(SDBC v</w:t>
      </w:r>
      <w:r w:rsidR="008A2C42">
        <w:rPr>
          <w:sz w:val="22"/>
        </w:rPr>
        <w:t xml:space="preserve">s IBC) </w:t>
      </w:r>
      <w:r w:rsidR="00D14531" w:rsidRPr="001821AF">
        <w:rPr>
          <w:sz w:val="22"/>
        </w:rPr>
        <w:t xml:space="preserve">derived </w:t>
      </w:r>
      <w:r w:rsidR="000027CE">
        <w:rPr>
          <w:sz w:val="22"/>
        </w:rPr>
        <w:t>using</w:t>
      </w:r>
      <w:r w:rsidR="00D14531" w:rsidRPr="001821AF">
        <w:rPr>
          <w:sz w:val="22"/>
        </w:rPr>
        <w:t xml:space="preserve"> screening history data</w:t>
      </w:r>
      <w:r w:rsidR="00220300" w:rsidRPr="001821AF">
        <w:rPr>
          <w:sz w:val="22"/>
        </w:rPr>
        <w:t xml:space="preserve">. </w:t>
      </w:r>
      <w:r w:rsidR="008B0CF2">
        <w:rPr>
          <w:sz w:val="22"/>
        </w:rPr>
        <w:t>For</w:t>
      </w:r>
      <w:r w:rsidR="00652EBD">
        <w:rPr>
          <w:sz w:val="22"/>
        </w:rPr>
        <w:t xml:space="preserve"> women with </w:t>
      </w:r>
      <w:r w:rsidR="00A1639F">
        <w:rPr>
          <w:sz w:val="22"/>
        </w:rPr>
        <w:t xml:space="preserve">data from both sources, </w:t>
      </w:r>
      <w:r w:rsidR="00953E59">
        <w:rPr>
          <w:sz w:val="22"/>
        </w:rPr>
        <w:t>85</w:t>
      </w:r>
      <w:r w:rsidR="008B0CF2">
        <w:rPr>
          <w:sz w:val="22"/>
        </w:rPr>
        <w:t>% (</w:t>
      </w:r>
      <w:r w:rsidR="00703843">
        <w:rPr>
          <w:sz w:val="22"/>
        </w:rPr>
        <w:t xml:space="preserve">852 </w:t>
      </w:r>
      <w:r w:rsidR="00953E59">
        <w:rPr>
          <w:sz w:val="22"/>
        </w:rPr>
        <w:t>out</w:t>
      </w:r>
      <w:r w:rsidR="00703843">
        <w:rPr>
          <w:sz w:val="22"/>
        </w:rPr>
        <w:t xml:space="preserve"> of 1004</w:t>
      </w:r>
      <w:r w:rsidR="008B0CF2">
        <w:rPr>
          <w:sz w:val="22"/>
        </w:rPr>
        <w:t>) of those with</w:t>
      </w:r>
      <w:r w:rsidR="00A1639F">
        <w:rPr>
          <w:sz w:val="22"/>
        </w:rPr>
        <w:t xml:space="preserve"> screen-detected flag </w:t>
      </w:r>
      <w:r w:rsidR="008B0CF2">
        <w:rPr>
          <w:sz w:val="22"/>
        </w:rPr>
        <w:t xml:space="preserve">= yes </w:t>
      </w:r>
      <w:proofErr w:type="gramStart"/>
      <w:r w:rsidR="008B0CF2">
        <w:rPr>
          <w:sz w:val="22"/>
        </w:rPr>
        <w:t>were</w:t>
      </w:r>
      <w:proofErr w:type="gramEnd"/>
      <w:r w:rsidR="008B0CF2">
        <w:rPr>
          <w:sz w:val="22"/>
        </w:rPr>
        <w:t xml:space="preserve"> </w:t>
      </w:r>
      <w:r w:rsidR="00A1639F">
        <w:rPr>
          <w:sz w:val="22"/>
        </w:rPr>
        <w:t xml:space="preserve">identified </w:t>
      </w:r>
      <w:r w:rsidR="00CD505D">
        <w:rPr>
          <w:sz w:val="22"/>
        </w:rPr>
        <w:t xml:space="preserve">as SBDC </w:t>
      </w:r>
      <w:r w:rsidR="00703843">
        <w:rPr>
          <w:sz w:val="22"/>
        </w:rPr>
        <w:t xml:space="preserve">and </w:t>
      </w:r>
      <w:r w:rsidR="00861721">
        <w:rPr>
          <w:sz w:val="22"/>
        </w:rPr>
        <w:t>56</w:t>
      </w:r>
      <w:r w:rsidR="00703843">
        <w:rPr>
          <w:sz w:val="22"/>
        </w:rPr>
        <w:t xml:space="preserve">% (501 out of 898) </w:t>
      </w:r>
      <w:r w:rsidR="00080230">
        <w:rPr>
          <w:sz w:val="22"/>
        </w:rPr>
        <w:t xml:space="preserve">of cases </w:t>
      </w:r>
      <w:r w:rsidR="00703843">
        <w:rPr>
          <w:sz w:val="22"/>
        </w:rPr>
        <w:t xml:space="preserve">with flag = no </w:t>
      </w:r>
      <w:proofErr w:type="gramStart"/>
      <w:r w:rsidR="00080230">
        <w:rPr>
          <w:sz w:val="22"/>
        </w:rPr>
        <w:t>were</w:t>
      </w:r>
      <w:proofErr w:type="gramEnd"/>
      <w:r w:rsidR="00703843">
        <w:rPr>
          <w:sz w:val="22"/>
        </w:rPr>
        <w:t xml:space="preserve"> identified as IBC</w:t>
      </w:r>
      <w:r w:rsidR="0056545A" w:rsidRPr="0069086E">
        <w:rPr>
          <w:color w:val="000000" w:themeColor="text1"/>
          <w:sz w:val="22"/>
        </w:rPr>
        <w:t>.</w:t>
      </w:r>
      <w:r w:rsidR="008A2C42">
        <w:rPr>
          <w:color w:val="000000" w:themeColor="text1"/>
          <w:sz w:val="22"/>
        </w:rPr>
        <w:t xml:space="preserve"> This indicates </w:t>
      </w:r>
      <w:r w:rsidR="008F3304">
        <w:rPr>
          <w:color w:val="000000" w:themeColor="text1"/>
          <w:sz w:val="22"/>
        </w:rPr>
        <w:t xml:space="preserve">that </w:t>
      </w:r>
      <w:r w:rsidR="000C0A9F">
        <w:rPr>
          <w:color w:val="000000" w:themeColor="text1"/>
          <w:sz w:val="22"/>
        </w:rPr>
        <w:t xml:space="preserve">while this flag is a reasonable </w:t>
      </w:r>
      <w:r w:rsidR="001560FC">
        <w:rPr>
          <w:color w:val="000000" w:themeColor="text1"/>
          <w:sz w:val="22"/>
        </w:rPr>
        <w:t>proxy</w:t>
      </w:r>
      <w:r w:rsidR="000C0A9F">
        <w:rPr>
          <w:color w:val="000000" w:themeColor="text1"/>
          <w:sz w:val="22"/>
        </w:rPr>
        <w:t xml:space="preserve"> for SDBC, </w:t>
      </w:r>
      <w:r w:rsidR="007B7A30">
        <w:rPr>
          <w:color w:val="000000" w:themeColor="text1"/>
          <w:sz w:val="22"/>
        </w:rPr>
        <w:t xml:space="preserve">identification of IBC is less accurate since </w:t>
      </w:r>
      <w:r w:rsidR="00D41FD3">
        <w:rPr>
          <w:rFonts w:cs="Arial"/>
          <w:sz w:val="22"/>
        </w:rPr>
        <w:t xml:space="preserve">the “not screen detected” category includes a substantial number </w:t>
      </w:r>
      <w:r w:rsidR="007B7A30">
        <w:rPr>
          <w:rFonts w:cs="Arial"/>
          <w:sz w:val="22"/>
        </w:rPr>
        <w:t>of women with</w:t>
      </w:r>
      <w:r w:rsidR="00D41FD3">
        <w:rPr>
          <w:rFonts w:cs="Arial"/>
          <w:sz w:val="22"/>
        </w:rPr>
        <w:t xml:space="preserve"> other detection routes</w:t>
      </w:r>
      <w:r w:rsidR="008F3304">
        <w:rPr>
          <w:color w:val="000000" w:themeColor="text1"/>
          <w:sz w:val="22"/>
        </w:rPr>
        <w:t>.</w:t>
      </w:r>
      <w:r w:rsidR="00FE01DF">
        <w:rPr>
          <w:color w:val="000000" w:themeColor="text1"/>
          <w:sz w:val="22"/>
        </w:rPr>
        <w:t xml:space="preserve"> </w:t>
      </w:r>
      <w:r w:rsidR="007B2ACA">
        <w:rPr>
          <w:color w:val="000000" w:themeColor="text1"/>
          <w:sz w:val="22"/>
        </w:rPr>
        <w:t xml:space="preserve"> </w:t>
      </w:r>
    </w:p>
    <w:p w14:paraId="0C6CBBE4" w14:textId="59E8427C" w:rsidR="00CB0964" w:rsidRDefault="00576247" w:rsidP="006F2651">
      <w:pPr>
        <w:jc w:val="both"/>
        <w:rPr>
          <w:sz w:val="22"/>
        </w:rPr>
      </w:pPr>
      <w:r w:rsidRPr="6BD73E8D">
        <w:rPr>
          <w:sz w:val="22"/>
        </w:rPr>
        <w:t xml:space="preserve">An R-coded algorithm was developed to derived </w:t>
      </w:r>
      <w:r w:rsidR="0063645B">
        <w:rPr>
          <w:sz w:val="22"/>
        </w:rPr>
        <w:t>mode of detection</w:t>
      </w:r>
      <w:r w:rsidRPr="6BD73E8D">
        <w:rPr>
          <w:sz w:val="22"/>
        </w:rPr>
        <w:t xml:space="preserve"> from the detailed screening history, augmented by the </w:t>
      </w:r>
      <w:r w:rsidRPr="0069086E">
        <w:rPr>
          <w:color w:val="000000" w:themeColor="text1"/>
          <w:sz w:val="22"/>
        </w:rPr>
        <w:t>cancer registry screen-detected flag where appropriate.</w:t>
      </w:r>
      <w:r w:rsidR="00E97E51" w:rsidRPr="0069086E">
        <w:rPr>
          <w:color w:val="000000" w:themeColor="text1"/>
          <w:sz w:val="22"/>
        </w:rPr>
        <w:t xml:space="preserve"> </w:t>
      </w:r>
      <w:r w:rsidR="004F7A11" w:rsidRPr="0069086E">
        <w:rPr>
          <w:color w:val="000000" w:themeColor="text1"/>
          <w:sz w:val="22"/>
        </w:rPr>
        <w:t>For a minority of complex cases (</w:t>
      </w:r>
      <w:r w:rsidR="00C86D5F" w:rsidRPr="00F57E7E">
        <w:rPr>
          <w:color w:val="000000" w:themeColor="text1"/>
          <w:sz w:val="22"/>
        </w:rPr>
        <w:t>7</w:t>
      </w:r>
      <w:r w:rsidR="004F7A11" w:rsidRPr="0069086E">
        <w:rPr>
          <w:color w:val="000000" w:themeColor="text1"/>
          <w:sz w:val="22"/>
        </w:rPr>
        <w:t xml:space="preserve">%), </w:t>
      </w:r>
      <w:r w:rsidR="0087030D">
        <w:rPr>
          <w:sz w:val="22"/>
        </w:rPr>
        <w:t xml:space="preserve">the </w:t>
      </w:r>
      <w:r w:rsidR="0063645B">
        <w:rPr>
          <w:sz w:val="22"/>
        </w:rPr>
        <w:t>mode of detection</w:t>
      </w:r>
      <w:r w:rsidR="004F7A11" w:rsidRPr="6BD73E8D">
        <w:rPr>
          <w:sz w:val="22"/>
        </w:rPr>
        <w:t xml:space="preserve"> was set </w:t>
      </w:r>
      <w:r w:rsidR="00C74577">
        <w:rPr>
          <w:sz w:val="22"/>
        </w:rPr>
        <w:t>using expert review of the screening histories</w:t>
      </w:r>
      <w:r w:rsidR="004F7A11" w:rsidRPr="6BD73E8D">
        <w:rPr>
          <w:sz w:val="22"/>
        </w:rPr>
        <w:t xml:space="preserve">. </w:t>
      </w:r>
      <w:r w:rsidR="0073376C" w:rsidRPr="6BD73E8D">
        <w:rPr>
          <w:sz w:val="22"/>
        </w:rPr>
        <w:t>For example,</w:t>
      </w:r>
      <w:r w:rsidR="006E1791" w:rsidRPr="6BD73E8D">
        <w:rPr>
          <w:sz w:val="22"/>
        </w:rPr>
        <w:t xml:space="preserve"> </w:t>
      </w:r>
      <w:r w:rsidR="00650866" w:rsidRPr="6BD73E8D">
        <w:rPr>
          <w:sz w:val="22"/>
        </w:rPr>
        <w:t>if a wom</w:t>
      </w:r>
      <w:r w:rsidR="002C36FB">
        <w:rPr>
          <w:sz w:val="22"/>
        </w:rPr>
        <w:t>a</w:t>
      </w:r>
      <w:r w:rsidR="00650866" w:rsidRPr="6BD73E8D">
        <w:rPr>
          <w:sz w:val="22"/>
        </w:rPr>
        <w:t xml:space="preserve">n moved screening centre and was not reinvited </w:t>
      </w:r>
      <w:r w:rsidR="007022C7" w:rsidRPr="6BD73E8D">
        <w:rPr>
          <w:sz w:val="22"/>
        </w:rPr>
        <w:t xml:space="preserve">three years after their previous invitation, a </w:t>
      </w:r>
      <w:r w:rsidR="00650866" w:rsidRPr="6BD73E8D">
        <w:rPr>
          <w:sz w:val="22"/>
        </w:rPr>
        <w:t>self-referr</w:t>
      </w:r>
      <w:r w:rsidR="006E1791" w:rsidRPr="6BD73E8D">
        <w:rPr>
          <w:sz w:val="22"/>
        </w:rPr>
        <w:t>al</w:t>
      </w:r>
      <w:r w:rsidR="00650866" w:rsidRPr="6BD73E8D">
        <w:rPr>
          <w:sz w:val="22"/>
        </w:rPr>
        <w:t xml:space="preserve"> or </w:t>
      </w:r>
      <w:r w:rsidR="007022C7" w:rsidRPr="6BD73E8D">
        <w:rPr>
          <w:sz w:val="22"/>
        </w:rPr>
        <w:t>a</w:t>
      </w:r>
      <w:r w:rsidR="00650866" w:rsidRPr="6BD73E8D">
        <w:rPr>
          <w:sz w:val="22"/>
        </w:rPr>
        <w:t xml:space="preserve"> referr</w:t>
      </w:r>
      <w:r w:rsidR="006E1791" w:rsidRPr="6BD73E8D">
        <w:rPr>
          <w:sz w:val="22"/>
        </w:rPr>
        <w:t>al</w:t>
      </w:r>
      <w:r w:rsidR="00650866" w:rsidRPr="6BD73E8D">
        <w:rPr>
          <w:sz w:val="22"/>
        </w:rPr>
        <w:t xml:space="preserve"> for screening by their GP</w:t>
      </w:r>
      <w:r w:rsidR="007022C7" w:rsidRPr="6BD73E8D">
        <w:rPr>
          <w:sz w:val="22"/>
        </w:rPr>
        <w:t xml:space="preserve"> </w:t>
      </w:r>
      <w:r w:rsidR="006E1791" w:rsidRPr="6BD73E8D">
        <w:rPr>
          <w:sz w:val="22"/>
        </w:rPr>
        <w:t xml:space="preserve">around her 3-year anniversary </w:t>
      </w:r>
      <w:r w:rsidR="007022C7" w:rsidRPr="6BD73E8D">
        <w:rPr>
          <w:sz w:val="22"/>
        </w:rPr>
        <w:t>was considered routine</w:t>
      </w:r>
      <w:r w:rsidR="006E1791" w:rsidRPr="6BD73E8D">
        <w:rPr>
          <w:sz w:val="22"/>
        </w:rPr>
        <w:t xml:space="preserve">. </w:t>
      </w:r>
      <w:r w:rsidR="0073376C" w:rsidRPr="6BD73E8D">
        <w:rPr>
          <w:sz w:val="22"/>
        </w:rPr>
        <w:t>Such decisions were only made possible due to the detailed nature of the NHSBSP episode data available.</w:t>
      </w:r>
    </w:p>
    <w:p w14:paraId="2ECF0B2D" w14:textId="5ABB76F0" w:rsidR="00F664A6" w:rsidRDefault="00F664A6" w:rsidP="006F2651">
      <w:pPr>
        <w:jc w:val="both"/>
        <w:rPr>
          <w:sz w:val="22"/>
        </w:rPr>
      </w:pPr>
      <w:r w:rsidRPr="6BD73E8D">
        <w:rPr>
          <w:sz w:val="22"/>
        </w:rPr>
        <w:t xml:space="preserve">According to </w:t>
      </w:r>
      <w:r>
        <w:rPr>
          <w:sz w:val="22"/>
        </w:rPr>
        <w:t>our</w:t>
      </w:r>
      <w:r w:rsidRPr="6BD73E8D">
        <w:rPr>
          <w:sz w:val="22"/>
        </w:rPr>
        <w:t xml:space="preserve"> detection mode derived for cases diagnosed pre-linkage, 99% of </w:t>
      </w:r>
      <w:r>
        <w:rPr>
          <w:sz w:val="22"/>
        </w:rPr>
        <w:t>SDBC</w:t>
      </w:r>
      <w:r w:rsidRPr="6BD73E8D">
        <w:rPr>
          <w:sz w:val="22"/>
        </w:rPr>
        <w:t xml:space="preserve"> are diagnosed within 3 months of last routine screen and 98% of </w:t>
      </w:r>
      <w:r>
        <w:rPr>
          <w:sz w:val="22"/>
        </w:rPr>
        <w:t>IBC</w:t>
      </w:r>
      <w:r w:rsidRPr="6BD73E8D">
        <w:rPr>
          <w:sz w:val="22"/>
        </w:rPr>
        <w:t xml:space="preserve"> after </w:t>
      </w:r>
      <w:r w:rsidRPr="6BD73E8D">
        <w:rPr>
          <w:rFonts w:cs="Arial"/>
          <w:sz w:val="22"/>
        </w:rPr>
        <w:t>≥</w:t>
      </w:r>
      <w:r w:rsidRPr="6BD73E8D">
        <w:rPr>
          <w:sz w:val="22"/>
        </w:rPr>
        <w:t xml:space="preserve"> 3 months. We are using an upper limit of 36 months due to the possibility of subsequent routine screens that we are yet unaware of.</w:t>
      </w:r>
    </w:p>
    <w:p w14:paraId="1410CF8C" w14:textId="17657E69" w:rsidR="00CB0964" w:rsidRPr="001821AF" w:rsidRDefault="00CB0964" w:rsidP="6BD73E8D">
      <w:pPr>
        <w:jc w:val="both"/>
        <w:rPr>
          <w:sz w:val="22"/>
        </w:rPr>
      </w:pPr>
      <w:r w:rsidRPr="002D3FC5">
        <w:rPr>
          <w:i/>
          <w:iCs/>
          <w:sz w:val="22"/>
        </w:rPr>
        <w:t>De</w:t>
      </w:r>
      <w:r w:rsidR="46076C48" w:rsidRPr="002D3FC5">
        <w:rPr>
          <w:i/>
          <w:iCs/>
          <w:sz w:val="22"/>
        </w:rPr>
        <w:t xml:space="preserve">rivation of </w:t>
      </w:r>
      <w:r w:rsidR="0063645B" w:rsidRPr="002D3FC5">
        <w:rPr>
          <w:i/>
          <w:iCs/>
          <w:sz w:val="22"/>
        </w:rPr>
        <w:t>mode of detection</w:t>
      </w:r>
      <w:r w:rsidR="4D97F8E6" w:rsidRPr="002D3FC5">
        <w:rPr>
          <w:i/>
          <w:iCs/>
          <w:sz w:val="22"/>
        </w:rPr>
        <w:t xml:space="preserve"> for breast cancer cases diagnosed </w:t>
      </w:r>
      <w:r w:rsidRPr="002D3FC5">
        <w:rPr>
          <w:i/>
          <w:iCs/>
          <w:sz w:val="22"/>
        </w:rPr>
        <w:t>post-linkage</w:t>
      </w:r>
    </w:p>
    <w:p w14:paraId="25D9D75E" w14:textId="3249A251" w:rsidR="0073376C" w:rsidRDefault="63FEC412" w:rsidP="6BD73E8D">
      <w:pPr>
        <w:jc w:val="both"/>
        <w:rPr>
          <w:sz w:val="22"/>
        </w:rPr>
      </w:pPr>
      <w:r w:rsidRPr="6BD73E8D">
        <w:rPr>
          <w:sz w:val="22"/>
        </w:rPr>
        <w:t>The l</w:t>
      </w:r>
      <w:r w:rsidR="00CB0964" w:rsidRPr="6BD73E8D">
        <w:rPr>
          <w:sz w:val="22"/>
        </w:rPr>
        <w:t xml:space="preserve">inkage date </w:t>
      </w:r>
      <w:r w:rsidR="15209BCD" w:rsidRPr="6BD73E8D">
        <w:rPr>
          <w:sz w:val="22"/>
        </w:rPr>
        <w:t>wa</w:t>
      </w:r>
      <w:r w:rsidR="00CB0964" w:rsidRPr="6BD73E8D">
        <w:rPr>
          <w:sz w:val="22"/>
        </w:rPr>
        <w:t>s not a single date but varie</w:t>
      </w:r>
      <w:r w:rsidR="09503622" w:rsidRPr="6BD73E8D">
        <w:rPr>
          <w:sz w:val="22"/>
        </w:rPr>
        <w:t>d</w:t>
      </w:r>
      <w:r w:rsidR="00CB0964" w:rsidRPr="6BD73E8D">
        <w:rPr>
          <w:sz w:val="22"/>
        </w:rPr>
        <w:t xml:space="preserve"> by screening centre. </w:t>
      </w:r>
      <w:r w:rsidR="15059049" w:rsidRPr="6BD73E8D">
        <w:rPr>
          <w:sz w:val="22"/>
        </w:rPr>
        <w:t>C</w:t>
      </w:r>
      <w:r w:rsidR="00CB0964" w:rsidRPr="6BD73E8D">
        <w:rPr>
          <w:sz w:val="22"/>
        </w:rPr>
        <w:t>entre-specific linkage date</w:t>
      </w:r>
      <w:r w:rsidR="046A94FE" w:rsidRPr="6BD73E8D">
        <w:rPr>
          <w:sz w:val="22"/>
        </w:rPr>
        <w:t>s</w:t>
      </w:r>
      <w:r w:rsidR="00CB0964" w:rsidRPr="6BD73E8D">
        <w:rPr>
          <w:sz w:val="22"/>
        </w:rPr>
        <w:t xml:space="preserve"> </w:t>
      </w:r>
      <w:r w:rsidR="249A68C3" w:rsidRPr="6BD73E8D">
        <w:rPr>
          <w:sz w:val="22"/>
        </w:rPr>
        <w:t>were</w:t>
      </w:r>
      <w:r w:rsidR="00CB0964" w:rsidRPr="6BD73E8D">
        <w:rPr>
          <w:sz w:val="22"/>
        </w:rPr>
        <w:t xml:space="preserve"> </w:t>
      </w:r>
      <w:r w:rsidR="343BB4E0" w:rsidRPr="6BD73E8D">
        <w:rPr>
          <w:sz w:val="22"/>
        </w:rPr>
        <w:t>determined</w:t>
      </w:r>
      <w:r w:rsidR="00CB0964" w:rsidRPr="6BD73E8D">
        <w:rPr>
          <w:sz w:val="22"/>
        </w:rPr>
        <w:t xml:space="preserve"> from the maximum date within closed NHSBSP episodes for each centre.</w:t>
      </w:r>
      <w:r w:rsidR="22A3A944" w:rsidRPr="6BD73E8D">
        <w:rPr>
          <w:sz w:val="22"/>
        </w:rPr>
        <w:t xml:space="preserve"> For a breast cancer diagnosed after the relevant linkage date but within 36 months of the last routine episode attended, the following derivation rules </w:t>
      </w:r>
      <w:r w:rsidR="5E9258D8" w:rsidRPr="6BD73E8D">
        <w:rPr>
          <w:sz w:val="22"/>
        </w:rPr>
        <w:t>were</w:t>
      </w:r>
      <w:r w:rsidR="22A3A944" w:rsidRPr="6BD73E8D">
        <w:rPr>
          <w:sz w:val="22"/>
        </w:rPr>
        <w:t xml:space="preserve"> applied:</w:t>
      </w:r>
      <w:r w:rsidR="70A7A21A" w:rsidRPr="6BD73E8D">
        <w:rPr>
          <w:sz w:val="22"/>
        </w:rPr>
        <w:t xml:space="preserve"> if the date of diagnosis </w:t>
      </w:r>
      <w:r w:rsidR="4A17B071" w:rsidRPr="6BD73E8D">
        <w:rPr>
          <w:sz w:val="22"/>
        </w:rPr>
        <w:t>was</w:t>
      </w:r>
      <w:r w:rsidR="70A7A21A" w:rsidRPr="6BD73E8D">
        <w:rPr>
          <w:sz w:val="22"/>
        </w:rPr>
        <w:t xml:space="preserve"> &lt;3months after the last routine screen attended, </w:t>
      </w:r>
      <w:r w:rsidR="00FD357D">
        <w:rPr>
          <w:sz w:val="22"/>
        </w:rPr>
        <w:t xml:space="preserve">and the </w:t>
      </w:r>
      <w:r w:rsidR="004810C9">
        <w:rPr>
          <w:sz w:val="22"/>
        </w:rPr>
        <w:t xml:space="preserve">screen resulted in positive </w:t>
      </w:r>
      <w:r w:rsidR="00440ABA">
        <w:rPr>
          <w:sz w:val="22"/>
        </w:rPr>
        <w:t>endpoint</w:t>
      </w:r>
      <w:r w:rsidR="00C44CF6">
        <w:rPr>
          <w:sz w:val="22"/>
        </w:rPr>
        <w:t>s leading to an assessment,</w:t>
      </w:r>
      <w:r w:rsidR="0018702C">
        <w:rPr>
          <w:sz w:val="22"/>
        </w:rPr>
        <w:t xml:space="preserve"> </w:t>
      </w:r>
      <w:r w:rsidR="70A7A21A" w:rsidRPr="6BD73E8D">
        <w:rPr>
          <w:sz w:val="22"/>
        </w:rPr>
        <w:t>the case was categorised as SDBC. If the date of diagnosis was 3-36 months after the last routine screen attended</w:t>
      </w:r>
      <w:r w:rsidR="00E741D5">
        <w:rPr>
          <w:sz w:val="22"/>
        </w:rPr>
        <w:t xml:space="preserve"> with negative endpoint (normal</w:t>
      </w:r>
      <w:r w:rsidR="00343085">
        <w:rPr>
          <w:sz w:val="22"/>
        </w:rPr>
        <w:t>)</w:t>
      </w:r>
      <w:r w:rsidR="70A7A21A" w:rsidRPr="6BD73E8D">
        <w:rPr>
          <w:sz w:val="22"/>
        </w:rPr>
        <w:t>, the case was categorised as IBC.</w:t>
      </w:r>
      <w:r w:rsidR="296A230A" w:rsidRPr="6BD73E8D">
        <w:rPr>
          <w:sz w:val="22"/>
        </w:rPr>
        <w:t xml:space="preserve"> For a breast cancer diagnosed after the relevant linkage date without a routine episode attendance within 36 months</w:t>
      </w:r>
      <w:r w:rsidR="009D7BFA">
        <w:rPr>
          <w:sz w:val="22"/>
        </w:rPr>
        <w:t xml:space="preserve"> (13.7%)</w:t>
      </w:r>
      <w:r w:rsidR="296A230A" w:rsidRPr="6BD73E8D">
        <w:rPr>
          <w:sz w:val="22"/>
        </w:rPr>
        <w:t xml:space="preserve">, the following derivation rules were applied: if the woman was within screening invitation age at diagnosis and cancer registry screen detected variable was </w:t>
      </w:r>
      <w:r w:rsidR="00EF2F5E">
        <w:rPr>
          <w:sz w:val="22"/>
        </w:rPr>
        <w:t>“yes</w:t>
      </w:r>
      <w:r w:rsidR="0046148D">
        <w:rPr>
          <w:sz w:val="22"/>
        </w:rPr>
        <w:t>”</w:t>
      </w:r>
      <w:r w:rsidR="00EF2F5E">
        <w:rPr>
          <w:sz w:val="22"/>
        </w:rPr>
        <w:t>:</w:t>
      </w:r>
      <w:r w:rsidR="296A230A" w:rsidRPr="6BD73E8D">
        <w:rPr>
          <w:sz w:val="22"/>
        </w:rPr>
        <w:t xml:space="preserve"> the case was designated SDBC. If </w:t>
      </w:r>
      <w:r w:rsidR="00EF2F5E">
        <w:rPr>
          <w:sz w:val="22"/>
        </w:rPr>
        <w:t>“no”</w:t>
      </w:r>
      <w:r w:rsidR="00FC5526">
        <w:rPr>
          <w:sz w:val="22"/>
        </w:rPr>
        <w:t xml:space="preserve"> and </w:t>
      </w:r>
      <w:r w:rsidR="00E61DC0">
        <w:rPr>
          <w:sz w:val="22"/>
        </w:rPr>
        <w:t>with age diagnosis</w:t>
      </w:r>
      <w:r w:rsidR="00FC5526" w:rsidDel="009D0B4C">
        <w:rPr>
          <w:sz w:val="22"/>
        </w:rPr>
        <w:t xml:space="preserve"> </w:t>
      </w:r>
      <w:r w:rsidR="009D0B4C">
        <w:rPr>
          <w:sz w:val="22"/>
        </w:rPr>
        <w:t xml:space="preserve">at </w:t>
      </w:r>
      <w:r w:rsidR="006C1ACE">
        <w:rPr>
          <w:sz w:val="22"/>
        </w:rPr>
        <w:t>76 year</w:t>
      </w:r>
      <w:r w:rsidR="009D0B4C">
        <w:rPr>
          <w:sz w:val="22"/>
        </w:rPr>
        <w:t>s</w:t>
      </w:r>
      <w:r w:rsidR="006C1ACE">
        <w:rPr>
          <w:sz w:val="22"/>
        </w:rPr>
        <w:t xml:space="preserve"> or </w:t>
      </w:r>
      <w:r w:rsidR="00736787">
        <w:rPr>
          <w:sz w:val="22"/>
        </w:rPr>
        <w:t>less</w:t>
      </w:r>
      <w:r w:rsidR="296A230A" w:rsidRPr="6BD73E8D">
        <w:rPr>
          <w:sz w:val="22"/>
        </w:rPr>
        <w:t>, the case was considered IBC. Otherwise</w:t>
      </w:r>
      <w:r w:rsidR="003756BC">
        <w:rPr>
          <w:sz w:val="22"/>
        </w:rPr>
        <w:t>,</w:t>
      </w:r>
      <w:r w:rsidR="296A230A" w:rsidRPr="6BD73E8D">
        <w:rPr>
          <w:sz w:val="22"/>
        </w:rPr>
        <w:t xml:space="preserve"> the detection mode remained unknown.</w:t>
      </w:r>
      <w:r w:rsidR="00EF1EB1">
        <w:rPr>
          <w:sz w:val="22"/>
        </w:rPr>
        <w:t xml:space="preserve"> The age of 76 </w:t>
      </w:r>
      <w:r w:rsidR="00E57D9D">
        <w:rPr>
          <w:sz w:val="22"/>
        </w:rPr>
        <w:t xml:space="preserve">was chosen </w:t>
      </w:r>
      <w:r w:rsidR="00983685">
        <w:rPr>
          <w:sz w:val="22"/>
        </w:rPr>
        <w:t xml:space="preserve">as three </w:t>
      </w:r>
      <w:r w:rsidR="00FD7C06">
        <w:rPr>
          <w:sz w:val="22"/>
        </w:rPr>
        <w:t>years</w:t>
      </w:r>
      <w:r w:rsidR="00347F8C">
        <w:rPr>
          <w:sz w:val="22"/>
        </w:rPr>
        <w:t xml:space="preserve"> </w:t>
      </w:r>
      <w:r w:rsidR="00983685">
        <w:rPr>
          <w:sz w:val="22"/>
        </w:rPr>
        <w:t>after the expected age at last screen</w:t>
      </w:r>
      <w:r w:rsidR="00347F8C">
        <w:rPr>
          <w:sz w:val="22"/>
        </w:rPr>
        <w:t>. Age at last screen was set to 73 since</w:t>
      </w:r>
      <w:r w:rsidR="00E57D9D">
        <w:rPr>
          <w:sz w:val="22"/>
        </w:rPr>
        <w:t xml:space="preserve"> </w:t>
      </w:r>
      <w:r w:rsidR="00E57D9D" w:rsidRPr="00E57D9D">
        <w:rPr>
          <w:sz w:val="22"/>
        </w:rPr>
        <w:t xml:space="preserve">many centres took part in </w:t>
      </w:r>
      <w:hyperlink r:id="rId11" w:anchor="undefined" w:history="1">
        <w:proofErr w:type="spellStart"/>
        <w:r w:rsidR="00E57D9D" w:rsidRPr="00483DB6">
          <w:rPr>
            <w:rStyle w:val="Hyperlink"/>
            <w:color w:val="000000" w:themeColor="text1"/>
            <w:sz w:val="22"/>
          </w:rPr>
          <w:t>AgeX</w:t>
        </w:r>
        <w:proofErr w:type="spellEnd"/>
        <w:r w:rsidR="00EF62DE">
          <w:rPr>
            <w:rStyle w:val="Hyperlink"/>
            <w:color w:val="000000" w:themeColor="text1"/>
            <w:sz w:val="22"/>
          </w:rPr>
          <w:t xml:space="preserve"> </w:t>
        </w:r>
        <w:r w:rsidR="00E57D9D" w:rsidRPr="00483DB6">
          <w:rPr>
            <w:rStyle w:val="Hyperlink"/>
            <w:color w:val="000000" w:themeColor="text1"/>
            <w:sz w:val="22"/>
          </w:rPr>
          <w:t>trial</w:t>
        </w:r>
      </w:hyperlink>
      <w:r w:rsidR="00E57D9D" w:rsidRPr="00483DB6">
        <w:rPr>
          <w:color w:val="000000" w:themeColor="text1"/>
          <w:sz w:val="22"/>
        </w:rPr>
        <w:t xml:space="preserve"> </w:t>
      </w:r>
      <w:r w:rsidR="00B75D5A">
        <w:rPr>
          <w:color w:val="000000" w:themeColor="text1"/>
          <w:sz w:val="22"/>
        </w:rPr>
        <w:t>to evaluate an age extension to the NHS Breast Screening Programme</w:t>
      </w:r>
      <w:r w:rsidR="00F26ECD">
        <w:rPr>
          <w:color w:val="000000" w:themeColor="text1"/>
          <w:sz w:val="22"/>
        </w:rPr>
        <w:t xml:space="preserve"> </w:t>
      </w:r>
      <w:r w:rsidR="00E57D9D" w:rsidRPr="00483DB6">
        <w:rPr>
          <w:color w:val="000000" w:themeColor="text1"/>
          <w:sz w:val="22"/>
        </w:rPr>
        <w:t xml:space="preserve">that </w:t>
      </w:r>
      <w:r w:rsidR="00E57D9D" w:rsidRPr="00E57D9D">
        <w:rPr>
          <w:sz w:val="22"/>
        </w:rPr>
        <w:t xml:space="preserve">extended </w:t>
      </w:r>
      <w:r w:rsidR="00A47D42">
        <w:rPr>
          <w:sz w:val="22"/>
        </w:rPr>
        <w:t xml:space="preserve">the end of </w:t>
      </w:r>
      <w:r w:rsidR="00E57D9D" w:rsidRPr="00E57D9D">
        <w:rPr>
          <w:sz w:val="22"/>
        </w:rPr>
        <w:t xml:space="preserve">screening age </w:t>
      </w:r>
      <w:r w:rsidR="00F26ECD">
        <w:rPr>
          <w:sz w:val="22"/>
        </w:rPr>
        <w:t xml:space="preserve">from </w:t>
      </w:r>
      <w:r w:rsidR="00A47D42">
        <w:rPr>
          <w:sz w:val="22"/>
        </w:rPr>
        <w:t xml:space="preserve">70 </w:t>
      </w:r>
      <w:r w:rsidR="005C52BB">
        <w:rPr>
          <w:sz w:val="22"/>
        </w:rPr>
        <w:t>t</w:t>
      </w:r>
      <w:r w:rsidR="00E57D9D" w:rsidRPr="00E57D9D">
        <w:rPr>
          <w:sz w:val="22"/>
        </w:rPr>
        <w:t xml:space="preserve">o 73 </w:t>
      </w:r>
      <w:r w:rsidR="00A47D42">
        <w:rPr>
          <w:sz w:val="22"/>
        </w:rPr>
        <w:t>years.</w:t>
      </w:r>
    </w:p>
    <w:p w14:paraId="5B3133E4" w14:textId="3DBD3373" w:rsidR="003433BC" w:rsidRDefault="003433BC" w:rsidP="6BD73E8D">
      <w:pPr>
        <w:jc w:val="both"/>
        <w:rPr>
          <w:sz w:val="22"/>
        </w:rPr>
      </w:pPr>
      <w:r>
        <w:rPr>
          <w:rFonts w:cs="Arial"/>
          <w:sz w:val="22"/>
        </w:rPr>
        <w:t xml:space="preserve">The </w:t>
      </w:r>
      <w:r w:rsidR="00067644">
        <w:rPr>
          <w:rFonts w:cs="Arial"/>
          <w:sz w:val="22"/>
        </w:rPr>
        <w:t xml:space="preserve">relevant </w:t>
      </w:r>
      <w:r>
        <w:rPr>
          <w:rFonts w:cs="Arial"/>
          <w:sz w:val="22"/>
        </w:rPr>
        <w:t>screening date</w:t>
      </w:r>
      <w:r w:rsidR="00067644">
        <w:rPr>
          <w:rFonts w:cs="Arial"/>
          <w:sz w:val="22"/>
        </w:rPr>
        <w:t xml:space="preserve"> was defined as </w:t>
      </w:r>
      <w:r w:rsidR="00067644" w:rsidRPr="6BD73E8D">
        <w:rPr>
          <w:rFonts w:cs="Arial"/>
          <w:sz w:val="22"/>
        </w:rPr>
        <w:t>the screen prior to the screen at which the cancer was detected (diagnostic screen)</w:t>
      </w:r>
      <w:r w:rsidR="00067644">
        <w:rPr>
          <w:rFonts w:cs="Arial"/>
          <w:sz w:val="22"/>
        </w:rPr>
        <w:t xml:space="preserve"> for SDBC, and</w:t>
      </w:r>
      <w:r w:rsidR="00067644" w:rsidRPr="6BD73E8D">
        <w:rPr>
          <w:rFonts w:cs="Arial"/>
          <w:sz w:val="22"/>
        </w:rPr>
        <w:t xml:space="preserve"> the last negative screen prior to diagnosis</w:t>
      </w:r>
      <w:r w:rsidR="00067644">
        <w:rPr>
          <w:rFonts w:cs="Arial"/>
          <w:sz w:val="22"/>
        </w:rPr>
        <w:t xml:space="preserve"> for IBC</w:t>
      </w:r>
      <w:r w:rsidRPr="6BD73E8D">
        <w:rPr>
          <w:rFonts w:cs="Arial"/>
          <w:sz w:val="22"/>
        </w:rPr>
        <w:t>. Derivation of relevant screen date for cases diagnosed post-linkage was estimated based on median time interval between relevant screen and diagnosis date for SDBC and IBC with known relevant screen</w:t>
      </w:r>
      <w:r w:rsidRPr="003756BC">
        <w:rPr>
          <w:rFonts w:cs="Arial"/>
          <w:color w:val="000000" w:themeColor="text1"/>
          <w:sz w:val="22"/>
        </w:rPr>
        <w:t xml:space="preserve">, </w:t>
      </w:r>
      <w:r w:rsidR="008F53CD" w:rsidRPr="003756BC">
        <w:rPr>
          <w:rFonts w:cs="Arial"/>
          <w:color w:val="000000" w:themeColor="text1"/>
          <w:sz w:val="22"/>
        </w:rPr>
        <w:t>22 days</w:t>
      </w:r>
      <w:r w:rsidRPr="003756BC">
        <w:rPr>
          <w:rFonts w:cs="Arial"/>
          <w:color w:val="000000" w:themeColor="text1"/>
          <w:sz w:val="22"/>
        </w:rPr>
        <w:t xml:space="preserve"> and </w:t>
      </w:r>
      <w:r w:rsidR="008F53CD" w:rsidRPr="003756BC">
        <w:rPr>
          <w:rFonts w:cs="Arial"/>
          <w:color w:val="000000" w:themeColor="text1"/>
          <w:sz w:val="22"/>
        </w:rPr>
        <w:t>22</w:t>
      </w:r>
      <w:r w:rsidRPr="003756BC">
        <w:rPr>
          <w:rFonts w:cs="Arial"/>
          <w:color w:val="000000" w:themeColor="text1"/>
          <w:sz w:val="22"/>
        </w:rPr>
        <w:t xml:space="preserve"> months</w:t>
      </w:r>
      <w:r w:rsidRPr="6BD73E8D">
        <w:rPr>
          <w:rFonts w:cs="Arial"/>
          <w:sz w:val="22"/>
        </w:rPr>
        <w:t>, respectively.</w:t>
      </w:r>
    </w:p>
    <w:p w14:paraId="3720C7C3" w14:textId="77777777" w:rsidR="00CA46CC" w:rsidRDefault="00CA46CC">
      <w:pPr>
        <w:rPr>
          <w:sz w:val="22"/>
        </w:rPr>
      </w:pPr>
      <w:r>
        <w:rPr>
          <w:sz w:val="22"/>
        </w:rPr>
        <w:br w:type="page"/>
      </w:r>
    </w:p>
    <w:p w14:paraId="20245E46" w14:textId="08CA8ABA" w:rsidR="00533C66" w:rsidRDefault="00CA46CC" w:rsidP="6BD73E8D">
      <w:pPr>
        <w:jc w:val="both"/>
        <w:rPr>
          <w:sz w:val="22"/>
        </w:rPr>
      </w:pPr>
      <w:r w:rsidRPr="00CA46CC">
        <w:rPr>
          <w:b/>
          <w:bCs/>
          <w:sz w:val="22"/>
        </w:rPr>
        <w:lastRenderedPageBreak/>
        <w:t>Supplementary Figure 1</w:t>
      </w:r>
      <w:r>
        <w:rPr>
          <w:sz w:val="22"/>
        </w:rPr>
        <w:t xml:space="preserve">: </w:t>
      </w:r>
      <w:r w:rsidR="00C230D6" w:rsidRPr="00C230D6">
        <w:rPr>
          <w:sz w:val="22"/>
        </w:rPr>
        <w:t>Examples of timelines showing study entry</w:t>
      </w:r>
      <w:r w:rsidR="00F161D0">
        <w:rPr>
          <w:sz w:val="22"/>
        </w:rPr>
        <w:t xml:space="preserve"> </w:t>
      </w:r>
      <w:r w:rsidR="0086706B">
        <w:rPr>
          <w:sz w:val="22"/>
        </w:rPr>
        <w:t xml:space="preserve">when risk factors were assessed </w:t>
      </w:r>
      <w:r w:rsidR="00F161D0">
        <w:rPr>
          <w:sz w:val="22"/>
        </w:rPr>
        <w:t>(R)</w:t>
      </w:r>
      <w:r w:rsidR="00C230D6" w:rsidRPr="00C230D6">
        <w:rPr>
          <w:sz w:val="22"/>
        </w:rPr>
        <w:t>, mammographic density (MD) measurement, and breast cancer (BC) diagnosis</w:t>
      </w:r>
      <w:r w:rsidR="0086706B">
        <w:rPr>
          <w:sz w:val="22"/>
        </w:rPr>
        <w:t>,</w:t>
      </w:r>
      <w:r w:rsidR="00C230D6" w:rsidRPr="00C230D6">
        <w:rPr>
          <w:sz w:val="22"/>
        </w:rPr>
        <w:t xml:space="preserve"> in relation to routine screening rounds</w:t>
      </w:r>
      <w:r w:rsidR="00F161D0">
        <w:rPr>
          <w:sz w:val="22"/>
        </w:rPr>
        <w:t xml:space="preserve"> every three years</w:t>
      </w:r>
      <w:r w:rsidR="008C3ACA">
        <w:rPr>
          <w:sz w:val="22"/>
        </w:rPr>
        <w:t>, for SDBC (</w:t>
      </w:r>
      <w:r w:rsidR="008C3ACA" w:rsidRPr="008C3ACA">
        <w:rPr>
          <w:b/>
          <w:bCs/>
          <w:sz w:val="22"/>
        </w:rPr>
        <w:t>Panel A)</w:t>
      </w:r>
      <w:r w:rsidR="008C3ACA">
        <w:rPr>
          <w:sz w:val="22"/>
        </w:rPr>
        <w:t xml:space="preserve"> and IBC (</w:t>
      </w:r>
      <w:r w:rsidR="008C3ACA" w:rsidRPr="008C3ACA">
        <w:rPr>
          <w:b/>
          <w:bCs/>
          <w:sz w:val="22"/>
        </w:rPr>
        <w:t>Panel B</w:t>
      </w:r>
      <w:r w:rsidR="008C3ACA">
        <w:rPr>
          <w:sz w:val="22"/>
        </w:rPr>
        <w:t>)</w:t>
      </w:r>
      <w:r w:rsidR="00C230D6" w:rsidRPr="00C230D6">
        <w:rPr>
          <w:sz w:val="22"/>
        </w:rPr>
        <w:t xml:space="preserve">. </w:t>
      </w:r>
      <w:r w:rsidR="007C5BF8" w:rsidRPr="007C5BF8">
        <w:rPr>
          <w:sz w:val="22"/>
        </w:rPr>
        <w:t xml:space="preserve">These examples show variation in timing of MD assessment relative to screening and diagnosis, </w:t>
      </w:r>
      <w:r w:rsidR="007C5BF8">
        <w:rPr>
          <w:sz w:val="22"/>
        </w:rPr>
        <w:t>including</w:t>
      </w:r>
      <w:r w:rsidR="007C5BF8" w:rsidRPr="007C5BF8">
        <w:rPr>
          <w:sz w:val="22"/>
        </w:rPr>
        <w:t xml:space="preserve"> scenarios where MD is measured before, between, or after specific screening rounds in relation to BC </w:t>
      </w:r>
      <w:r w:rsidR="00452A33">
        <w:rPr>
          <w:sz w:val="22"/>
        </w:rPr>
        <w:t>diagnosis</w:t>
      </w:r>
      <w:r w:rsidR="007C5BF8" w:rsidRPr="007C5BF8">
        <w:rPr>
          <w:sz w:val="22"/>
        </w:rPr>
        <w:t>.</w:t>
      </w:r>
      <w:r w:rsidR="00542EF4">
        <w:rPr>
          <w:sz w:val="22"/>
        </w:rPr>
        <w:t xml:space="preserve"> </w:t>
      </w:r>
    </w:p>
    <w:p w14:paraId="2CCF5132" w14:textId="77777777" w:rsidR="00533C66" w:rsidRDefault="00533C66" w:rsidP="6BD73E8D">
      <w:pPr>
        <w:jc w:val="both"/>
        <w:rPr>
          <w:sz w:val="22"/>
        </w:rPr>
      </w:pPr>
    </w:p>
    <w:p w14:paraId="3B06EAE2" w14:textId="351BBF23" w:rsidR="001938EC" w:rsidRDefault="001938EC" w:rsidP="00533C66">
      <w:pPr>
        <w:rPr>
          <w:sz w:val="22"/>
        </w:rPr>
      </w:pPr>
      <w:r w:rsidRPr="0086706B">
        <w:rPr>
          <w:b/>
          <w:bCs/>
          <w:sz w:val="22"/>
        </w:rPr>
        <w:t>Panel</w:t>
      </w:r>
      <w:r w:rsidR="00533C66">
        <w:rPr>
          <w:b/>
          <w:bCs/>
          <w:sz w:val="22"/>
        </w:rPr>
        <w:t xml:space="preserve"> A</w:t>
      </w:r>
      <w:r w:rsidRPr="0086706B">
        <w:rPr>
          <w:b/>
          <w:bCs/>
          <w:sz w:val="22"/>
        </w:rPr>
        <w:t>:</w:t>
      </w:r>
      <w:r>
        <w:rPr>
          <w:sz w:val="22"/>
        </w:rPr>
        <w:t xml:space="preserve"> </w:t>
      </w:r>
      <w:r w:rsidR="008C3ACA">
        <w:rPr>
          <w:sz w:val="22"/>
        </w:rPr>
        <w:t>Screen</w:t>
      </w:r>
      <w:r>
        <w:rPr>
          <w:sz w:val="22"/>
        </w:rPr>
        <w:t>-detected breast cancers</w:t>
      </w:r>
      <w:r w:rsidR="00533C66" w:rsidRPr="00533C66">
        <w:rPr>
          <w:noProof/>
          <w:sz w:val="22"/>
        </w:rPr>
        <w:drawing>
          <wp:inline distT="0" distB="0" distL="0" distR="0" wp14:anchorId="1CE27ED4" wp14:editId="38285D96">
            <wp:extent cx="5731080" cy="3943847"/>
            <wp:effectExtent l="0" t="0" r="3175" b="0"/>
            <wp:docPr id="396708179"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08179" name="Picture 2" descr="A screenshot of a computer screen&#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17901" b="35850"/>
                    <a:stretch>
                      <a:fillRect/>
                    </a:stretch>
                  </pic:blipFill>
                  <pic:spPr bwMode="auto">
                    <a:xfrm>
                      <a:off x="0" y="0"/>
                      <a:ext cx="5731510" cy="3944143"/>
                    </a:xfrm>
                    <a:prstGeom prst="rect">
                      <a:avLst/>
                    </a:prstGeom>
                    <a:noFill/>
                    <a:ln>
                      <a:noFill/>
                    </a:ln>
                    <a:extLst>
                      <a:ext uri="{53640926-AAD7-44D8-BBD7-CCE9431645EC}">
                        <a14:shadowObscured xmlns:a14="http://schemas.microsoft.com/office/drawing/2010/main"/>
                      </a:ext>
                    </a:extLst>
                  </pic:spPr>
                </pic:pic>
              </a:graphicData>
            </a:graphic>
          </wp:inline>
        </w:drawing>
      </w:r>
    </w:p>
    <w:p w14:paraId="230069F1" w14:textId="77777777" w:rsidR="00533C66" w:rsidRDefault="00533C66" w:rsidP="00533C66">
      <w:pPr>
        <w:rPr>
          <w:sz w:val="22"/>
        </w:rPr>
      </w:pPr>
    </w:p>
    <w:p w14:paraId="0A764548" w14:textId="78CE1B20" w:rsidR="008C3ACA" w:rsidRDefault="008C3ACA" w:rsidP="00533C66">
      <w:pPr>
        <w:rPr>
          <w:sz w:val="22"/>
        </w:rPr>
      </w:pPr>
      <w:r w:rsidRPr="0086706B">
        <w:rPr>
          <w:b/>
          <w:bCs/>
          <w:sz w:val="22"/>
        </w:rPr>
        <w:lastRenderedPageBreak/>
        <w:t>Panel B:</w:t>
      </w:r>
      <w:r>
        <w:rPr>
          <w:sz w:val="22"/>
        </w:rPr>
        <w:t xml:space="preserve"> Interval breast cancers</w:t>
      </w:r>
      <w:r w:rsidR="00533C66" w:rsidRPr="00533C66">
        <w:rPr>
          <w:b/>
          <w:bCs/>
          <w:noProof/>
          <w:sz w:val="22"/>
        </w:rPr>
        <w:drawing>
          <wp:inline distT="0" distB="0" distL="0" distR="0" wp14:anchorId="15F38267" wp14:editId="467B0FB0">
            <wp:extent cx="5731510" cy="2548255"/>
            <wp:effectExtent l="0" t="0" r="2540" b="4445"/>
            <wp:docPr id="2026559383" name="Picture 4"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59383" name="Picture 4" descr="A screenshot of a computer screen&#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70114"/>
                    <a:stretch>
                      <a:fillRect/>
                    </a:stretch>
                  </pic:blipFill>
                  <pic:spPr bwMode="auto">
                    <a:xfrm>
                      <a:off x="0" y="0"/>
                      <a:ext cx="5731510" cy="2548255"/>
                    </a:xfrm>
                    <a:prstGeom prst="rect">
                      <a:avLst/>
                    </a:prstGeom>
                    <a:noFill/>
                    <a:ln>
                      <a:noFill/>
                    </a:ln>
                    <a:extLst>
                      <a:ext uri="{53640926-AAD7-44D8-BBD7-CCE9431645EC}">
                        <a14:shadowObscured xmlns:a14="http://schemas.microsoft.com/office/drawing/2010/main"/>
                      </a:ext>
                    </a:extLst>
                  </pic:spPr>
                </pic:pic>
              </a:graphicData>
            </a:graphic>
          </wp:inline>
        </w:drawing>
      </w:r>
    </w:p>
    <w:p w14:paraId="62FDE456" w14:textId="6E3A3A2D" w:rsidR="001938EC" w:rsidRDefault="00533C66" w:rsidP="00FA74F3">
      <w:pPr>
        <w:jc w:val="both"/>
        <w:rPr>
          <w:b/>
          <w:bCs/>
          <w:sz w:val="22"/>
        </w:rPr>
      </w:pPr>
      <w:r w:rsidRPr="00533C66">
        <w:rPr>
          <w:b/>
          <w:bCs/>
          <w:noProof/>
          <w:sz w:val="22"/>
        </w:rPr>
        <w:drawing>
          <wp:inline distT="0" distB="0" distL="0" distR="0" wp14:anchorId="26E07473" wp14:editId="04AB02E7">
            <wp:extent cx="2074391" cy="835025"/>
            <wp:effectExtent l="0" t="0" r="2540" b="3175"/>
            <wp:docPr id="698799511"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99511" name="Picture 6" descr="A screenshot of a computer screen&#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63784" b="90202"/>
                    <a:stretch>
                      <a:fillRect/>
                    </a:stretch>
                  </pic:blipFill>
                  <pic:spPr bwMode="auto">
                    <a:xfrm>
                      <a:off x="0" y="0"/>
                      <a:ext cx="2075750" cy="835572"/>
                    </a:xfrm>
                    <a:prstGeom prst="rect">
                      <a:avLst/>
                    </a:prstGeom>
                    <a:noFill/>
                    <a:ln>
                      <a:noFill/>
                    </a:ln>
                    <a:extLst>
                      <a:ext uri="{53640926-AAD7-44D8-BBD7-CCE9431645EC}">
                        <a14:shadowObscured xmlns:a14="http://schemas.microsoft.com/office/drawing/2010/main"/>
                      </a:ext>
                    </a:extLst>
                  </pic:spPr>
                </pic:pic>
              </a:graphicData>
            </a:graphic>
          </wp:inline>
        </w:drawing>
      </w:r>
    </w:p>
    <w:p w14:paraId="45AC2442" w14:textId="77777777" w:rsidR="00C708AC" w:rsidRDefault="00C708AC">
      <w:pPr>
        <w:rPr>
          <w:b/>
          <w:bCs/>
          <w:sz w:val="22"/>
        </w:rPr>
      </w:pPr>
      <w:r>
        <w:rPr>
          <w:b/>
          <w:bCs/>
          <w:sz w:val="22"/>
        </w:rPr>
        <w:br w:type="page"/>
      </w:r>
    </w:p>
    <w:p w14:paraId="2C918F9F" w14:textId="1A795292" w:rsidR="00C708AC" w:rsidRDefault="00C708AC">
      <w:pPr>
        <w:rPr>
          <w:b/>
          <w:bCs/>
          <w:sz w:val="22"/>
        </w:rPr>
      </w:pPr>
      <w:r>
        <w:rPr>
          <w:b/>
          <w:bCs/>
          <w:sz w:val="22"/>
        </w:rPr>
        <w:lastRenderedPageBreak/>
        <w:t>Mammographic Density Assessment</w:t>
      </w:r>
    </w:p>
    <w:p w14:paraId="673F803B" w14:textId="77777777" w:rsidR="00C708AC" w:rsidRDefault="00C708AC" w:rsidP="00C708AC">
      <w:pPr>
        <w:rPr>
          <w:rFonts w:cs="Arial"/>
          <w:sz w:val="22"/>
        </w:rPr>
      </w:pPr>
      <w:r w:rsidRPr="00DA5928">
        <w:rPr>
          <w:rFonts w:cs="Arial"/>
          <w:sz w:val="22"/>
        </w:rPr>
        <w:t xml:space="preserve">Mammographic density assessment methods are described in Schoemaker et al. </w:t>
      </w:r>
      <w:sdt>
        <w:sdtPr>
          <w:rPr>
            <w:rFonts w:cs="Arial"/>
            <w:color w:val="000000"/>
            <w:sz w:val="22"/>
          </w:rPr>
          <w:tag w:val="MENDELEY_CITATION_v3_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"/>
          <w:id w:val="2144461199"/>
          <w:placeholder>
            <w:docPart w:val="1A9D9651F6E7E74288BF1323170B17D2"/>
          </w:placeholder>
        </w:sdtPr>
        <w:sdtEndPr/>
        <w:sdtContent>
          <w:r w:rsidRPr="008F617F">
            <w:rPr>
              <w:rFonts w:cs="Arial"/>
              <w:color w:val="000000"/>
              <w:sz w:val="22"/>
            </w:rPr>
            <w:t>[15]</w:t>
          </w:r>
        </w:sdtContent>
      </w:sdt>
      <w:r w:rsidRPr="00DA5928">
        <w:rPr>
          <w:rFonts w:cs="Arial"/>
          <w:sz w:val="22"/>
        </w:rPr>
        <w:t>. Briefly, analogue and digital</w:t>
      </w:r>
      <w:r w:rsidRPr="5567826D">
        <w:rPr>
          <w:rFonts w:cs="Arial"/>
          <w:sz w:val="22"/>
        </w:rPr>
        <w:t xml:space="preserve"> mammographic</w:t>
      </w:r>
      <w:r w:rsidRPr="00DA5928">
        <w:rPr>
          <w:rFonts w:cs="Arial"/>
          <w:sz w:val="22"/>
        </w:rPr>
        <w:t xml:space="preserve"> images were obtained from </w:t>
      </w:r>
      <w:r w:rsidRPr="008B4212">
        <w:rPr>
          <w:rFonts w:cs="Arial"/>
          <w:sz w:val="22"/>
        </w:rPr>
        <w:t>NHSBSP screening centres</w:t>
      </w:r>
      <w:r w:rsidRPr="00DA5928">
        <w:rPr>
          <w:rFonts w:cs="Arial"/>
          <w:sz w:val="22"/>
        </w:rPr>
        <w:t>,</w:t>
      </w:r>
      <w:r w:rsidRPr="008B4212">
        <w:rPr>
          <w:rFonts w:cs="Arial"/>
          <w:sz w:val="22"/>
        </w:rPr>
        <w:t xml:space="preserve"> and percentage density </w:t>
      </w:r>
      <w:r w:rsidRPr="00DA5928">
        <w:rPr>
          <w:rFonts w:cs="Arial"/>
          <w:sz w:val="22"/>
        </w:rPr>
        <w:t xml:space="preserve">was </w:t>
      </w:r>
      <w:r w:rsidRPr="008B4212">
        <w:rPr>
          <w:rFonts w:cs="Arial"/>
          <w:sz w:val="22"/>
        </w:rPr>
        <w:t>estimated using Cumulus software (Sunnybrook Health Sciences Centre, Toronto, Canada</w:t>
      </w:r>
      <w:r w:rsidRPr="00DA5928">
        <w:rPr>
          <w:rFonts w:cs="Arial"/>
          <w:sz w:val="22"/>
        </w:rPr>
        <w:t xml:space="preserve">). Density readings were taken from the most recent pre-diagnostic mammogram, averaged across both breasts. For SDBCs, this was the negative screen prior to the one detecting cancer; for IBCs, it was the last negative screen before diagnosis. If this was unavailable, readings were taken from the contralateral breast or an earlier screen where possible. </w:t>
      </w:r>
      <w:r w:rsidRPr="00955E7F">
        <w:rPr>
          <w:rFonts w:cs="Arial"/>
          <w:b/>
          <w:bCs/>
          <w:sz w:val="22"/>
        </w:rPr>
        <w:t>Supplementary Figure 1</w:t>
      </w:r>
      <w:r>
        <w:rPr>
          <w:rFonts w:cs="Arial"/>
          <w:sz w:val="22"/>
        </w:rPr>
        <w:t xml:space="preserve"> shows a graphical representation of different scenarios on the timing of recruitment when risk factors were assessed, breast density assessment and breast cancer diagnosis/detection, in relation to routine screening rounds occurring every three years. </w:t>
      </w:r>
      <w:r w:rsidRPr="00DA5928">
        <w:rPr>
          <w:rFonts w:cs="Arial"/>
          <w:sz w:val="22"/>
        </w:rPr>
        <w:t>Medio-lateral oblique</w:t>
      </w:r>
      <w:r>
        <w:rPr>
          <w:rFonts w:cs="Arial"/>
          <w:sz w:val="22"/>
        </w:rPr>
        <w:t xml:space="preserve"> (MLO)</w:t>
      </w:r>
      <w:r w:rsidRPr="00DA5928">
        <w:rPr>
          <w:rFonts w:cs="Arial"/>
          <w:sz w:val="22"/>
        </w:rPr>
        <w:t xml:space="preserve"> views were preferred; cranio-caudal views were used when MLO was unavailable.</w:t>
      </w:r>
      <w:r>
        <w:rPr>
          <w:rFonts w:cs="Arial"/>
          <w:sz w:val="22"/>
        </w:rPr>
        <w:t xml:space="preserve"> </w:t>
      </w:r>
      <w:r w:rsidRPr="008B4212">
        <w:rPr>
          <w:rFonts w:cs="Arial"/>
          <w:sz w:val="22"/>
        </w:rPr>
        <w:t xml:space="preserve">Mammographic density readings were available for </w:t>
      </w:r>
      <w:r>
        <w:rPr>
          <w:rFonts w:cs="Arial"/>
          <w:sz w:val="22"/>
        </w:rPr>
        <w:t>1,191 women, including</w:t>
      </w:r>
      <w:r w:rsidRPr="008B4212">
        <w:rPr>
          <w:rFonts w:cs="Arial"/>
          <w:sz w:val="22"/>
        </w:rPr>
        <w:t xml:space="preserve"> </w:t>
      </w:r>
      <w:r>
        <w:rPr>
          <w:rFonts w:cs="Arial"/>
          <w:sz w:val="22"/>
        </w:rPr>
        <w:t>401</w:t>
      </w:r>
      <w:r w:rsidRPr="008B4212">
        <w:rPr>
          <w:rFonts w:cs="Arial"/>
          <w:sz w:val="22"/>
        </w:rPr>
        <w:t xml:space="preserve"> IBC</w:t>
      </w:r>
      <w:r>
        <w:rPr>
          <w:rFonts w:cs="Arial"/>
          <w:sz w:val="22"/>
        </w:rPr>
        <w:t>s</w:t>
      </w:r>
      <w:r w:rsidRPr="008B4212">
        <w:rPr>
          <w:rFonts w:cs="Arial"/>
          <w:sz w:val="22"/>
        </w:rPr>
        <w:t xml:space="preserve"> (</w:t>
      </w:r>
      <w:r>
        <w:rPr>
          <w:rFonts w:cs="Arial"/>
          <w:sz w:val="22"/>
        </w:rPr>
        <w:t>53</w:t>
      </w:r>
      <w:r w:rsidRPr="008B4212">
        <w:rPr>
          <w:rFonts w:cs="Arial"/>
          <w:sz w:val="22"/>
        </w:rPr>
        <w:t>%</w:t>
      </w:r>
      <w:r>
        <w:rPr>
          <w:rFonts w:cs="Arial"/>
          <w:sz w:val="22"/>
        </w:rPr>
        <w:t xml:space="preserve"> of total</w:t>
      </w:r>
      <w:r w:rsidRPr="008B4212">
        <w:rPr>
          <w:rFonts w:cs="Arial"/>
          <w:sz w:val="22"/>
        </w:rPr>
        <w:t xml:space="preserve">) and </w:t>
      </w:r>
      <w:r>
        <w:rPr>
          <w:rFonts w:cs="Arial"/>
          <w:sz w:val="22"/>
        </w:rPr>
        <w:t>790</w:t>
      </w:r>
      <w:r w:rsidRPr="008B4212">
        <w:rPr>
          <w:rFonts w:cs="Arial"/>
          <w:sz w:val="22"/>
        </w:rPr>
        <w:t xml:space="preserve"> SDBC</w:t>
      </w:r>
      <w:r>
        <w:rPr>
          <w:rFonts w:cs="Arial"/>
          <w:sz w:val="22"/>
        </w:rPr>
        <w:t xml:space="preserve">s </w:t>
      </w:r>
      <w:r w:rsidRPr="008B4212">
        <w:rPr>
          <w:rFonts w:cs="Arial"/>
          <w:sz w:val="22"/>
        </w:rPr>
        <w:t>(6</w:t>
      </w:r>
      <w:r>
        <w:rPr>
          <w:rFonts w:cs="Arial"/>
          <w:sz w:val="22"/>
        </w:rPr>
        <w:t>7</w:t>
      </w:r>
      <w:r w:rsidRPr="008B4212">
        <w:rPr>
          <w:rFonts w:cs="Arial"/>
          <w:sz w:val="22"/>
        </w:rPr>
        <w:t>%</w:t>
      </w:r>
      <w:r>
        <w:rPr>
          <w:rFonts w:cs="Arial"/>
          <w:sz w:val="22"/>
        </w:rPr>
        <w:t xml:space="preserve"> of total</w:t>
      </w:r>
      <w:r w:rsidRPr="008B4212">
        <w:rPr>
          <w:rFonts w:cs="Arial"/>
          <w:sz w:val="22"/>
        </w:rPr>
        <w:t>).</w:t>
      </w:r>
      <w:r>
        <w:rPr>
          <w:rFonts w:cs="Arial"/>
          <w:sz w:val="22"/>
        </w:rPr>
        <w:t xml:space="preserve">  </w:t>
      </w:r>
      <w:r w:rsidRPr="5567826D">
        <w:rPr>
          <w:rFonts w:cs="Arial"/>
          <w:sz w:val="22"/>
        </w:rPr>
        <w:t xml:space="preserve">Missing data was mostly due to lack of availability of mammograms from the screening centres for cancers diagnosed many years ago.   </w:t>
      </w:r>
    </w:p>
    <w:p w14:paraId="0A082997" w14:textId="13CCA2E3" w:rsidR="00A30EA9" w:rsidRDefault="00A30EA9">
      <w:pPr>
        <w:rPr>
          <w:b/>
          <w:bCs/>
          <w:sz w:val="22"/>
        </w:rPr>
      </w:pPr>
      <w:r>
        <w:rPr>
          <w:b/>
          <w:bCs/>
          <w:sz w:val="22"/>
        </w:rPr>
        <w:br w:type="page"/>
      </w:r>
    </w:p>
    <w:p w14:paraId="53E3AEC0" w14:textId="77777777" w:rsidR="00072A94" w:rsidRPr="00FA74F3" w:rsidRDefault="00072A94" w:rsidP="00FA74F3">
      <w:pPr>
        <w:jc w:val="both"/>
        <w:rPr>
          <w:sz w:val="22"/>
        </w:rPr>
      </w:pPr>
    </w:p>
    <w:p w14:paraId="06B6633C" w14:textId="7E231E09" w:rsidR="00616386" w:rsidRDefault="00072A94" w:rsidP="00616386">
      <w:pPr>
        <w:rPr>
          <w:rFonts w:eastAsia="Arial" w:cs="Arial"/>
          <w:i/>
          <w:iCs/>
          <w:color w:val="000000" w:themeColor="text1"/>
          <w:szCs w:val="24"/>
        </w:rPr>
      </w:pPr>
      <w:r w:rsidRPr="00072A94">
        <w:rPr>
          <w:b/>
          <w:bCs/>
          <w:sz w:val="22"/>
        </w:rPr>
        <w:t>Supplementary Table 1:</w:t>
      </w:r>
      <w:r w:rsidR="00E45E57">
        <w:rPr>
          <w:sz w:val="22"/>
        </w:rPr>
        <w:t xml:space="preserve"> </w:t>
      </w:r>
      <w:r w:rsidR="00147EA3" w:rsidRPr="00147EA3">
        <w:rPr>
          <w:sz w:val="22"/>
        </w:rPr>
        <w:t xml:space="preserve">Cross-classification of screen-detection mode </w:t>
      </w:r>
      <w:r w:rsidR="00F96F4B">
        <w:rPr>
          <w:sz w:val="22"/>
        </w:rPr>
        <w:t>derived from</w:t>
      </w:r>
      <w:r w:rsidR="00147EA3" w:rsidRPr="00147EA3">
        <w:rPr>
          <w:sz w:val="22"/>
        </w:rPr>
        <w:t xml:space="preserve"> the National Breast Screening Programme (NBCSP) </w:t>
      </w:r>
      <w:r w:rsidR="00034ADF">
        <w:rPr>
          <w:sz w:val="22"/>
        </w:rPr>
        <w:t xml:space="preserve">screening histories, </w:t>
      </w:r>
      <w:r w:rsidR="00147EA3" w:rsidRPr="00147EA3">
        <w:rPr>
          <w:sz w:val="22"/>
        </w:rPr>
        <w:t xml:space="preserve">and </w:t>
      </w:r>
      <w:r w:rsidR="00034ADF">
        <w:rPr>
          <w:sz w:val="22"/>
        </w:rPr>
        <w:t xml:space="preserve">the </w:t>
      </w:r>
      <w:r w:rsidR="00147EA3" w:rsidRPr="00147EA3">
        <w:rPr>
          <w:sz w:val="22"/>
        </w:rPr>
        <w:t xml:space="preserve">cancer registry </w:t>
      </w:r>
      <w:r w:rsidR="00F96F4B" w:rsidRPr="00147EA3">
        <w:rPr>
          <w:sz w:val="22"/>
        </w:rPr>
        <w:t xml:space="preserve">screen-detected </w:t>
      </w:r>
      <w:r w:rsidR="00D421C1">
        <w:rPr>
          <w:sz w:val="22"/>
        </w:rPr>
        <w:t xml:space="preserve">flag. Table </w:t>
      </w:r>
      <w:r w:rsidR="00034ADF">
        <w:rPr>
          <w:sz w:val="22"/>
        </w:rPr>
        <w:t>only includes</w:t>
      </w:r>
      <w:r w:rsidR="00D421C1">
        <w:rPr>
          <w:sz w:val="22"/>
        </w:rPr>
        <w:t xml:space="preserve"> </w:t>
      </w:r>
      <w:r w:rsidR="00147EA3" w:rsidRPr="00147EA3">
        <w:rPr>
          <w:sz w:val="22"/>
        </w:rPr>
        <w:t xml:space="preserve">women with both sources </w:t>
      </w:r>
      <w:r w:rsidR="00034ADF">
        <w:rPr>
          <w:sz w:val="22"/>
        </w:rPr>
        <w:t xml:space="preserve">of information </w:t>
      </w:r>
      <w:r w:rsidR="00147EA3" w:rsidRPr="00147EA3">
        <w:rPr>
          <w:sz w:val="22"/>
        </w:rPr>
        <w:t>available</w:t>
      </w:r>
      <w:r w:rsidR="00034ADF">
        <w:rPr>
          <w:sz w:val="22"/>
        </w:rPr>
        <w:t>,</w:t>
      </w:r>
      <w:r w:rsidR="00147EA3" w:rsidRPr="00147EA3">
        <w:rPr>
          <w:sz w:val="22"/>
        </w:rPr>
        <w:t xml:space="preserve"> and where the registry screen-detected flag was not used to define detection mode</w:t>
      </w:r>
      <w:r w:rsidR="009E3131">
        <w:rPr>
          <w:sz w:val="22"/>
        </w:rPr>
        <w:t>.</w:t>
      </w:r>
      <w:r w:rsidR="00616386" w:rsidRPr="00616386">
        <w:rPr>
          <w:rFonts w:eastAsia="Arial" w:cs="Arial"/>
          <w:i/>
          <w:iCs/>
          <w:color w:val="000000" w:themeColor="text1"/>
          <w:szCs w:val="24"/>
          <w:highlight w:val="yellow"/>
        </w:rPr>
        <w:t xml:space="preserve"> </w:t>
      </w:r>
    </w:p>
    <w:p w14:paraId="5B000342" w14:textId="77777777" w:rsidR="00034ADF" w:rsidRPr="00F96F4B" w:rsidRDefault="00034ADF" w:rsidP="00616386">
      <w:pPr>
        <w:rPr>
          <w:rFonts w:eastAsia="Arial" w:cs="Arial"/>
          <w:color w:val="000000" w:themeColor="text1"/>
          <w:szCs w:val="24"/>
        </w:rPr>
      </w:pPr>
    </w:p>
    <w:tbl>
      <w:tblPr>
        <w:tblW w:w="4869" w:type="pct"/>
        <w:jc w:val="center"/>
        <w:tblLook w:val="0420" w:firstRow="1" w:lastRow="0" w:firstColumn="0" w:lastColumn="0" w:noHBand="0" w:noVBand="1"/>
      </w:tblPr>
      <w:tblGrid>
        <w:gridCol w:w="1985"/>
        <w:gridCol w:w="2066"/>
        <w:gridCol w:w="1457"/>
        <w:gridCol w:w="1580"/>
        <w:gridCol w:w="1702"/>
      </w:tblGrid>
      <w:tr w:rsidR="00013CF3" w14:paraId="0CCEBDE7" w14:textId="77777777" w:rsidTr="004017E7">
        <w:trPr>
          <w:tblHeader/>
          <w:jc w:val="center"/>
        </w:trPr>
        <w:tc>
          <w:tcPr>
            <w:tcW w:w="112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AB8E1"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rPr>
                <w:sz w:val="22"/>
              </w:rPr>
            </w:pPr>
          </w:p>
        </w:tc>
        <w:tc>
          <w:tcPr>
            <w:tcW w:w="3871" w:type="pct"/>
            <w:gridSpan w:val="4"/>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37FE7"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rFonts w:eastAsia="Arial" w:cs="Arial"/>
                <w:b/>
                <w:color w:val="000000"/>
                <w:sz w:val="22"/>
              </w:rPr>
            </w:pPr>
            <w:r w:rsidRPr="008156C0">
              <w:rPr>
                <w:rFonts w:eastAsia="Arial" w:cs="Arial"/>
                <w:b/>
                <w:color w:val="000000"/>
                <w:sz w:val="22"/>
              </w:rPr>
              <w:t>Derived Detection Mode</w:t>
            </w:r>
          </w:p>
        </w:tc>
      </w:tr>
      <w:tr w:rsidR="00013CF3" w14:paraId="4C246E09" w14:textId="77777777" w:rsidTr="004017E7">
        <w:trPr>
          <w:tblHeader/>
          <w:jc w:val="center"/>
        </w:trPr>
        <w:tc>
          <w:tcPr>
            <w:tcW w:w="112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7F97E" w14:textId="77A34D02" w:rsidR="00013CF3" w:rsidRPr="008156C0" w:rsidRDefault="008156C0">
            <w:pPr>
              <w:pBdr>
                <w:top w:val="none" w:sz="0" w:space="0" w:color="000000"/>
                <w:left w:val="none" w:sz="0" w:space="0" w:color="000000"/>
                <w:bottom w:val="none" w:sz="0" w:space="0" w:color="000000"/>
                <w:right w:val="none" w:sz="0" w:space="0" w:color="000000"/>
              </w:pBdr>
              <w:ind w:left="100" w:right="100"/>
              <w:rPr>
                <w:sz w:val="22"/>
              </w:rPr>
            </w:pPr>
            <w:r>
              <w:rPr>
                <w:rFonts w:eastAsia="Arial" w:cs="Arial"/>
                <w:b/>
                <w:color w:val="000000"/>
                <w:sz w:val="22"/>
              </w:rPr>
              <w:t>Cancer R</w:t>
            </w:r>
            <w:r w:rsidR="00013CF3" w:rsidRPr="008156C0">
              <w:rPr>
                <w:rFonts w:eastAsia="Arial" w:cs="Arial"/>
                <w:b/>
                <w:color w:val="000000"/>
                <w:sz w:val="22"/>
              </w:rPr>
              <w:t xml:space="preserve">egistry </w:t>
            </w:r>
            <w:r w:rsidR="00330E31">
              <w:rPr>
                <w:rFonts w:eastAsia="Arial" w:cs="Arial"/>
                <w:b/>
                <w:color w:val="000000"/>
                <w:sz w:val="22"/>
              </w:rPr>
              <w:t>Flag</w:t>
            </w:r>
          </w:p>
        </w:tc>
        <w:tc>
          <w:tcPr>
            <w:tcW w:w="1175"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0B47EB"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Interval</w:t>
            </w:r>
          </w:p>
        </w:tc>
        <w:tc>
          <w:tcPr>
            <w:tcW w:w="0" w:type="auto"/>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2C0A3"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Screen-Detected</w:t>
            </w:r>
          </w:p>
        </w:tc>
        <w:tc>
          <w:tcPr>
            <w:tcW w:w="899"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504E2"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Other</w:t>
            </w:r>
          </w:p>
        </w:tc>
        <w:tc>
          <w:tcPr>
            <w:tcW w:w="968"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91982"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b/>
                <w:color w:val="000000"/>
                <w:sz w:val="22"/>
              </w:rPr>
              <w:t>Total</w:t>
            </w:r>
          </w:p>
        </w:tc>
      </w:tr>
      <w:tr w:rsidR="00013CF3" w14:paraId="53AFFC17" w14:textId="77777777" w:rsidTr="004017E7">
        <w:trPr>
          <w:jc w:val="center"/>
        </w:trPr>
        <w:tc>
          <w:tcPr>
            <w:tcW w:w="112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9E38FF" w14:textId="6955C00F" w:rsidR="00013CF3" w:rsidRPr="008156C0" w:rsidRDefault="00330E31">
            <w:pPr>
              <w:pBdr>
                <w:top w:val="none" w:sz="0" w:space="0" w:color="000000"/>
                <w:left w:val="none" w:sz="0" w:space="0" w:color="000000"/>
                <w:bottom w:val="none" w:sz="0" w:space="0" w:color="000000"/>
                <w:right w:val="none" w:sz="0" w:space="0" w:color="000000"/>
              </w:pBdr>
              <w:ind w:left="300" w:right="100"/>
              <w:rPr>
                <w:sz w:val="22"/>
              </w:rPr>
            </w:pPr>
            <w:r>
              <w:rPr>
                <w:rFonts w:eastAsia="Arial" w:cs="Arial"/>
                <w:color w:val="000000"/>
                <w:sz w:val="22"/>
              </w:rPr>
              <w:t>Non</w:t>
            </w:r>
            <w:r w:rsidR="00D50E23">
              <w:rPr>
                <w:rFonts w:eastAsia="Arial" w:cs="Arial"/>
                <w:color w:val="000000"/>
                <w:sz w:val="22"/>
              </w:rPr>
              <w:t>-</w:t>
            </w:r>
            <w:r>
              <w:rPr>
                <w:rFonts w:eastAsia="Arial" w:cs="Arial"/>
                <w:color w:val="000000"/>
                <w:sz w:val="22"/>
              </w:rPr>
              <w:t>Screen-Detected</w:t>
            </w:r>
            <w:r w:rsidR="0038036A">
              <w:rPr>
                <w:rFonts w:eastAsia="Arial" w:cs="Arial"/>
                <w:color w:val="000000"/>
                <w:sz w:val="22"/>
              </w:rPr>
              <w:t xml:space="preserve"> (no)</w:t>
            </w:r>
          </w:p>
        </w:tc>
        <w:tc>
          <w:tcPr>
            <w:tcW w:w="1175"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FD4D6D"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501 </w:t>
            </w: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9030AE"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0 </w:t>
            </w:r>
          </w:p>
        </w:tc>
        <w:tc>
          <w:tcPr>
            <w:tcW w:w="89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A85422"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397 </w:t>
            </w:r>
          </w:p>
        </w:tc>
        <w:tc>
          <w:tcPr>
            <w:tcW w:w="968"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B07CC8"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898 (34%)</w:t>
            </w:r>
          </w:p>
        </w:tc>
      </w:tr>
      <w:tr w:rsidR="00013CF3" w14:paraId="0292F58D" w14:textId="77777777" w:rsidTr="004017E7">
        <w:trPr>
          <w:jc w:val="center"/>
        </w:trPr>
        <w:tc>
          <w:tcPr>
            <w:tcW w:w="11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66ECE0" w14:textId="5428B5B6" w:rsidR="00013CF3" w:rsidRPr="008156C0" w:rsidRDefault="00013CF3">
            <w:pPr>
              <w:pBdr>
                <w:top w:val="none" w:sz="0" w:space="0" w:color="000000"/>
                <w:left w:val="none" w:sz="0" w:space="0" w:color="000000"/>
                <w:bottom w:val="none" w:sz="0" w:space="0" w:color="000000"/>
                <w:right w:val="none" w:sz="0" w:space="0" w:color="000000"/>
              </w:pBdr>
              <w:ind w:left="300" w:right="100"/>
              <w:rPr>
                <w:sz w:val="22"/>
              </w:rPr>
            </w:pPr>
            <w:r w:rsidRPr="008156C0">
              <w:rPr>
                <w:rFonts w:eastAsia="Arial" w:cs="Arial"/>
                <w:color w:val="000000"/>
                <w:sz w:val="22"/>
              </w:rPr>
              <w:t>Screen-Detected</w:t>
            </w:r>
            <w:r w:rsidR="0038036A">
              <w:rPr>
                <w:rFonts w:eastAsia="Arial" w:cs="Arial"/>
                <w:color w:val="000000"/>
                <w:sz w:val="22"/>
              </w:rPr>
              <w:t xml:space="preserve"> (yes)</w:t>
            </w:r>
          </w:p>
        </w:tc>
        <w:tc>
          <w:tcPr>
            <w:tcW w:w="1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9A2425"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33 </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95FF5"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852 </w:t>
            </w:r>
          </w:p>
        </w:tc>
        <w:tc>
          <w:tcPr>
            <w:tcW w:w="8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92FC8A"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119 </w:t>
            </w:r>
          </w:p>
        </w:tc>
        <w:tc>
          <w:tcPr>
            <w:tcW w:w="96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EF1F5D"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1,004 (38%)</w:t>
            </w:r>
          </w:p>
        </w:tc>
      </w:tr>
      <w:tr w:rsidR="00013CF3" w14:paraId="551E428C" w14:textId="77777777" w:rsidTr="004017E7">
        <w:trPr>
          <w:jc w:val="center"/>
        </w:trPr>
        <w:tc>
          <w:tcPr>
            <w:tcW w:w="11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E2CFA1" w14:textId="77777777" w:rsidR="00013CF3" w:rsidRPr="008156C0" w:rsidRDefault="00013CF3">
            <w:pPr>
              <w:pBdr>
                <w:top w:val="none" w:sz="0" w:space="0" w:color="000000"/>
                <w:left w:val="none" w:sz="0" w:space="0" w:color="000000"/>
                <w:bottom w:val="none" w:sz="0" w:space="0" w:color="000000"/>
                <w:right w:val="none" w:sz="0" w:space="0" w:color="000000"/>
              </w:pBdr>
              <w:ind w:left="300" w:right="100"/>
              <w:rPr>
                <w:sz w:val="22"/>
              </w:rPr>
            </w:pPr>
            <w:r w:rsidRPr="008156C0">
              <w:rPr>
                <w:rFonts w:eastAsia="Arial" w:cs="Arial"/>
                <w:color w:val="000000"/>
                <w:sz w:val="22"/>
              </w:rPr>
              <w:t>Unknown</w:t>
            </w:r>
          </w:p>
        </w:tc>
        <w:tc>
          <w:tcPr>
            <w:tcW w:w="1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44302D"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17 </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F91347"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6 </w:t>
            </w:r>
          </w:p>
        </w:tc>
        <w:tc>
          <w:tcPr>
            <w:tcW w:w="8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6557F8"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56 </w:t>
            </w:r>
          </w:p>
        </w:tc>
        <w:tc>
          <w:tcPr>
            <w:tcW w:w="96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CA262"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79 (3.0%)</w:t>
            </w:r>
          </w:p>
        </w:tc>
      </w:tr>
      <w:tr w:rsidR="00013CF3" w14:paraId="51B60A79" w14:textId="77777777" w:rsidTr="004017E7">
        <w:trPr>
          <w:jc w:val="center"/>
        </w:trPr>
        <w:tc>
          <w:tcPr>
            <w:tcW w:w="11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EBD080" w14:textId="73EE6462" w:rsidR="00013CF3" w:rsidRPr="008156C0" w:rsidRDefault="001C569B">
            <w:pPr>
              <w:pBdr>
                <w:top w:val="none" w:sz="0" w:space="0" w:color="000000"/>
                <w:left w:val="none" w:sz="0" w:space="0" w:color="000000"/>
                <w:bottom w:val="none" w:sz="0" w:space="0" w:color="000000"/>
                <w:right w:val="none" w:sz="0" w:space="0" w:color="000000"/>
              </w:pBdr>
              <w:ind w:left="300" w:right="100"/>
              <w:rPr>
                <w:sz w:val="22"/>
              </w:rPr>
            </w:pPr>
            <w:r>
              <w:rPr>
                <w:sz w:val="22"/>
              </w:rPr>
              <w:t>No data available</w:t>
            </w:r>
          </w:p>
        </w:tc>
        <w:tc>
          <w:tcPr>
            <w:tcW w:w="1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AA7798"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62 </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BAEBCB"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50 </w:t>
            </w:r>
          </w:p>
        </w:tc>
        <w:tc>
          <w:tcPr>
            <w:tcW w:w="8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F4A1F7"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 xml:space="preserve">522 </w:t>
            </w:r>
          </w:p>
        </w:tc>
        <w:tc>
          <w:tcPr>
            <w:tcW w:w="96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F644B1"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634 (24%)</w:t>
            </w:r>
          </w:p>
        </w:tc>
      </w:tr>
      <w:tr w:rsidR="00013CF3" w14:paraId="38376BD6" w14:textId="77777777" w:rsidTr="004017E7">
        <w:trPr>
          <w:jc w:val="center"/>
        </w:trPr>
        <w:tc>
          <w:tcPr>
            <w:tcW w:w="1129"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FBCAB6F"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rPr>
                <w:sz w:val="22"/>
              </w:rPr>
            </w:pPr>
            <w:r w:rsidRPr="008156C0">
              <w:rPr>
                <w:rFonts w:eastAsia="Arial" w:cs="Arial"/>
                <w:b/>
                <w:color w:val="000000"/>
                <w:sz w:val="22"/>
              </w:rPr>
              <w:t>Total</w:t>
            </w:r>
          </w:p>
        </w:tc>
        <w:tc>
          <w:tcPr>
            <w:tcW w:w="1175"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409953F"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613 (23%)</w:t>
            </w:r>
          </w:p>
        </w:tc>
        <w:tc>
          <w:tcPr>
            <w:tcW w:w="0" w:type="auto"/>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EAF5625"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908 (35%)</w:t>
            </w:r>
          </w:p>
        </w:tc>
        <w:tc>
          <w:tcPr>
            <w:tcW w:w="899"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788B57D"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1,094 (42%)</w:t>
            </w:r>
          </w:p>
        </w:tc>
        <w:tc>
          <w:tcPr>
            <w:tcW w:w="968"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2A75368" w14:textId="77777777" w:rsidR="00013CF3" w:rsidRPr="008156C0" w:rsidRDefault="00013CF3">
            <w:pPr>
              <w:pBdr>
                <w:top w:val="none" w:sz="0" w:space="0" w:color="000000"/>
                <w:left w:val="none" w:sz="0" w:space="0" w:color="000000"/>
                <w:bottom w:val="none" w:sz="0" w:space="0" w:color="000000"/>
                <w:right w:val="none" w:sz="0" w:space="0" w:color="000000"/>
              </w:pBdr>
              <w:ind w:left="100" w:right="100"/>
              <w:jc w:val="center"/>
              <w:rPr>
                <w:sz w:val="22"/>
              </w:rPr>
            </w:pPr>
            <w:r w:rsidRPr="008156C0">
              <w:rPr>
                <w:rFonts w:eastAsia="Arial" w:cs="Arial"/>
                <w:color w:val="000000"/>
                <w:sz w:val="22"/>
              </w:rPr>
              <w:t>2,615 (100%)</w:t>
            </w:r>
          </w:p>
        </w:tc>
      </w:tr>
      <w:tr w:rsidR="00773F51" w14:paraId="47B8E6AA" w14:textId="77777777" w:rsidTr="004017E7">
        <w:trPr>
          <w:jc w:val="center"/>
        </w:trPr>
        <w:tc>
          <w:tcPr>
            <w:tcW w:w="112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439989" w14:textId="5B2883AC" w:rsidR="00773F51" w:rsidRDefault="00773F51">
            <w:pPr>
              <w:pBdr>
                <w:top w:val="none" w:sz="0" w:space="0" w:color="000000"/>
                <w:left w:val="none" w:sz="0" w:space="0" w:color="000000"/>
                <w:bottom w:val="none" w:sz="0" w:space="0" w:color="000000"/>
                <w:right w:val="none" w:sz="0" w:space="0" w:color="000000"/>
              </w:pBdr>
              <w:ind w:left="300" w:right="100"/>
            </w:pPr>
          </w:p>
        </w:tc>
        <w:tc>
          <w:tcPr>
            <w:tcW w:w="1175"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65F6FB" w14:textId="025D94F7" w:rsidR="00773F51" w:rsidRDefault="00773F51">
            <w:pPr>
              <w:pBdr>
                <w:top w:val="none" w:sz="0" w:space="0" w:color="000000"/>
                <w:left w:val="none" w:sz="0" w:space="0" w:color="000000"/>
                <w:bottom w:val="none" w:sz="0" w:space="0" w:color="000000"/>
                <w:right w:val="none" w:sz="0" w:space="0" w:color="000000"/>
              </w:pBdr>
              <w:ind w:left="100" w:right="100"/>
              <w:jc w:val="center"/>
            </w:pPr>
          </w:p>
        </w:tc>
        <w:tc>
          <w:tcPr>
            <w:tcW w:w="0" w:type="auto"/>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C0EFB2" w14:textId="136AC6E9" w:rsidR="00773F51" w:rsidRDefault="00773F51">
            <w:pPr>
              <w:pBdr>
                <w:top w:val="none" w:sz="0" w:space="0" w:color="000000"/>
                <w:left w:val="none" w:sz="0" w:space="0" w:color="000000"/>
                <w:bottom w:val="none" w:sz="0" w:space="0" w:color="000000"/>
                <w:right w:val="none" w:sz="0" w:space="0" w:color="000000"/>
              </w:pBdr>
              <w:ind w:left="100" w:right="100"/>
              <w:jc w:val="center"/>
            </w:pPr>
          </w:p>
        </w:tc>
        <w:tc>
          <w:tcPr>
            <w:tcW w:w="899"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86AE3" w14:textId="54AD322D" w:rsidR="00773F51" w:rsidRDefault="00773F51">
            <w:pPr>
              <w:pBdr>
                <w:top w:val="none" w:sz="0" w:space="0" w:color="000000"/>
                <w:left w:val="none" w:sz="0" w:space="0" w:color="000000"/>
                <w:bottom w:val="none" w:sz="0" w:space="0" w:color="000000"/>
                <w:right w:val="none" w:sz="0" w:space="0" w:color="000000"/>
              </w:pBdr>
              <w:ind w:left="100" w:right="100"/>
              <w:jc w:val="center"/>
            </w:pPr>
          </w:p>
        </w:tc>
        <w:tc>
          <w:tcPr>
            <w:tcW w:w="968"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95D9B" w14:textId="387AA8DF" w:rsidR="00773F51" w:rsidRDefault="00773F51">
            <w:pPr>
              <w:pBdr>
                <w:top w:val="none" w:sz="0" w:space="0" w:color="000000"/>
                <w:left w:val="none" w:sz="0" w:space="0" w:color="000000"/>
                <w:bottom w:val="none" w:sz="0" w:space="0" w:color="000000"/>
                <w:right w:val="none" w:sz="0" w:space="0" w:color="000000"/>
              </w:pBdr>
              <w:ind w:left="100" w:right="100"/>
              <w:jc w:val="center"/>
            </w:pPr>
          </w:p>
        </w:tc>
      </w:tr>
      <w:tr w:rsidR="00773F51" w14:paraId="1C98D493" w14:textId="77777777" w:rsidTr="004017E7">
        <w:trPr>
          <w:jc w:val="center"/>
        </w:trPr>
        <w:tc>
          <w:tcPr>
            <w:tcW w:w="112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75DC0E" w14:textId="18FEA7C0" w:rsidR="00773F51" w:rsidRDefault="00773F51">
            <w:pPr>
              <w:pBdr>
                <w:top w:val="none" w:sz="0" w:space="0" w:color="000000"/>
                <w:left w:val="none" w:sz="0" w:space="0" w:color="000000"/>
                <w:bottom w:val="none" w:sz="0" w:space="0" w:color="000000"/>
                <w:right w:val="none" w:sz="0" w:space="0" w:color="000000"/>
              </w:pBdr>
              <w:ind w:left="300" w:right="100"/>
            </w:pPr>
          </w:p>
        </w:tc>
        <w:tc>
          <w:tcPr>
            <w:tcW w:w="117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87C5D4" w14:textId="7A834518" w:rsidR="00773F51" w:rsidRDefault="00773F51">
            <w:pPr>
              <w:pBdr>
                <w:top w:val="none" w:sz="0" w:space="0" w:color="000000"/>
                <w:left w:val="none" w:sz="0" w:space="0" w:color="000000"/>
                <w:bottom w:val="none" w:sz="0" w:space="0" w:color="000000"/>
                <w:right w:val="none" w:sz="0" w:space="0" w:color="000000"/>
              </w:pBdr>
              <w:ind w:left="100" w:right="100"/>
              <w:jc w:val="cente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BD0718" w14:textId="3F09EAD8" w:rsidR="00773F51" w:rsidRDefault="00773F51">
            <w:pPr>
              <w:pBdr>
                <w:top w:val="none" w:sz="0" w:space="0" w:color="000000"/>
                <w:left w:val="none" w:sz="0" w:space="0" w:color="000000"/>
                <w:bottom w:val="none" w:sz="0" w:space="0" w:color="000000"/>
                <w:right w:val="none" w:sz="0" w:space="0" w:color="000000"/>
              </w:pBdr>
              <w:ind w:left="100" w:right="100"/>
              <w:jc w:val="center"/>
            </w:pPr>
          </w:p>
        </w:tc>
        <w:tc>
          <w:tcPr>
            <w:tcW w:w="8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C5FC96" w14:textId="6E333F22" w:rsidR="00773F51" w:rsidRDefault="00773F51">
            <w:pPr>
              <w:pBdr>
                <w:top w:val="none" w:sz="0" w:space="0" w:color="000000"/>
                <w:left w:val="none" w:sz="0" w:space="0" w:color="000000"/>
                <w:bottom w:val="none" w:sz="0" w:space="0" w:color="000000"/>
                <w:right w:val="none" w:sz="0" w:space="0" w:color="000000"/>
              </w:pBdr>
              <w:ind w:left="100" w:right="100"/>
              <w:jc w:val="center"/>
            </w:pPr>
          </w:p>
        </w:tc>
        <w:tc>
          <w:tcPr>
            <w:tcW w:w="96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77CA4D" w14:textId="3C504351" w:rsidR="00773F51" w:rsidRDefault="00773F51">
            <w:pPr>
              <w:pBdr>
                <w:top w:val="none" w:sz="0" w:space="0" w:color="000000"/>
                <w:left w:val="none" w:sz="0" w:space="0" w:color="000000"/>
                <w:bottom w:val="none" w:sz="0" w:space="0" w:color="000000"/>
                <w:right w:val="none" w:sz="0" w:space="0" w:color="000000"/>
              </w:pBdr>
              <w:ind w:left="100" w:right="100"/>
              <w:jc w:val="center"/>
            </w:pPr>
          </w:p>
        </w:tc>
      </w:tr>
    </w:tbl>
    <w:p w14:paraId="60999B13" w14:textId="3859274F" w:rsidR="00296825" w:rsidRDefault="00296825" w:rsidP="00072A94">
      <w:pPr>
        <w:rPr>
          <w:rFonts w:cs="Arial"/>
          <w:b/>
          <w:bCs/>
          <w:sz w:val="22"/>
        </w:rPr>
        <w:sectPr w:rsidR="00296825">
          <w:pgSz w:w="11906" w:h="16838"/>
          <w:pgMar w:top="1440" w:right="1440" w:bottom="1440" w:left="1440" w:header="708" w:footer="708" w:gutter="0"/>
          <w:cols w:space="708"/>
          <w:docGrid w:linePitch="360"/>
        </w:sectPr>
      </w:pPr>
    </w:p>
    <w:p w14:paraId="78E1B007" w14:textId="316EC69B" w:rsidR="00D91C84" w:rsidRPr="00C121F6" w:rsidRDefault="00263180" w:rsidP="00072A94">
      <w:pPr>
        <w:rPr>
          <w:rFonts w:cs="Arial"/>
          <w:sz w:val="22"/>
        </w:rPr>
      </w:pPr>
      <w:r w:rsidRPr="00905D43">
        <w:rPr>
          <w:rFonts w:cs="Arial"/>
          <w:b/>
          <w:bCs/>
          <w:sz w:val="22"/>
        </w:rPr>
        <w:lastRenderedPageBreak/>
        <w:t>Supplementary</w:t>
      </w:r>
      <w:r w:rsidR="00131C04" w:rsidRPr="00905D43">
        <w:rPr>
          <w:rFonts w:cs="Arial"/>
          <w:b/>
          <w:bCs/>
          <w:sz w:val="22"/>
        </w:rPr>
        <w:t xml:space="preserve"> Table</w:t>
      </w:r>
      <w:r w:rsidRPr="00905D43">
        <w:rPr>
          <w:rFonts w:cs="Arial"/>
          <w:b/>
          <w:bCs/>
          <w:sz w:val="22"/>
        </w:rPr>
        <w:t xml:space="preserve"> 2:</w:t>
      </w:r>
      <w:r>
        <w:rPr>
          <w:rFonts w:cs="Arial"/>
          <w:sz w:val="22"/>
        </w:rPr>
        <w:t xml:space="preserve"> </w:t>
      </w:r>
      <w:r w:rsidR="00DF4CED">
        <w:rPr>
          <w:rFonts w:cs="Arial"/>
          <w:sz w:val="22"/>
        </w:rPr>
        <w:t>Univariable a</w:t>
      </w:r>
      <w:r>
        <w:rPr>
          <w:rFonts w:cs="Arial"/>
          <w:sz w:val="22"/>
        </w:rPr>
        <w:t xml:space="preserve">ssociation between percent mammographic density </w:t>
      </w:r>
      <w:r w:rsidR="00905D43">
        <w:rPr>
          <w:rFonts w:cs="Arial"/>
          <w:sz w:val="22"/>
        </w:rPr>
        <w:t>w</w:t>
      </w:r>
      <w:r w:rsidR="004A3CE1">
        <w:rPr>
          <w:rFonts w:cs="Arial"/>
          <w:sz w:val="22"/>
        </w:rPr>
        <w:t>ith</w:t>
      </w:r>
      <w:r w:rsidR="000C3A9C">
        <w:rPr>
          <w:rFonts w:cs="Arial"/>
          <w:sz w:val="22"/>
        </w:rPr>
        <w:t xml:space="preserve"> </w:t>
      </w:r>
      <w:r w:rsidR="00BF22DA">
        <w:rPr>
          <w:rFonts w:cs="Arial"/>
          <w:sz w:val="22"/>
        </w:rPr>
        <w:t xml:space="preserve">mode of detection and </w:t>
      </w:r>
      <w:r w:rsidR="004A3CE1">
        <w:rPr>
          <w:rFonts w:cs="Arial"/>
          <w:sz w:val="22"/>
        </w:rPr>
        <w:t>tumour characteristics both unadjusted and adjusted by age at mammogram.</w:t>
      </w:r>
    </w:p>
    <w:tbl>
      <w:tblPr>
        <w:tblW w:w="13120" w:type="dxa"/>
        <w:tblLook w:val="04A0" w:firstRow="1" w:lastRow="0" w:firstColumn="1" w:lastColumn="0" w:noHBand="0" w:noVBand="1"/>
      </w:tblPr>
      <w:tblGrid>
        <w:gridCol w:w="2340"/>
        <w:gridCol w:w="1420"/>
        <w:gridCol w:w="1760"/>
        <w:gridCol w:w="960"/>
        <w:gridCol w:w="1620"/>
        <w:gridCol w:w="1220"/>
        <w:gridCol w:w="960"/>
        <w:gridCol w:w="1620"/>
        <w:gridCol w:w="1220"/>
      </w:tblGrid>
      <w:tr w:rsidR="00322FFB" w:rsidRPr="00322FFB" w14:paraId="414495EA" w14:textId="77777777" w:rsidTr="008260F6">
        <w:trPr>
          <w:trHeight w:val="170"/>
        </w:trPr>
        <w:tc>
          <w:tcPr>
            <w:tcW w:w="3760" w:type="dxa"/>
            <w:gridSpan w:val="2"/>
            <w:tcBorders>
              <w:top w:val="single" w:sz="8" w:space="0" w:color="000000"/>
              <w:left w:val="nil"/>
              <w:bottom w:val="single" w:sz="8" w:space="0" w:color="000000"/>
              <w:right w:val="nil"/>
            </w:tcBorders>
            <w:vAlign w:val="center"/>
            <w:hideMark/>
          </w:tcPr>
          <w:p w14:paraId="7763595B"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p>
        </w:tc>
        <w:tc>
          <w:tcPr>
            <w:tcW w:w="1760" w:type="dxa"/>
            <w:tcBorders>
              <w:top w:val="single" w:sz="8" w:space="0" w:color="000000"/>
              <w:left w:val="nil"/>
              <w:bottom w:val="single" w:sz="8" w:space="0" w:color="000000"/>
              <w:right w:val="nil"/>
            </w:tcBorders>
            <w:vAlign w:val="center"/>
            <w:hideMark/>
          </w:tcPr>
          <w:p w14:paraId="3967E04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Density</w:t>
            </w:r>
          </w:p>
        </w:tc>
        <w:tc>
          <w:tcPr>
            <w:tcW w:w="3800" w:type="dxa"/>
            <w:gridSpan w:val="3"/>
            <w:tcBorders>
              <w:top w:val="single" w:sz="8" w:space="0" w:color="000000"/>
              <w:left w:val="nil"/>
              <w:bottom w:val="single" w:sz="8" w:space="0" w:color="000000"/>
              <w:right w:val="nil"/>
            </w:tcBorders>
            <w:vAlign w:val="center"/>
            <w:hideMark/>
          </w:tcPr>
          <w:p w14:paraId="61141D7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Unadjusted</w:t>
            </w:r>
          </w:p>
        </w:tc>
        <w:tc>
          <w:tcPr>
            <w:tcW w:w="3800" w:type="dxa"/>
            <w:gridSpan w:val="3"/>
            <w:tcBorders>
              <w:top w:val="single" w:sz="8" w:space="0" w:color="000000"/>
              <w:left w:val="nil"/>
              <w:bottom w:val="single" w:sz="8" w:space="0" w:color="000000"/>
              <w:right w:val="nil"/>
            </w:tcBorders>
            <w:vAlign w:val="center"/>
            <w:hideMark/>
          </w:tcPr>
          <w:p w14:paraId="5BBB735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Adjusted for age at mammogram</w:t>
            </w:r>
          </w:p>
        </w:tc>
      </w:tr>
      <w:tr w:rsidR="00322FFB" w:rsidRPr="00322FFB" w14:paraId="5AD44B21" w14:textId="77777777" w:rsidTr="008260F6">
        <w:trPr>
          <w:trHeight w:val="170"/>
        </w:trPr>
        <w:tc>
          <w:tcPr>
            <w:tcW w:w="2340" w:type="dxa"/>
            <w:tcBorders>
              <w:top w:val="nil"/>
              <w:left w:val="nil"/>
              <w:bottom w:val="single" w:sz="8" w:space="0" w:color="000000"/>
              <w:right w:val="nil"/>
            </w:tcBorders>
            <w:vAlign w:val="center"/>
            <w:hideMark/>
          </w:tcPr>
          <w:p w14:paraId="7F380C85"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Characteristic</w:t>
            </w:r>
          </w:p>
        </w:tc>
        <w:tc>
          <w:tcPr>
            <w:tcW w:w="1420" w:type="dxa"/>
            <w:tcBorders>
              <w:top w:val="nil"/>
              <w:left w:val="nil"/>
              <w:bottom w:val="single" w:sz="8" w:space="0" w:color="000000"/>
              <w:right w:val="nil"/>
            </w:tcBorders>
            <w:vAlign w:val="center"/>
            <w:hideMark/>
          </w:tcPr>
          <w:p w14:paraId="2445345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N = 1,191</w:t>
            </w:r>
            <w:r w:rsidRPr="00322FFB">
              <w:rPr>
                <w:rFonts w:ascii="Aptos Narrow" w:eastAsia="Times New Roman" w:hAnsi="Aptos Narrow" w:cs="Arial"/>
                <w:kern w:val="0"/>
                <w:sz w:val="22"/>
                <w:vertAlign w:val="superscript"/>
                <w:lang w:eastAsia="en-GB"/>
                <w14:ligatures w14:val="none"/>
              </w:rPr>
              <w:t>1</w:t>
            </w:r>
          </w:p>
        </w:tc>
        <w:tc>
          <w:tcPr>
            <w:tcW w:w="1760" w:type="dxa"/>
            <w:tcBorders>
              <w:top w:val="nil"/>
              <w:left w:val="nil"/>
              <w:bottom w:val="single" w:sz="8" w:space="0" w:color="000000"/>
              <w:right w:val="nil"/>
            </w:tcBorders>
            <w:vAlign w:val="center"/>
            <w:hideMark/>
          </w:tcPr>
          <w:p w14:paraId="0DF5C85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N = 1,191</w:t>
            </w:r>
            <w:r w:rsidRPr="00322FFB">
              <w:rPr>
                <w:rFonts w:ascii="Aptos Narrow" w:eastAsia="Times New Roman" w:hAnsi="Aptos Narrow" w:cs="Arial"/>
                <w:kern w:val="0"/>
                <w:sz w:val="22"/>
                <w:vertAlign w:val="superscript"/>
                <w:lang w:eastAsia="en-GB"/>
                <w14:ligatures w14:val="none"/>
              </w:rPr>
              <w:t>2</w:t>
            </w:r>
          </w:p>
        </w:tc>
        <w:tc>
          <w:tcPr>
            <w:tcW w:w="960" w:type="dxa"/>
            <w:tcBorders>
              <w:top w:val="nil"/>
              <w:left w:val="nil"/>
              <w:bottom w:val="single" w:sz="8" w:space="0" w:color="000000"/>
              <w:right w:val="nil"/>
            </w:tcBorders>
            <w:vAlign w:val="center"/>
            <w:hideMark/>
          </w:tcPr>
          <w:p w14:paraId="2913B08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Beta</w:t>
            </w:r>
          </w:p>
        </w:tc>
        <w:tc>
          <w:tcPr>
            <w:tcW w:w="1620" w:type="dxa"/>
            <w:tcBorders>
              <w:top w:val="nil"/>
              <w:left w:val="nil"/>
              <w:bottom w:val="single" w:sz="8" w:space="0" w:color="000000"/>
              <w:right w:val="nil"/>
            </w:tcBorders>
            <w:vAlign w:val="center"/>
            <w:hideMark/>
          </w:tcPr>
          <w:p w14:paraId="7368461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95% CI</w:t>
            </w:r>
            <w:r w:rsidRPr="00322FFB">
              <w:rPr>
                <w:rFonts w:ascii="Aptos Narrow" w:eastAsia="Times New Roman" w:hAnsi="Aptos Narrow" w:cs="Arial"/>
                <w:kern w:val="0"/>
                <w:sz w:val="22"/>
                <w:vertAlign w:val="superscript"/>
                <w:lang w:eastAsia="en-GB"/>
                <w14:ligatures w14:val="none"/>
              </w:rPr>
              <w:t>3</w:t>
            </w:r>
          </w:p>
        </w:tc>
        <w:tc>
          <w:tcPr>
            <w:tcW w:w="1220" w:type="dxa"/>
            <w:tcBorders>
              <w:top w:val="nil"/>
              <w:left w:val="nil"/>
              <w:bottom w:val="single" w:sz="8" w:space="0" w:color="000000"/>
              <w:right w:val="nil"/>
            </w:tcBorders>
            <w:vAlign w:val="center"/>
            <w:hideMark/>
          </w:tcPr>
          <w:p w14:paraId="0254F34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p-value</w:t>
            </w:r>
          </w:p>
        </w:tc>
        <w:tc>
          <w:tcPr>
            <w:tcW w:w="960" w:type="dxa"/>
            <w:tcBorders>
              <w:top w:val="nil"/>
              <w:left w:val="nil"/>
              <w:bottom w:val="single" w:sz="8" w:space="0" w:color="000000"/>
              <w:right w:val="nil"/>
            </w:tcBorders>
            <w:vAlign w:val="center"/>
            <w:hideMark/>
          </w:tcPr>
          <w:p w14:paraId="1005193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Beta</w:t>
            </w:r>
          </w:p>
        </w:tc>
        <w:tc>
          <w:tcPr>
            <w:tcW w:w="1620" w:type="dxa"/>
            <w:tcBorders>
              <w:top w:val="nil"/>
              <w:left w:val="nil"/>
              <w:bottom w:val="single" w:sz="8" w:space="0" w:color="000000"/>
              <w:right w:val="nil"/>
            </w:tcBorders>
            <w:vAlign w:val="center"/>
            <w:hideMark/>
          </w:tcPr>
          <w:p w14:paraId="2EA4746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95% CI</w:t>
            </w:r>
            <w:r w:rsidRPr="00322FFB">
              <w:rPr>
                <w:rFonts w:ascii="Aptos Narrow" w:eastAsia="Times New Roman" w:hAnsi="Aptos Narrow" w:cs="Arial"/>
                <w:kern w:val="0"/>
                <w:sz w:val="22"/>
                <w:vertAlign w:val="superscript"/>
                <w:lang w:eastAsia="en-GB"/>
                <w14:ligatures w14:val="none"/>
              </w:rPr>
              <w:t>3</w:t>
            </w:r>
          </w:p>
        </w:tc>
        <w:tc>
          <w:tcPr>
            <w:tcW w:w="1220" w:type="dxa"/>
            <w:tcBorders>
              <w:top w:val="nil"/>
              <w:left w:val="nil"/>
              <w:bottom w:val="single" w:sz="8" w:space="0" w:color="000000"/>
              <w:right w:val="nil"/>
            </w:tcBorders>
            <w:vAlign w:val="center"/>
            <w:hideMark/>
          </w:tcPr>
          <w:p w14:paraId="76133B3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p-value</w:t>
            </w:r>
          </w:p>
        </w:tc>
      </w:tr>
      <w:tr w:rsidR="00322FFB" w:rsidRPr="00322FFB" w14:paraId="666DA59C" w14:textId="77777777" w:rsidTr="008260F6">
        <w:trPr>
          <w:trHeight w:val="170"/>
        </w:trPr>
        <w:tc>
          <w:tcPr>
            <w:tcW w:w="2340" w:type="dxa"/>
            <w:tcBorders>
              <w:top w:val="nil"/>
              <w:left w:val="nil"/>
              <w:bottom w:val="nil"/>
              <w:right w:val="nil"/>
            </w:tcBorders>
            <w:hideMark/>
          </w:tcPr>
          <w:p w14:paraId="1D532534"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Mode of detection</w:t>
            </w:r>
          </w:p>
        </w:tc>
        <w:tc>
          <w:tcPr>
            <w:tcW w:w="1420" w:type="dxa"/>
            <w:tcBorders>
              <w:top w:val="nil"/>
              <w:left w:val="nil"/>
              <w:bottom w:val="nil"/>
              <w:right w:val="nil"/>
            </w:tcBorders>
            <w:hideMark/>
          </w:tcPr>
          <w:p w14:paraId="19C70B2B"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04042AD8"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2EEC591E"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3C2393AA"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BE4AA5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4E678D51"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75A541BA"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FD76C96"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5202EA71" w14:textId="77777777" w:rsidTr="008260F6">
        <w:trPr>
          <w:trHeight w:val="170"/>
        </w:trPr>
        <w:tc>
          <w:tcPr>
            <w:tcW w:w="2340" w:type="dxa"/>
            <w:tcBorders>
              <w:top w:val="nil"/>
              <w:left w:val="nil"/>
              <w:bottom w:val="nil"/>
              <w:right w:val="nil"/>
            </w:tcBorders>
            <w:hideMark/>
          </w:tcPr>
          <w:p w14:paraId="177739D3"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Screen-Detected</w:t>
            </w:r>
          </w:p>
        </w:tc>
        <w:tc>
          <w:tcPr>
            <w:tcW w:w="1420" w:type="dxa"/>
            <w:tcBorders>
              <w:top w:val="nil"/>
              <w:left w:val="nil"/>
              <w:bottom w:val="nil"/>
              <w:right w:val="nil"/>
            </w:tcBorders>
            <w:hideMark/>
          </w:tcPr>
          <w:p w14:paraId="53F2198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790</w:t>
            </w:r>
          </w:p>
        </w:tc>
        <w:tc>
          <w:tcPr>
            <w:tcW w:w="1760" w:type="dxa"/>
            <w:tcBorders>
              <w:top w:val="nil"/>
              <w:left w:val="nil"/>
              <w:bottom w:val="nil"/>
              <w:right w:val="nil"/>
            </w:tcBorders>
            <w:hideMark/>
          </w:tcPr>
          <w:p w14:paraId="09CB6ED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23.52 (16.86)</w:t>
            </w:r>
          </w:p>
        </w:tc>
        <w:tc>
          <w:tcPr>
            <w:tcW w:w="960" w:type="dxa"/>
            <w:tcBorders>
              <w:top w:val="nil"/>
              <w:left w:val="nil"/>
              <w:bottom w:val="nil"/>
              <w:right w:val="nil"/>
            </w:tcBorders>
            <w:hideMark/>
          </w:tcPr>
          <w:p w14:paraId="5C6843E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2701392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74F95C6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1D5B158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4A56307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78E1D3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56435605" w14:textId="77777777" w:rsidTr="008260F6">
        <w:trPr>
          <w:trHeight w:val="170"/>
        </w:trPr>
        <w:tc>
          <w:tcPr>
            <w:tcW w:w="2340" w:type="dxa"/>
            <w:tcBorders>
              <w:top w:val="nil"/>
              <w:left w:val="nil"/>
              <w:bottom w:val="nil"/>
              <w:right w:val="nil"/>
            </w:tcBorders>
            <w:hideMark/>
          </w:tcPr>
          <w:p w14:paraId="54E8E4BD"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Interval</w:t>
            </w:r>
          </w:p>
        </w:tc>
        <w:tc>
          <w:tcPr>
            <w:tcW w:w="1420" w:type="dxa"/>
            <w:tcBorders>
              <w:top w:val="nil"/>
              <w:left w:val="nil"/>
              <w:bottom w:val="nil"/>
              <w:right w:val="nil"/>
            </w:tcBorders>
            <w:hideMark/>
          </w:tcPr>
          <w:p w14:paraId="059C11E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401</w:t>
            </w:r>
          </w:p>
        </w:tc>
        <w:tc>
          <w:tcPr>
            <w:tcW w:w="1760" w:type="dxa"/>
            <w:tcBorders>
              <w:top w:val="nil"/>
              <w:left w:val="nil"/>
              <w:bottom w:val="nil"/>
              <w:right w:val="nil"/>
            </w:tcBorders>
            <w:hideMark/>
          </w:tcPr>
          <w:p w14:paraId="4F66E22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29.03 (18.55)</w:t>
            </w:r>
          </w:p>
        </w:tc>
        <w:tc>
          <w:tcPr>
            <w:tcW w:w="960" w:type="dxa"/>
            <w:tcBorders>
              <w:top w:val="nil"/>
              <w:left w:val="nil"/>
              <w:bottom w:val="nil"/>
              <w:right w:val="nil"/>
            </w:tcBorders>
            <w:hideMark/>
          </w:tcPr>
          <w:p w14:paraId="38FF680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5.51</w:t>
            </w:r>
          </w:p>
        </w:tc>
        <w:tc>
          <w:tcPr>
            <w:tcW w:w="1620" w:type="dxa"/>
            <w:tcBorders>
              <w:top w:val="nil"/>
              <w:left w:val="nil"/>
              <w:bottom w:val="nil"/>
              <w:right w:val="nil"/>
            </w:tcBorders>
            <w:hideMark/>
          </w:tcPr>
          <w:p w14:paraId="3945ED2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3.41, 7.61</w:t>
            </w:r>
          </w:p>
        </w:tc>
        <w:tc>
          <w:tcPr>
            <w:tcW w:w="1220" w:type="dxa"/>
            <w:tcBorders>
              <w:top w:val="nil"/>
              <w:left w:val="nil"/>
              <w:bottom w:val="nil"/>
              <w:right w:val="nil"/>
            </w:tcBorders>
            <w:hideMark/>
          </w:tcPr>
          <w:p w14:paraId="4AA764C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&lt;0.001</w:t>
            </w:r>
          </w:p>
        </w:tc>
        <w:tc>
          <w:tcPr>
            <w:tcW w:w="960" w:type="dxa"/>
            <w:tcBorders>
              <w:top w:val="nil"/>
              <w:left w:val="nil"/>
              <w:bottom w:val="nil"/>
              <w:right w:val="nil"/>
            </w:tcBorders>
            <w:hideMark/>
          </w:tcPr>
          <w:p w14:paraId="12D30DC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5.56</w:t>
            </w:r>
          </w:p>
        </w:tc>
        <w:tc>
          <w:tcPr>
            <w:tcW w:w="1620" w:type="dxa"/>
            <w:tcBorders>
              <w:top w:val="nil"/>
              <w:left w:val="nil"/>
              <w:bottom w:val="nil"/>
              <w:right w:val="nil"/>
            </w:tcBorders>
            <w:hideMark/>
          </w:tcPr>
          <w:p w14:paraId="45C5389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3.50, 7.61</w:t>
            </w:r>
          </w:p>
        </w:tc>
        <w:tc>
          <w:tcPr>
            <w:tcW w:w="1220" w:type="dxa"/>
            <w:tcBorders>
              <w:top w:val="nil"/>
              <w:left w:val="nil"/>
              <w:bottom w:val="nil"/>
              <w:right w:val="nil"/>
            </w:tcBorders>
            <w:hideMark/>
          </w:tcPr>
          <w:p w14:paraId="3A186E1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&lt;0.001</w:t>
            </w:r>
          </w:p>
        </w:tc>
      </w:tr>
      <w:tr w:rsidR="00322FFB" w:rsidRPr="00322FFB" w14:paraId="3EA36826" w14:textId="77777777" w:rsidTr="008260F6">
        <w:trPr>
          <w:trHeight w:val="170"/>
        </w:trPr>
        <w:tc>
          <w:tcPr>
            <w:tcW w:w="2340" w:type="dxa"/>
            <w:tcBorders>
              <w:top w:val="nil"/>
              <w:left w:val="nil"/>
              <w:bottom w:val="nil"/>
              <w:right w:val="nil"/>
            </w:tcBorders>
            <w:hideMark/>
          </w:tcPr>
          <w:p w14:paraId="7047E178"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Invasive status</w:t>
            </w:r>
          </w:p>
        </w:tc>
        <w:tc>
          <w:tcPr>
            <w:tcW w:w="1420" w:type="dxa"/>
            <w:tcBorders>
              <w:top w:val="nil"/>
              <w:left w:val="nil"/>
              <w:bottom w:val="nil"/>
              <w:right w:val="nil"/>
            </w:tcBorders>
            <w:hideMark/>
          </w:tcPr>
          <w:p w14:paraId="10A1A8C4"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24D41789"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77979C50"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0E549616"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E0E888E"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6E99A31F"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1713DFEA"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7081CD0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2A1D87A5" w14:textId="77777777" w:rsidTr="008260F6">
        <w:trPr>
          <w:trHeight w:val="170"/>
        </w:trPr>
        <w:tc>
          <w:tcPr>
            <w:tcW w:w="2340" w:type="dxa"/>
            <w:tcBorders>
              <w:top w:val="nil"/>
              <w:left w:val="nil"/>
              <w:bottom w:val="nil"/>
              <w:right w:val="nil"/>
            </w:tcBorders>
            <w:hideMark/>
          </w:tcPr>
          <w:p w14:paraId="1DDF5525"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DCIS</w:t>
            </w:r>
          </w:p>
        </w:tc>
        <w:tc>
          <w:tcPr>
            <w:tcW w:w="1420" w:type="dxa"/>
            <w:tcBorders>
              <w:top w:val="nil"/>
              <w:left w:val="nil"/>
              <w:bottom w:val="nil"/>
              <w:right w:val="nil"/>
            </w:tcBorders>
            <w:hideMark/>
          </w:tcPr>
          <w:p w14:paraId="1BD2300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191</w:t>
            </w:r>
          </w:p>
        </w:tc>
        <w:tc>
          <w:tcPr>
            <w:tcW w:w="1760" w:type="dxa"/>
            <w:tcBorders>
              <w:top w:val="nil"/>
              <w:left w:val="nil"/>
              <w:bottom w:val="nil"/>
              <w:right w:val="nil"/>
            </w:tcBorders>
            <w:hideMark/>
          </w:tcPr>
          <w:p w14:paraId="6989503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25.70 (18.58)</w:t>
            </w:r>
          </w:p>
        </w:tc>
        <w:tc>
          <w:tcPr>
            <w:tcW w:w="960" w:type="dxa"/>
            <w:tcBorders>
              <w:top w:val="nil"/>
              <w:left w:val="nil"/>
              <w:bottom w:val="nil"/>
              <w:right w:val="nil"/>
            </w:tcBorders>
            <w:hideMark/>
          </w:tcPr>
          <w:p w14:paraId="53D809E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21FFCEC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DACCAE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18F0467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54CB777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1CB36B0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781EC8F8" w14:textId="77777777" w:rsidTr="008260F6">
        <w:trPr>
          <w:trHeight w:val="170"/>
        </w:trPr>
        <w:tc>
          <w:tcPr>
            <w:tcW w:w="2340" w:type="dxa"/>
            <w:tcBorders>
              <w:top w:val="nil"/>
              <w:left w:val="nil"/>
              <w:bottom w:val="nil"/>
              <w:right w:val="nil"/>
            </w:tcBorders>
            <w:hideMark/>
          </w:tcPr>
          <w:p w14:paraId="49E97CD6"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Invasive</w:t>
            </w:r>
          </w:p>
        </w:tc>
        <w:tc>
          <w:tcPr>
            <w:tcW w:w="1420" w:type="dxa"/>
            <w:tcBorders>
              <w:top w:val="nil"/>
              <w:left w:val="nil"/>
              <w:bottom w:val="nil"/>
              <w:right w:val="nil"/>
            </w:tcBorders>
            <w:hideMark/>
          </w:tcPr>
          <w:p w14:paraId="1D670AE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1,000</w:t>
            </w:r>
          </w:p>
        </w:tc>
        <w:tc>
          <w:tcPr>
            <w:tcW w:w="1760" w:type="dxa"/>
            <w:tcBorders>
              <w:top w:val="nil"/>
              <w:left w:val="nil"/>
              <w:bottom w:val="nil"/>
              <w:right w:val="nil"/>
            </w:tcBorders>
            <w:hideMark/>
          </w:tcPr>
          <w:p w14:paraId="151A7F7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25.32 (17.46)</w:t>
            </w:r>
          </w:p>
        </w:tc>
        <w:tc>
          <w:tcPr>
            <w:tcW w:w="960" w:type="dxa"/>
            <w:tcBorders>
              <w:top w:val="nil"/>
              <w:left w:val="nil"/>
              <w:bottom w:val="nil"/>
              <w:right w:val="nil"/>
            </w:tcBorders>
            <w:hideMark/>
          </w:tcPr>
          <w:p w14:paraId="3497A9A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-0.39</w:t>
            </w:r>
          </w:p>
        </w:tc>
        <w:tc>
          <w:tcPr>
            <w:tcW w:w="1620" w:type="dxa"/>
            <w:tcBorders>
              <w:top w:val="nil"/>
              <w:left w:val="nil"/>
              <w:bottom w:val="nil"/>
              <w:right w:val="nil"/>
            </w:tcBorders>
            <w:hideMark/>
          </w:tcPr>
          <w:p w14:paraId="39544DD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-3.12, 2.35</w:t>
            </w:r>
          </w:p>
        </w:tc>
        <w:tc>
          <w:tcPr>
            <w:tcW w:w="1220" w:type="dxa"/>
            <w:tcBorders>
              <w:top w:val="nil"/>
              <w:left w:val="nil"/>
              <w:bottom w:val="nil"/>
              <w:right w:val="nil"/>
            </w:tcBorders>
            <w:hideMark/>
          </w:tcPr>
          <w:p w14:paraId="723A6F8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0.782</w:t>
            </w:r>
          </w:p>
        </w:tc>
        <w:tc>
          <w:tcPr>
            <w:tcW w:w="960" w:type="dxa"/>
            <w:tcBorders>
              <w:top w:val="nil"/>
              <w:left w:val="nil"/>
              <w:bottom w:val="nil"/>
              <w:right w:val="nil"/>
            </w:tcBorders>
            <w:hideMark/>
          </w:tcPr>
          <w:p w14:paraId="46D603C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0.41</w:t>
            </w:r>
          </w:p>
        </w:tc>
        <w:tc>
          <w:tcPr>
            <w:tcW w:w="1620" w:type="dxa"/>
            <w:tcBorders>
              <w:top w:val="nil"/>
              <w:left w:val="nil"/>
              <w:bottom w:val="nil"/>
              <w:right w:val="nil"/>
            </w:tcBorders>
            <w:hideMark/>
          </w:tcPr>
          <w:p w14:paraId="1B5CEDA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-2.28, 3.10</w:t>
            </w:r>
          </w:p>
        </w:tc>
        <w:tc>
          <w:tcPr>
            <w:tcW w:w="1220" w:type="dxa"/>
            <w:tcBorders>
              <w:top w:val="nil"/>
              <w:left w:val="nil"/>
              <w:bottom w:val="nil"/>
              <w:right w:val="nil"/>
            </w:tcBorders>
            <w:hideMark/>
          </w:tcPr>
          <w:p w14:paraId="5715BDC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0.764</w:t>
            </w:r>
          </w:p>
        </w:tc>
      </w:tr>
      <w:tr w:rsidR="00322FFB" w:rsidRPr="00322FFB" w14:paraId="022AFF48" w14:textId="77777777" w:rsidTr="008260F6">
        <w:trPr>
          <w:trHeight w:val="170"/>
        </w:trPr>
        <w:tc>
          <w:tcPr>
            <w:tcW w:w="2340" w:type="dxa"/>
            <w:tcBorders>
              <w:top w:val="nil"/>
              <w:left w:val="nil"/>
              <w:bottom w:val="nil"/>
              <w:right w:val="nil"/>
            </w:tcBorders>
            <w:hideMark/>
          </w:tcPr>
          <w:p w14:paraId="5010C316"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Grade</w:t>
            </w:r>
          </w:p>
        </w:tc>
        <w:tc>
          <w:tcPr>
            <w:tcW w:w="1420" w:type="dxa"/>
            <w:tcBorders>
              <w:top w:val="nil"/>
              <w:left w:val="nil"/>
              <w:bottom w:val="nil"/>
              <w:right w:val="nil"/>
            </w:tcBorders>
            <w:hideMark/>
          </w:tcPr>
          <w:p w14:paraId="2E18F989"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0F29CEBF"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51ED1DEC"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10A1CAD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9EF675C"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605CF250"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68C8C240"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78D0ED42"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426F637B" w14:textId="77777777" w:rsidTr="008260F6">
        <w:trPr>
          <w:trHeight w:val="170"/>
        </w:trPr>
        <w:tc>
          <w:tcPr>
            <w:tcW w:w="2340" w:type="dxa"/>
            <w:tcBorders>
              <w:top w:val="nil"/>
              <w:left w:val="nil"/>
              <w:bottom w:val="nil"/>
              <w:right w:val="nil"/>
            </w:tcBorders>
            <w:hideMark/>
          </w:tcPr>
          <w:p w14:paraId="46901BD6"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w:t>
            </w:r>
          </w:p>
        </w:tc>
        <w:tc>
          <w:tcPr>
            <w:tcW w:w="1420" w:type="dxa"/>
            <w:tcBorders>
              <w:top w:val="nil"/>
              <w:left w:val="nil"/>
              <w:bottom w:val="nil"/>
              <w:right w:val="nil"/>
            </w:tcBorders>
            <w:hideMark/>
          </w:tcPr>
          <w:p w14:paraId="2188C0C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211</w:t>
            </w:r>
          </w:p>
        </w:tc>
        <w:tc>
          <w:tcPr>
            <w:tcW w:w="1760" w:type="dxa"/>
            <w:tcBorders>
              <w:top w:val="nil"/>
              <w:left w:val="nil"/>
              <w:bottom w:val="nil"/>
              <w:right w:val="nil"/>
            </w:tcBorders>
            <w:hideMark/>
          </w:tcPr>
          <w:p w14:paraId="1659641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26.18 (17.13)</w:t>
            </w:r>
          </w:p>
        </w:tc>
        <w:tc>
          <w:tcPr>
            <w:tcW w:w="960" w:type="dxa"/>
            <w:tcBorders>
              <w:top w:val="nil"/>
              <w:left w:val="nil"/>
              <w:bottom w:val="nil"/>
              <w:right w:val="nil"/>
            </w:tcBorders>
            <w:hideMark/>
          </w:tcPr>
          <w:p w14:paraId="7E60DA1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649B45C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3D0975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644BD43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4C18ADA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9CB971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1D9FB074" w14:textId="77777777" w:rsidTr="008260F6">
        <w:trPr>
          <w:trHeight w:val="170"/>
        </w:trPr>
        <w:tc>
          <w:tcPr>
            <w:tcW w:w="2340" w:type="dxa"/>
            <w:tcBorders>
              <w:top w:val="nil"/>
              <w:left w:val="nil"/>
              <w:bottom w:val="nil"/>
              <w:right w:val="nil"/>
            </w:tcBorders>
            <w:hideMark/>
          </w:tcPr>
          <w:p w14:paraId="46484CA3"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w:t>
            </w:r>
          </w:p>
        </w:tc>
        <w:tc>
          <w:tcPr>
            <w:tcW w:w="1420" w:type="dxa"/>
            <w:tcBorders>
              <w:top w:val="nil"/>
              <w:left w:val="nil"/>
              <w:bottom w:val="nil"/>
              <w:right w:val="nil"/>
            </w:tcBorders>
            <w:hideMark/>
          </w:tcPr>
          <w:p w14:paraId="5EB0D2B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493</w:t>
            </w:r>
          </w:p>
        </w:tc>
        <w:tc>
          <w:tcPr>
            <w:tcW w:w="1760" w:type="dxa"/>
            <w:tcBorders>
              <w:top w:val="nil"/>
              <w:left w:val="nil"/>
              <w:bottom w:val="nil"/>
              <w:right w:val="nil"/>
            </w:tcBorders>
            <w:hideMark/>
          </w:tcPr>
          <w:p w14:paraId="4090BDF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25.63 (17.30)</w:t>
            </w:r>
          </w:p>
        </w:tc>
        <w:tc>
          <w:tcPr>
            <w:tcW w:w="960" w:type="dxa"/>
            <w:tcBorders>
              <w:top w:val="nil"/>
              <w:left w:val="nil"/>
              <w:bottom w:val="nil"/>
              <w:right w:val="nil"/>
            </w:tcBorders>
            <w:hideMark/>
          </w:tcPr>
          <w:p w14:paraId="0BD3FCB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-0.55</w:t>
            </w:r>
          </w:p>
        </w:tc>
        <w:tc>
          <w:tcPr>
            <w:tcW w:w="1620" w:type="dxa"/>
            <w:tcBorders>
              <w:top w:val="nil"/>
              <w:left w:val="nil"/>
              <w:bottom w:val="nil"/>
              <w:right w:val="nil"/>
            </w:tcBorders>
            <w:hideMark/>
          </w:tcPr>
          <w:p w14:paraId="5E924EA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-3.36, 2.26</w:t>
            </w:r>
          </w:p>
        </w:tc>
        <w:tc>
          <w:tcPr>
            <w:tcW w:w="1220" w:type="dxa"/>
            <w:tcBorders>
              <w:top w:val="nil"/>
              <w:left w:val="nil"/>
              <w:bottom w:val="nil"/>
              <w:right w:val="nil"/>
            </w:tcBorders>
            <w:hideMark/>
          </w:tcPr>
          <w:p w14:paraId="2DE0E8B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0.701</w:t>
            </w:r>
          </w:p>
        </w:tc>
        <w:tc>
          <w:tcPr>
            <w:tcW w:w="960" w:type="dxa"/>
            <w:tcBorders>
              <w:top w:val="nil"/>
              <w:left w:val="nil"/>
              <w:bottom w:val="nil"/>
              <w:right w:val="nil"/>
            </w:tcBorders>
            <w:hideMark/>
          </w:tcPr>
          <w:p w14:paraId="284B775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-0.35</w:t>
            </w:r>
          </w:p>
        </w:tc>
        <w:tc>
          <w:tcPr>
            <w:tcW w:w="1620" w:type="dxa"/>
            <w:tcBorders>
              <w:top w:val="nil"/>
              <w:left w:val="nil"/>
              <w:bottom w:val="nil"/>
              <w:right w:val="nil"/>
            </w:tcBorders>
            <w:hideMark/>
          </w:tcPr>
          <w:p w14:paraId="722EF2F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-3.12, 2.42</w:t>
            </w:r>
          </w:p>
        </w:tc>
        <w:tc>
          <w:tcPr>
            <w:tcW w:w="1220" w:type="dxa"/>
            <w:tcBorders>
              <w:top w:val="nil"/>
              <w:left w:val="nil"/>
              <w:bottom w:val="nil"/>
              <w:right w:val="nil"/>
            </w:tcBorders>
            <w:hideMark/>
          </w:tcPr>
          <w:p w14:paraId="0E2ADE5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0.805</w:t>
            </w:r>
          </w:p>
        </w:tc>
      </w:tr>
      <w:tr w:rsidR="00322FFB" w:rsidRPr="00322FFB" w14:paraId="0AC3FEF6" w14:textId="77777777" w:rsidTr="008260F6">
        <w:trPr>
          <w:trHeight w:val="170"/>
        </w:trPr>
        <w:tc>
          <w:tcPr>
            <w:tcW w:w="2340" w:type="dxa"/>
            <w:tcBorders>
              <w:top w:val="nil"/>
              <w:left w:val="nil"/>
              <w:bottom w:val="nil"/>
              <w:right w:val="nil"/>
            </w:tcBorders>
            <w:hideMark/>
          </w:tcPr>
          <w:p w14:paraId="1241229E"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w:t>
            </w:r>
          </w:p>
        </w:tc>
        <w:tc>
          <w:tcPr>
            <w:tcW w:w="1420" w:type="dxa"/>
            <w:tcBorders>
              <w:top w:val="nil"/>
              <w:left w:val="nil"/>
              <w:bottom w:val="nil"/>
              <w:right w:val="nil"/>
            </w:tcBorders>
            <w:hideMark/>
          </w:tcPr>
          <w:p w14:paraId="67D9BE0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282</w:t>
            </w:r>
          </w:p>
        </w:tc>
        <w:tc>
          <w:tcPr>
            <w:tcW w:w="1760" w:type="dxa"/>
            <w:tcBorders>
              <w:top w:val="nil"/>
              <w:left w:val="nil"/>
              <w:bottom w:val="nil"/>
              <w:right w:val="nil"/>
            </w:tcBorders>
            <w:hideMark/>
          </w:tcPr>
          <w:p w14:paraId="275BAF9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24.10 (17.75)</w:t>
            </w:r>
          </w:p>
        </w:tc>
        <w:tc>
          <w:tcPr>
            <w:tcW w:w="960" w:type="dxa"/>
            <w:tcBorders>
              <w:top w:val="nil"/>
              <w:left w:val="nil"/>
              <w:bottom w:val="nil"/>
              <w:right w:val="nil"/>
            </w:tcBorders>
            <w:hideMark/>
          </w:tcPr>
          <w:p w14:paraId="036D062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-2.08</w:t>
            </w:r>
          </w:p>
        </w:tc>
        <w:tc>
          <w:tcPr>
            <w:tcW w:w="1620" w:type="dxa"/>
            <w:tcBorders>
              <w:top w:val="nil"/>
              <w:left w:val="nil"/>
              <w:bottom w:val="nil"/>
              <w:right w:val="nil"/>
            </w:tcBorders>
            <w:hideMark/>
          </w:tcPr>
          <w:p w14:paraId="08920A7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-5.19, 1.03</w:t>
            </w:r>
          </w:p>
        </w:tc>
        <w:tc>
          <w:tcPr>
            <w:tcW w:w="1220" w:type="dxa"/>
            <w:tcBorders>
              <w:top w:val="nil"/>
              <w:left w:val="nil"/>
              <w:bottom w:val="nil"/>
              <w:right w:val="nil"/>
            </w:tcBorders>
            <w:hideMark/>
          </w:tcPr>
          <w:p w14:paraId="65A9551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0.189</w:t>
            </w:r>
          </w:p>
        </w:tc>
        <w:tc>
          <w:tcPr>
            <w:tcW w:w="960" w:type="dxa"/>
            <w:tcBorders>
              <w:top w:val="nil"/>
              <w:left w:val="nil"/>
              <w:bottom w:val="nil"/>
              <w:right w:val="nil"/>
            </w:tcBorders>
            <w:hideMark/>
          </w:tcPr>
          <w:p w14:paraId="2C31707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-2.09</w:t>
            </w:r>
          </w:p>
        </w:tc>
        <w:tc>
          <w:tcPr>
            <w:tcW w:w="1620" w:type="dxa"/>
            <w:tcBorders>
              <w:top w:val="nil"/>
              <w:left w:val="nil"/>
              <w:bottom w:val="nil"/>
              <w:right w:val="nil"/>
            </w:tcBorders>
            <w:hideMark/>
          </w:tcPr>
          <w:p w14:paraId="7FB3CE9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-5.15, 0.97</w:t>
            </w:r>
          </w:p>
        </w:tc>
        <w:tc>
          <w:tcPr>
            <w:tcW w:w="1220" w:type="dxa"/>
            <w:tcBorders>
              <w:top w:val="nil"/>
              <w:left w:val="nil"/>
              <w:bottom w:val="nil"/>
              <w:right w:val="nil"/>
            </w:tcBorders>
            <w:hideMark/>
          </w:tcPr>
          <w:p w14:paraId="300A008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0.180</w:t>
            </w:r>
          </w:p>
        </w:tc>
      </w:tr>
      <w:tr w:rsidR="00322FFB" w:rsidRPr="00322FFB" w14:paraId="4D1CF178" w14:textId="77777777" w:rsidTr="008260F6">
        <w:trPr>
          <w:trHeight w:val="170"/>
        </w:trPr>
        <w:tc>
          <w:tcPr>
            <w:tcW w:w="2340" w:type="dxa"/>
            <w:tcBorders>
              <w:top w:val="nil"/>
              <w:left w:val="nil"/>
              <w:bottom w:val="nil"/>
              <w:right w:val="nil"/>
            </w:tcBorders>
            <w:hideMark/>
          </w:tcPr>
          <w:p w14:paraId="1C18DFC3"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Morphology</w:t>
            </w:r>
          </w:p>
        </w:tc>
        <w:tc>
          <w:tcPr>
            <w:tcW w:w="1420" w:type="dxa"/>
            <w:tcBorders>
              <w:top w:val="nil"/>
              <w:left w:val="nil"/>
              <w:bottom w:val="nil"/>
              <w:right w:val="nil"/>
            </w:tcBorders>
            <w:hideMark/>
          </w:tcPr>
          <w:p w14:paraId="014CFEC1"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01D5ED76"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070375F4"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2AD0C574"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633B9FF"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2973379E"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442962EB"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02C4A5E5"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39697A90" w14:textId="77777777" w:rsidTr="008260F6">
        <w:trPr>
          <w:trHeight w:val="170"/>
        </w:trPr>
        <w:tc>
          <w:tcPr>
            <w:tcW w:w="2340" w:type="dxa"/>
            <w:tcBorders>
              <w:top w:val="nil"/>
              <w:left w:val="nil"/>
              <w:bottom w:val="nil"/>
              <w:right w:val="nil"/>
            </w:tcBorders>
            <w:hideMark/>
          </w:tcPr>
          <w:p w14:paraId="6A687A09"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Ductal</w:t>
            </w:r>
          </w:p>
        </w:tc>
        <w:tc>
          <w:tcPr>
            <w:tcW w:w="1420" w:type="dxa"/>
            <w:tcBorders>
              <w:top w:val="nil"/>
              <w:left w:val="nil"/>
              <w:bottom w:val="nil"/>
              <w:right w:val="nil"/>
            </w:tcBorders>
            <w:hideMark/>
          </w:tcPr>
          <w:p w14:paraId="451E9C4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770</w:t>
            </w:r>
          </w:p>
        </w:tc>
        <w:tc>
          <w:tcPr>
            <w:tcW w:w="1760" w:type="dxa"/>
            <w:tcBorders>
              <w:top w:val="nil"/>
              <w:left w:val="nil"/>
              <w:bottom w:val="nil"/>
              <w:right w:val="nil"/>
            </w:tcBorders>
            <w:hideMark/>
          </w:tcPr>
          <w:p w14:paraId="425D8CE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24.27 (17.21)</w:t>
            </w:r>
          </w:p>
        </w:tc>
        <w:tc>
          <w:tcPr>
            <w:tcW w:w="960" w:type="dxa"/>
            <w:tcBorders>
              <w:top w:val="nil"/>
              <w:left w:val="nil"/>
              <w:bottom w:val="nil"/>
              <w:right w:val="nil"/>
            </w:tcBorders>
            <w:hideMark/>
          </w:tcPr>
          <w:p w14:paraId="19F28C1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08F483C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2771339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3CD4820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3F8CB7B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147075F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6E5DAD07" w14:textId="77777777" w:rsidTr="008260F6">
        <w:trPr>
          <w:trHeight w:val="170"/>
        </w:trPr>
        <w:tc>
          <w:tcPr>
            <w:tcW w:w="2340" w:type="dxa"/>
            <w:tcBorders>
              <w:top w:val="nil"/>
              <w:left w:val="nil"/>
              <w:bottom w:val="nil"/>
              <w:right w:val="nil"/>
            </w:tcBorders>
            <w:hideMark/>
          </w:tcPr>
          <w:p w14:paraId="1E8FC240"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Lobular</w:t>
            </w:r>
          </w:p>
        </w:tc>
        <w:tc>
          <w:tcPr>
            <w:tcW w:w="1420" w:type="dxa"/>
            <w:tcBorders>
              <w:top w:val="nil"/>
              <w:left w:val="nil"/>
              <w:bottom w:val="nil"/>
              <w:right w:val="nil"/>
            </w:tcBorders>
            <w:hideMark/>
          </w:tcPr>
          <w:p w14:paraId="0C1BE63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132</w:t>
            </w:r>
          </w:p>
        </w:tc>
        <w:tc>
          <w:tcPr>
            <w:tcW w:w="1760" w:type="dxa"/>
            <w:tcBorders>
              <w:top w:val="nil"/>
              <w:left w:val="nil"/>
              <w:bottom w:val="nil"/>
              <w:right w:val="nil"/>
            </w:tcBorders>
            <w:hideMark/>
          </w:tcPr>
          <w:p w14:paraId="255BCB6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28.64 (18.45)</w:t>
            </w:r>
          </w:p>
        </w:tc>
        <w:tc>
          <w:tcPr>
            <w:tcW w:w="960" w:type="dxa"/>
            <w:tcBorders>
              <w:top w:val="nil"/>
              <w:left w:val="nil"/>
              <w:bottom w:val="nil"/>
              <w:right w:val="nil"/>
            </w:tcBorders>
            <w:hideMark/>
          </w:tcPr>
          <w:p w14:paraId="4D983A0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4.37</w:t>
            </w:r>
          </w:p>
        </w:tc>
        <w:tc>
          <w:tcPr>
            <w:tcW w:w="1620" w:type="dxa"/>
            <w:tcBorders>
              <w:top w:val="nil"/>
              <w:left w:val="nil"/>
              <w:bottom w:val="nil"/>
              <w:right w:val="nil"/>
            </w:tcBorders>
            <w:hideMark/>
          </w:tcPr>
          <w:p w14:paraId="63F76DD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1.16, 7.58</w:t>
            </w:r>
          </w:p>
        </w:tc>
        <w:tc>
          <w:tcPr>
            <w:tcW w:w="1220" w:type="dxa"/>
            <w:tcBorders>
              <w:top w:val="nil"/>
              <w:left w:val="nil"/>
              <w:bottom w:val="nil"/>
              <w:right w:val="nil"/>
            </w:tcBorders>
            <w:hideMark/>
          </w:tcPr>
          <w:p w14:paraId="263ECE7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0.008</w:t>
            </w:r>
          </w:p>
        </w:tc>
        <w:tc>
          <w:tcPr>
            <w:tcW w:w="960" w:type="dxa"/>
            <w:tcBorders>
              <w:top w:val="nil"/>
              <w:left w:val="nil"/>
              <w:bottom w:val="nil"/>
              <w:right w:val="nil"/>
            </w:tcBorders>
            <w:hideMark/>
          </w:tcPr>
          <w:p w14:paraId="5284806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4.64</w:t>
            </w:r>
          </w:p>
        </w:tc>
        <w:tc>
          <w:tcPr>
            <w:tcW w:w="1620" w:type="dxa"/>
            <w:tcBorders>
              <w:top w:val="nil"/>
              <w:left w:val="nil"/>
              <w:bottom w:val="nil"/>
              <w:right w:val="nil"/>
            </w:tcBorders>
            <w:hideMark/>
          </w:tcPr>
          <w:p w14:paraId="403DE37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1.48, 7.80</w:t>
            </w:r>
          </w:p>
        </w:tc>
        <w:tc>
          <w:tcPr>
            <w:tcW w:w="1220" w:type="dxa"/>
            <w:tcBorders>
              <w:top w:val="nil"/>
              <w:left w:val="nil"/>
              <w:bottom w:val="nil"/>
              <w:right w:val="nil"/>
            </w:tcBorders>
            <w:hideMark/>
          </w:tcPr>
          <w:p w14:paraId="214BA74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0.004</w:t>
            </w:r>
          </w:p>
        </w:tc>
      </w:tr>
      <w:tr w:rsidR="00322FFB" w:rsidRPr="00322FFB" w14:paraId="273763C4" w14:textId="77777777" w:rsidTr="008260F6">
        <w:trPr>
          <w:trHeight w:val="170"/>
        </w:trPr>
        <w:tc>
          <w:tcPr>
            <w:tcW w:w="2340" w:type="dxa"/>
            <w:tcBorders>
              <w:top w:val="nil"/>
              <w:left w:val="nil"/>
              <w:bottom w:val="nil"/>
              <w:right w:val="nil"/>
            </w:tcBorders>
            <w:hideMark/>
          </w:tcPr>
          <w:p w14:paraId="1AC3DC02"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Mixed</w:t>
            </w:r>
          </w:p>
        </w:tc>
        <w:tc>
          <w:tcPr>
            <w:tcW w:w="1420" w:type="dxa"/>
            <w:tcBorders>
              <w:top w:val="nil"/>
              <w:left w:val="nil"/>
              <w:bottom w:val="nil"/>
              <w:right w:val="nil"/>
            </w:tcBorders>
            <w:hideMark/>
          </w:tcPr>
          <w:p w14:paraId="66DBF2F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39</w:t>
            </w:r>
          </w:p>
        </w:tc>
        <w:tc>
          <w:tcPr>
            <w:tcW w:w="1760" w:type="dxa"/>
            <w:tcBorders>
              <w:top w:val="nil"/>
              <w:left w:val="nil"/>
              <w:bottom w:val="nil"/>
              <w:right w:val="nil"/>
            </w:tcBorders>
            <w:hideMark/>
          </w:tcPr>
          <w:p w14:paraId="1F040CE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29.53 (16.85)</w:t>
            </w:r>
          </w:p>
        </w:tc>
        <w:tc>
          <w:tcPr>
            <w:tcW w:w="960" w:type="dxa"/>
            <w:tcBorders>
              <w:top w:val="nil"/>
              <w:left w:val="nil"/>
              <w:bottom w:val="nil"/>
              <w:right w:val="nil"/>
            </w:tcBorders>
            <w:hideMark/>
          </w:tcPr>
          <w:p w14:paraId="79709FD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5.26</w:t>
            </w:r>
          </w:p>
        </w:tc>
        <w:tc>
          <w:tcPr>
            <w:tcW w:w="1620" w:type="dxa"/>
            <w:tcBorders>
              <w:top w:val="nil"/>
              <w:left w:val="nil"/>
              <w:bottom w:val="nil"/>
              <w:right w:val="nil"/>
            </w:tcBorders>
            <w:hideMark/>
          </w:tcPr>
          <w:p w14:paraId="70B1AAD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-0.34, 10.86</w:t>
            </w:r>
          </w:p>
        </w:tc>
        <w:tc>
          <w:tcPr>
            <w:tcW w:w="1220" w:type="dxa"/>
            <w:tcBorders>
              <w:top w:val="nil"/>
              <w:left w:val="nil"/>
              <w:bottom w:val="nil"/>
              <w:right w:val="nil"/>
            </w:tcBorders>
            <w:hideMark/>
          </w:tcPr>
          <w:p w14:paraId="6AF4C88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0.065</w:t>
            </w:r>
          </w:p>
        </w:tc>
        <w:tc>
          <w:tcPr>
            <w:tcW w:w="960" w:type="dxa"/>
            <w:tcBorders>
              <w:top w:val="nil"/>
              <w:left w:val="nil"/>
              <w:bottom w:val="nil"/>
              <w:right w:val="nil"/>
            </w:tcBorders>
            <w:hideMark/>
          </w:tcPr>
          <w:p w14:paraId="4BBD168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6.01</w:t>
            </w:r>
          </w:p>
        </w:tc>
        <w:tc>
          <w:tcPr>
            <w:tcW w:w="1620" w:type="dxa"/>
            <w:tcBorders>
              <w:top w:val="nil"/>
              <w:left w:val="nil"/>
              <w:bottom w:val="nil"/>
              <w:right w:val="nil"/>
            </w:tcBorders>
            <w:hideMark/>
          </w:tcPr>
          <w:p w14:paraId="30169AF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0.50, 11.52</w:t>
            </w:r>
          </w:p>
        </w:tc>
        <w:tc>
          <w:tcPr>
            <w:tcW w:w="1220" w:type="dxa"/>
            <w:tcBorders>
              <w:top w:val="nil"/>
              <w:left w:val="nil"/>
              <w:bottom w:val="nil"/>
              <w:right w:val="nil"/>
            </w:tcBorders>
            <w:hideMark/>
          </w:tcPr>
          <w:p w14:paraId="6E434EE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0.033</w:t>
            </w:r>
          </w:p>
        </w:tc>
      </w:tr>
      <w:tr w:rsidR="00322FFB" w:rsidRPr="00322FFB" w14:paraId="0406B02F" w14:textId="77777777" w:rsidTr="008260F6">
        <w:trPr>
          <w:trHeight w:val="170"/>
        </w:trPr>
        <w:tc>
          <w:tcPr>
            <w:tcW w:w="2340" w:type="dxa"/>
            <w:tcBorders>
              <w:top w:val="nil"/>
              <w:left w:val="nil"/>
              <w:bottom w:val="nil"/>
              <w:right w:val="nil"/>
            </w:tcBorders>
            <w:hideMark/>
          </w:tcPr>
          <w:p w14:paraId="12FB1A51"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Other</w:t>
            </w:r>
          </w:p>
        </w:tc>
        <w:tc>
          <w:tcPr>
            <w:tcW w:w="1420" w:type="dxa"/>
            <w:tcBorders>
              <w:top w:val="nil"/>
              <w:left w:val="nil"/>
              <w:bottom w:val="nil"/>
              <w:right w:val="nil"/>
            </w:tcBorders>
            <w:hideMark/>
          </w:tcPr>
          <w:p w14:paraId="462D4D2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59</w:t>
            </w:r>
          </w:p>
        </w:tc>
        <w:tc>
          <w:tcPr>
            <w:tcW w:w="1760" w:type="dxa"/>
            <w:tcBorders>
              <w:top w:val="nil"/>
              <w:left w:val="nil"/>
              <w:bottom w:val="nil"/>
              <w:right w:val="nil"/>
            </w:tcBorders>
            <w:hideMark/>
          </w:tcPr>
          <w:p w14:paraId="52F6703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28.79 (17.32)</w:t>
            </w:r>
          </w:p>
        </w:tc>
        <w:tc>
          <w:tcPr>
            <w:tcW w:w="960" w:type="dxa"/>
            <w:tcBorders>
              <w:top w:val="nil"/>
              <w:left w:val="nil"/>
              <w:bottom w:val="nil"/>
              <w:right w:val="nil"/>
            </w:tcBorders>
            <w:hideMark/>
          </w:tcPr>
          <w:p w14:paraId="533BE90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4.52</w:t>
            </w:r>
          </w:p>
        </w:tc>
        <w:tc>
          <w:tcPr>
            <w:tcW w:w="1620" w:type="dxa"/>
            <w:tcBorders>
              <w:top w:val="nil"/>
              <w:left w:val="nil"/>
              <w:bottom w:val="nil"/>
              <w:right w:val="nil"/>
            </w:tcBorders>
            <w:hideMark/>
          </w:tcPr>
          <w:p w14:paraId="3C66FBA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-0.08, 9.13</w:t>
            </w:r>
          </w:p>
        </w:tc>
        <w:tc>
          <w:tcPr>
            <w:tcW w:w="1220" w:type="dxa"/>
            <w:tcBorders>
              <w:top w:val="nil"/>
              <w:left w:val="nil"/>
              <w:bottom w:val="nil"/>
              <w:right w:val="nil"/>
            </w:tcBorders>
            <w:hideMark/>
          </w:tcPr>
          <w:p w14:paraId="55D1B85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0.054</w:t>
            </w:r>
          </w:p>
        </w:tc>
        <w:tc>
          <w:tcPr>
            <w:tcW w:w="960" w:type="dxa"/>
            <w:tcBorders>
              <w:top w:val="nil"/>
              <w:left w:val="nil"/>
              <w:bottom w:val="nil"/>
              <w:right w:val="nil"/>
            </w:tcBorders>
            <w:hideMark/>
          </w:tcPr>
          <w:p w14:paraId="6998FC8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5.30</w:t>
            </w:r>
          </w:p>
        </w:tc>
        <w:tc>
          <w:tcPr>
            <w:tcW w:w="1620" w:type="dxa"/>
            <w:tcBorders>
              <w:top w:val="nil"/>
              <w:left w:val="nil"/>
              <w:bottom w:val="nil"/>
              <w:right w:val="nil"/>
            </w:tcBorders>
            <w:hideMark/>
          </w:tcPr>
          <w:p w14:paraId="2D1C9F9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0.77, 9.84</w:t>
            </w:r>
          </w:p>
        </w:tc>
        <w:tc>
          <w:tcPr>
            <w:tcW w:w="1220" w:type="dxa"/>
            <w:tcBorders>
              <w:top w:val="nil"/>
              <w:left w:val="nil"/>
              <w:bottom w:val="nil"/>
              <w:right w:val="nil"/>
            </w:tcBorders>
            <w:hideMark/>
          </w:tcPr>
          <w:p w14:paraId="3E23F1F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0.022</w:t>
            </w:r>
          </w:p>
        </w:tc>
      </w:tr>
      <w:tr w:rsidR="00322FFB" w:rsidRPr="00322FFB" w14:paraId="0073956E" w14:textId="77777777" w:rsidTr="008260F6">
        <w:trPr>
          <w:trHeight w:val="170"/>
        </w:trPr>
        <w:tc>
          <w:tcPr>
            <w:tcW w:w="2340" w:type="dxa"/>
            <w:tcBorders>
              <w:top w:val="nil"/>
              <w:left w:val="nil"/>
              <w:bottom w:val="nil"/>
              <w:right w:val="nil"/>
            </w:tcBorders>
            <w:hideMark/>
          </w:tcPr>
          <w:p w14:paraId="0FA19C92"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Node status</w:t>
            </w:r>
          </w:p>
        </w:tc>
        <w:tc>
          <w:tcPr>
            <w:tcW w:w="1420" w:type="dxa"/>
            <w:tcBorders>
              <w:top w:val="nil"/>
              <w:left w:val="nil"/>
              <w:bottom w:val="nil"/>
              <w:right w:val="nil"/>
            </w:tcBorders>
            <w:hideMark/>
          </w:tcPr>
          <w:p w14:paraId="460047EF"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13D46CD3"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575F9BB0"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09E4A241"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3315FFF"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383C7EF2"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03DEE46E"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18EE13A0"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6A2C4539" w14:textId="77777777" w:rsidTr="008260F6">
        <w:trPr>
          <w:trHeight w:val="170"/>
        </w:trPr>
        <w:tc>
          <w:tcPr>
            <w:tcW w:w="2340" w:type="dxa"/>
            <w:tcBorders>
              <w:top w:val="nil"/>
              <w:left w:val="nil"/>
              <w:bottom w:val="nil"/>
              <w:right w:val="nil"/>
            </w:tcBorders>
            <w:hideMark/>
          </w:tcPr>
          <w:p w14:paraId="6D384831"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Negative</w:t>
            </w:r>
          </w:p>
        </w:tc>
        <w:tc>
          <w:tcPr>
            <w:tcW w:w="1420" w:type="dxa"/>
            <w:tcBorders>
              <w:top w:val="nil"/>
              <w:left w:val="nil"/>
              <w:bottom w:val="nil"/>
              <w:right w:val="nil"/>
            </w:tcBorders>
            <w:hideMark/>
          </w:tcPr>
          <w:p w14:paraId="2336789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548</w:t>
            </w:r>
          </w:p>
        </w:tc>
        <w:tc>
          <w:tcPr>
            <w:tcW w:w="1760" w:type="dxa"/>
            <w:tcBorders>
              <w:top w:val="nil"/>
              <w:left w:val="nil"/>
              <w:bottom w:val="nil"/>
              <w:right w:val="nil"/>
            </w:tcBorders>
            <w:hideMark/>
          </w:tcPr>
          <w:p w14:paraId="7BBCF06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24.30 (16.81)</w:t>
            </w:r>
          </w:p>
        </w:tc>
        <w:tc>
          <w:tcPr>
            <w:tcW w:w="960" w:type="dxa"/>
            <w:tcBorders>
              <w:top w:val="nil"/>
              <w:left w:val="nil"/>
              <w:bottom w:val="nil"/>
              <w:right w:val="nil"/>
            </w:tcBorders>
            <w:hideMark/>
          </w:tcPr>
          <w:p w14:paraId="1A5E839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36EA32B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51A82C3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3BB4E10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252948A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BD4B4E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04DD1612" w14:textId="77777777" w:rsidTr="008260F6">
        <w:trPr>
          <w:trHeight w:val="170"/>
        </w:trPr>
        <w:tc>
          <w:tcPr>
            <w:tcW w:w="2340" w:type="dxa"/>
            <w:tcBorders>
              <w:top w:val="nil"/>
              <w:left w:val="nil"/>
              <w:bottom w:val="nil"/>
              <w:right w:val="nil"/>
            </w:tcBorders>
            <w:hideMark/>
          </w:tcPr>
          <w:p w14:paraId="3F6896F7"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Positive</w:t>
            </w:r>
          </w:p>
        </w:tc>
        <w:tc>
          <w:tcPr>
            <w:tcW w:w="1420" w:type="dxa"/>
            <w:tcBorders>
              <w:top w:val="nil"/>
              <w:left w:val="nil"/>
              <w:bottom w:val="nil"/>
              <w:right w:val="nil"/>
            </w:tcBorders>
            <w:hideMark/>
          </w:tcPr>
          <w:p w14:paraId="2A7453D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277</w:t>
            </w:r>
          </w:p>
        </w:tc>
        <w:tc>
          <w:tcPr>
            <w:tcW w:w="1760" w:type="dxa"/>
            <w:tcBorders>
              <w:top w:val="nil"/>
              <w:left w:val="nil"/>
              <w:bottom w:val="nil"/>
              <w:right w:val="nil"/>
            </w:tcBorders>
            <w:hideMark/>
          </w:tcPr>
          <w:p w14:paraId="4BC1AF0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25.75 (17.49)</w:t>
            </w:r>
          </w:p>
        </w:tc>
        <w:tc>
          <w:tcPr>
            <w:tcW w:w="960" w:type="dxa"/>
            <w:tcBorders>
              <w:top w:val="nil"/>
              <w:left w:val="nil"/>
              <w:bottom w:val="nil"/>
              <w:right w:val="nil"/>
            </w:tcBorders>
            <w:hideMark/>
          </w:tcPr>
          <w:p w14:paraId="6064A1C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1.45</w:t>
            </w:r>
          </w:p>
        </w:tc>
        <w:tc>
          <w:tcPr>
            <w:tcW w:w="1620" w:type="dxa"/>
            <w:tcBorders>
              <w:top w:val="nil"/>
              <w:left w:val="nil"/>
              <w:bottom w:val="nil"/>
              <w:right w:val="nil"/>
            </w:tcBorders>
            <w:hideMark/>
          </w:tcPr>
          <w:p w14:paraId="0F9ED09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-1.02, 3.92</w:t>
            </w:r>
          </w:p>
        </w:tc>
        <w:tc>
          <w:tcPr>
            <w:tcW w:w="1220" w:type="dxa"/>
            <w:tcBorders>
              <w:top w:val="nil"/>
              <w:left w:val="nil"/>
              <w:bottom w:val="nil"/>
              <w:right w:val="nil"/>
            </w:tcBorders>
            <w:hideMark/>
          </w:tcPr>
          <w:p w14:paraId="5AB427E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0.248</w:t>
            </w:r>
          </w:p>
        </w:tc>
        <w:tc>
          <w:tcPr>
            <w:tcW w:w="960" w:type="dxa"/>
            <w:tcBorders>
              <w:top w:val="nil"/>
              <w:left w:val="nil"/>
              <w:bottom w:val="nil"/>
              <w:right w:val="nil"/>
            </w:tcBorders>
            <w:hideMark/>
          </w:tcPr>
          <w:p w14:paraId="4C6B07C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1.00</w:t>
            </w:r>
          </w:p>
        </w:tc>
        <w:tc>
          <w:tcPr>
            <w:tcW w:w="1620" w:type="dxa"/>
            <w:tcBorders>
              <w:top w:val="nil"/>
              <w:left w:val="nil"/>
              <w:bottom w:val="nil"/>
              <w:right w:val="nil"/>
            </w:tcBorders>
            <w:hideMark/>
          </w:tcPr>
          <w:p w14:paraId="4117499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-1.43, 3.43</w:t>
            </w:r>
          </w:p>
        </w:tc>
        <w:tc>
          <w:tcPr>
            <w:tcW w:w="1220" w:type="dxa"/>
            <w:tcBorders>
              <w:top w:val="nil"/>
              <w:left w:val="nil"/>
              <w:bottom w:val="nil"/>
              <w:right w:val="nil"/>
            </w:tcBorders>
            <w:hideMark/>
          </w:tcPr>
          <w:p w14:paraId="356F2B4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0.419</w:t>
            </w:r>
          </w:p>
        </w:tc>
      </w:tr>
      <w:tr w:rsidR="00322FFB" w:rsidRPr="00322FFB" w14:paraId="3E2EE7E1" w14:textId="77777777" w:rsidTr="008260F6">
        <w:trPr>
          <w:trHeight w:val="170"/>
        </w:trPr>
        <w:tc>
          <w:tcPr>
            <w:tcW w:w="2340" w:type="dxa"/>
            <w:tcBorders>
              <w:top w:val="nil"/>
              <w:left w:val="nil"/>
              <w:bottom w:val="nil"/>
              <w:right w:val="nil"/>
            </w:tcBorders>
            <w:hideMark/>
          </w:tcPr>
          <w:p w14:paraId="30A47600"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Tumour size (mm)</w:t>
            </w:r>
          </w:p>
        </w:tc>
        <w:tc>
          <w:tcPr>
            <w:tcW w:w="1420" w:type="dxa"/>
            <w:tcBorders>
              <w:top w:val="nil"/>
              <w:left w:val="nil"/>
              <w:bottom w:val="nil"/>
              <w:right w:val="nil"/>
            </w:tcBorders>
            <w:hideMark/>
          </w:tcPr>
          <w:p w14:paraId="304FA017"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79BD4DC5"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6E5D805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14117A8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7D963653"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06AF1195"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05422553"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59E8A5D"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06836D29" w14:textId="77777777" w:rsidTr="008260F6">
        <w:trPr>
          <w:trHeight w:val="170"/>
        </w:trPr>
        <w:tc>
          <w:tcPr>
            <w:tcW w:w="2340" w:type="dxa"/>
            <w:tcBorders>
              <w:top w:val="nil"/>
              <w:left w:val="nil"/>
              <w:bottom w:val="nil"/>
              <w:right w:val="nil"/>
            </w:tcBorders>
            <w:hideMark/>
          </w:tcPr>
          <w:p w14:paraId="28827144"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&lt;21</w:t>
            </w:r>
          </w:p>
        </w:tc>
        <w:tc>
          <w:tcPr>
            <w:tcW w:w="1420" w:type="dxa"/>
            <w:tcBorders>
              <w:top w:val="nil"/>
              <w:left w:val="nil"/>
              <w:bottom w:val="nil"/>
              <w:right w:val="nil"/>
            </w:tcBorders>
            <w:hideMark/>
          </w:tcPr>
          <w:p w14:paraId="2F3FFEF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627</w:t>
            </w:r>
          </w:p>
        </w:tc>
        <w:tc>
          <w:tcPr>
            <w:tcW w:w="1760" w:type="dxa"/>
            <w:tcBorders>
              <w:top w:val="nil"/>
              <w:left w:val="nil"/>
              <w:bottom w:val="nil"/>
              <w:right w:val="nil"/>
            </w:tcBorders>
            <w:hideMark/>
          </w:tcPr>
          <w:p w14:paraId="45252B9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24.56 (17.12)</w:t>
            </w:r>
          </w:p>
        </w:tc>
        <w:tc>
          <w:tcPr>
            <w:tcW w:w="960" w:type="dxa"/>
            <w:tcBorders>
              <w:top w:val="nil"/>
              <w:left w:val="nil"/>
              <w:bottom w:val="nil"/>
              <w:right w:val="nil"/>
            </w:tcBorders>
            <w:hideMark/>
          </w:tcPr>
          <w:p w14:paraId="3E05FBE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069C86D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DEC832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35701B6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28D7122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5DE0720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7C57E233" w14:textId="77777777" w:rsidTr="008260F6">
        <w:trPr>
          <w:trHeight w:val="170"/>
        </w:trPr>
        <w:tc>
          <w:tcPr>
            <w:tcW w:w="2340" w:type="dxa"/>
            <w:tcBorders>
              <w:top w:val="nil"/>
              <w:left w:val="nil"/>
              <w:bottom w:val="nil"/>
              <w:right w:val="nil"/>
            </w:tcBorders>
            <w:hideMark/>
          </w:tcPr>
          <w:p w14:paraId="7AFF5F9C"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21-50</w:t>
            </w:r>
          </w:p>
        </w:tc>
        <w:tc>
          <w:tcPr>
            <w:tcW w:w="1420" w:type="dxa"/>
            <w:tcBorders>
              <w:top w:val="nil"/>
              <w:left w:val="nil"/>
              <w:bottom w:val="nil"/>
              <w:right w:val="nil"/>
            </w:tcBorders>
            <w:hideMark/>
          </w:tcPr>
          <w:p w14:paraId="3203D9D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233</w:t>
            </w:r>
          </w:p>
        </w:tc>
        <w:tc>
          <w:tcPr>
            <w:tcW w:w="1760" w:type="dxa"/>
            <w:tcBorders>
              <w:top w:val="nil"/>
              <w:left w:val="nil"/>
              <w:bottom w:val="nil"/>
              <w:right w:val="nil"/>
            </w:tcBorders>
            <w:hideMark/>
          </w:tcPr>
          <w:p w14:paraId="58C8AB7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25.43 (18.06)</w:t>
            </w:r>
          </w:p>
        </w:tc>
        <w:tc>
          <w:tcPr>
            <w:tcW w:w="960" w:type="dxa"/>
            <w:tcBorders>
              <w:top w:val="nil"/>
              <w:left w:val="nil"/>
              <w:bottom w:val="nil"/>
              <w:right w:val="nil"/>
            </w:tcBorders>
            <w:hideMark/>
          </w:tcPr>
          <w:p w14:paraId="25664A4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0.86</w:t>
            </w:r>
          </w:p>
        </w:tc>
        <w:tc>
          <w:tcPr>
            <w:tcW w:w="1620" w:type="dxa"/>
            <w:tcBorders>
              <w:top w:val="nil"/>
              <w:left w:val="nil"/>
              <w:bottom w:val="nil"/>
              <w:right w:val="nil"/>
            </w:tcBorders>
            <w:hideMark/>
          </w:tcPr>
          <w:p w14:paraId="603C1DB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-1.75, 3.48</w:t>
            </w:r>
          </w:p>
        </w:tc>
        <w:tc>
          <w:tcPr>
            <w:tcW w:w="1220" w:type="dxa"/>
            <w:tcBorders>
              <w:top w:val="nil"/>
              <w:left w:val="nil"/>
              <w:bottom w:val="nil"/>
              <w:right w:val="nil"/>
            </w:tcBorders>
            <w:hideMark/>
          </w:tcPr>
          <w:p w14:paraId="7D4C0D5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0.517</w:t>
            </w:r>
          </w:p>
        </w:tc>
        <w:tc>
          <w:tcPr>
            <w:tcW w:w="960" w:type="dxa"/>
            <w:tcBorders>
              <w:top w:val="nil"/>
              <w:left w:val="nil"/>
              <w:bottom w:val="nil"/>
              <w:right w:val="nil"/>
            </w:tcBorders>
            <w:hideMark/>
          </w:tcPr>
          <w:p w14:paraId="69A83D4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1.09</w:t>
            </w:r>
          </w:p>
        </w:tc>
        <w:tc>
          <w:tcPr>
            <w:tcW w:w="1620" w:type="dxa"/>
            <w:tcBorders>
              <w:top w:val="nil"/>
              <w:left w:val="nil"/>
              <w:bottom w:val="nil"/>
              <w:right w:val="nil"/>
            </w:tcBorders>
            <w:hideMark/>
          </w:tcPr>
          <w:p w14:paraId="7643F76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-1.48, 3.66</w:t>
            </w:r>
          </w:p>
        </w:tc>
        <w:tc>
          <w:tcPr>
            <w:tcW w:w="1220" w:type="dxa"/>
            <w:tcBorders>
              <w:top w:val="nil"/>
              <w:left w:val="nil"/>
              <w:bottom w:val="nil"/>
              <w:right w:val="nil"/>
            </w:tcBorders>
            <w:hideMark/>
          </w:tcPr>
          <w:p w14:paraId="28771B1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0.406</w:t>
            </w:r>
          </w:p>
        </w:tc>
      </w:tr>
      <w:tr w:rsidR="00322FFB" w:rsidRPr="00322FFB" w14:paraId="54532440" w14:textId="77777777" w:rsidTr="008260F6">
        <w:trPr>
          <w:trHeight w:val="170"/>
        </w:trPr>
        <w:tc>
          <w:tcPr>
            <w:tcW w:w="2340" w:type="dxa"/>
            <w:tcBorders>
              <w:top w:val="nil"/>
              <w:left w:val="nil"/>
              <w:bottom w:val="nil"/>
              <w:right w:val="nil"/>
            </w:tcBorders>
            <w:hideMark/>
          </w:tcPr>
          <w:p w14:paraId="528DC758"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50+</w:t>
            </w:r>
          </w:p>
        </w:tc>
        <w:tc>
          <w:tcPr>
            <w:tcW w:w="1420" w:type="dxa"/>
            <w:tcBorders>
              <w:top w:val="nil"/>
              <w:left w:val="nil"/>
              <w:bottom w:val="nil"/>
              <w:right w:val="nil"/>
            </w:tcBorders>
            <w:hideMark/>
          </w:tcPr>
          <w:p w14:paraId="24256EE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w:t>
            </w:r>
          </w:p>
        </w:tc>
        <w:tc>
          <w:tcPr>
            <w:tcW w:w="1760" w:type="dxa"/>
            <w:tcBorders>
              <w:top w:val="nil"/>
              <w:left w:val="nil"/>
              <w:bottom w:val="nil"/>
              <w:right w:val="nil"/>
            </w:tcBorders>
            <w:hideMark/>
          </w:tcPr>
          <w:p w14:paraId="4B1BADD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31.83 (17.76)</w:t>
            </w:r>
          </w:p>
        </w:tc>
        <w:tc>
          <w:tcPr>
            <w:tcW w:w="960" w:type="dxa"/>
            <w:tcBorders>
              <w:top w:val="nil"/>
              <w:left w:val="nil"/>
              <w:bottom w:val="nil"/>
              <w:right w:val="nil"/>
            </w:tcBorders>
            <w:hideMark/>
          </w:tcPr>
          <w:p w14:paraId="7FE9E85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7.27</w:t>
            </w:r>
          </w:p>
        </w:tc>
        <w:tc>
          <w:tcPr>
            <w:tcW w:w="1620" w:type="dxa"/>
            <w:tcBorders>
              <w:top w:val="nil"/>
              <w:left w:val="nil"/>
              <w:bottom w:val="nil"/>
              <w:right w:val="nil"/>
            </w:tcBorders>
            <w:hideMark/>
          </w:tcPr>
          <w:p w14:paraId="4B83A23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0.31, 14.23</w:t>
            </w:r>
          </w:p>
        </w:tc>
        <w:tc>
          <w:tcPr>
            <w:tcW w:w="1220" w:type="dxa"/>
            <w:tcBorders>
              <w:top w:val="nil"/>
              <w:left w:val="nil"/>
              <w:bottom w:val="nil"/>
              <w:right w:val="nil"/>
            </w:tcBorders>
            <w:hideMark/>
          </w:tcPr>
          <w:p w14:paraId="13F2991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0.041</w:t>
            </w:r>
          </w:p>
        </w:tc>
        <w:tc>
          <w:tcPr>
            <w:tcW w:w="960" w:type="dxa"/>
            <w:tcBorders>
              <w:top w:val="nil"/>
              <w:left w:val="nil"/>
              <w:bottom w:val="nil"/>
              <w:right w:val="nil"/>
            </w:tcBorders>
            <w:hideMark/>
          </w:tcPr>
          <w:p w14:paraId="5CE8701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5.79</w:t>
            </w:r>
          </w:p>
        </w:tc>
        <w:tc>
          <w:tcPr>
            <w:tcW w:w="1620" w:type="dxa"/>
            <w:tcBorders>
              <w:top w:val="nil"/>
              <w:left w:val="nil"/>
              <w:bottom w:val="nil"/>
              <w:right w:val="nil"/>
            </w:tcBorders>
            <w:hideMark/>
          </w:tcPr>
          <w:p w14:paraId="5C20B63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-1.06, 12.64</w:t>
            </w:r>
          </w:p>
        </w:tc>
        <w:tc>
          <w:tcPr>
            <w:tcW w:w="1220" w:type="dxa"/>
            <w:tcBorders>
              <w:top w:val="nil"/>
              <w:left w:val="nil"/>
              <w:bottom w:val="nil"/>
              <w:right w:val="nil"/>
            </w:tcBorders>
            <w:hideMark/>
          </w:tcPr>
          <w:p w14:paraId="6DFB14A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0.097</w:t>
            </w:r>
          </w:p>
        </w:tc>
      </w:tr>
      <w:tr w:rsidR="00322FFB" w:rsidRPr="00322FFB" w14:paraId="5EE065A0" w14:textId="77777777" w:rsidTr="008260F6">
        <w:trPr>
          <w:trHeight w:val="170"/>
        </w:trPr>
        <w:tc>
          <w:tcPr>
            <w:tcW w:w="2340" w:type="dxa"/>
            <w:tcBorders>
              <w:top w:val="nil"/>
              <w:left w:val="nil"/>
              <w:bottom w:val="nil"/>
              <w:right w:val="nil"/>
            </w:tcBorders>
            <w:hideMark/>
          </w:tcPr>
          <w:p w14:paraId="14A29B45"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ER status</w:t>
            </w:r>
          </w:p>
        </w:tc>
        <w:tc>
          <w:tcPr>
            <w:tcW w:w="1420" w:type="dxa"/>
            <w:tcBorders>
              <w:top w:val="nil"/>
              <w:left w:val="nil"/>
              <w:bottom w:val="nil"/>
              <w:right w:val="nil"/>
            </w:tcBorders>
            <w:hideMark/>
          </w:tcPr>
          <w:p w14:paraId="3D2B6EBF"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46447692"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4B858911"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5CE83CB2"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46D6B9A"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04C5E53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36F72288"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41F4940C"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7FDF7C45" w14:textId="77777777" w:rsidTr="008260F6">
        <w:trPr>
          <w:trHeight w:val="170"/>
        </w:trPr>
        <w:tc>
          <w:tcPr>
            <w:tcW w:w="2340" w:type="dxa"/>
            <w:tcBorders>
              <w:top w:val="nil"/>
              <w:left w:val="nil"/>
              <w:bottom w:val="nil"/>
              <w:right w:val="nil"/>
            </w:tcBorders>
            <w:hideMark/>
          </w:tcPr>
          <w:p w14:paraId="61A7A016"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Positive</w:t>
            </w:r>
          </w:p>
        </w:tc>
        <w:tc>
          <w:tcPr>
            <w:tcW w:w="1420" w:type="dxa"/>
            <w:tcBorders>
              <w:top w:val="nil"/>
              <w:left w:val="nil"/>
              <w:bottom w:val="nil"/>
              <w:right w:val="nil"/>
            </w:tcBorders>
            <w:hideMark/>
          </w:tcPr>
          <w:p w14:paraId="76B55A9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841</w:t>
            </w:r>
          </w:p>
        </w:tc>
        <w:tc>
          <w:tcPr>
            <w:tcW w:w="1760" w:type="dxa"/>
            <w:tcBorders>
              <w:top w:val="nil"/>
              <w:left w:val="nil"/>
              <w:bottom w:val="nil"/>
              <w:right w:val="nil"/>
            </w:tcBorders>
            <w:hideMark/>
          </w:tcPr>
          <w:p w14:paraId="26610A3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25.47 (17.37)</w:t>
            </w:r>
          </w:p>
        </w:tc>
        <w:tc>
          <w:tcPr>
            <w:tcW w:w="960" w:type="dxa"/>
            <w:tcBorders>
              <w:top w:val="nil"/>
              <w:left w:val="nil"/>
              <w:bottom w:val="nil"/>
              <w:right w:val="nil"/>
            </w:tcBorders>
            <w:hideMark/>
          </w:tcPr>
          <w:p w14:paraId="73D235E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626AA8C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0DA77D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48347C3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208E7FF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15D0A1E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5C386DFF" w14:textId="77777777" w:rsidTr="008260F6">
        <w:trPr>
          <w:trHeight w:val="170"/>
        </w:trPr>
        <w:tc>
          <w:tcPr>
            <w:tcW w:w="2340" w:type="dxa"/>
            <w:tcBorders>
              <w:top w:val="nil"/>
              <w:left w:val="nil"/>
              <w:bottom w:val="nil"/>
              <w:right w:val="nil"/>
            </w:tcBorders>
            <w:hideMark/>
          </w:tcPr>
          <w:p w14:paraId="3BAF581B"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Negative</w:t>
            </w:r>
          </w:p>
        </w:tc>
        <w:tc>
          <w:tcPr>
            <w:tcW w:w="1420" w:type="dxa"/>
            <w:tcBorders>
              <w:top w:val="nil"/>
              <w:left w:val="nil"/>
              <w:bottom w:val="nil"/>
              <w:right w:val="nil"/>
            </w:tcBorders>
            <w:hideMark/>
          </w:tcPr>
          <w:p w14:paraId="50D3D32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137</w:t>
            </w:r>
          </w:p>
        </w:tc>
        <w:tc>
          <w:tcPr>
            <w:tcW w:w="1760" w:type="dxa"/>
            <w:tcBorders>
              <w:top w:val="nil"/>
              <w:left w:val="nil"/>
              <w:bottom w:val="nil"/>
              <w:right w:val="nil"/>
            </w:tcBorders>
            <w:hideMark/>
          </w:tcPr>
          <w:p w14:paraId="69588D1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24.46 (18.25)</w:t>
            </w:r>
          </w:p>
        </w:tc>
        <w:tc>
          <w:tcPr>
            <w:tcW w:w="960" w:type="dxa"/>
            <w:tcBorders>
              <w:top w:val="nil"/>
              <w:left w:val="nil"/>
              <w:bottom w:val="nil"/>
              <w:right w:val="nil"/>
            </w:tcBorders>
            <w:hideMark/>
          </w:tcPr>
          <w:p w14:paraId="0529398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-1.01</w:t>
            </w:r>
          </w:p>
        </w:tc>
        <w:tc>
          <w:tcPr>
            <w:tcW w:w="1620" w:type="dxa"/>
            <w:tcBorders>
              <w:top w:val="nil"/>
              <w:left w:val="nil"/>
              <w:bottom w:val="nil"/>
              <w:right w:val="nil"/>
            </w:tcBorders>
            <w:hideMark/>
          </w:tcPr>
          <w:p w14:paraId="1990637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-4.18, 2.15</w:t>
            </w:r>
          </w:p>
        </w:tc>
        <w:tc>
          <w:tcPr>
            <w:tcW w:w="1220" w:type="dxa"/>
            <w:tcBorders>
              <w:top w:val="nil"/>
              <w:left w:val="nil"/>
              <w:bottom w:val="nil"/>
              <w:right w:val="nil"/>
            </w:tcBorders>
            <w:hideMark/>
          </w:tcPr>
          <w:p w14:paraId="53444590"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0.530</w:t>
            </w:r>
          </w:p>
        </w:tc>
        <w:tc>
          <w:tcPr>
            <w:tcW w:w="960" w:type="dxa"/>
            <w:tcBorders>
              <w:top w:val="nil"/>
              <w:left w:val="nil"/>
              <w:bottom w:val="nil"/>
              <w:right w:val="nil"/>
            </w:tcBorders>
            <w:hideMark/>
          </w:tcPr>
          <w:p w14:paraId="7D2D78C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-0.86</w:t>
            </w:r>
          </w:p>
        </w:tc>
        <w:tc>
          <w:tcPr>
            <w:tcW w:w="1620" w:type="dxa"/>
            <w:tcBorders>
              <w:top w:val="nil"/>
              <w:left w:val="nil"/>
              <w:bottom w:val="nil"/>
              <w:right w:val="nil"/>
            </w:tcBorders>
            <w:hideMark/>
          </w:tcPr>
          <w:p w14:paraId="547F77D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-3.98, 2.25</w:t>
            </w:r>
          </w:p>
        </w:tc>
        <w:tc>
          <w:tcPr>
            <w:tcW w:w="1220" w:type="dxa"/>
            <w:tcBorders>
              <w:top w:val="nil"/>
              <w:left w:val="nil"/>
              <w:bottom w:val="nil"/>
              <w:right w:val="nil"/>
            </w:tcBorders>
            <w:hideMark/>
          </w:tcPr>
          <w:p w14:paraId="392504D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0.586</w:t>
            </w:r>
          </w:p>
        </w:tc>
      </w:tr>
      <w:tr w:rsidR="00322FFB" w:rsidRPr="00322FFB" w14:paraId="36A1CF44" w14:textId="77777777" w:rsidTr="008260F6">
        <w:trPr>
          <w:trHeight w:val="170"/>
        </w:trPr>
        <w:tc>
          <w:tcPr>
            <w:tcW w:w="2340" w:type="dxa"/>
            <w:tcBorders>
              <w:top w:val="nil"/>
              <w:left w:val="nil"/>
              <w:bottom w:val="nil"/>
              <w:right w:val="nil"/>
            </w:tcBorders>
            <w:hideMark/>
          </w:tcPr>
          <w:p w14:paraId="7BE0B60F"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PR status</w:t>
            </w:r>
          </w:p>
        </w:tc>
        <w:tc>
          <w:tcPr>
            <w:tcW w:w="1420" w:type="dxa"/>
            <w:tcBorders>
              <w:top w:val="nil"/>
              <w:left w:val="nil"/>
              <w:bottom w:val="nil"/>
              <w:right w:val="nil"/>
            </w:tcBorders>
            <w:hideMark/>
          </w:tcPr>
          <w:p w14:paraId="76B56943"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28942D72"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57A03CDD"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394BCAF2"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BB56588"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6904CE0C"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786192AC"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244DB6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65799817" w14:textId="77777777" w:rsidTr="008260F6">
        <w:trPr>
          <w:trHeight w:val="170"/>
        </w:trPr>
        <w:tc>
          <w:tcPr>
            <w:tcW w:w="2340" w:type="dxa"/>
            <w:tcBorders>
              <w:top w:val="nil"/>
              <w:left w:val="nil"/>
              <w:bottom w:val="nil"/>
              <w:right w:val="nil"/>
            </w:tcBorders>
            <w:hideMark/>
          </w:tcPr>
          <w:p w14:paraId="78993D2A"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Positive</w:t>
            </w:r>
          </w:p>
        </w:tc>
        <w:tc>
          <w:tcPr>
            <w:tcW w:w="1420" w:type="dxa"/>
            <w:tcBorders>
              <w:top w:val="nil"/>
              <w:left w:val="nil"/>
              <w:bottom w:val="nil"/>
              <w:right w:val="nil"/>
            </w:tcBorders>
            <w:hideMark/>
          </w:tcPr>
          <w:p w14:paraId="29CC6FD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422</w:t>
            </w:r>
          </w:p>
        </w:tc>
        <w:tc>
          <w:tcPr>
            <w:tcW w:w="1760" w:type="dxa"/>
            <w:tcBorders>
              <w:top w:val="nil"/>
              <w:left w:val="nil"/>
              <w:bottom w:val="nil"/>
              <w:right w:val="nil"/>
            </w:tcBorders>
            <w:hideMark/>
          </w:tcPr>
          <w:p w14:paraId="22EA6CA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26.41 (17.77)</w:t>
            </w:r>
          </w:p>
        </w:tc>
        <w:tc>
          <w:tcPr>
            <w:tcW w:w="960" w:type="dxa"/>
            <w:tcBorders>
              <w:top w:val="nil"/>
              <w:left w:val="nil"/>
              <w:bottom w:val="nil"/>
              <w:right w:val="nil"/>
            </w:tcBorders>
            <w:hideMark/>
          </w:tcPr>
          <w:p w14:paraId="1656562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0934AF3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4533045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513B116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62180119"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4DEF040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48B4DA1C" w14:textId="77777777" w:rsidTr="008260F6">
        <w:trPr>
          <w:trHeight w:val="170"/>
        </w:trPr>
        <w:tc>
          <w:tcPr>
            <w:tcW w:w="2340" w:type="dxa"/>
            <w:tcBorders>
              <w:top w:val="nil"/>
              <w:left w:val="nil"/>
              <w:bottom w:val="nil"/>
              <w:right w:val="nil"/>
            </w:tcBorders>
            <w:hideMark/>
          </w:tcPr>
          <w:p w14:paraId="04CCA29F"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Negative</w:t>
            </w:r>
          </w:p>
        </w:tc>
        <w:tc>
          <w:tcPr>
            <w:tcW w:w="1420" w:type="dxa"/>
            <w:tcBorders>
              <w:top w:val="nil"/>
              <w:left w:val="nil"/>
              <w:bottom w:val="nil"/>
              <w:right w:val="nil"/>
            </w:tcBorders>
            <w:hideMark/>
          </w:tcPr>
          <w:p w14:paraId="39874F5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199</w:t>
            </w:r>
          </w:p>
        </w:tc>
        <w:tc>
          <w:tcPr>
            <w:tcW w:w="1760" w:type="dxa"/>
            <w:tcBorders>
              <w:top w:val="nil"/>
              <w:left w:val="nil"/>
              <w:bottom w:val="nil"/>
              <w:right w:val="nil"/>
            </w:tcBorders>
            <w:hideMark/>
          </w:tcPr>
          <w:p w14:paraId="16FB31BE"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27.08 (17.92)</w:t>
            </w:r>
          </w:p>
        </w:tc>
        <w:tc>
          <w:tcPr>
            <w:tcW w:w="960" w:type="dxa"/>
            <w:tcBorders>
              <w:top w:val="nil"/>
              <w:left w:val="nil"/>
              <w:bottom w:val="nil"/>
              <w:right w:val="nil"/>
            </w:tcBorders>
            <w:hideMark/>
          </w:tcPr>
          <w:p w14:paraId="3DB012E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0.67</w:t>
            </w:r>
          </w:p>
        </w:tc>
        <w:tc>
          <w:tcPr>
            <w:tcW w:w="1620" w:type="dxa"/>
            <w:tcBorders>
              <w:top w:val="nil"/>
              <w:left w:val="nil"/>
              <w:bottom w:val="nil"/>
              <w:right w:val="nil"/>
            </w:tcBorders>
            <w:hideMark/>
          </w:tcPr>
          <w:p w14:paraId="26D1E95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-2.33, 3.68</w:t>
            </w:r>
          </w:p>
        </w:tc>
        <w:tc>
          <w:tcPr>
            <w:tcW w:w="1220" w:type="dxa"/>
            <w:tcBorders>
              <w:top w:val="nil"/>
              <w:left w:val="nil"/>
              <w:bottom w:val="nil"/>
              <w:right w:val="nil"/>
            </w:tcBorders>
            <w:hideMark/>
          </w:tcPr>
          <w:p w14:paraId="5DF12B4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0.660</w:t>
            </w:r>
          </w:p>
        </w:tc>
        <w:tc>
          <w:tcPr>
            <w:tcW w:w="960" w:type="dxa"/>
            <w:tcBorders>
              <w:top w:val="nil"/>
              <w:left w:val="nil"/>
              <w:bottom w:val="nil"/>
              <w:right w:val="nil"/>
            </w:tcBorders>
            <w:hideMark/>
          </w:tcPr>
          <w:p w14:paraId="08174FD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0.74</w:t>
            </w:r>
          </w:p>
        </w:tc>
        <w:tc>
          <w:tcPr>
            <w:tcW w:w="1620" w:type="dxa"/>
            <w:tcBorders>
              <w:top w:val="nil"/>
              <w:left w:val="nil"/>
              <w:bottom w:val="nil"/>
              <w:right w:val="nil"/>
            </w:tcBorders>
            <w:hideMark/>
          </w:tcPr>
          <w:p w14:paraId="015EB24B"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-2.26, 3.73</w:t>
            </w:r>
          </w:p>
        </w:tc>
        <w:tc>
          <w:tcPr>
            <w:tcW w:w="1220" w:type="dxa"/>
            <w:tcBorders>
              <w:top w:val="nil"/>
              <w:left w:val="nil"/>
              <w:bottom w:val="nil"/>
              <w:right w:val="nil"/>
            </w:tcBorders>
            <w:hideMark/>
          </w:tcPr>
          <w:p w14:paraId="28EA89C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0.629</w:t>
            </w:r>
          </w:p>
        </w:tc>
      </w:tr>
      <w:tr w:rsidR="00322FFB" w:rsidRPr="00322FFB" w14:paraId="44B49F43" w14:textId="77777777" w:rsidTr="008260F6">
        <w:trPr>
          <w:trHeight w:val="170"/>
        </w:trPr>
        <w:tc>
          <w:tcPr>
            <w:tcW w:w="2340" w:type="dxa"/>
            <w:tcBorders>
              <w:top w:val="nil"/>
              <w:left w:val="nil"/>
              <w:bottom w:val="nil"/>
              <w:right w:val="nil"/>
            </w:tcBorders>
            <w:hideMark/>
          </w:tcPr>
          <w:p w14:paraId="5D202D57"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r w:rsidRPr="00322FFB">
              <w:rPr>
                <w:rFonts w:ascii="Aptos Narrow" w:eastAsia="Times New Roman" w:hAnsi="Aptos Narrow" w:cs="Arial"/>
                <w:b/>
                <w:bCs/>
                <w:kern w:val="0"/>
                <w:sz w:val="22"/>
                <w:lang w:eastAsia="en-GB"/>
                <w14:ligatures w14:val="none"/>
              </w:rPr>
              <w:t>HER2 status</w:t>
            </w:r>
          </w:p>
        </w:tc>
        <w:tc>
          <w:tcPr>
            <w:tcW w:w="1420" w:type="dxa"/>
            <w:tcBorders>
              <w:top w:val="nil"/>
              <w:left w:val="nil"/>
              <w:bottom w:val="nil"/>
              <w:right w:val="nil"/>
            </w:tcBorders>
            <w:hideMark/>
          </w:tcPr>
          <w:p w14:paraId="36783793" w14:textId="77777777" w:rsidR="00322FFB" w:rsidRPr="00322FFB" w:rsidRDefault="00322FFB" w:rsidP="00322FFB">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3CF8DB7E"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3209497D"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29551CA6"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4138D6C9"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hideMark/>
          </w:tcPr>
          <w:p w14:paraId="3C94A5A0"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620" w:type="dxa"/>
            <w:tcBorders>
              <w:top w:val="nil"/>
              <w:left w:val="nil"/>
              <w:bottom w:val="nil"/>
              <w:right w:val="nil"/>
            </w:tcBorders>
            <w:hideMark/>
          </w:tcPr>
          <w:p w14:paraId="2DA2C557"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87968C1" w14:textId="77777777" w:rsidR="00322FFB" w:rsidRPr="00322FFB" w:rsidRDefault="00322FFB" w:rsidP="00322FFB">
            <w:pPr>
              <w:spacing w:after="0" w:line="240" w:lineRule="auto"/>
              <w:jc w:val="center"/>
              <w:rPr>
                <w:rFonts w:ascii="Times New Roman" w:eastAsia="Times New Roman" w:hAnsi="Times New Roman" w:cs="Times New Roman"/>
                <w:kern w:val="0"/>
                <w:sz w:val="20"/>
                <w:szCs w:val="20"/>
                <w:lang w:eastAsia="en-GB"/>
                <w14:ligatures w14:val="none"/>
              </w:rPr>
            </w:pPr>
          </w:p>
        </w:tc>
      </w:tr>
      <w:tr w:rsidR="00322FFB" w:rsidRPr="00322FFB" w14:paraId="08492794" w14:textId="77777777" w:rsidTr="008260F6">
        <w:trPr>
          <w:trHeight w:val="170"/>
        </w:trPr>
        <w:tc>
          <w:tcPr>
            <w:tcW w:w="2340" w:type="dxa"/>
            <w:tcBorders>
              <w:top w:val="nil"/>
              <w:left w:val="nil"/>
              <w:bottom w:val="nil"/>
              <w:right w:val="nil"/>
            </w:tcBorders>
            <w:hideMark/>
          </w:tcPr>
          <w:p w14:paraId="604E9D70"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Positive</w:t>
            </w:r>
          </w:p>
        </w:tc>
        <w:tc>
          <w:tcPr>
            <w:tcW w:w="1420" w:type="dxa"/>
            <w:tcBorders>
              <w:top w:val="nil"/>
              <w:left w:val="nil"/>
              <w:bottom w:val="nil"/>
              <w:right w:val="nil"/>
            </w:tcBorders>
            <w:hideMark/>
          </w:tcPr>
          <w:p w14:paraId="42FAB232"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119</w:t>
            </w:r>
          </w:p>
        </w:tc>
        <w:tc>
          <w:tcPr>
            <w:tcW w:w="1760" w:type="dxa"/>
            <w:tcBorders>
              <w:top w:val="nil"/>
              <w:left w:val="nil"/>
              <w:bottom w:val="nil"/>
              <w:right w:val="nil"/>
            </w:tcBorders>
            <w:hideMark/>
          </w:tcPr>
          <w:p w14:paraId="26930035"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25.30 (18.78)</w:t>
            </w:r>
          </w:p>
        </w:tc>
        <w:tc>
          <w:tcPr>
            <w:tcW w:w="960" w:type="dxa"/>
            <w:tcBorders>
              <w:top w:val="nil"/>
              <w:left w:val="nil"/>
              <w:bottom w:val="nil"/>
              <w:right w:val="nil"/>
            </w:tcBorders>
            <w:hideMark/>
          </w:tcPr>
          <w:p w14:paraId="707BB52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54E0EF48"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544888D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c>
          <w:tcPr>
            <w:tcW w:w="960" w:type="dxa"/>
            <w:tcBorders>
              <w:top w:val="nil"/>
              <w:left w:val="nil"/>
              <w:bottom w:val="nil"/>
              <w:right w:val="nil"/>
            </w:tcBorders>
            <w:hideMark/>
          </w:tcPr>
          <w:p w14:paraId="7DB60787"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620" w:type="dxa"/>
            <w:tcBorders>
              <w:top w:val="nil"/>
              <w:left w:val="nil"/>
              <w:bottom w:val="nil"/>
              <w:right w:val="nil"/>
            </w:tcBorders>
            <w:hideMark/>
          </w:tcPr>
          <w:p w14:paraId="4B4BB011"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1AE56EA"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p>
        </w:tc>
      </w:tr>
      <w:tr w:rsidR="00322FFB" w:rsidRPr="00322FFB" w14:paraId="79DA1DBC" w14:textId="77777777" w:rsidTr="008260F6">
        <w:trPr>
          <w:trHeight w:val="170"/>
        </w:trPr>
        <w:tc>
          <w:tcPr>
            <w:tcW w:w="2340" w:type="dxa"/>
            <w:tcBorders>
              <w:top w:val="nil"/>
              <w:left w:val="nil"/>
              <w:bottom w:val="single" w:sz="8" w:space="0" w:color="000000"/>
              <w:right w:val="nil"/>
            </w:tcBorders>
            <w:hideMark/>
          </w:tcPr>
          <w:p w14:paraId="798000B3"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Negative</w:t>
            </w:r>
          </w:p>
        </w:tc>
        <w:tc>
          <w:tcPr>
            <w:tcW w:w="1420" w:type="dxa"/>
            <w:tcBorders>
              <w:top w:val="nil"/>
              <w:left w:val="nil"/>
              <w:bottom w:val="single" w:sz="8" w:space="0" w:color="000000"/>
              <w:right w:val="nil"/>
            </w:tcBorders>
            <w:hideMark/>
          </w:tcPr>
          <w:p w14:paraId="3EA7CC1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768</w:t>
            </w:r>
          </w:p>
        </w:tc>
        <w:tc>
          <w:tcPr>
            <w:tcW w:w="1760" w:type="dxa"/>
            <w:tcBorders>
              <w:top w:val="nil"/>
              <w:left w:val="nil"/>
              <w:bottom w:val="single" w:sz="8" w:space="0" w:color="000000"/>
              <w:right w:val="nil"/>
            </w:tcBorders>
            <w:hideMark/>
          </w:tcPr>
          <w:p w14:paraId="464E3C64"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24.73 (16.92)</w:t>
            </w:r>
          </w:p>
        </w:tc>
        <w:tc>
          <w:tcPr>
            <w:tcW w:w="960" w:type="dxa"/>
            <w:tcBorders>
              <w:top w:val="nil"/>
              <w:left w:val="nil"/>
              <w:bottom w:val="single" w:sz="8" w:space="0" w:color="000000"/>
              <w:right w:val="nil"/>
            </w:tcBorders>
            <w:hideMark/>
          </w:tcPr>
          <w:p w14:paraId="426FA99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-0.56</w:t>
            </w:r>
          </w:p>
        </w:tc>
        <w:tc>
          <w:tcPr>
            <w:tcW w:w="1620" w:type="dxa"/>
            <w:tcBorders>
              <w:top w:val="nil"/>
              <w:left w:val="nil"/>
              <w:bottom w:val="single" w:sz="8" w:space="0" w:color="000000"/>
              <w:right w:val="nil"/>
            </w:tcBorders>
            <w:hideMark/>
          </w:tcPr>
          <w:p w14:paraId="50C9B07D"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-3.88, 2.76</w:t>
            </w:r>
          </w:p>
        </w:tc>
        <w:tc>
          <w:tcPr>
            <w:tcW w:w="1220" w:type="dxa"/>
            <w:tcBorders>
              <w:top w:val="nil"/>
              <w:left w:val="nil"/>
              <w:bottom w:val="single" w:sz="8" w:space="0" w:color="000000"/>
              <w:right w:val="nil"/>
            </w:tcBorders>
            <w:hideMark/>
          </w:tcPr>
          <w:p w14:paraId="648492CF"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0.740</w:t>
            </w:r>
          </w:p>
        </w:tc>
        <w:tc>
          <w:tcPr>
            <w:tcW w:w="960" w:type="dxa"/>
            <w:tcBorders>
              <w:top w:val="nil"/>
              <w:left w:val="nil"/>
              <w:bottom w:val="single" w:sz="8" w:space="0" w:color="000000"/>
              <w:right w:val="nil"/>
            </w:tcBorders>
            <w:hideMark/>
          </w:tcPr>
          <w:p w14:paraId="4D010283"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0.15</w:t>
            </w:r>
          </w:p>
        </w:tc>
        <w:tc>
          <w:tcPr>
            <w:tcW w:w="1620" w:type="dxa"/>
            <w:tcBorders>
              <w:top w:val="nil"/>
              <w:left w:val="nil"/>
              <w:bottom w:val="single" w:sz="8" w:space="0" w:color="000000"/>
              <w:right w:val="nil"/>
            </w:tcBorders>
            <w:hideMark/>
          </w:tcPr>
          <w:p w14:paraId="3ACA4A56"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-3.12, 3.41</w:t>
            </w:r>
          </w:p>
        </w:tc>
        <w:tc>
          <w:tcPr>
            <w:tcW w:w="1220" w:type="dxa"/>
            <w:tcBorders>
              <w:top w:val="nil"/>
              <w:left w:val="nil"/>
              <w:bottom w:val="single" w:sz="8" w:space="0" w:color="000000"/>
              <w:right w:val="nil"/>
            </w:tcBorders>
            <w:hideMark/>
          </w:tcPr>
          <w:p w14:paraId="7D928A8C" w14:textId="77777777" w:rsidR="00322FFB" w:rsidRPr="00322FFB" w:rsidRDefault="00322FFB" w:rsidP="00322FFB">
            <w:pPr>
              <w:spacing w:after="0" w:line="240" w:lineRule="auto"/>
              <w:jc w:val="center"/>
              <w:rPr>
                <w:rFonts w:eastAsia="Times New Roman" w:cs="Arial"/>
                <w:color w:val="000000"/>
                <w:kern w:val="0"/>
                <w:sz w:val="16"/>
                <w:szCs w:val="16"/>
                <w:lang w:eastAsia="en-GB"/>
                <w14:ligatures w14:val="none"/>
              </w:rPr>
            </w:pPr>
            <w:r w:rsidRPr="00322FFB">
              <w:rPr>
                <w:rFonts w:eastAsia="Times New Roman" w:cs="Arial"/>
                <w:color w:val="000000"/>
                <w:kern w:val="0"/>
                <w:sz w:val="16"/>
                <w:szCs w:val="16"/>
                <w:lang w:eastAsia="en-GB"/>
                <w14:ligatures w14:val="none"/>
              </w:rPr>
              <w:t>0.930</w:t>
            </w:r>
          </w:p>
        </w:tc>
      </w:tr>
      <w:tr w:rsidR="00322FFB" w:rsidRPr="00322FFB" w14:paraId="68F3E786" w14:textId="77777777" w:rsidTr="008260F6">
        <w:trPr>
          <w:trHeight w:val="170"/>
        </w:trPr>
        <w:tc>
          <w:tcPr>
            <w:tcW w:w="13120" w:type="dxa"/>
            <w:gridSpan w:val="9"/>
            <w:tcBorders>
              <w:top w:val="nil"/>
              <w:left w:val="nil"/>
              <w:bottom w:val="nil"/>
              <w:right w:val="nil"/>
            </w:tcBorders>
            <w:vAlign w:val="center"/>
            <w:hideMark/>
          </w:tcPr>
          <w:p w14:paraId="3FB39F52"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ascii="Aptos Narrow" w:eastAsia="Times New Roman" w:hAnsi="Aptos Narrow" w:cs="Arial"/>
                <w:kern w:val="0"/>
                <w:sz w:val="22"/>
                <w:vertAlign w:val="superscript"/>
                <w:lang w:eastAsia="en-GB"/>
                <w14:ligatures w14:val="none"/>
              </w:rPr>
              <w:t>1</w:t>
            </w:r>
            <w:r w:rsidRPr="00322FFB">
              <w:rPr>
                <w:rFonts w:ascii="Aptos Narrow" w:eastAsia="Times New Roman" w:hAnsi="Aptos Narrow" w:cs="Arial"/>
                <w:color w:val="000000"/>
                <w:kern w:val="0"/>
                <w:sz w:val="22"/>
                <w:lang w:eastAsia="en-GB"/>
                <w14:ligatures w14:val="none"/>
              </w:rPr>
              <w:t>n</w:t>
            </w:r>
          </w:p>
        </w:tc>
      </w:tr>
      <w:tr w:rsidR="00322FFB" w:rsidRPr="00322FFB" w14:paraId="310574F9" w14:textId="77777777" w:rsidTr="008260F6">
        <w:trPr>
          <w:trHeight w:val="170"/>
        </w:trPr>
        <w:tc>
          <w:tcPr>
            <w:tcW w:w="13120" w:type="dxa"/>
            <w:gridSpan w:val="9"/>
            <w:tcBorders>
              <w:top w:val="nil"/>
              <w:left w:val="nil"/>
              <w:bottom w:val="nil"/>
              <w:right w:val="nil"/>
            </w:tcBorders>
            <w:vAlign w:val="center"/>
            <w:hideMark/>
          </w:tcPr>
          <w:p w14:paraId="7005FE9B"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ascii="Aptos Narrow" w:eastAsia="Times New Roman" w:hAnsi="Aptos Narrow" w:cs="Arial"/>
                <w:kern w:val="0"/>
                <w:sz w:val="22"/>
                <w:vertAlign w:val="superscript"/>
                <w:lang w:eastAsia="en-GB"/>
                <w14:ligatures w14:val="none"/>
              </w:rPr>
              <w:t>2</w:t>
            </w:r>
            <w:r w:rsidRPr="00322FFB">
              <w:rPr>
                <w:rFonts w:ascii="Aptos Narrow" w:eastAsia="Times New Roman" w:hAnsi="Aptos Narrow" w:cs="Arial"/>
                <w:color w:val="000000"/>
                <w:kern w:val="0"/>
                <w:sz w:val="22"/>
                <w:lang w:eastAsia="en-GB"/>
                <w14:ligatures w14:val="none"/>
              </w:rPr>
              <w:t>Mean (SD)</w:t>
            </w:r>
          </w:p>
        </w:tc>
      </w:tr>
      <w:tr w:rsidR="00322FFB" w:rsidRPr="00322FFB" w14:paraId="7D6B576F" w14:textId="77777777" w:rsidTr="008260F6">
        <w:trPr>
          <w:trHeight w:val="170"/>
        </w:trPr>
        <w:tc>
          <w:tcPr>
            <w:tcW w:w="13120" w:type="dxa"/>
            <w:gridSpan w:val="9"/>
            <w:tcBorders>
              <w:top w:val="nil"/>
              <w:left w:val="nil"/>
              <w:bottom w:val="nil"/>
              <w:right w:val="nil"/>
            </w:tcBorders>
            <w:vAlign w:val="center"/>
            <w:hideMark/>
          </w:tcPr>
          <w:p w14:paraId="39654741" w14:textId="77777777" w:rsidR="00322FFB" w:rsidRPr="00322FFB" w:rsidRDefault="00322FFB" w:rsidP="00322FFB">
            <w:pPr>
              <w:spacing w:after="0" w:line="240" w:lineRule="auto"/>
              <w:rPr>
                <w:rFonts w:eastAsia="Times New Roman" w:cs="Arial"/>
                <w:color w:val="000000"/>
                <w:kern w:val="0"/>
                <w:sz w:val="16"/>
                <w:szCs w:val="16"/>
                <w:lang w:eastAsia="en-GB"/>
                <w14:ligatures w14:val="none"/>
              </w:rPr>
            </w:pPr>
            <w:r w:rsidRPr="00322FFB">
              <w:rPr>
                <w:rFonts w:ascii="Aptos Narrow" w:eastAsia="Times New Roman" w:hAnsi="Aptos Narrow" w:cs="Arial"/>
                <w:kern w:val="0"/>
                <w:sz w:val="22"/>
                <w:vertAlign w:val="superscript"/>
                <w:lang w:eastAsia="en-GB"/>
                <w14:ligatures w14:val="none"/>
              </w:rPr>
              <w:t>3</w:t>
            </w:r>
            <w:r w:rsidRPr="00322FFB">
              <w:rPr>
                <w:rFonts w:ascii="Aptos Narrow" w:eastAsia="Times New Roman" w:hAnsi="Aptos Narrow" w:cs="Arial"/>
                <w:color w:val="000000"/>
                <w:kern w:val="0"/>
                <w:sz w:val="22"/>
                <w:lang w:eastAsia="en-GB"/>
                <w14:ligatures w14:val="none"/>
              </w:rPr>
              <w:t>CI = Confidence Interval</w:t>
            </w:r>
          </w:p>
        </w:tc>
      </w:tr>
    </w:tbl>
    <w:p w14:paraId="7FDF11D9" w14:textId="701BE308" w:rsidR="00D91C84" w:rsidRPr="00322FFB" w:rsidRDefault="00D91C84" w:rsidP="00072A94">
      <w:pPr>
        <w:rPr>
          <w:rFonts w:cs="Arial"/>
          <w:sz w:val="22"/>
        </w:rPr>
        <w:sectPr w:rsidR="00D91C84" w:rsidRPr="00322FFB" w:rsidSect="003604D3">
          <w:pgSz w:w="16838" w:h="11906" w:orient="landscape"/>
          <w:pgMar w:top="1440" w:right="1440" w:bottom="1440" w:left="1440" w:header="709" w:footer="709" w:gutter="0"/>
          <w:cols w:space="708"/>
          <w:docGrid w:linePitch="360"/>
        </w:sectPr>
      </w:pPr>
    </w:p>
    <w:p w14:paraId="36D773A3" w14:textId="1E26BF02" w:rsidR="00C121F6" w:rsidRPr="00C121F6" w:rsidRDefault="00C121F6" w:rsidP="00C121F6">
      <w:pPr>
        <w:rPr>
          <w:rFonts w:cs="Arial"/>
          <w:sz w:val="22"/>
        </w:rPr>
      </w:pPr>
      <w:r w:rsidRPr="00905D43">
        <w:rPr>
          <w:rFonts w:cs="Arial"/>
          <w:b/>
          <w:bCs/>
          <w:sz w:val="22"/>
        </w:rPr>
        <w:lastRenderedPageBreak/>
        <w:t xml:space="preserve">Supplementary Table </w:t>
      </w:r>
      <w:r>
        <w:rPr>
          <w:rFonts w:cs="Arial"/>
          <w:b/>
          <w:bCs/>
          <w:sz w:val="22"/>
        </w:rPr>
        <w:t>3</w:t>
      </w:r>
      <w:r w:rsidRPr="00905D43">
        <w:rPr>
          <w:rFonts w:cs="Arial"/>
          <w:b/>
          <w:bCs/>
          <w:sz w:val="22"/>
        </w:rPr>
        <w:t>:</w:t>
      </w:r>
      <w:r>
        <w:rPr>
          <w:rFonts w:cs="Arial"/>
          <w:sz w:val="22"/>
        </w:rPr>
        <w:t xml:space="preserve"> Univariable association between percent mammographic density with risk factors both unadjusted and adjusted by age at mammogram.</w:t>
      </w:r>
    </w:p>
    <w:tbl>
      <w:tblPr>
        <w:tblW w:w="14760" w:type="dxa"/>
        <w:tblLook w:val="04A0" w:firstRow="1" w:lastRow="0" w:firstColumn="1" w:lastColumn="0" w:noHBand="0" w:noVBand="1"/>
      </w:tblPr>
      <w:tblGrid>
        <w:gridCol w:w="3380"/>
        <w:gridCol w:w="1420"/>
        <w:gridCol w:w="1760"/>
        <w:gridCol w:w="1080"/>
        <w:gridCol w:w="1800"/>
        <w:gridCol w:w="1220"/>
        <w:gridCol w:w="1080"/>
        <w:gridCol w:w="1800"/>
        <w:gridCol w:w="1220"/>
      </w:tblGrid>
      <w:tr w:rsidR="00636CB1" w:rsidRPr="00636CB1" w14:paraId="1520B21C" w14:textId="77777777" w:rsidTr="00636CB1">
        <w:trPr>
          <w:trHeight w:val="170"/>
        </w:trPr>
        <w:tc>
          <w:tcPr>
            <w:tcW w:w="4800" w:type="dxa"/>
            <w:gridSpan w:val="2"/>
            <w:tcBorders>
              <w:top w:val="single" w:sz="8" w:space="0" w:color="000000"/>
              <w:left w:val="nil"/>
              <w:bottom w:val="single" w:sz="8" w:space="0" w:color="000000"/>
              <w:right w:val="nil"/>
            </w:tcBorders>
            <w:vAlign w:val="center"/>
            <w:hideMark/>
          </w:tcPr>
          <w:p w14:paraId="26CBCD7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p>
        </w:tc>
        <w:tc>
          <w:tcPr>
            <w:tcW w:w="1760" w:type="dxa"/>
            <w:tcBorders>
              <w:top w:val="single" w:sz="8" w:space="0" w:color="000000"/>
              <w:left w:val="nil"/>
              <w:bottom w:val="single" w:sz="8" w:space="0" w:color="000000"/>
              <w:right w:val="nil"/>
            </w:tcBorders>
            <w:vAlign w:val="center"/>
            <w:hideMark/>
          </w:tcPr>
          <w:p w14:paraId="739609D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Density</w:t>
            </w:r>
          </w:p>
        </w:tc>
        <w:tc>
          <w:tcPr>
            <w:tcW w:w="4100" w:type="dxa"/>
            <w:gridSpan w:val="3"/>
            <w:tcBorders>
              <w:top w:val="single" w:sz="8" w:space="0" w:color="000000"/>
              <w:left w:val="nil"/>
              <w:bottom w:val="single" w:sz="8" w:space="0" w:color="000000"/>
              <w:right w:val="nil"/>
            </w:tcBorders>
            <w:vAlign w:val="center"/>
            <w:hideMark/>
          </w:tcPr>
          <w:p w14:paraId="5E05A05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Unadjusted</w:t>
            </w:r>
          </w:p>
        </w:tc>
        <w:tc>
          <w:tcPr>
            <w:tcW w:w="4100" w:type="dxa"/>
            <w:gridSpan w:val="3"/>
            <w:tcBorders>
              <w:top w:val="single" w:sz="8" w:space="0" w:color="000000"/>
              <w:left w:val="nil"/>
              <w:bottom w:val="single" w:sz="8" w:space="0" w:color="000000"/>
              <w:right w:val="nil"/>
            </w:tcBorders>
            <w:vAlign w:val="center"/>
            <w:hideMark/>
          </w:tcPr>
          <w:p w14:paraId="18E49B2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Adjusted for age at mammogram</w:t>
            </w:r>
          </w:p>
        </w:tc>
      </w:tr>
      <w:tr w:rsidR="00636CB1" w:rsidRPr="00636CB1" w14:paraId="1F313F7F" w14:textId="77777777" w:rsidTr="00636CB1">
        <w:trPr>
          <w:trHeight w:val="170"/>
        </w:trPr>
        <w:tc>
          <w:tcPr>
            <w:tcW w:w="3380" w:type="dxa"/>
            <w:tcBorders>
              <w:top w:val="nil"/>
              <w:left w:val="nil"/>
              <w:bottom w:val="single" w:sz="8" w:space="0" w:color="000000"/>
              <w:right w:val="nil"/>
            </w:tcBorders>
            <w:vAlign w:val="center"/>
            <w:hideMark/>
          </w:tcPr>
          <w:p w14:paraId="225DA395"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Characteristic</w:t>
            </w:r>
          </w:p>
        </w:tc>
        <w:tc>
          <w:tcPr>
            <w:tcW w:w="1420" w:type="dxa"/>
            <w:tcBorders>
              <w:top w:val="nil"/>
              <w:left w:val="nil"/>
              <w:bottom w:val="single" w:sz="8" w:space="0" w:color="000000"/>
              <w:right w:val="nil"/>
            </w:tcBorders>
            <w:vAlign w:val="center"/>
            <w:hideMark/>
          </w:tcPr>
          <w:p w14:paraId="7D59429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N = 1,191</w:t>
            </w:r>
            <w:r w:rsidRPr="00636CB1">
              <w:rPr>
                <w:rFonts w:ascii="Aptos Narrow" w:eastAsia="Times New Roman" w:hAnsi="Aptos Narrow" w:cs="Arial"/>
                <w:kern w:val="0"/>
                <w:sz w:val="22"/>
                <w:vertAlign w:val="superscript"/>
                <w:lang w:eastAsia="en-GB"/>
                <w14:ligatures w14:val="none"/>
              </w:rPr>
              <w:t>1</w:t>
            </w:r>
          </w:p>
        </w:tc>
        <w:tc>
          <w:tcPr>
            <w:tcW w:w="1760" w:type="dxa"/>
            <w:tcBorders>
              <w:top w:val="nil"/>
              <w:left w:val="nil"/>
              <w:bottom w:val="single" w:sz="8" w:space="0" w:color="000000"/>
              <w:right w:val="nil"/>
            </w:tcBorders>
            <w:vAlign w:val="center"/>
            <w:hideMark/>
          </w:tcPr>
          <w:p w14:paraId="645BEB2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N = 1,191</w:t>
            </w:r>
            <w:r w:rsidRPr="00636CB1">
              <w:rPr>
                <w:rFonts w:ascii="Aptos Narrow" w:eastAsia="Times New Roman" w:hAnsi="Aptos Narrow" w:cs="Arial"/>
                <w:kern w:val="0"/>
                <w:sz w:val="22"/>
                <w:vertAlign w:val="superscript"/>
                <w:lang w:eastAsia="en-GB"/>
                <w14:ligatures w14:val="none"/>
              </w:rPr>
              <w:t>2</w:t>
            </w:r>
          </w:p>
        </w:tc>
        <w:tc>
          <w:tcPr>
            <w:tcW w:w="1080" w:type="dxa"/>
            <w:tcBorders>
              <w:top w:val="nil"/>
              <w:left w:val="nil"/>
              <w:bottom w:val="single" w:sz="8" w:space="0" w:color="000000"/>
              <w:right w:val="nil"/>
            </w:tcBorders>
            <w:vAlign w:val="center"/>
            <w:hideMark/>
          </w:tcPr>
          <w:p w14:paraId="35580FD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Beta</w:t>
            </w:r>
          </w:p>
        </w:tc>
        <w:tc>
          <w:tcPr>
            <w:tcW w:w="1800" w:type="dxa"/>
            <w:tcBorders>
              <w:top w:val="nil"/>
              <w:left w:val="nil"/>
              <w:bottom w:val="single" w:sz="8" w:space="0" w:color="000000"/>
              <w:right w:val="nil"/>
            </w:tcBorders>
            <w:vAlign w:val="center"/>
            <w:hideMark/>
          </w:tcPr>
          <w:p w14:paraId="0E65074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95% CI</w:t>
            </w:r>
            <w:r w:rsidRPr="00636CB1">
              <w:rPr>
                <w:rFonts w:ascii="Aptos Narrow" w:eastAsia="Times New Roman" w:hAnsi="Aptos Narrow" w:cs="Arial"/>
                <w:kern w:val="0"/>
                <w:sz w:val="22"/>
                <w:vertAlign w:val="superscript"/>
                <w:lang w:eastAsia="en-GB"/>
                <w14:ligatures w14:val="none"/>
              </w:rPr>
              <w:t>3</w:t>
            </w:r>
          </w:p>
        </w:tc>
        <w:tc>
          <w:tcPr>
            <w:tcW w:w="1220" w:type="dxa"/>
            <w:tcBorders>
              <w:top w:val="nil"/>
              <w:left w:val="nil"/>
              <w:bottom w:val="single" w:sz="8" w:space="0" w:color="000000"/>
              <w:right w:val="nil"/>
            </w:tcBorders>
            <w:vAlign w:val="center"/>
            <w:hideMark/>
          </w:tcPr>
          <w:p w14:paraId="54D3C8B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p-value</w:t>
            </w:r>
          </w:p>
        </w:tc>
        <w:tc>
          <w:tcPr>
            <w:tcW w:w="1080" w:type="dxa"/>
            <w:tcBorders>
              <w:top w:val="nil"/>
              <w:left w:val="nil"/>
              <w:bottom w:val="single" w:sz="8" w:space="0" w:color="000000"/>
              <w:right w:val="nil"/>
            </w:tcBorders>
            <w:vAlign w:val="center"/>
            <w:hideMark/>
          </w:tcPr>
          <w:p w14:paraId="5BC6E8B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Beta</w:t>
            </w:r>
          </w:p>
        </w:tc>
        <w:tc>
          <w:tcPr>
            <w:tcW w:w="1800" w:type="dxa"/>
            <w:tcBorders>
              <w:top w:val="nil"/>
              <w:left w:val="nil"/>
              <w:bottom w:val="single" w:sz="8" w:space="0" w:color="000000"/>
              <w:right w:val="nil"/>
            </w:tcBorders>
            <w:vAlign w:val="center"/>
            <w:hideMark/>
          </w:tcPr>
          <w:p w14:paraId="78DBB4E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95% CI</w:t>
            </w:r>
            <w:r w:rsidRPr="00636CB1">
              <w:rPr>
                <w:rFonts w:ascii="Aptos Narrow" w:eastAsia="Times New Roman" w:hAnsi="Aptos Narrow" w:cs="Arial"/>
                <w:kern w:val="0"/>
                <w:sz w:val="22"/>
                <w:vertAlign w:val="superscript"/>
                <w:lang w:eastAsia="en-GB"/>
                <w14:ligatures w14:val="none"/>
              </w:rPr>
              <w:t>3</w:t>
            </w:r>
          </w:p>
        </w:tc>
        <w:tc>
          <w:tcPr>
            <w:tcW w:w="1220" w:type="dxa"/>
            <w:tcBorders>
              <w:top w:val="nil"/>
              <w:left w:val="nil"/>
              <w:bottom w:val="single" w:sz="8" w:space="0" w:color="000000"/>
              <w:right w:val="nil"/>
            </w:tcBorders>
            <w:vAlign w:val="center"/>
            <w:hideMark/>
          </w:tcPr>
          <w:p w14:paraId="1FB934F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p-value</w:t>
            </w:r>
          </w:p>
        </w:tc>
      </w:tr>
      <w:tr w:rsidR="00636CB1" w:rsidRPr="00636CB1" w14:paraId="5E920342" w14:textId="77777777" w:rsidTr="00636CB1">
        <w:trPr>
          <w:trHeight w:val="170"/>
        </w:trPr>
        <w:tc>
          <w:tcPr>
            <w:tcW w:w="3380" w:type="dxa"/>
            <w:tcBorders>
              <w:top w:val="nil"/>
              <w:left w:val="nil"/>
              <w:bottom w:val="nil"/>
              <w:right w:val="nil"/>
            </w:tcBorders>
            <w:hideMark/>
          </w:tcPr>
          <w:p w14:paraId="3F5DB039"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Age at menarche</w:t>
            </w:r>
          </w:p>
        </w:tc>
        <w:tc>
          <w:tcPr>
            <w:tcW w:w="1420" w:type="dxa"/>
            <w:tcBorders>
              <w:top w:val="nil"/>
              <w:left w:val="nil"/>
              <w:bottom w:val="nil"/>
              <w:right w:val="nil"/>
            </w:tcBorders>
            <w:hideMark/>
          </w:tcPr>
          <w:p w14:paraId="083E4052"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57363373"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55609C5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7659AB9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6918835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6C7479F3"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4B77401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8E2598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0D8DF21B" w14:textId="77777777" w:rsidTr="00636CB1">
        <w:trPr>
          <w:trHeight w:val="170"/>
        </w:trPr>
        <w:tc>
          <w:tcPr>
            <w:tcW w:w="3380" w:type="dxa"/>
            <w:tcBorders>
              <w:top w:val="nil"/>
              <w:left w:val="nil"/>
              <w:bottom w:val="nil"/>
              <w:right w:val="nil"/>
            </w:tcBorders>
            <w:hideMark/>
          </w:tcPr>
          <w:p w14:paraId="2293EC0C"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&lt;12</w:t>
            </w:r>
          </w:p>
        </w:tc>
        <w:tc>
          <w:tcPr>
            <w:tcW w:w="1420" w:type="dxa"/>
            <w:tcBorders>
              <w:top w:val="nil"/>
              <w:left w:val="nil"/>
              <w:bottom w:val="nil"/>
              <w:right w:val="nil"/>
            </w:tcBorders>
            <w:hideMark/>
          </w:tcPr>
          <w:p w14:paraId="1FD33F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265</w:t>
            </w:r>
          </w:p>
        </w:tc>
        <w:tc>
          <w:tcPr>
            <w:tcW w:w="1760" w:type="dxa"/>
            <w:tcBorders>
              <w:top w:val="nil"/>
              <w:left w:val="nil"/>
              <w:bottom w:val="nil"/>
              <w:right w:val="nil"/>
            </w:tcBorders>
            <w:hideMark/>
          </w:tcPr>
          <w:p w14:paraId="06382C1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21.90 (16.61)</w:t>
            </w:r>
          </w:p>
        </w:tc>
        <w:tc>
          <w:tcPr>
            <w:tcW w:w="1080" w:type="dxa"/>
            <w:tcBorders>
              <w:top w:val="nil"/>
              <w:left w:val="nil"/>
              <w:bottom w:val="nil"/>
              <w:right w:val="nil"/>
            </w:tcBorders>
            <w:hideMark/>
          </w:tcPr>
          <w:p w14:paraId="33FFCA8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709F0B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53647B7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50E2508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53887B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4BB393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33E98233" w14:textId="77777777" w:rsidTr="00636CB1">
        <w:trPr>
          <w:trHeight w:val="170"/>
        </w:trPr>
        <w:tc>
          <w:tcPr>
            <w:tcW w:w="3380" w:type="dxa"/>
            <w:tcBorders>
              <w:top w:val="nil"/>
              <w:left w:val="nil"/>
              <w:bottom w:val="nil"/>
              <w:right w:val="nil"/>
            </w:tcBorders>
            <w:hideMark/>
          </w:tcPr>
          <w:p w14:paraId="198DBF7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12-13</w:t>
            </w:r>
          </w:p>
        </w:tc>
        <w:tc>
          <w:tcPr>
            <w:tcW w:w="1420" w:type="dxa"/>
            <w:tcBorders>
              <w:top w:val="nil"/>
              <w:left w:val="nil"/>
              <w:bottom w:val="nil"/>
              <w:right w:val="nil"/>
            </w:tcBorders>
            <w:hideMark/>
          </w:tcPr>
          <w:p w14:paraId="6DF700E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544</w:t>
            </w:r>
          </w:p>
        </w:tc>
        <w:tc>
          <w:tcPr>
            <w:tcW w:w="1760" w:type="dxa"/>
            <w:tcBorders>
              <w:top w:val="nil"/>
              <w:left w:val="nil"/>
              <w:bottom w:val="nil"/>
              <w:right w:val="nil"/>
            </w:tcBorders>
            <w:hideMark/>
          </w:tcPr>
          <w:p w14:paraId="37EACBD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26.43 (18.09)</w:t>
            </w:r>
          </w:p>
        </w:tc>
        <w:tc>
          <w:tcPr>
            <w:tcW w:w="1080" w:type="dxa"/>
            <w:tcBorders>
              <w:top w:val="nil"/>
              <w:left w:val="nil"/>
              <w:bottom w:val="nil"/>
              <w:right w:val="nil"/>
            </w:tcBorders>
            <w:hideMark/>
          </w:tcPr>
          <w:p w14:paraId="459A4E1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4.53</w:t>
            </w:r>
          </w:p>
        </w:tc>
        <w:tc>
          <w:tcPr>
            <w:tcW w:w="1800" w:type="dxa"/>
            <w:tcBorders>
              <w:top w:val="nil"/>
              <w:left w:val="nil"/>
              <w:bottom w:val="nil"/>
              <w:right w:val="nil"/>
            </w:tcBorders>
            <w:hideMark/>
          </w:tcPr>
          <w:p w14:paraId="4BB3C76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1.96, 7.09</w:t>
            </w:r>
          </w:p>
        </w:tc>
        <w:tc>
          <w:tcPr>
            <w:tcW w:w="1220" w:type="dxa"/>
            <w:tcBorders>
              <w:top w:val="nil"/>
              <w:left w:val="nil"/>
              <w:bottom w:val="nil"/>
              <w:right w:val="nil"/>
            </w:tcBorders>
            <w:hideMark/>
          </w:tcPr>
          <w:p w14:paraId="4AF50FC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366B5E4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4.69</w:t>
            </w:r>
          </w:p>
        </w:tc>
        <w:tc>
          <w:tcPr>
            <w:tcW w:w="1800" w:type="dxa"/>
            <w:tcBorders>
              <w:top w:val="nil"/>
              <w:left w:val="nil"/>
              <w:bottom w:val="nil"/>
              <w:right w:val="nil"/>
            </w:tcBorders>
            <w:hideMark/>
          </w:tcPr>
          <w:p w14:paraId="500D600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2.17, 7.22</w:t>
            </w:r>
          </w:p>
        </w:tc>
        <w:tc>
          <w:tcPr>
            <w:tcW w:w="1220" w:type="dxa"/>
            <w:tcBorders>
              <w:top w:val="nil"/>
              <w:left w:val="nil"/>
              <w:bottom w:val="nil"/>
              <w:right w:val="nil"/>
            </w:tcBorders>
            <w:hideMark/>
          </w:tcPr>
          <w:p w14:paraId="2C28CA6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684FA78A" w14:textId="77777777" w:rsidTr="00636CB1">
        <w:trPr>
          <w:trHeight w:val="170"/>
        </w:trPr>
        <w:tc>
          <w:tcPr>
            <w:tcW w:w="3380" w:type="dxa"/>
            <w:tcBorders>
              <w:top w:val="nil"/>
              <w:left w:val="nil"/>
              <w:bottom w:val="nil"/>
              <w:right w:val="nil"/>
            </w:tcBorders>
            <w:hideMark/>
          </w:tcPr>
          <w:p w14:paraId="20349B85"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14+</w:t>
            </w:r>
          </w:p>
        </w:tc>
        <w:tc>
          <w:tcPr>
            <w:tcW w:w="1420" w:type="dxa"/>
            <w:tcBorders>
              <w:top w:val="nil"/>
              <w:left w:val="nil"/>
              <w:bottom w:val="nil"/>
              <w:right w:val="nil"/>
            </w:tcBorders>
            <w:hideMark/>
          </w:tcPr>
          <w:p w14:paraId="1D3F119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277</w:t>
            </w:r>
          </w:p>
        </w:tc>
        <w:tc>
          <w:tcPr>
            <w:tcW w:w="1760" w:type="dxa"/>
            <w:tcBorders>
              <w:top w:val="nil"/>
              <w:left w:val="nil"/>
              <w:bottom w:val="nil"/>
              <w:right w:val="nil"/>
            </w:tcBorders>
            <w:hideMark/>
          </w:tcPr>
          <w:p w14:paraId="179374C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26.52 (17.01)</w:t>
            </w:r>
          </w:p>
        </w:tc>
        <w:tc>
          <w:tcPr>
            <w:tcW w:w="1080" w:type="dxa"/>
            <w:tcBorders>
              <w:top w:val="nil"/>
              <w:left w:val="nil"/>
              <w:bottom w:val="nil"/>
              <w:right w:val="nil"/>
            </w:tcBorders>
            <w:hideMark/>
          </w:tcPr>
          <w:p w14:paraId="0EF3A76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4.62</w:t>
            </w:r>
          </w:p>
        </w:tc>
        <w:tc>
          <w:tcPr>
            <w:tcW w:w="1800" w:type="dxa"/>
            <w:tcBorders>
              <w:top w:val="nil"/>
              <w:left w:val="nil"/>
              <w:bottom w:val="nil"/>
              <w:right w:val="nil"/>
            </w:tcBorders>
            <w:hideMark/>
          </w:tcPr>
          <w:p w14:paraId="3468C06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1.67, 7.56</w:t>
            </w:r>
          </w:p>
        </w:tc>
        <w:tc>
          <w:tcPr>
            <w:tcW w:w="1220" w:type="dxa"/>
            <w:tcBorders>
              <w:top w:val="nil"/>
              <w:left w:val="nil"/>
              <w:bottom w:val="nil"/>
              <w:right w:val="nil"/>
            </w:tcBorders>
            <w:hideMark/>
          </w:tcPr>
          <w:p w14:paraId="31A90D0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0.002</w:t>
            </w:r>
          </w:p>
        </w:tc>
        <w:tc>
          <w:tcPr>
            <w:tcW w:w="1080" w:type="dxa"/>
            <w:tcBorders>
              <w:top w:val="nil"/>
              <w:left w:val="nil"/>
              <w:bottom w:val="nil"/>
              <w:right w:val="nil"/>
            </w:tcBorders>
            <w:hideMark/>
          </w:tcPr>
          <w:p w14:paraId="3D666DF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4.69</w:t>
            </w:r>
          </w:p>
        </w:tc>
        <w:tc>
          <w:tcPr>
            <w:tcW w:w="1800" w:type="dxa"/>
            <w:tcBorders>
              <w:top w:val="nil"/>
              <w:left w:val="nil"/>
              <w:bottom w:val="nil"/>
              <w:right w:val="nil"/>
            </w:tcBorders>
            <w:hideMark/>
          </w:tcPr>
          <w:p w14:paraId="1D953FB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1.80, 7.59</w:t>
            </w:r>
          </w:p>
        </w:tc>
        <w:tc>
          <w:tcPr>
            <w:tcW w:w="1220" w:type="dxa"/>
            <w:tcBorders>
              <w:top w:val="nil"/>
              <w:left w:val="nil"/>
              <w:bottom w:val="nil"/>
              <w:right w:val="nil"/>
            </w:tcBorders>
            <w:hideMark/>
          </w:tcPr>
          <w:p w14:paraId="01BA6F6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0.001</w:t>
            </w:r>
          </w:p>
        </w:tc>
      </w:tr>
      <w:tr w:rsidR="00636CB1" w:rsidRPr="00636CB1" w14:paraId="398815C8" w14:textId="77777777" w:rsidTr="00636CB1">
        <w:trPr>
          <w:trHeight w:val="170"/>
        </w:trPr>
        <w:tc>
          <w:tcPr>
            <w:tcW w:w="3380" w:type="dxa"/>
            <w:tcBorders>
              <w:top w:val="nil"/>
              <w:left w:val="nil"/>
              <w:bottom w:val="nil"/>
              <w:right w:val="nil"/>
            </w:tcBorders>
            <w:hideMark/>
          </w:tcPr>
          <w:p w14:paraId="52DB4807"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Oral contraception status</w:t>
            </w:r>
          </w:p>
        </w:tc>
        <w:tc>
          <w:tcPr>
            <w:tcW w:w="1420" w:type="dxa"/>
            <w:tcBorders>
              <w:top w:val="nil"/>
              <w:left w:val="nil"/>
              <w:bottom w:val="nil"/>
              <w:right w:val="nil"/>
            </w:tcBorders>
            <w:hideMark/>
          </w:tcPr>
          <w:p w14:paraId="41671ECB"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2C151AF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40B7C7E0"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657BAFE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518B88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306B7A3E"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263D71A5"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1E3D879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2F86ADBB" w14:textId="77777777" w:rsidTr="00636CB1">
        <w:trPr>
          <w:trHeight w:val="170"/>
        </w:trPr>
        <w:tc>
          <w:tcPr>
            <w:tcW w:w="3380" w:type="dxa"/>
            <w:tcBorders>
              <w:top w:val="nil"/>
              <w:left w:val="nil"/>
              <w:bottom w:val="nil"/>
              <w:right w:val="nil"/>
            </w:tcBorders>
            <w:hideMark/>
          </w:tcPr>
          <w:p w14:paraId="34B876A5"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Never</w:t>
            </w:r>
          </w:p>
        </w:tc>
        <w:tc>
          <w:tcPr>
            <w:tcW w:w="1420" w:type="dxa"/>
            <w:tcBorders>
              <w:top w:val="nil"/>
              <w:left w:val="nil"/>
              <w:bottom w:val="nil"/>
              <w:right w:val="nil"/>
            </w:tcBorders>
            <w:hideMark/>
          </w:tcPr>
          <w:p w14:paraId="23AC5B6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201</w:t>
            </w:r>
          </w:p>
        </w:tc>
        <w:tc>
          <w:tcPr>
            <w:tcW w:w="1760" w:type="dxa"/>
            <w:tcBorders>
              <w:top w:val="nil"/>
              <w:left w:val="nil"/>
              <w:bottom w:val="nil"/>
              <w:right w:val="nil"/>
            </w:tcBorders>
            <w:hideMark/>
          </w:tcPr>
          <w:p w14:paraId="263A5E0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22.79 (15.69)</w:t>
            </w:r>
          </w:p>
        </w:tc>
        <w:tc>
          <w:tcPr>
            <w:tcW w:w="1080" w:type="dxa"/>
            <w:tcBorders>
              <w:top w:val="nil"/>
              <w:left w:val="nil"/>
              <w:bottom w:val="nil"/>
              <w:right w:val="nil"/>
            </w:tcBorders>
            <w:hideMark/>
          </w:tcPr>
          <w:p w14:paraId="2834DD9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0F2607E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41091FA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1610062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FC8369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EE342C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60443F98" w14:textId="77777777" w:rsidTr="00636CB1">
        <w:trPr>
          <w:trHeight w:val="170"/>
        </w:trPr>
        <w:tc>
          <w:tcPr>
            <w:tcW w:w="3380" w:type="dxa"/>
            <w:tcBorders>
              <w:top w:val="nil"/>
              <w:left w:val="nil"/>
              <w:bottom w:val="nil"/>
              <w:right w:val="nil"/>
            </w:tcBorders>
            <w:hideMark/>
          </w:tcPr>
          <w:p w14:paraId="5CC3B10E"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Ever</w:t>
            </w:r>
          </w:p>
        </w:tc>
        <w:tc>
          <w:tcPr>
            <w:tcW w:w="1420" w:type="dxa"/>
            <w:tcBorders>
              <w:top w:val="nil"/>
              <w:left w:val="nil"/>
              <w:bottom w:val="nil"/>
              <w:right w:val="nil"/>
            </w:tcBorders>
            <w:hideMark/>
          </w:tcPr>
          <w:p w14:paraId="5A6C42E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988</w:t>
            </w:r>
          </w:p>
        </w:tc>
        <w:tc>
          <w:tcPr>
            <w:tcW w:w="1760" w:type="dxa"/>
            <w:tcBorders>
              <w:top w:val="nil"/>
              <w:left w:val="nil"/>
              <w:bottom w:val="nil"/>
              <w:right w:val="nil"/>
            </w:tcBorders>
            <w:hideMark/>
          </w:tcPr>
          <w:p w14:paraId="0650339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25.93 (17.96)</w:t>
            </w:r>
          </w:p>
        </w:tc>
        <w:tc>
          <w:tcPr>
            <w:tcW w:w="1080" w:type="dxa"/>
            <w:tcBorders>
              <w:top w:val="nil"/>
              <w:left w:val="nil"/>
              <w:bottom w:val="nil"/>
              <w:right w:val="nil"/>
            </w:tcBorders>
            <w:hideMark/>
          </w:tcPr>
          <w:p w14:paraId="4DD8429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3.14</w:t>
            </w:r>
          </w:p>
        </w:tc>
        <w:tc>
          <w:tcPr>
            <w:tcW w:w="1800" w:type="dxa"/>
            <w:tcBorders>
              <w:top w:val="nil"/>
              <w:left w:val="nil"/>
              <w:bottom w:val="nil"/>
              <w:right w:val="nil"/>
            </w:tcBorders>
            <w:hideMark/>
          </w:tcPr>
          <w:p w14:paraId="7C7F2B5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0.47, 5.82</w:t>
            </w:r>
          </w:p>
        </w:tc>
        <w:tc>
          <w:tcPr>
            <w:tcW w:w="1220" w:type="dxa"/>
            <w:tcBorders>
              <w:top w:val="nil"/>
              <w:left w:val="nil"/>
              <w:bottom w:val="nil"/>
              <w:right w:val="nil"/>
            </w:tcBorders>
            <w:hideMark/>
          </w:tcPr>
          <w:p w14:paraId="35AE80F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0.021</w:t>
            </w:r>
          </w:p>
        </w:tc>
        <w:tc>
          <w:tcPr>
            <w:tcW w:w="1080" w:type="dxa"/>
            <w:tcBorders>
              <w:top w:val="nil"/>
              <w:left w:val="nil"/>
              <w:bottom w:val="nil"/>
              <w:right w:val="nil"/>
            </w:tcBorders>
            <w:hideMark/>
          </w:tcPr>
          <w:p w14:paraId="0295A3C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0.62</w:t>
            </w:r>
          </w:p>
        </w:tc>
        <w:tc>
          <w:tcPr>
            <w:tcW w:w="1800" w:type="dxa"/>
            <w:tcBorders>
              <w:top w:val="nil"/>
              <w:left w:val="nil"/>
              <w:bottom w:val="nil"/>
              <w:right w:val="nil"/>
            </w:tcBorders>
            <w:hideMark/>
          </w:tcPr>
          <w:p w14:paraId="41B7BC7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-2.11, 3.35</w:t>
            </w:r>
          </w:p>
        </w:tc>
        <w:tc>
          <w:tcPr>
            <w:tcW w:w="1220" w:type="dxa"/>
            <w:tcBorders>
              <w:top w:val="nil"/>
              <w:left w:val="nil"/>
              <w:bottom w:val="nil"/>
              <w:right w:val="nil"/>
            </w:tcBorders>
            <w:hideMark/>
          </w:tcPr>
          <w:p w14:paraId="40C4FDA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0.656</w:t>
            </w:r>
          </w:p>
        </w:tc>
      </w:tr>
      <w:tr w:rsidR="00636CB1" w:rsidRPr="00636CB1" w14:paraId="289147C7" w14:textId="77777777" w:rsidTr="00636CB1">
        <w:trPr>
          <w:trHeight w:val="170"/>
        </w:trPr>
        <w:tc>
          <w:tcPr>
            <w:tcW w:w="3380" w:type="dxa"/>
            <w:tcBorders>
              <w:top w:val="nil"/>
              <w:left w:val="nil"/>
              <w:bottom w:val="nil"/>
              <w:right w:val="nil"/>
            </w:tcBorders>
            <w:hideMark/>
          </w:tcPr>
          <w:p w14:paraId="35488615"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Parity</w:t>
            </w:r>
          </w:p>
        </w:tc>
        <w:tc>
          <w:tcPr>
            <w:tcW w:w="1420" w:type="dxa"/>
            <w:tcBorders>
              <w:top w:val="nil"/>
              <w:left w:val="nil"/>
              <w:bottom w:val="nil"/>
              <w:right w:val="nil"/>
            </w:tcBorders>
            <w:hideMark/>
          </w:tcPr>
          <w:p w14:paraId="3A4CA1A1"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28E17AB3"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6D2CFD5E"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7200DEE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674498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563521B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4F5A943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60F4C0B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0A474950" w14:textId="77777777" w:rsidTr="00636CB1">
        <w:trPr>
          <w:trHeight w:val="170"/>
        </w:trPr>
        <w:tc>
          <w:tcPr>
            <w:tcW w:w="3380" w:type="dxa"/>
            <w:tcBorders>
              <w:top w:val="nil"/>
              <w:left w:val="nil"/>
              <w:bottom w:val="nil"/>
              <w:right w:val="nil"/>
            </w:tcBorders>
            <w:hideMark/>
          </w:tcPr>
          <w:p w14:paraId="687B7256"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w:t>
            </w:r>
          </w:p>
        </w:tc>
        <w:tc>
          <w:tcPr>
            <w:tcW w:w="1420" w:type="dxa"/>
            <w:tcBorders>
              <w:top w:val="nil"/>
              <w:left w:val="nil"/>
              <w:bottom w:val="nil"/>
              <w:right w:val="nil"/>
            </w:tcBorders>
            <w:hideMark/>
          </w:tcPr>
          <w:p w14:paraId="62DE2D4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154</w:t>
            </w:r>
          </w:p>
        </w:tc>
        <w:tc>
          <w:tcPr>
            <w:tcW w:w="1760" w:type="dxa"/>
            <w:tcBorders>
              <w:top w:val="nil"/>
              <w:left w:val="nil"/>
              <w:bottom w:val="nil"/>
              <w:right w:val="nil"/>
            </w:tcBorders>
            <w:hideMark/>
          </w:tcPr>
          <w:p w14:paraId="007CB79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30.70 (20.53)</w:t>
            </w:r>
          </w:p>
        </w:tc>
        <w:tc>
          <w:tcPr>
            <w:tcW w:w="1080" w:type="dxa"/>
            <w:tcBorders>
              <w:top w:val="nil"/>
              <w:left w:val="nil"/>
              <w:bottom w:val="nil"/>
              <w:right w:val="nil"/>
            </w:tcBorders>
            <w:hideMark/>
          </w:tcPr>
          <w:p w14:paraId="4B9B124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71967D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44B188E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69DF0CE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2CFE7F6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A69DCC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5FA6E151" w14:textId="77777777" w:rsidTr="00636CB1">
        <w:trPr>
          <w:trHeight w:val="170"/>
        </w:trPr>
        <w:tc>
          <w:tcPr>
            <w:tcW w:w="3380" w:type="dxa"/>
            <w:tcBorders>
              <w:top w:val="nil"/>
              <w:left w:val="nil"/>
              <w:bottom w:val="nil"/>
              <w:right w:val="nil"/>
            </w:tcBorders>
            <w:hideMark/>
          </w:tcPr>
          <w:p w14:paraId="6BD42A12"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w:t>
            </w:r>
          </w:p>
        </w:tc>
        <w:tc>
          <w:tcPr>
            <w:tcW w:w="1420" w:type="dxa"/>
            <w:tcBorders>
              <w:top w:val="nil"/>
              <w:left w:val="nil"/>
              <w:bottom w:val="nil"/>
              <w:right w:val="nil"/>
            </w:tcBorders>
            <w:hideMark/>
          </w:tcPr>
          <w:p w14:paraId="455EF49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137</w:t>
            </w:r>
          </w:p>
        </w:tc>
        <w:tc>
          <w:tcPr>
            <w:tcW w:w="1760" w:type="dxa"/>
            <w:tcBorders>
              <w:top w:val="nil"/>
              <w:left w:val="nil"/>
              <w:bottom w:val="nil"/>
              <w:right w:val="nil"/>
            </w:tcBorders>
            <w:hideMark/>
          </w:tcPr>
          <w:p w14:paraId="66DA2F0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25.03 (18.04)</w:t>
            </w:r>
          </w:p>
        </w:tc>
        <w:tc>
          <w:tcPr>
            <w:tcW w:w="1080" w:type="dxa"/>
            <w:tcBorders>
              <w:top w:val="nil"/>
              <w:left w:val="nil"/>
              <w:bottom w:val="nil"/>
              <w:right w:val="nil"/>
            </w:tcBorders>
            <w:hideMark/>
          </w:tcPr>
          <w:p w14:paraId="5B4B082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-5.67</w:t>
            </w:r>
          </w:p>
        </w:tc>
        <w:tc>
          <w:tcPr>
            <w:tcW w:w="1800" w:type="dxa"/>
            <w:tcBorders>
              <w:top w:val="nil"/>
              <w:left w:val="nil"/>
              <w:bottom w:val="nil"/>
              <w:right w:val="nil"/>
            </w:tcBorders>
            <w:hideMark/>
          </w:tcPr>
          <w:p w14:paraId="68843CC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-9.71, -1.63</w:t>
            </w:r>
          </w:p>
        </w:tc>
        <w:tc>
          <w:tcPr>
            <w:tcW w:w="1220" w:type="dxa"/>
            <w:tcBorders>
              <w:top w:val="nil"/>
              <w:left w:val="nil"/>
              <w:bottom w:val="nil"/>
              <w:right w:val="nil"/>
            </w:tcBorders>
            <w:hideMark/>
          </w:tcPr>
          <w:p w14:paraId="341D314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0.006</w:t>
            </w:r>
          </w:p>
        </w:tc>
        <w:tc>
          <w:tcPr>
            <w:tcW w:w="1080" w:type="dxa"/>
            <w:tcBorders>
              <w:top w:val="nil"/>
              <w:left w:val="nil"/>
              <w:bottom w:val="nil"/>
              <w:right w:val="nil"/>
            </w:tcBorders>
            <w:hideMark/>
          </w:tcPr>
          <w:p w14:paraId="5EF8627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-5.57</w:t>
            </w:r>
          </w:p>
        </w:tc>
        <w:tc>
          <w:tcPr>
            <w:tcW w:w="1800" w:type="dxa"/>
            <w:tcBorders>
              <w:top w:val="nil"/>
              <w:left w:val="nil"/>
              <w:bottom w:val="nil"/>
              <w:right w:val="nil"/>
            </w:tcBorders>
            <w:hideMark/>
          </w:tcPr>
          <w:p w14:paraId="79E6116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-9.53, -1.60</w:t>
            </w:r>
          </w:p>
        </w:tc>
        <w:tc>
          <w:tcPr>
            <w:tcW w:w="1220" w:type="dxa"/>
            <w:tcBorders>
              <w:top w:val="nil"/>
              <w:left w:val="nil"/>
              <w:bottom w:val="nil"/>
              <w:right w:val="nil"/>
            </w:tcBorders>
            <w:hideMark/>
          </w:tcPr>
          <w:p w14:paraId="0A36494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0.006</w:t>
            </w:r>
          </w:p>
        </w:tc>
      </w:tr>
      <w:tr w:rsidR="00636CB1" w:rsidRPr="00636CB1" w14:paraId="6AEDB670" w14:textId="77777777" w:rsidTr="00636CB1">
        <w:trPr>
          <w:trHeight w:val="170"/>
        </w:trPr>
        <w:tc>
          <w:tcPr>
            <w:tcW w:w="3380" w:type="dxa"/>
            <w:tcBorders>
              <w:top w:val="nil"/>
              <w:left w:val="nil"/>
              <w:bottom w:val="nil"/>
              <w:right w:val="nil"/>
            </w:tcBorders>
            <w:hideMark/>
          </w:tcPr>
          <w:p w14:paraId="201ED22B"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w:t>
            </w:r>
          </w:p>
        </w:tc>
        <w:tc>
          <w:tcPr>
            <w:tcW w:w="1420" w:type="dxa"/>
            <w:tcBorders>
              <w:top w:val="nil"/>
              <w:left w:val="nil"/>
              <w:bottom w:val="nil"/>
              <w:right w:val="nil"/>
            </w:tcBorders>
            <w:hideMark/>
          </w:tcPr>
          <w:p w14:paraId="59718B1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628</w:t>
            </w:r>
          </w:p>
        </w:tc>
        <w:tc>
          <w:tcPr>
            <w:tcW w:w="1760" w:type="dxa"/>
            <w:tcBorders>
              <w:top w:val="nil"/>
              <w:left w:val="nil"/>
              <w:bottom w:val="nil"/>
              <w:right w:val="nil"/>
            </w:tcBorders>
            <w:hideMark/>
          </w:tcPr>
          <w:p w14:paraId="73F2F36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24.22 (16.77)</w:t>
            </w:r>
          </w:p>
        </w:tc>
        <w:tc>
          <w:tcPr>
            <w:tcW w:w="1080" w:type="dxa"/>
            <w:tcBorders>
              <w:top w:val="nil"/>
              <w:left w:val="nil"/>
              <w:bottom w:val="nil"/>
              <w:right w:val="nil"/>
            </w:tcBorders>
            <w:hideMark/>
          </w:tcPr>
          <w:p w14:paraId="4A6FEF9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-6.49</w:t>
            </w:r>
          </w:p>
        </w:tc>
        <w:tc>
          <w:tcPr>
            <w:tcW w:w="1800" w:type="dxa"/>
            <w:tcBorders>
              <w:top w:val="nil"/>
              <w:left w:val="nil"/>
              <w:bottom w:val="nil"/>
              <w:right w:val="nil"/>
            </w:tcBorders>
            <w:hideMark/>
          </w:tcPr>
          <w:p w14:paraId="43481B0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-9.58, -3.39</w:t>
            </w:r>
          </w:p>
        </w:tc>
        <w:tc>
          <w:tcPr>
            <w:tcW w:w="1220" w:type="dxa"/>
            <w:tcBorders>
              <w:top w:val="nil"/>
              <w:left w:val="nil"/>
              <w:bottom w:val="nil"/>
              <w:right w:val="nil"/>
            </w:tcBorders>
            <w:hideMark/>
          </w:tcPr>
          <w:p w14:paraId="404094F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08A0540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-5.64</w:t>
            </w:r>
          </w:p>
        </w:tc>
        <w:tc>
          <w:tcPr>
            <w:tcW w:w="1800" w:type="dxa"/>
            <w:tcBorders>
              <w:top w:val="nil"/>
              <w:left w:val="nil"/>
              <w:bottom w:val="nil"/>
              <w:right w:val="nil"/>
            </w:tcBorders>
            <w:hideMark/>
          </w:tcPr>
          <w:p w14:paraId="09C53BA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-8.69, -2.59</w:t>
            </w:r>
          </w:p>
        </w:tc>
        <w:tc>
          <w:tcPr>
            <w:tcW w:w="1220" w:type="dxa"/>
            <w:tcBorders>
              <w:top w:val="nil"/>
              <w:left w:val="nil"/>
              <w:bottom w:val="nil"/>
              <w:right w:val="nil"/>
            </w:tcBorders>
            <w:hideMark/>
          </w:tcPr>
          <w:p w14:paraId="6E8E7A1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250DC219" w14:textId="77777777" w:rsidTr="00636CB1">
        <w:trPr>
          <w:trHeight w:val="170"/>
        </w:trPr>
        <w:tc>
          <w:tcPr>
            <w:tcW w:w="3380" w:type="dxa"/>
            <w:tcBorders>
              <w:top w:val="nil"/>
              <w:left w:val="nil"/>
              <w:bottom w:val="nil"/>
              <w:right w:val="nil"/>
            </w:tcBorders>
            <w:hideMark/>
          </w:tcPr>
          <w:p w14:paraId="3C7CE5FE"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w:t>
            </w:r>
          </w:p>
        </w:tc>
        <w:tc>
          <w:tcPr>
            <w:tcW w:w="1420" w:type="dxa"/>
            <w:tcBorders>
              <w:top w:val="nil"/>
              <w:left w:val="nil"/>
              <w:bottom w:val="nil"/>
              <w:right w:val="nil"/>
            </w:tcBorders>
            <w:hideMark/>
          </w:tcPr>
          <w:p w14:paraId="1E900C2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272</w:t>
            </w:r>
          </w:p>
        </w:tc>
        <w:tc>
          <w:tcPr>
            <w:tcW w:w="1760" w:type="dxa"/>
            <w:tcBorders>
              <w:top w:val="nil"/>
              <w:left w:val="nil"/>
              <w:bottom w:val="nil"/>
              <w:right w:val="nil"/>
            </w:tcBorders>
            <w:hideMark/>
          </w:tcPr>
          <w:p w14:paraId="172E131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25.22 (17.15)</w:t>
            </w:r>
          </w:p>
        </w:tc>
        <w:tc>
          <w:tcPr>
            <w:tcW w:w="1080" w:type="dxa"/>
            <w:tcBorders>
              <w:top w:val="nil"/>
              <w:left w:val="nil"/>
              <w:bottom w:val="nil"/>
              <w:right w:val="nil"/>
            </w:tcBorders>
            <w:hideMark/>
          </w:tcPr>
          <w:p w14:paraId="5D9E85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-5.48</w:t>
            </w:r>
          </w:p>
        </w:tc>
        <w:tc>
          <w:tcPr>
            <w:tcW w:w="1800" w:type="dxa"/>
            <w:tcBorders>
              <w:top w:val="nil"/>
              <w:left w:val="nil"/>
              <w:bottom w:val="nil"/>
              <w:right w:val="nil"/>
            </w:tcBorders>
            <w:hideMark/>
          </w:tcPr>
          <w:p w14:paraId="2574C29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-8.95, -2.01</w:t>
            </w:r>
          </w:p>
        </w:tc>
        <w:tc>
          <w:tcPr>
            <w:tcW w:w="1220" w:type="dxa"/>
            <w:tcBorders>
              <w:top w:val="nil"/>
              <w:left w:val="nil"/>
              <w:bottom w:val="nil"/>
              <w:right w:val="nil"/>
            </w:tcBorders>
            <w:hideMark/>
          </w:tcPr>
          <w:p w14:paraId="0B5ADA9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0.002</w:t>
            </w:r>
          </w:p>
        </w:tc>
        <w:tc>
          <w:tcPr>
            <w:tcW w:w="1080" w:type="dxa"/>
            <w:tcBorders>
              <w:top w:val="nil"/>
              <w:left w:val="nil"/>
              <w:bottom w:val="nil"/>
              <w:right w:val="nil"/>
            </w:tcBorders>
            <w:hideMark/>
          </w:tcPr>
          <w:p w14:paraId="3780159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-4.73</w:t>
            </w:r>
          </w:p>
        </w:tc>
        <w:tc>
          <w:tcPr>
            <w:tcW w:w="1800" w:type="dxa"/>
            <w:tcBorders>
              <w:top w:val="nil"/>
              <w:left w:val="nil"/>
              <w:bottom w:val="nil"/>
              <w:right w:val="nil"/>
            </w:tcBorders>
            <w:hideMark/>
          </w:tcPr>
          <w:p w14:paraId="47C81F3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-8.14, -1.31</w:t>
            </w:r>
          </w:p>
        </w:tc>
        <w:tc>
          <w:tcPr>
            <w:tcW w:w="1220" w:type="dxa"/>
            <w:tcBorders>
              <w:top w:val="nil"/>
              <w:left w:val="nil"/>
              <w:bottom w:val="nil"/>
              <w:right w:val="nil"/>
            </w:tcBorders>
            <w:hideMark/>
          </w:tcPr>
          <w:p w14:paraId="6361412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0.007</w:t>
            </w:r>
          </w:p>
        </w:tc>
      </w:tr>
      <w:tr w:rsidR="00636CB1" w:rsidRPr="00636CB1" w14:paraId="04C3E500" w14:textId="77777777" w:rsidTr="00636CB1">
        <w:trPr>
          <w:trHeight w:val="170"/>
        </w:trPr>
        <w:tc>
          <w:tcPr>
            <w:tcW w:w="3380" w:type="dxa"/>
            <w:tcBorders>
              <w:top w:val="nil"/>
              <w:left w:val="nil"/>
              <w:bottom w:val="nil"/>
              <w:right w:val="nil"/>
            </w:tcBorders>
            <w:hideMark/>
          </w:tcPr>
          <w:p w14:paraId="1BDC0AC2"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Age at first birth</w:t>
            </w:r>
          </w:p>
        </w:tc>
        <w:tc>
          <w:tcPr>
            <w:tcW w:w="1420" w:type="dxa"/>
            <w:tcBorders>
              <w:top w:val="nil"/>
              <w:left w:val="nil"/>
              <w:bottom w:val="nil"/>
              <w:right w:val="nil"/>
            </w:tcBorders>
            <w:hideMark/>
          </w:tcPr>
          <w:p w14:paraId="63956780"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75B08E1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1147D41C"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BA1023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ADF2C8F"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1EBD3A5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5C743E59"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7288CA40"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59A365B0" w14:textId="77777777" w:rsidTr="00636CB1">
        <w:trPr>
          <w:trHeight w:val="170"/>
        </w:trPr>
        <w:tc>
          <w:tcPr>
            <w:tcW w:w="3380" w:type="dxa"/>
            <w:tcBorders>
              <w:top w:val="nil"/>
              <w:left w:val="nil"/>
              <w:bottom w:val="nil"/>
              <w:right w:val="nil"/>
            </w:tcBorders>
            <w:hideMark/>
          </w:tcPr>
          <w:p w14:paraId="6A34EC44"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&lt;20</w:t>
            </w:r>
          </w:p>
        </w:tc>
        <w:tc>
          <w:tcPr>
            <w:tcW w:w="1420" w:type="dxa"/>
            <w:tcBorders>
              <w:top w:val="nil"/>
              <w:left w:val="nil"/>
              <w:bottom w:val="nil"/>
              <w:right w:val="nil"/>
            </w:tcBorders>
            <w:hideMark/>
          </w:tcPr>
          <w:p w14:paraId="0B58E08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48</w:t>
            </w:r>
          </w:p>
        </w:tc>
        <w:tc>
          <w:tcPr>
            <w:tcW w:w="1760" w:type="dxa"/>
            <w:tcBorders>
              <w:top w:val="nil"/>
              <w:left w:val="nil"/>
              <w:bottom w:val="nil"/>
              <w:right w:val="nil"/>
            </w:tcBorders>
            <w:hideMark/>
          </w:tcPr>
          <w:p w14:paraId="6BAB074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20.86 (15.30)</w:t>
            </w:r>
          </w:p>
        </w:tc>
        <w:tc>
          <w:tcPr>
            <w:tcW w:w="1080" w:type="dxa"/>
            <w:tcBorders>
              <w:top w:val="nil"/>
              <w:left w:val="nil"/>
              <w:bottom w:val="nil"/>
              <w:right w:val="nil"/>
            </w:tcBorders>
            <w:hideMark/>
          </w:tcPr>
          <w:p w14:paraId="1B43971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0B076AA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694403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7070883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2826D16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743CC01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5D10DB76" w14:textId="77777777" w:rsidTr="00636CB1">
        <w:trPr>
          <w:trHeight w:val="170"/>
        </w:trPr>
        <w:tc>
          <w:tcPr>
            <w:tcW w:w="3380" w:type="dxa"/>
            <w:tcBorders>
              <w:top w:val="nil"/>
              <w:left w:val="nil"/>
              <w:bottom w:val="nil"/>
              <w:right w:val="nil"/>
            </w:tcBorders>
            <w:hideMark/>
          </w:tcPr>
          <w:p w14:paraId="6C80F7A9"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20-24</w:t>
            </w:r>
          </w:p>
        </w:tc>
        <w:tc>
          <w:tcPr>
            <w:tcW w:w="1420" w:type="dxa"/>
            <w:tcBorders>
              <w:top w:val="nil"/>
              <w:left w:val="nil"/>
              <w:bottom w:val="nil"/>
              <w:right w:val="nil"/>
            </w:tcBorders>
            <w:hideMark/>
          </w:tcPr>
          <w:p w14:paraId="2AAA0FB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328</w:t>
            </w:r>
          </w:p>
        </w:tc>
        <w:tc>
          <w:tcPr>
            <w:tcW w:w="1760" w:type="dxa"/>
            <w:tcBorders>
              <w:top w:val="nil"/>
              <w:left w:val="nil"/>
              <w:bottom w:val="nil"/>
              <w:right w:val="nil"/>
            </w:tcBorders>
            <w:hideMark/>
          </w:tcPr>
          <w:p w14:paraId="5929F37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24.08 (16.58)</w:t>
            </w:r>
          </w:p>
        </w:tc>
        <w:tc>
          <w:tcPr>
            <w:tcW w:w="1080" w:type="dxa"/>
            <w:tcBorders>
              <w:top w:val="nil"/>
              <w:left w:val="nil"/>
              <w:bottom w:val="nil"/>
              <w:right w:val="nil"/>
            </w:tcBorders>
            <w:hideMark/>
          </w:tcPr>
          <w:p w14:paraId="396DEC1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3.22</w:t>
            </w:r>
          </w:p>
        </w:tc>
        <w:tc>
          <w:tcPr>
            <w:tcW w:w="1800" w:type="dxa"/>
            <w:tcBorders>
              <w:top w:val="nil"/>
              <w:left w:val="nil"/>
              <w:bottom w:val="nil"/>
              <w:right w:val="nil"/>
            </w:tcBorders>
            <w:hideMark/>
          </w:tcPr>
          <w:p w14:paraId="4907936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-1.94, 8.38</w:t>
            </w:r>
          </w:p>
        </w:tc>
        <w:tc>
          <w:tcPr>
            <w:tcW w:w="1220" w:type="dxa"/>
            <w:tcBorders>
              <w:top w:val="nil"/>
              <w:left w:val="nil"/>
              <w:bottom w:val="nil"/>
              <w:right w:val="nil"/>
            </w:tcBorders>
            <w:hideMark/>
          </w:tcPr>
          <w:p w14:paraId="42AF078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0.221</w:t>
            </w:r>
          </w:p>
        </w:tc>
        <w:tc>
          <w:tcPr>
            <w:tcW w:w="1080" w:type="dxa"/>
            <w:tcBorders>
              <w:top w:val="nil"/>
              <w:left w:val="nil"/>
              <w:bottom w:val="nil"/>
              <w:right w:val="nil"/>
            </w:tcBorders>
            <w:hideMark/>
          </w:tcPr>
          <w:p w14:paraId="4FC16EF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3.72</w:t>
            </w:r>
          </w:p>
        </w:tc>
        <w:tc>
          <w:tcPr>
            <w:tcW w:w="1800" w:type="dxa"/>
            <w:tcBorders>
              <w:top w:val="nil"/>
              <w:left w:val="nil"/>
              <w:bottom w:val="nil"/>
              <w:right w:val="nil"/>
            </w:tcBorders>
            <w:hideMark/>
          </w:tcPr>
          <w:p w14:paraId="4ACB8D5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-1.36, 8.79</w:t>
            </w:r>
          </w:p>
        </w:tc>
        <w:tc>
          <w:tcPr>
            <w:tcW w:w="1220" w:type="dxa"/>
            <w:tcBorders>
              <w:top w:val="nil"/>
              <w:left w:val="nil"/>
              <w:bottom w:val="nil"/>
              <w:right w:val="nil"/>
            </w:tcBorders>
            <w:hideMark/>
          </w:tcPr>
          <w:p w14:paraId="7DF9391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0.151</w:t>
            </w:r>
          </w:p>
        </w:tc>
      </w:tr>
      <w:tr w:rsidR="00636CB1" w:rsidRPr="00636CB1" w14:paraId="3C4E093C" w14:textId="77777777" w:rsidTr="00636CB1">
        <w:trPr>
          <w:trHeight w:val="170"/>
        </w:trPr>
        <w:tc>
          <w:tcPr>
            <w:tcW w:w="3380" w:type="dxa"/>
            <w:tcBorders>
              <w:top w:val="nil"/>
              <w:left w:val="nil"/>
              <w:bottom w:val="nil"/>
              <w:right w:val="nil"/>
            </w:tcBorders>
            <w:hideMark/>
          </w:tcPr>
          <w:p w14:paraId="6AC0141B"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25-29</w:t>
            </w:r>
          </w:p>
        </w:tc>
        <w:tc>
          <w:tcPr>
            <w:tcW w:w="1420" w:type="dxa"/>
            <w:tcBorders>
              <w:top w:val="nil"/>
              <w:left w:val="nil"/>
              <w:bottom w:val="nil"/>
              <w:right w:val="nil"/>
            </w:tcBorders>
            <w:hideMark/>
          </w:tcPr>
          <w:p w14:paraId="65D052A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407</w:t>
            </w:r>
          </w:p>
        </w:tc>
        <w:tc>
          <w:tcPr>
            <w:tcW w:w="1760" w:type="dxa"/>
            <w:tcBorders>
              <w:top w:val="nil"/>
              <w:left w:val="nil"/>
              <w:bottom w:val="nil"/>
              <w:right w:val="nil"/>
            </w:tcBorders>
            <w:hideMark/>
          </w:tcPr>
          <w:p w14:paraId="03FEF03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24.75 (17.19)</w:t>
            </w:r>
          </w:p>
        </w:tc>
        <w:tc>
          <w:tcPr>
            <w:tcW w:w="1080" w:type="dxa"/>
            <w:tcBorders>
              <w:top w:val="nil"/>
              <w:left w:val="nil"/>
              <w:bottom w:val="nil"/>
              <w:right w:val="nil"/>
            </w:tcBorders>
            <w:hideMark/>
          </w:tcPr>
          <w:p w14:paraId="6653106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3.89</w:t>
            </w:r>
          </w:p>
        </w:tc>
        <w:tc>
          <w:tcPr>
            <w:tcW w:w="1800" w:type="dxa"/>
            <w:tcBorders>
              <w:top w:val="nil"/>
              <w:left w:val="nil"/>
              <w:bottom w:val="nil"/>
              <w:right w:val="nil"/>
            </w:tcBorders>
            <w:hideMark/>
          </w:tcPr>
          <w:p w14:paraId="1BA91AC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-1.20, 8.99</w:t>
            </w:r>
          </w:p>
        </w:tc>
        <w:tc>
          <w:tcPr>
            <w:tcW w:w="1220" w:type="dxa"/>
            <w:tcBorders>
              <w:top w:val="nil"/>
              <w:left w:val="nil"/>
              <w:bottom w:val="nil"/>
              <w:right w:val="nil"/>
            </w:tcBorders>
            <w:hideMark/>
          </w:tcPr>
          <w:p w14:paraId="4174481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0.134</w:t>
            </w:r>
          </w:p>
        </w:tc>
        <w:tc>
          <w:tcPr>
            <w:tcW w:w="1080" w:type="dxa"/>
            <w:tcBorders>
              <w:top w:val="nil"/>
              <w:left w:val="nil"/>
              <w:bottom w:val="nil"/>
              <w:right w:val="nil"/>
            </w:tcBorders>
            <w:hideMark/>
          </w:tcPr>
          <w:p w14:paraId="24FD61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4.25</w:t>
            </w:r>
          </w:p>
        </w:tc>
        <w:tc>
          <w:tcPr>
            <w:tcW w:w="1800" w:type="dxa"/>
            <w:tcBorders>
              <w:top w:val="nil"/>
              <w:left w:val="nil"/>
              <w:bottom w:val="nil"/>
              <w:right w:val="nil"/>
            </w:tcBorders>
            <w:hideMark/>
          </w:tcPr>
          <w:p w14:paraId="27928DF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-0.76, 9.26</w:t>
            </w:r>
          </w:p>
        </w:tc>
        <w:tc>
          <w:tcPr>
            <w:tcW w:w="1220" w:type="dxa"/>
            <w:tcBorders>
              <w:top w:val="nil"/>
              <w:left w:val="nil"/>
              <w:bottom w:val="nil"/>
              <w:right w:val="nil"/>
            </w:tcBorders>
            <w:hideMark/>
          </w:tcPr>
          <w:p w14:paraId="3C5C4EF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0.096</w:t>
            </w:r>
          </w:p>
        </w:tc>
      </w:tr>
      <w:tr w:rsidR="00636CB1" w:rsidRPr="00636CB1" w14:paraId="4C0C56FE" w14:textId="77777777" w:rsidTr="00636CB1">
        <w:trPr>
          <w:trHeight w:val="170"/>
        </w:trPr>
        <w:tc>
          <w:tcPr>
            <w:tcW w:w="3380" w:type="dxa"/>
            <w:tcBorders>
              <w:top w:val="nil"/>
              <w:left w:val="nil"/>
              <w:bottom w:val="nil"/>
              <w:right w:val="nil"/>
            </w:tcBorders>
            <w:hideMark/>
          </w:tcPr>
          <w:p w14:paraId="18C522C8"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30-34</w:t>
            </w:r>
          </w:p>
        </w:tc>
        <w:tc>
          <w:tcPr>
            <w:tcW w:w="1420" w:type="dxa"/>
            <w:tcBorders>
              <w:top w:val="nil"/>
              <w:left w:val="nil"/>
              <w:bottom w:val="nil"/>
              <w:right w:val="nil"/>
            </w:tcBorders>
            <w:hideMark/>
          </w:tcPr>
          <w:p w14:paraId="5DD4204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179</w:t>
            </w:r>
          </w:p>
        </w:tc>
        <w:tc>
          <w:tcPr>
            <w:tcW w:w="1760" w:type="dxa"/>
            <w:tcBorders>
              <w:top w:val="nil"/>
              <w:left w:val="nil"/>
              <w:bottom w:val="nil"/>
              <w:right w:val="nil"/>
            </w:tcBorders>
            <w:hideMark/>
          </w:tcPr>
          <w:p w14:paraId="2DE74AE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25.97 (17.04)</w:t>
            </w:r>
          </w:p>
        </w:tc>
        <w:tc>
          <w:tcPr>
            <w:tcW w:w="1080" w:type="dxa"/>
            <w:tcBorders>
              <w:top w:val="nil"/>
              <w:left w:val="nil"/>
              <w:bottom w:val="nil"/>
              <w:right w:val="nil"/>
            </w:tcBorders>
            <w:hideMark/>
          </w:tcPr>
          <w:p w14:paraId="1D30D36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5.11</w:t>
            </w:r>
          </w:p>
        </w:tc>
        <w:tc>
          <w:tcPr>
            <w:tcW w:w="1800" w:type="dxa"/>
            <w:tcBorders>
              <w:top w:val="nil"/>
              <w:left w:val="nil"/>
              <w:bottom w:val="nil"/>
              <w:right w:val="nil"/>
            </w:tcBorders>
            <w:hideMark/>
          </w:tcPr>
          <w:p w14:paraId="752B410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-0.31, 10.54</w:t>
            </w:r>
          </w:p>
        </w:tc>
        <w:tc>
          <w:tcPr>
            <w:tcW w:w="1220" w:type="dxa"/>
            <w:tcBorders>
              <w:top w:val="nil"/>
              <w:left w:val="nil"/>
              <w:bottom w:val="nil"/>
              <w:right w:val="nil"/>
            </w:tcBorders>
            <w:hideMark/>
          </w:tcPr>
          <w:p w14:paraId="176A9A3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0.065</w:t>
            </w:r>
          </w:p>
        </w:tc>
        <w:tc>
          <w:tcPr>
            <w:tcW w:w="1080" w:type="dxa"/>
            <w:tcBorders>
              <w:top w:val="nil"/>
              <w:left w:val="nil"/>
              <w:bottom w:val="nil"/>
              <w:right w:val="nil"/>
            </w:tcBorders>
            <w:hideMark/>
          </w:tcPr>
          <w:p w14:paraId="6FABD0D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4.37</w:t>
            </w:r>
          </w:p>
        </w:tc>
        <w:tc>
          <w:tcPr>
            <w:tcW w:w="1800" w:type="dxa"/>
            <w:tcBorders>
              <w:top w:val="nil"/>
              <w:left w:val="nil"/>
              <w:bottom w:val="nil"/>
              <w:right w:val="nil"/>
            </w:tcBorders>
            <w:hideMark/>
          </w:tcPr>
          <w:p w14:paraId="2D77377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-0.97, 9.71</w:t>
            </w:r>
          </w:p>
        </w:tc>
        <w:tc>
          <w:tcPr>
            <w:tcW w:w="1220" w:type="dxa"/>
            <w:tcBorders>
              <w:top w:val="nil"/>
              <w:left w:val="nil"/>
              <w:bottom w:val="nil"/>
              <w:right w:val="nil"/>
            </w:tcBorders>
            <w:hideMark/>
          </w:tcPr>
          <w:p w14:paraId="5197EA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0.108</w:t>
            </w:r>
          </w:p>
        </w:tc>
      </w:tr>
      <w:tr w:rsidR="00636CB1" w:rsidRPr="00636CB1" w14:paraId="45ABE4DE" w14:textId="77777777" w:rsidTr="00636CB1">
        <w:trPr>
          <w:trHeight w:val="170"/>
        </w:trPr>
        <w:tc>
          <w:tcPr>
            <w:tcW w:w="3380" w:type="dxa"/>
            <w:tcBorders>
              <w:top w:val="nil"/>
              <w:left w:val="nil"/>
              <w:bottom w:val="nil"/>
              <w:right w:val="nil"/>
            </w:tcBorders>
            <w:hideMark/>
          </w:tcPr>
          <w:p w14:paraId="107218FB"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35+</w:t>
            </w:r>
          </w:p>
        </w:tc>
        <w:tc>
          <w:tcPr>
            <w:tcW w:w="1420" w:type="dxa"/>
            <w:tcBorders>
              <w:top w:val="nil"/>
              <w:left w:val="nil"/>
              <w:bottom w:val="nil"/>
              <w:right w:val="nil"/>
            </w:tcBorders>
            <w:hideMark/>
          </w:tcPr>
          <w:p w14:paraId="04350C5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69</w:t>
            </w:r>
          </w:p>
        </w:tc>
        <w:tc>
          <w:tcPr>
            <w:tcW w:w="1760" w:type="dxa"/>
            <w:tcBorders>
              <w:top w:val="nil"/>
              <w:left w:val="nil"/>
              <w:bottom w:val="nil"/>
              <w:right w:val="nil"/>
            </w:tcBorders>
            <w:hideMark/>
          </w:tcPr>
          <w:p w14:paraId="0226E6B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25.02 (18.96)</w:t>
            </w:r>
          </w:p>
        </w:tc>
        <w:tc>
          <w:tcPr>
            <w:tcW w:w="1080" w:type="dxa"/>
            <w:tcBorders>
              <w:top w:val="nil"/>
              <w:left w:val="nil"/>
              <w:bottom w:val="nil"/>
              <w:right w:val="nil"/>
            </w:tcBorders>
            <w:hideMark/>
          </w:tcPr>
          <w:p w14:paraId="296E633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4.16</w:t>
            </w:r>
          </w:p>
        </w:tc>
        <w:tc>
          <w:tcPr>
            <w:tcW w:w="1800" w:type="dxa"/>
            <w:tcBorders>
              <w:top w:val="nil"/>
              <w:left w:val="nil"/>
              <w:bottom w:val="nil"/>
              <w:right w:val="nil"/>
            </w:tcBorders>
            <w:hideMark/>
          </w:tcPr>
          <w:p w14:paraId="0AE0C8D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-2.12, 10.43</w:t>
            </w:r>
          </w:p>
        </w:tc>
        <w:tc>
          <w:tcPr>
            <w:tcW w:w="1220" w:type="dxa"/>
            <w:tcBorders>
              <w:top w:val="nil"/>
              <w:left w:val="nil"/>
              <w:bottom w:val="nil"/>
              <w:right w:val="nil"/>
            </w:tcBorders>
            <w:hideMark/>
          </w:tcPr>
          <w:p w14:paraId="6C85AFC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0.194</w:t>
            </w:r>
          </w:p>
        </w:tc>
        <w:tc>
          <w:tcPr>
            <w:tcW w:w="1080" w:type="dxa"/>
            <w:tcBorders>
              <w:top w:val="nil"/>
              <w:left w:val="nil"/>
              <w:bottom w:val="nil"/>
              <w:right w:val="nil"/>
            </w:tcBorders>
            <w:hideMark/>
          </w:tcPr>
          <w:p w14:paraId="5FB45C2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3.02</w:t>
            </w:r>
          </w:p>
        </w:tc>
        <w:tc>
          <w:tcPr>
            <w:tcW w:w="1800" w:type="dxa"/>
            <w:tcBorders>
              <w:top w:val="nil"/>
              <w:left w:val="nil"/>
              <w:bottom w:val="nil"/>
              <w:right w:val="nil"/>
            </w:tcBorders>
            <w:hideMark/>
          </w:tcPr>
          <w:p w14:paraId="2540F4E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-3.16, 9.19</w:t>
            </w:r>
          </w:p>
        </w:tc>
        <w:tc>
          <w:tcPr>
            <w:tcW w:w="1220" w:type="dxa"/>
            <w:tcBorders>
              <w:top w:val="nil"/>
              <w:left w:val="nil"/>
              <w:bottom w:val="nil"/>
              <w:right w:val="nil"/>
            </w:tcBorders>
            <w:hideMark/>
          </w:tcPr>
          <w:p w14:paraId="4800117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0.339</w:t>
            </w:r>
          </w:p>
        </w:tc>
      </w:tr>
      <w:tr w:rsidR="00636CB1" w:rsidRPr="00636CB1" w14:paraId="30A06208" w14:textId="77777777" w:rsidTr="00636CB1">
        <w:trPr>
          <w:trHeight w:val="170"/>
        </w:trPr>
        <w:tc>
          <w:tcPr>
            <w:tcW w:w="3380" w:type="dxa"/>
            <w:tcBorders>
              <w:top w:val="nil"/>
              <w:left w:val="nil"/>
              <w:bottom w:val="nil"/>
              <w:right w:val="nil"/>
            </w:tcBorders>
            <w:hideMark/>
          </w:tcPr>
          <w:p w14:paraId="6E77E72C"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Breastfeeding duration (</w:t>
            </w:r>
            <w:proofErr w:type="spellStart"/>
            <w:r w:rsidRPr="00636CB1">
              <w:rPr>
                <w:rFonts w:ascii="Aptos Narrow" w:eastAsia="Times New Roman" w:hAnsi="Aptos Narrow" w:cs="Arial"/>
                <w:b/>
                <w:bCs/>
                <w:kern w:val="0"/>
                <w:sz w:val="22"/>
                <w:lang w:eastAsia="en-GB"/>
                <w14:ligatures w14:val="none"/>
              </w:rPr>
              <w:t>mths</w:t>
            </w:r>
            <w:proofErr w:type="spellEnd"/>
            <w:r w:rsidRPr="00636CB1">
              <w:rPr>
                <w:rFonts w:ascii="Aptos Narrow" w:eastAsia="Times New Roman" w:hAnsi="Aptos Narrow" w:cs="Arial"/>
                <w:b/>
                <w:bCs/>
                <w:kern w:val="0"/>
                <w:sz w:val="22"/>
                <w:lang w:eastAsia="en-GB"/>
                <w14:ligatures w14:val="none"/>
              </w:rPr>
              <w:t>)</w:t>
            </w:r>
          </w:p>
        </w:tc>
        <w:tc>
          <w:tcPr>
            <w:tcW w:w="1420" w:type="dxa"/>
            <w:tcBorders>
              <w:top w:val="nil"/>
              <w:left w:val="nil"/>
              <w:bottom w:val="nil"/>
              <w:right w:val="nil"/>
            </w:tcBorders>
            <w:hideMark/>
          </w:tcPr>
          <w:p w14:paraId="08EC6A9D"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70C2C49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7AFD314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5E58F31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1571D7E0"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4B737A2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2821F27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95FF0A9"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135FBCD8" w14:textId="77777777" w:rsidTr="00636CB1">
        <w:trPr>
          <w:trHeight w:val="170"/>
        </w:trPr>
        <w:tc>
          <w:tcPr>
            <w:tcW w:w="3380" w:type="dxa"/>
            <w:tcBorders>
              <w:top w:val="nil"/>
              <w:left w:val="nil"/>
              <w:bottom w:val="nil"/>
              <w:right w:val="nil"/>
            </w:tcBorders>
            <w:hideMark/>
          </w:tcPr>
          <w:p w14:paraId="13DD9032"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Never breastfed</w:t>
            </w:r>
          </w:p>
        </w:tc>
        <w:tc>
          <w:tcPr>
            <w:tcW w:w="1420" w:type="dxa"/>
            <w:tcBorders>
              <w:top w:val="nil"/>
              <w:left w:val="nil"/>
              <w:bottom w:val="nil"/>
              <w:right w:val="nil"/>
            </w:tcBorders>
            <w:hideMark/>
          </w:tcPr>
          <w:p w14:paraId="35F185F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183</w:t>
            </w:r>
          </w:p>
        </w:tc>
        <w:tc>
          <w:tcPr>
            <w:tcW w:w="1760" w:type="dxa"/>
            <w:tcBorders>
              <w:top w:val="nil"/>
              <w:left w:val="nil"/>
              <w:bottom w:val="nil"/>
              <w:right w:val="nil"/>
            </w:tcBorders>
            <w:hideMark/>
          </w:tcPr>
          <w:p w14:paraId="0DADFAC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21.96 (15.98)</w:t>
            </w:r>
          </w:p>
        </w:tc>
        <w:tc>
          <w:tcPr>
            <w:tcW w:w="1080" w:type="dxa"/>
            <w:tcBorders>
              <w:top w:val="nil"/>
              <w:left w:val="nil"/>
              <w:bottom w:val="nil"/>
              <w:right w:val="nil"/>
            </w:tcBorders>
            <w:hideMark/>
          </w:tcPr>
          <w:p w14:paraId="6679684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5AA30F9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C98ECF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51C8926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6A57A3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54E996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28ABE90A" w14:textId="77777777" w:rsidTr="00636CB1">
        <w:trPr>
          <w:trHeight w:val="170"/>
        </w:trPr>
        <w:tc>
          <w:tcPr>
            <w:tcW w:w="3380" w:type="dxa"/>
            <w:tcBorders>
              <w:top w:val="nil"/>
              <w:left w:val="nil"/>
              <w:bottom w:val="nil"/>
              <w:right w:val="nil"/>
            </w:tcBorders>
            <w:hideMark/>
          </w:tcPr>
          <w:p w14:paraId="5ADC5554"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&lt;6</w:t>
            </w:r>
          </w:p>
        </w:tc>
        <w:tc>
          <w:tcPr>
            <w:tcW w:w="1420" w:type="dxa"/>
            <w:tcBorders>
              <w:top w:val="nil"/>
              <w:left w:val="nil"/>
              <w:bottom w:val="nil"/>
              <w:right w:val="nil"/>
            </w:tcBorders>
            <w:hideMark/>
          </w:tcPr>
          <w:p w14:paraId="51C24D7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342</w:t>
            </w:r>
          </w:p>
        </w:tc>
        <w:tc>
          <w:tcPr>
            <w:tcW w:w="1760" w:type="dxa"/>
            <w:tcBorders>
              <w:top w:val="nil"/>
              <w:left w:val="nil"/>
              <w:bottom w:val="nil"/>
              <w:right w:val="nil"/>
            </w:tcBorders>
            <w:hideMark/>
          </w:tcPr>
          <w:p w14:paraId="2622687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22.84 (16.41)</w:t>
            </w:r>
          </w:p>
        </w:tc>
        <w:tc>
          <w:tcPr>
            <w:tcW w:w="1080" w:type="dxa"/>
            <w:tcBorders>
              <w:top w:val="nil"/>
              <w:left w:val="nil"/>
              <w:bottom w:val="nil"/>
              <w:right w:val="nil"/>
            </w:tcBorders>
            <w:hideMark/>
          </w:tcPr>
          <w:p w14:paraId="110E1A0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0.88</w:t>
            </w:r>
          </w:p>
        </w:tc>
        <w:tc>
          <w:tcPr>
            <w:tcW w:w="1800" w:type="dxa"/>
            <w:tcBorders>
              <w:top w:val="nil"/>
              <w:left w:val="nil"/>
              <w:bottom w:val="nil"/>
              <w:right w:val="nil"/>
            </w:tcBorders>
            <w:hideMark/>
          </w:tcPr>
          <w:p w14:paraId="65089FD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-2.16, 3.92</w:t>
            </w:r>
          </w:p>
        </w:tc>
        <w:tc>
          <w:tcPr>
            <w:tcW w:w="1220" w:type="dxa"/>
            <w:tcBorders>
              <w:top w:val="nil"/>
              <w:left w:val="nil"/>
              <w:bottom w:val="nil"/>
              <w:right w:val="nil"/>
            </w:tcBorders>
            <w:hideMark/>
          </w:tcPr>
          <w:p w14:paraId="16E897C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0.569</w:t>
            </w:r>
          </w:p>
        </w:tc>
        <w:tc>
          <w:tcPr>
            <w:tcW w:w="1080" w:type="dxa"/>
            <w:tcBorders>
              <w:top w:val="nil"/>
              <w:left w:val="nil"/>
              <w:bottom w:val="nil"/>
              <w:right w:val="nil"/>
            </w:tcBorders>
            <w:hideMark/>
          </w:tcPr>
          <w:p w14:paraId="7414831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0.91</w:t>
            </w:r>
          </w:p>
        </w:tc>
        <w:tc>
          <w:tcPr>
            <w:tcW w:w="1800" w:type="dxa"/>
            <w:tcBorders>
              <w:top w:val="nil"/>
              <w:left w:val="nil"/>
              <w:bottom w:val="nil"/>
              <w:right w:val="nil"/>
            </w:tcBorders>
            <w:hideMark/>
          </w:tcPr>
          <w:p w14:paraId="51F6E21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-2.09, 3.90</w:t>
            </w:r>
          </w:p>
        </w:tc>
        <w:tc>
          <w:tcPr>
            <w:tcW w:w="1220" w:type="dxa"/>
            <w:tcBorders>
              <w:top w:val="nil"/>
              <w:left w:val="nil"/>
              <w:bottom w:val="nil"/>
              <w:right w:val="nil"/>
            </w:tcBorders>
            <w:hideMark/>
          </w:tcPr>
          <w:p w14:paraId="074CCEF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0.552</w:t>
            </w:r>
          </w:p>
        </w:tc>
      </w:tr>
      <w:tr w:rsidR="00636CB1" w:rsidRPr="00636CB1" w14:paraId="0F73C01F" w14:textId="77777777" w:rsidTr="00636CB1">
        <w:trPr>
          <w:trHeight w:val="170"/>
        </w:trPr>
        <w:tc>
          <w:tcPr>
            <w:tcW w:w="3380" w:type="dxa"/>
            <w:tcBorders>
              <w:top w:val="nil"/>
              <w:left w:val="nil"/>
              <w:bottom w:val="nil"/>
              <w:right w:val="nil"/>
            </w:tcBorders>
            <w:hideMark/>
          </w:tcPr>
          <w:p w14:paraId="6617F74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6-12</w:t>
            </w:r>
          </w:p>
        </w:tc>
        <w:tc>
          <w:tcPr>
            <w:tcW w:w="1420" w:type="dxa"/>
            <w:tcBorders>
              <w:top w:val="nil"/>
              <w:left w:val="nil"/>
              <w:bottom w:val="nil"/>
              <w:right w:val="nil"/>
            </w:tcBorders>
            <w:hideMark/>
          </w:tcPr>
          <w:p w14:paraId="4076460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210</w:t>
            </w:r>
          </w:p>
        </w:tc>
        <w:tc>
          <w:tcPr>
            <w:tcW w:w="1760" w:type="dxa"/>
            <w:tcBorders>
              <w:top w:val="nil"/>
              <w:left w:val="nil"/>
              <w:bottom w:val="nil"/>
              <w:right w:val="nil"/>
            </w:tcBorders>
            <w:hideMark/>
          </w:tcPr>
          <w:p w14:paraId="1469F96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25.32 (16.68)</w:t>
            </w:r>
          </w:p>
        </w:tc>
        <w:tc>
          <w:tcPr>
            <w:tcW w:w="1080" w:type="dxa"/>
            <w:tcBorders>
              <w:top w:val="nil"/>
              <w:left w:val="nil"/>
              <w:bottom w:val="nil"/>
              <w:right w:val="nil"/>
            </w:tcBorders>
            <w:hideMark/>
          </w:tcPr>
          <w:p w14:paraId="4090A88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3.36</w:t>
            </w:r>
          </w:p>
        </w:tc>
        <w:tc>
          <w:tcPr>
            <w:tcW w:w="1800" w:type="dxa"/>
            <w:tcBorders>
              <w:top w:val="nil"/>
              <w:left w:val="nil"/>
              <w:bottom w:val="nil"/>
              <w:right w:val="nil"/>
            </w:tcBorders>
            <w:hideMark/>
          </w:tcPr>
          <w:p w14:paraId="089CFB1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0.00, 6.71</w:t>
            </w:r>
          </w:p>
        </w:tc>
        <w:tc>
          <w:tcPr>
            <w:tcW w:w="1220" w:type="dxa"/>
            <w:tcBorders>
              <w:top w:val="nil"/>
              <w:left w:val="nil"/>
              <w:bottom w:val="nil"/>
              <w:right w:val="nil"/>
            </w:tcBorders>
            <w:hideMark/>
          </w:tcPr>
          <w:p w14:paraId="0958500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0.050</w:t>
            </w:r>
          </w:p>
        </w:tc>
        <w:tc>
          <w:tcPr>
            <w:tcW w:w="1080" w:type="dxa"/>
            <w:tcBorders>
              <w:top w:val="nil"/>
              <w:left w:val="nil"/>
              <w:bottom w:val="nil"/>
              <w:right w:val="nil"/>
            </w:tcBorders>
            <w:hideMark/>
          </w:tcPr>
          <w:p w14:paraId="1C02233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3.04</w:t>
            </w:r>
          </w:p>
        </w:tc>
        <w:tc>
          <w:tcPr>
            <w:tcW w:w="1800" w:type="dxa"/>
            <w:tcBorders>
              <w:top w:val="nil"/>
              <w:left w:val="nil"/>
              <w:bottom w:val="nil"/>
              <w:right w:val="nil"/>
            </w:tcBorders>
            <w:hideMark/>
          </w:tcPr>
          <w:p w14:paraId="190E8BB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-0.26, 6.35</w:t>
            </w:r>
          </w:p>
        </w:tc>
        <w:tc>
          <w:tcPr>
            <w:tcW w:w="1220" w:type="dxa"/>
            <w:tcBorders>
              <w:top w:val="nil"/>
              <w:left w:val="nil"/>
              <w:bottom w:val="nil"/>
              <w:right w:val="nil"/>
            </w:tcBorders>
            <w:hideMark/>
          </w:tcPr>
          <w:p w14:paraId="5E12B9E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0.071</w:t>
            </w:r>
          </w:p>
        </w:tc>
      </w:tr>
      <w:tr w:rsidR="00636CB1" w:rsidRPr="00636CB1" w14:paraId="0BFCC5B9" w14:textId="77777777" w:rsidTr="00636CB1">
        <w:trPr>
          <w:trHeight w:val="170"/>
        </w:trPr>
        <w:tc>
          <w:tcPr>
            <w:tcW w:w="3380" w:type="dxa"/>
            <w:tcBorders>
              <w:top w:val="nil"/>
              <w:left w:val="nil"/>
              <w:bottom w:val="nil"/>
              <w:right w:val="nil"/>
            </w:tcBorders>
            <w:hideMark/>
          </w:tcPr>
          <w:p w14:paraId="669E24E0"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12-24</w:t>
            </w:r>
          </w:p>
        </w:tc>
        <w:tc>
          <w:tcPr>
            <w:tcW w:w="1420" w:type="dxa"/>
            <w:tcBorders>
              <w:top w:val="nil"/>
              <w:left w:val="nil"/>
              <w:bottom w:val="nil"/>
              <w:right w:val="nil"/>
            </w:tcBorders>
            <w:hideMark/>
          </w:tcPr>
          <w:p w14:paraId="5BF9876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215</w:t>
            </w:r>
          </w:p>
        </w:tc>
        <w:tc>
          <w:tcPr>
            <w:tcW w:w="1760" w:type="dxa"/>
            <w:tcBorders>
              <w:top w:val="nil"/>
              <w:left w:val="nil"/>
              <w:bottom w:val="nil"/>
              <w:right w:val="nil"/>
            </w:tcBorders>
            <w:hideMark/>
          </w:tcPr>
          <w:p w14:paraId="0ECB848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27.79 (17.78)</w:t>
            </w:r>
          </w:p>
        </w:tc>
        <w:tc>
          <w:tcPr>
            <w:tcW w:w="1080" w:type="dxa"/>
            <w:tcBorders>
              <w:top w:val="nil"/>
              <w:left w:val="nil"/>
              <w:bottom w:val="nil"/>
              <w:right w:val="nil"/>
            </w:tcBorders>
            <w:hideMark/>
          </w:tcPr>
          <w:p w14:paraId="30A9202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5.83</w:t>
            </w:r>
          </w:p>
        </w:tc>
        <w:tc>
          <w:tcPr>
            <w:tcW w:w="1800" w:type="dxa"/>
            <w:tcBorders>
              <w:top w:val="nil"/>
              <w:left w:val="nil"/>
              <w:bottom w:val="nil"/>
              <w:right w:val="nil"/>
            </w:tcBorders>
            <w:hideMark/>
          </w:tcPr>
          <w:p w14:paraId="6342D5C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2.49, 9.17</w:t>
            </w:r>
          </w:p>
        </w:tc>
        <w:tc>
          <w:tcPr>
            <w:tcW w:w="1220" w:type="dxa"/>
            <w:tcBorders>
              <w:top w:val="nil"/>
              <w:left w:val="nil"/>
              <w:bottom w:val="nil"/>
              <w:right w:val="nil"/>
            </w:tcBorders>
            <w:hideMark/>
          </w:tcPr>
          <w:p w14:paraId="160FFED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7EAF9BB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5.12</w:t>
            </w:r>
          </w:p>
        </w:tc>
        <w:tc>
          <w:tcPr>
            <w:tcW w:w="1800" w:type="dxa"/>
            <w:tcBorders>
              <w:top w:val="nil"/>
              <w:left w:val="nil"/>
              <w:bottom w:val="nil"/>
              <w:right w:val="nil"/>
            </w:tcBorders>
            <w:hideMark/>
          </w:tcPr>
          <w:p w14:paraId="31F5F57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1.83, 8.42</w:t>
            </w:r>
          </w:p>
        </w:tc>
        <w:tc>
          <w:tcPr>
            <w:tcW w:w="1220" w:type="dxa"/>
            <w:tcBorders>
              <w:top w:val="nil"/>
              <w:left w:val="nil"/>
              <w:bottom w:val="nil"/>
              <w:right w:val="nil"/>
            </w:tcBorders>
            <w:hideMark/>
          </w:tcPr>
          <w:p w14:paraId="43D636B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0.002</w:t>
            </w:r>
          </w:p>
        </w:tc>
      </w:tr>
      <w:tr w:rsidR="00636CB1" w:rsidRPr="00636CB1" w14:paraId="485434BE" w14:textId="77777777" w:rsidTr="00636CB1">
        <w:trPr>
          <w:trHeight w:val="170"/>
        </w:trPr>
        <w:tc>
          <w:tcPr>
            <w:tcW w:w="3380" w:type="dxa"/>
            <w:tcBorders>
              <w:top w:val="nil"/>
              <w:left w:val="nil"/>
              <w:bottom w:val="nil"/>
              <w:right w:val="nil"/>
            </w:tcBorders>
            <w:hideMark/>
          </w:tcPr>
          <w:p w14:paraId="7B39FE21"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w:t>
            </w:r>
          </w:p>
        </w:tc>
        <w:tc>
          <w:tcPr>
            <w:tcW w:w="1420" w:type="dxa"/>
            <w:tcBorders>
              <w:top w:val="nil"/>
              <w:left w:val="nil"/>
              <w:bottom w:val="nil"/>
              <w:right w:val="nil"/>
            </w:tcBorders>
            <w:hideMark/>
          </w:tcPr>
          <w:p w14:paraId="7AD7337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87</w:t>
            </w:r>
          </w:p>
        </w:tc>
        <w:tc>
          <w:tcPr>
            <w:tcW w:w="1760" w:type="dxa"/>
            <w:tcBorders>
              <w:top w:val="nil"/>
              <w:left w:val="nil"/>
              <w:bottom w:val="nil"/>
              <w:right w:val="nil"/>
            </w:tcBorders>
            <w:hideMark/>
          </w:tcPr>
          <w:p w14:paraId="2CDE699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27.29 (19.01)</w:t>
            </w:r>
          </w:p>
        </w:tc>
        <w:tc>
          <w:tcPr>
            <w:tcW w:w="1080" w:type="dxa"/>
            <w:tcBorders>
              <w:top w:val="nil"/>
              <w:left w:val="nil"/>
              <w:bottom w:val="nil"/>
              <w:right w:val="nil"/>
            </w:tcBorders>
            <w:hideMark/>
          </w:tcPr>
          <w:p w14:paraId="6B86C94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5.33</w:t>
            </w:r>
          </w:p>
        </w:tc>
        <w:tc>
          <w:tcPr>
            <w:tcW w:w="1800" w:type="dxa"/>
            <w:tcBorders>
              <w:top w:val="nil"/>
              <w:left w:val="nil"/>
              <w:bottom w:val="nil"/>
              <w:right w:val="nil"/>
            </w:tcBorders>
            <w:hideMark/>
          </w:tcPr>
          <w:p w14:paraId="2CE5BFA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1.01, 9.65</w:t>
            </w:r>
          </w:p>
        </w:tc>
        <w:tc>
          <w:tcPr>
            <w:tcW w:w="1220" w:type="dxa"/>
            <w:tcBorders>
              <w:top w:val="nil"/>
              <w:left w:val="nil"/>
              <w:bottom w:val="nil"/>
              <w:right w:val="nil"/>
            </w:tcBorders>
            <w:hideMark/>
          </w:tcPr>
          <w:p w14:paraId="04F64F8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0.016</w:t>
            </w:r>
          </w:p>
        </w:tc>
        <w:tc>
          <w:tcPr>
            <w:tcW w:w="1080" w:type="dxa"/>
            <w:tcBorders>
              <w:top w:val="nil"/>
              <w:left w:val="nil"/>
              <w:bottom w:val="nil"/>
              <w:right w:val="nil"/>
            </w:tcBorders>
            <w:hideMark/>
          </w:tcPr>
          <w:p w14:paraId="78548F3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4.37</w:t>
            </w:r>
          </w:p>
        </w:tc>
        <w:tc>
          <w:tcPr>
            <w:tcW w:w="1800" w:type="dxa"/>
            <w:tcBorders>
              <w:top w:val="nil"/>
              <w:left w:val="nil"/>
              <w:bottom w:val="nil"/>
              <w:right w:val="nil"/>
            </w:tcBorders>
            <w:hideMark/>
          </w:tcPr>
          <w:p w14:paraId="5F06B67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0.10, 8.63</w:t>
            </w:r>
          </w:p>
        </w:tc>
        <w:tc>
          <w:tcPr>
            <w:tcW w:w="1220" w:type="dxa"/>
            <w:tcBorders>
              <w:top w:val="nil"/>
              <w:left w:val="nil"/>
              <w:bottom w:val="nil"/>
              <w:right w:val="nil"/>
            </w:tcBorders>
            <w:hideMark/>
          </w:tcPr>
          <w:p w14:paraId="1F923DA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0.045</w:t>
            </w:r>
          </w:p>
        </w:tc>
      </w:tr>
      <w:tr w:rsidR="00636CB1" w:rsidRPr="00636CB1" w14:paraId="28567D77" w14:textId="77777777" w:rsidTr="00636CB1">
        <w:trPr>
          <w:trHeight w:val="170"/>
        </w:trPr>
        <w:tc>
          <w:tcPr>
            <w:tcW w:w="3380" w:type="dxa"/>
            <w:tcBorders>
              <w:top w:val="nil"/>
              <w:left w:val="nil"/>
              <w:bottom w:val="nil"/>
              <w:right w:val="nil"/>
            </w:tcBorders>
            <w:hideMark/>
          </w:tcPr>
          <w:p w14:paraId="61782747"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Menopausal status</w:t>
            </w:r>
          </w:p>
        </w:tc>
        <w:tc>
          <w:tcPr>
            <w:tcW w:w="1420" w:type="dxa"/>
            <w:tcBorders>
              <w:top w:val="nil"/>
              <w:left w:val="nil"/>
              <w:bottom w:val="nil"/>
              <w:right w:val="nil"/>
            </w:tcBorders>
            <w:hideMark/>
          </w:tcPr>
          <w:p w14:paraId="5987A8DB"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4465C023"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0E88CBBF"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30FD0760"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7610AF0F"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7918D3B3"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487E609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34CE769"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0BC00EE9" w14:textId="77777777" w:rsidTr="00636CB1">
        <w:trPr>
          <w:trHeight w:val="170"/>
        </w:trPr>
        <w:tc>
          <w:tcPr>
            <w:tcW w:w="3380" w:type="dxa"/>
            <w:tcBorders>
              <w:top w:val="nil"/>
              <w:left w:val="nil"/>
              <w:bottom w:val="nil"/>
              <w:right w:val="nil"/>
            </w:tcBorders>
            <w:hideMark/>
          </w:tcPr>
          <w:p w14:paraId="1917FB4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Premenopausal</w:t>
            </w:r>
          </w:p>
        </w:tc>
        <w:tc>
          <w:tcPr>
            <w:tcW w:w="1420" w:type="dxa"/>
            <w:tcBorders>
              <w:top w:val="nil"/>
              <w:left w:val="nil"/>
              <w:bottom w:val="nil"/>
              <w:right w:val="nil"/>
            </w:tcBorders>
            <w:hideMark/>
          </w:tcPr>
          <w:p w14:paraId="48106DD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233</w:t>
            </w:r>
          </w:p>
        </w:tc>
        <w:tc>
          <w:tcPr>
            <w:tcW w:w="1760" w:type="dxa"/>
            <w:tcBorders>
              <w:top w:val="nil"/>
              <w:left w:val="nil"/>
              <w:bottom w:val="nil"/>
              <w:right w:val="nil"/>
            </w:tcBorders>
            <w:hideMark/>
          </w:tcPr>
          <w:p w14:paraId="3953E6F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28.39 (17.23)</w:t>
            </w:r>
          </w:p>
        </w:tc>
        <w:tc>
          <w:tcPr>
            <w:tcW w:w="1080" w:type="dxa"/>
            <w:tcBorders>
              <w:top w:val="nil"/>
              <w:left w:val="nil"/>
              <w:bottom w:val="nil"/>
              <w:right w:val="nil"/>
            </w:tcBorders>
            <w:hideMark/>
          </w:tcPr>
          <w:p w14:paraId="62D1761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8AC25B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1F2F199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6CF5C6B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2BD4526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0B6A656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66F4820C" w14:textId="77777777" w:rsidTr="00636CB1">
        <w:trPr>
          <w:trHeight w:val="170"/>
        </w:trPr>
        <w:tc>
          <w:tcPr>
            <w:tcW w:w="3380" w:type="dxa"/>
            <w:tcBorders>
              <w:top w:val="nil"/>
              <w:left w:val="nil"/>
              <w:bottom w:val="nil"/>
              <w:right w:val="nil"/>
            </w:tcBorders>
            <w:hideMark/>
          </w:tcPr>
          <w:p w14:paraId="6208BDDC"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Postmenopausal</w:t>
            </w:r>
          </w:p>
        </w:tc>
        <w:tc>
          <w:tcPr>
            <w:tcW w:w="1420" w:type="dxa"/>
            <w:tcBorders>
              <w:top w:val="nil"/>
              <w:left w:val="nil"/>
              <w:bottom w:val="nil"/>
              <w:right w:val="nil"/>
            </w:tcBorders>
            <w:hideMark/>
          </w:tcPr>
          <w:p w14:paraId="04688A2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958</w:t>
            </w:r>
          </w:p>
        </w:tc>
        <w:tc>
          <w:tcPr>
            <w:tcW w:w="1760" w:type="dxa"/>
            <w:tcBorders>
              <w:top w:val="nil"/>
              <w:left w:val="nil"/>
              <w:bottom w:val="nil"/>
              <w:right w:val="nil"/>
            </w:tcBorders>
            <w:hideMark/>
          </w:tcPr>
          <w:p w14:paraId="3987A20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24.65 (17.66)</w:t>
            </w:r>
          </w:p>
        </w:tc>
        <w:tc>
          <w:tcPr>
            <w:tcW w:w="1080" w:type="dxa"/>
            <w:tcBorders>
              <w:top w:val="nil"/>
              <w:left w:val="nil"/>
              <w:bottom w:val="nil"/>
              <w:right w:val="nil"/>
            </w:tcBorders>
            <w:hideMark/>
          </w:tcPr>
          <w:p w14:paraId="235EB29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-3.74</w:t>
            </w:r>
          </w:p>
        </w:tc>
        <w:tc>
          <w:tcPr>
            <w:tcW w:w="1800" w:type="dxa"/>
            <w:tcBorders>
              <w:top w:val="nil"/>
              <w:left w:val="nil"/>
              <w:bottom w:val="nil"/>
              <w:right w:val="nil"/>
            </w:tcBorders>
            <w:hideMark/>
          </w:tcPr>
          <w:p w14:paraId="02F532F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-6.26, -1.22</w:t>
            </w:r>
          </w:p>
        </w:tc>
        <w:tc>
          <w:tcPr>
            <w:tcW w:w="1220" w:type="dxa"/>
            <w:tcBorders>
              <w:top w:val="nil"/>
              <w:left w:val="nil"/>
              <w:bottom w:val="nil"/>
              <w:right w:val="nil"/>
            </w:tcBorders>
            <w:hideMark/>
          </w:tcPr>
          <w:p w14:paraId="13B1738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0.004</w:t>
            </w:r>
          </w:p>
        </w:tc>
        <w:tc>
          <w:tcPr>
            <w:tcW w:w="1080" w:type="dxa"/>
            <w:tcBorders>
              <w:top w:val="nil"/>
              <w:left w:val="nil"/>
              <w:bottom w:val="nil"/>
              <w:right w:val="nil"/>
            </w:tcBorders>
            <w:hideMark/>
          </w:tcPr>
          <w:p w14:paraId="19AA635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1.54</w:t>
            </w:r>
          </w:p>
        </w:tc>
        <w:tc>
          <w:tcPr>
            <w:tcW w:w="1800" w:type="dxa"/>
            <w:tcBorders>
              <w:top w:val="nil"/>
              <w:left w:val="nil"/>
              <w:bottom w:val="nil"/>
              <w:right w:val="nil"/>
            </w:tcBorders>
            <w:hideMark/>
          </w:tcPr>
          <w:p w14:paraId="38B26BF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-1.43, 4.51</w:t>
            </w:r>
          </w:p>
        </w:tc>
        <w:tc>
          <w:tcPr>
            <w:tcW w:w="1220" w:type="dxa"/>
            <w:tcBorders>
              <w:top w:val="nil"/>
              <w:left w:val="nil"/>
              <w:bottom w:val="nil"/>
              <w:right w:val="nil"/>
            </w:tcBorders>
            <w:hideMark/>
          </w:tcPr>
          <w:p w14:paraId="2FE45DF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0.308</w:t>
            </w:r>
          </w:p>
        </w:tc>
      </w:tr>
      <w:tr w:rsidR="00636CB1" w:rsidRPr="00636CB1" w14:paraId="3A23DABF" w14:textId="77777777" w:rsidTr="00636CB1">
        <w:trPr>
          <w:trHeight w:val="170"/>
        </w:trPr>
        <w:tc>
          <w:tcPr>
            <w:tcW w:w="3380" w:type="dxa"/>
            <w:tcBorders>
              <w:top w:val="nil"/>
              <w:left w:val="nil"/>
              <w:bottom w:val="nil"/>
              <w:right w:val="nil"/>
            </w:tcBorders>
            <w:hideMark/>
          </w:tcPr>
          <w:p w14:paraId="4D2DF999"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Age at menopause</w:t>
            </w:r>
          </w:p>
        </w:tc>
        <w:tc>
          <w:tcPr>
            <w:tcW w:w="1420" w:type="dxa"/>
            <w:tcBorders>
              <w:top w:val="nil"/>
              <w:left w:val="nil"/>
              <w:bottom w:val="nil"/>
              <w:right w:val="nil"/>
            </w:tcBorders>
            <w:hideMark/>
          </w:tcPr>
          <w:p w14:paraId="77CD4A5B"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19AA74D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3B51A95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46DA0F6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68E918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1670D19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1254B8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0ECF19F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29ECE0BC" w14:textId="77777777" w:rsidTr="00636CB1">
        <w:trPr>
          <w:trHeight w:val="170"/>
        </w:trPr>
        <w:tc>
          <w:tcPr>
            <w:tcW w:w="3380" w:type="dxa"/>
            <w:tcBorders>
              <w:top w:val="nil"/>
              <w:left w:val="nil"/>
              <w:bottom w:val="nil"/>
              <w:right w:val="nil"/>
            </w:tcBorders>
            <w:hideMark/>
          </w:tcPr>
          <w:p w14:paraId="0C8B915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&lt;50</w:t>
            </w:r>
          </w:p>
        </w:tc>
        <w:tc>
          <w:tcPr>
            <w:tcW w:w="1420" w:type="dxa"/>
            <w:tcBorders>
              <w:top w:val="nil"/>
              <w:left w:val="nil"/>
              <w:bottom w:val="nil"/>
              <w:right w:val="nil"/>
            </w:tcBorders>
            <w:hideMark/>
          </w:tcPr>
          <w:p w14:paraId="61537E6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210</w:t>
            </w:r>
          </w:p>
        </w:tc>
        <w:tc>
          <w:tcPr>
            <w:tcW w:w="1760" w:type="dxa"/>
            <w:tcBorders>
              <w:top w:val="nil"/>
              <w:left w:val="nil"/>
              <w:bottom w:val="nil"/>
              <w:right w:val="nil"/>
            </w:tcBorders>
            <w:hideMark/>
          </w:tcPr>
          <w:p w14:paraId="5B24764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25.28 (17.53)</w:t>
            </w:r>
          </w:p>
        </w:tc>
        <w:tc>
          <w:tcPr>
            <w:tcW w:w="1080" w:type="dxa"/>
            <w:tcBorders>
              <w:top w:val="nil"/>
              <w:left w:val="nil"/>
              <w:bottom w:val="nil"/>
              <w:right w:val="nil"/>
            </w:tcBorders>
            <w:hideMark/>
          </w:tcPr>
          <w:p w14:paraId="20D970B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50C69CF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E8059D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4D036A1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709DE3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709F4A2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2174EDBF" w14:textId="77777777" w:rsidTr="00636CB1">
        <w:trPr>
          <w:trHeight w:val="170"/>
        </w:trPr>
        <w:tc>
          <w:tcPr>
            <w:tcW w:w="3380" w:type="dxa"/>
            <w:tcBorders>
              <w:top w:val="nil"/>
              <w:left w:val="nil"/>
              <w:bottom w:val="nil"/>
              <w:right w:val="nil"/>
            </w:tcBorders>
            <w:hideMark/>
          </w:tcPr>
          <w:p w14:paraId="7F765E0A"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50-54</w:t>
            </w:r>
          </w:p>
        </w:tc>
        <w:tc>
          <w:tcPr>
            <w:tcW w:w="1420" w:type="dxa"/>
            <w:tcBorders>
              <w:top w:val="nil"/>
              <w:left w:val="nil"/>
              <w:bottom w:val="nil"/>
              <w:right w:val="nil"/>
            </w:tcBorders>
            <w:hideMark/>
          </w:tcPr>
          <w:p w14:paraId="7B02AC5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639</w:t>
            </w:r>
          </w:p>
        </w:tc>
        <w:tc>
          <w:tcPr>
            <w:tcW w:w="1760" w:type="dxa"/>
            <w:tcBorders>
              <w:top w:val="nil"/>
              <w:left w:val="nil"/>
              <w:bottom w:val="nil"/>
              <w:right w:val="nil"/>
            </w:tcBorders>
            <w:hideMark/>
          </w:tcPr>
          <w:p w14:paraId="309AE95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25.25 (18.11)</w:t>
            </w:r>
          </w:p>
        </w:tc>
        <w:tc>
          <w:tcPr>
            <w:tcW w:w="1080" w:type="dxa"/>
            <w:tcBorders>
              <w:top w:val="nil"/>
              <w:left w:val="nil"/>
              <w:bottom w:val="nil"/>
              <w:right w:val="nil"/>
            </w:tcBorders>
            <w:hideMark/>
          </w:tcPr>
          <w:p w14:paraId="41F57C3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-0.02</w:t>
            </w:r>
          </w:p>
        </w:tc>
        <w:tc>
          <w:tcPr>
            <w:tcW w:w="1800" w:type="dxa"/>
            <w:tcBorders>
              <w:top w:val="nil"/>
              <w:left w:val="nil"/>
              <w:bottom w:val="nil"/>
              <w:right w:val="nil"/>
            </w:tcBorders>
            <w:hideMark/>
          </w:tcPr>
          <w:p w14:paraId="01AA9E1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-2.77, 2.73</w:t>
            </w:r>
          </w:p>
        </w:tc>
        <w:tc>
          <w:tcPr>
            <w:tcW w:w="1220" w:type="dxa"/>
            <w:tcBorders>
              <w:top w:val="nil"/>
              <w:left w:val="nil"/>
              <w:bottom w:val="nil"/>
              <w:right w:val="nil"/>
            </w:tcBorders>
            <w:hideMark/>
          </w:tcPr>
          <w:p w14:paraId="097F07D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0.986</w:t>
            </w:r>
          </w:p>
        </w:tc>
        <w:tc>
          <w:tcPr>
            <w:tcW w:w="1080" w:type="dxa"/>
            <w:tcBorders>
              <w:top w:val="nil"/>
              <w:left w:val="nil"/>
              <w:bottom w:val="nil"/>
              <w:right w:val="nil"/>
            </w:tcBorders>
            <w:hideMark/>
          </w:tcPr>
          <w:p w14:paraId="695B5FE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0.89</w:t>
            </w:r>
          </w:p>
        </w:tc>
        <w:tc>
          <w:tcPr>
            <w:tcW w:w="1800" w:type="dxa"/>
            <w:tcBorders>
              <w:top w:val="nil"/>
              <w:left w:val="nil"/>
              <w:bottom w:val="nil"/>
              <w:right w:val="nil"/>
            </w:tcBorders>
            <w:hideMark/>
          </w:tcPr>
          <w:p w14:paraId="717BDBC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-1.82, 3.60</w:t>
            </w:r>
          </w:p>
        </w:tc>
        <w:tc>
          <w:tcPr>
            <w:tcW w:w="1220" w:type="dxa"/>
            <w:tcBorders>
              <w:top w:val="nil"/>
              <w:left w:val="nil"/>
              <w:bottom w:val="nil"/>
              <w:right w:val="nil"/>
            </w:tcBorders>
            <w:hideMark/>
          </w:tcPr>
          <w:p w14:paraId="37AA75C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0.519</w:t>
            </w:r>
          </w:p>
        </w:tc>
      </w:tr>
      <w:tr w:rsidR="00636CB1" w:rsidRPr="00636CB1" w14:paraId="14B69D63" w14:textId="77777777" w:rsidTr="00636CB1">
        <w:trPr>
          <w:trHeight w:val="170"/>
        </w:trPr>
        <w:tc>
          <w:tcPr>
            <w:tcW w:w="3380" w:type="dxa"/>
            <w:tcBorders>
              <w:top w:val="nil"/>
              <w:left w:val="nil"/>
              <w:bottom w:val="nil"/>
              <w:right w:val="nil"/>
            </w:tcBorders>
            <w:hideMark/>
          </w:tcPr>
          <w:p w14:paraId="1DD1706F"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55+</w:t>
            </w:r>
          </w:p>
        </w:tc>
        <w:tc>
          <w:tcPr>
            <w:tcW w:w="1420" w:type="dxa"/>
            <w:tcBorders>
              <w:top w:val="nil"/>
              <w:left w:val="nil"/>
              <w:bottom w:val="nil"/>
              <w:right w:val="nil"/>
            </w:tcBorders>
            <w:hideMark/>
          </w:tcPr>
          <w:p w14:paraId="06D3271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104</w:t>
            </w:r>
          </w:p>
        </w:tc>
        <w:tc>
          <w:tcPr>
            <w:tcW w:w="1760" w:type="dxa"/>
            <w:tcBorders>
              <w:top w:val="nil"/>
              <w:left w:val="nil"/>
              <w:bottom w:val="nil"/>
              <w:right w:val="nil"/>
            </w:tcBorders>
            <w:hideMark/>
          </w:tcPr>
          <w:p w14:paraId="6D8EA1B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20.39 (14.38)</w:t>
            </w:r>
          </w:p>
        </w:tc>
        <w:tc>
          <w:tcPr>
            <w:tcW w:w="1080" w:type="dxa"/>
            <w:tcBorders>
              <w:top w:val="nil"/>
              <w:left w:val="nil"/>
              <w:bottom w:val="nil"/>
              <w:right w:val="nil"/>
            </w:tcBorders>
            <w:hideMark/>
          </w:tcPr>
          <w:p w14:paraId="13DF1B4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-4.89</w:t>
            </w:r>
          </w:p>
        </w:tc>
        <w:tc>
          <w:tcPr>
            <w:tcW w:w="1800" w:type="dxa"/>
            <w:tcBorders>
              <w:top w:val="nil"/>
              <w:left w:val="nil"/>
              <w:bottom w:val="nil"/>
              <w:right w:val="nil"/>
            </w:tcBorders>
            <w:hideMark/>
          </w:tcPr>
          <w:p w14:paraId="71269AB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-9.04, -0.75</w:t>
            </w:r>
          </w:p>
        </w:tc>
        <w:tc>
          <w:tcPr>
            <w:tcW w:w="1220" w:type="dxa"/>
            <w:tcBorders>
              <w:top w:val="nil"/>
              <w:left w:val="nil"/>
              <w:bottom w:val="nil"/>
              <w:right w:val="nil"/>
            </w:tcBorders>
            <w:hideMark/>
          </w:tcPr>
          <w:p w14:paraId="7109EDC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0.021</w:t>
            </w:r>
          </w:p>
        </w:tc>
        <w:tc>
          <w:tcPr>
            <w:tcW w:w="1080" w:type="dxa"/>
            <w:tcBorders>
              <w:top w:val="nil"/>
              <w:left w:val="nil"/>
              <w:bottom w:val="nil"/>
              <w:right w:val="nil"/>
            </w:tcBorders>
            <w:hideMark/>
          </w:tcPr>
          <w:p w14:paraId="24F3542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-2.98</w:t>
            </w:r>
          </w:p>
        </w:tc>
        <w:tc>
          <w:tcPr>
            <w:tcW w:w="1800" w:type="dxa"/>
            <w:tcBorders>
              <w:top w:val="nil"/>
              <w:left w:val="nil"/>
              <w:bottom w:val="nil"/>
              <w:right w:val="nil"/>
            </w:tcBorders>
            <w:hideMark/>
          </w:tcPr>
          <w:p w14:paraId="25EFBE2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-7.08, 1.12</w:t>
            </w:r>
          </w:p>
        </w:tc>
        <w:tc>
          <w:tcPr>
            <w:tcW w:w="1220" w:type="dxa"/>
            <w:tcBorders>
              <w:top w:val="nil"/>
              <w:left w:val="nil"/>
              <w:bottom w:val="nil"/>
              <w:right w:val="nil"/>
            </w:tcBorders>
            <w:hideMark/>
          </w:tcPr>
          <w:p w14:paraId="795D8B5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0.154</w:t>
            </w:r>
          </w:p>
        </w:tc>
      </w:tr>
      <w:tr w:rsidR="00636CB1" w:rsidRPr="00636CB1" w14:paraId="531FE653" w14:textId="77777777" w:rsidTr="00636CB1">
        <w:trPr>
          <w:trHeight w:val="170"/>
        </w:trPr>
        <w:tc>
          <w:tcPr>
            <w:tcW w:w="3380" w:type="dxa"/>
            <w:tcBorders>
              <w:top w:val="nil"/>
              <w:left w:val="nil"/>
              <w:bottom w:val="nil"/>
              <w:right w:val="nil"/>
            </w:tcBorders>
            <w:hideMark/>
          </w:tcPr>
          <w:p w14:paraId="3CC0954A"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MHT status</w:t>
            </w:r>
          </w:p>
        </w:tc>
        <w:tc>
          <w:tcPr>
            <w:tcW w:w="1420" w:type="dxa"/>
            <w:tcBorders>
              <w:top w:val="nil"/>
              <w:left w:val="nil"/>
              <w:bottom w:val="nil"/>
              <w:right w:val="nil"/>
            </w:tcBorders>
            <w:hideMark/>
          </w:tcPr>
          <w:p w14:paraId="432C05CF"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0AE7AC7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74CF478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4EF74BF9"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002A722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77698B05"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270724A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815B079"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6FAA1B6D" w14:textId="77777777" w:rsidTr="00636CB1">
        <w:trPr>
          <w:trHeight w:val="170"/>
        </w:trPr>
        <w:tc>
          <w:tcPr>
            <w:tcW w:w="3380" w:type="dxa"/>
            <w:tcBorders>
              <w:top w:val="nil"/>
              <w:left w:val="nil"/>
              <w:bottom w:val="nil"/>
              <w:right w:val="nil"/>
            </w:tcBorders>
            <w:hideMark/>
          </w:tcPr>
          <w:p w14:paraId="09D3EC3A"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Never</w:t>
            </w:r>
          </w:p>
        </w:tc>
        <w:tc>
          <w:tcPr>
            <w:tcW w:w="1420" w:type="dxa"/>
            <w:tcBorders>
              <w:top w:val="nil"/>
              <w:left w:val="nil"/>
              <w:bottom w:val="nil"/>
              <w:right w:val="nil"/>
            </w:tcBorders>
            <w:hideMark/>
          </w:tcPr>
          <w:p w14:paraId="221A1A0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384</w:t>
            </w:r>
          </w:p>
        </w:tc>
        <w:tc>
          <w:tcPr>
            <w:tcW w:w="1760" w:type="dxa"/>
            <w:tcBorders>
              <w:top w:val="nil"/>
              <w:left w:val="nil"/>
              <w:bottom w:val="nil"/>
              <w:right w:val="nil"/>
            </w:tcBorders>
            <w:hideMark/>
          </w:tcPr>
          <w:p w14:paraId="5E6557C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22.65 (16.83)</w:t>
            </w:r>
          </w:p>
        </w:tc>
        <w:tc>
          <w:tcPr>
            <w:tcW w:w="1080" w:type="dxa"/>
            <w:tcBorders>
              <w:top w:val="nil"/>
              <w:left w:val="nil"/>
              <w:bottom w:val="nil"/>
              <w:right w:val="nil"/>
            </w:tcBorders>
            <w:hideMark/>
          </w:tcPr>
          <w:p w14:paraId="70E57A4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2E91FCB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19803F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2FDD09A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4DC7125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91898C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7C24664F" w14:textId="77777777" w:rsidTr="00636CB1">
        <w:trPr>
          <w:trHeight w:val="170"/>
        </w:trPr>
        <w:tc>
          <w:tcPr>
            <w:tcW w:w="3380" w:type="dxa"/>
            <w:tcBorders>
              <w:top w:val="nil"/>
              <w:left w:val="nil"/>
              <w:bottom w:val="nil"/>
              <w:right w:val="nil"/>
            </w:tcBorders>
            <w:hideMark/>
          </w:tcPr>
          <w:p w14:paraId="6BEB1E94"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Former</w:t>
            </w:r>
          </w:p>
        </w:tc>
        <w:tc>
          <w:tcPr>
            <w:tcW w:w="1420" w:type="dxa"/>
            <w:tcBorders>
              <w:top w:val="nil"/>
              <w:left w:val="nil"/>
              <w:bottom w:val="nil"/>
              <w:right w:val="nil"/>
            </w:tcBorders>
            <w:hideMark/>
          </w:tcPr>
          <w:p w14:paraId="360108E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316</w:t>
            </w:r>
          </w:p>
        </w:tc>
        <w:tc>
          <w:tcPr>
            <w:tcW w:w="1760" w:type="dxa"/>
            <w:tcBorders>
              <w:top w:val="nil"/>
              <w:left w:val="nil"/>
              <w:bottom w:val="nil"/>
              <w:right w:val="nil"/>
            </w:tcBorders>
            <w:hideMark/>
          </w:tcPr>
          <w:p w14:paraId="60BE75F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21.57 (16.28)</w:t>
            </w:r>
          </w:p>
        </w:tc>
        <w:tc>
          <w:tcPr>
            <w:tcW w:w="1080" w:type="dxa"/>
            <w:tcBorders>
              <w:top w:val="nil"/>
              <w:left w:val="nil"/>
              <w:bottom w:val="nil"/>
              <w:right w:val="nil"/>
            </w:tcBorders>
            <w:hideMark/>
          </w:tcPr>
          <w:p w14:paraId="05C0FAA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-1.08</w:t>
            </w:r>
          </w:p>
        </w:tc>
        <w:tc>
          <w:tcPr>
            <w:tcW w:w="1800" w:type="dxa"/>
            <w:tcBorders>
              <w:top w:val="nil"/>
              <w:left w:val="nil"/>
              <w:bottom w:val="nil"/>
              <w:right w:val="nil"/>
            </w:tcBorders>
            <w:hideMark/>
          </w:tcPr>
          <w:p w14:paraId="575C6B5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-3.64, 1.49</w:t>
            </w:r>
          </w:p>
        </w:tc>
        <w:tc>
          <w:tcPr>
            <w:tcW w:w="1220" w:type="dxa"/>
            <w:tcBorders>
              <w:top w:val="nil"/>
              <w:left w:val="nil"/>
              <w:bottom w:val="nil"/>
              <w:right w:val="nil"/>
            </w:tcBorders>
            <w:hideMark/>
          </w:tcPr>
          <w:p w14:paraId="0F8E31C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0.411</w:t>
            </w:r>
          </w:p>
        </w:tc>
        <w:tc>
          <w:tcPr>
            <w:tcW w:w="1080" w:type="dxa"/>
            <w:tcBorders>
              <w:top w:val="nil"/>
              <w:left w:val="nil"/>
              <w:bottom w:val="nil"/>
              <w:right w:val="nil"/>
            </w:tcBorders>
            <w:hideMark/>
          </w:tcPr>
          <w:p w14:paraId="5D17BAD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0.79</w:t>
            </w:r>
          </w:p>
        </w:tc>
        <w:tc>
          <w:tcPr>
            <w:tcW w:w="1800" w:type="dxa"/>
            <w:tcBorders>
              <w:top w:val="nil"/>
              <w:left w:val="nil"/>
              <w:bottom w:val="nil"/>
              <w:right w:val="nil"/>
            </w:tcBorders>
            <w:hideMark/>
          </w:tcPr>
          <w:p w14:paraId="7266A7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-1.78, 3.36</w:t>
            </w:r>
          </w:p>
        </w:tc>
        <w:tc>
          <w:tcPr>
            <w:tcW w:w="1220" w:type="dxa"/>
            <w:tcBorders>
              <w:top w:val="nil"/>
              <w:left w:val="nil"/>
              <w:bottom w:val="nil"/>
              <w:right w:val="nil"/>
            </w:tcBorders>
            <w:hideMark/>
          </w:tcPr>
          <w:p w14:paraId="6735204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0.547</w:t>
            </w:r>
          </w:p>
        </w:tc>
      </w:tr>
      <w:tr w:rsidR="00636CB1" w:rsidRPr="00636CB1" w14:paraId="3500250A" w14:textId="77777777" w:rsidTr="00636CB1">
        <w:trPr>
          <w:trHeight w:val="170"/>
        </w:trPr>
        <w:tc>
          <w:tcPr>
            <w:tcW w:w="3380" w:type="dxa"/>
            <w:tcBorders>
              <w:top w:val="nil"/>
              <w:left w:val="nil"/>
              <w:bottom w:val="nil"/>
              <w:right w:val="nil"/>
            </w:tcBorders>
            <w:hideMark/>
          </w:tcPr>
          <w:p w14:paraId="1B75E414"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Current</w:t>
            </w:r>
          </w:p>
        </w:tc>
        <w:tc>
          <w:tcPr>
            <w:tcW w:w="1420" w:type="dxa"/>
            <w:tcBorders>
              <w:top w:val="nil"/>
              <w:left w:val="nil"/>
              <w:bottom w:val="nil"/>
              <w:right w:val="nil"/>
            </w:tcBorders>
            <w:hideMark/>
          </w:tcPr>
          <w:p w14:paraId="14BBA50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254</w:t>
            </w:r>
          </w:p>
        </w:tc>
        <w:tc>
          <w:tcPr>
            <w:tcW w:w="1760" w:type="dxa"/>
            <w:tcBorders>
              <w:top w:val="nil"/>
              <w:left w:val="nil"/>
              <w:bottom w:val="nil"/>
              <w:right w:val="nil"/>
            </w:tcBorders>
            <w:hideMark/>
          </w:tcPr>
          <w:p w14:paraId="7DB6447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31.52 (18.78)</w:t>
            </w:r>
          </w:p>
        </w:tc>
        <w:tc>
          <w:tcPr>
            <w:tcW w:w="1080" w:type="dxa"/>
            <w:tcBorders>
              <w:top w:val="nil"/>
              <w:left w:val="nil"/>
              <w:bottom w:val="nil"/>
              <w:right w:val="nil"/>
            </w:tcBorders>
            <w:hideMark/>
          </w:tcPr>
          <w:p w14:paraId="546CB9E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8.87</w:t>
            </w:r>
          </w:p>
        </w:tc>
        <w:tc>
          <w:tcPr>
            <w:tcW w:w="1800" w:type="dxa"/>
            <w:tcBorders>
              <w:top w:val="nil"/>
              <w:left w:val="nil"/>
              <w:bottom w:val="nil"/>
              <w:right w:val="nil"/>
            </w:tcBorders>
            <w:hideMark/>
          </w:tcPr>
          <w:p w14:paraId="6A23DF4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6.14, 11.60</w:t>
            </w:r>
          </w:p>
        </w:tc>
        <w:tc>
          <w:tcPr>
            <w:tcW w:w="1220" w:type="dxa"/>
            <w:tcBorders>
              <w:top w:val="nil"/>
              <w:left w:val="nil"/>
              <w:bottom w:val="nil"/>
              <w:right w:val="nil"/>
            </w:tcBorders>
            <w:hideMark/>
          </w:tcPr>
          <w:p w14:paraId="7D3A82C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48B73AF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9.65</w:t>
            </w:r>
          </w:p>
        </w:tc>
        <w:tc>
          <w:tcPr>
            <w:tcW w:w="1800" w:type="dxa"/>
            <w:tcBorders>
              <w:top w:val="nil"/>
              <w:left w:val="nil"/>
              <w:bottom w:val="nil"/>
              <w:right w:val="nil"/>
            </w:tcBorders>
            <w:hideMark/>
          </w:tcPr>
          <w:p w14:paraId="385F1F7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6.97, 12.33</w:t>
            </w:r>
          </w:p>
        </w:tc>
        <w:tc>
          <w:tcPr>
            <w:tcW w:w="1220" w:type="dxa"/>
            <w:tcBorders>
              <w:top w:val="nil"/>
              <w:left w:val="nil"/>
              <w:bottom w:val="nil"/>
              <w:right w:val="nil"/>
            </w:tcBorders>
            <w:hideMark/>
          </w:tcPr>
          <w:p w14:paraId="3447792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6B947CFC" w14:textId="77777777" w:rsidTr="00636CB1">
        <w:trPr>
          <w:trHeight w:val="170"/>
        </w:trPr>
        <w:tc>
          <w:tcPr>
            <w:tcW w:w="3380" w:type="dxa"/>
            <w:tcBorders>
              <w:top w:val="nil"/>
              <w:left w:val="nil"/>
              <w:bottom w:val="nil"/>
              <w:right w:val="nil"/>
            </w:tcBorders>
            <w:hideMark/>
          </w:tcPr>
          <w:p w14:paraId="6199AFDF"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Benign breast disease</w:t>
            </w:r>
          </w:p>
        </w:tc>
        <w:tc>
          <w:tcPr>
            <w:tcW w:w="1420" w:type="dxa"/>
            <w:tcBorders>
              <w:top w:val="nil"/>
              <w:left w:val="nil"/>
              <w:bottom w:val="nil"/>
              <w:right w:val="nil"/>
            </w:tcBorders>
            <w:hideMark/>
          </w:tcPr>
          <w:p w14:paraId="5FFCE38A"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03B203B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5F447FF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61EEA27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1ADC7B3E"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1770A73C"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57CC54A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54D7884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63E90FEF" w14:textId="77777777" w:rsidTr="00636CB1">
        <w:trPr>
          <w:trHeight w:val="170"/>
        </w:trPr>
        <w:tc>
          <w:tcPr>
            <w:tcW w:w="3380" w:type="dxa"/>
            <w:tcBorders>
              <w:top w:val="nil"/>
              <w:left w:val="nil"/>
              <w:bottom w:val="nil"/>
              <w:right w:val="nil"/>
            </w:tcBorders>
            <w:hideMark/>
          </w:tcPr>
          <w:p w14:paraId="3A8BC449"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Never</w:t>
            </w:r>
          </w:p>
        </w:tc>
        <w:tc>
          <w:tcPr>
            <w:tcW w:w="1420" w:type="dxa"/>
            <w:tcBorders>
              <w:top w:val="nil"/>
              <w:left w:val="nil"/>
              <w:bottom w:val="nil"/>
              <w:right w:val="nil"/>
            </w:tcBorders>
            <w:hideMark/>
          </w:tcPr>
          <w:p w14:paraId="1EF5FE5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787</w:t>
            </w:r>
          </w:p>
        </w:tc>
        <w:tc>
          <w:tcPr>
            <w:tcW w:w="1760" w:type="dxa"/>
            <w:tcBorders>
              <w:top w:val="nil"/>
              <w:left w:val="nil"/>
              <w:bottom w:val="nil"/>
              <w:right w:val="nil"/>
            </w:tcBorders>
            <w:hideMark/>
          </w:tcPr>
          <w:p w14:paraId="5E2BE11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22.93 (17.23)</w:t>
            </w:r>
          </w:p>
        </w:tc>
        <w:tc>
          <w:tcPr>
            <w:tcW w:w="1080" w:type="dxa"/>
            <w:tcBorders>
              <w:top w:val="nil"/>
              <w:left w:val="nil"/>
              <w:bottom w:val="nil"/>
              <w:right w:val="nil"/>
            </w:tcBorders>
            <w:hideMark/>
          </w:tcPr>
          <w:p w14:paraId="54672F1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587136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79FFFBC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6C6C002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064F9F6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7A22EC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3A256C1B" w14:textId="77777777" w:rsidTr="00636CB1">
        <w:trPr>
          <w:trHeight w:val="170"/>
        </w:trPr>
        <w:tc>
          <w:tcPr>
            <w:tcW w:w="3380" w:type="dxa"/>
            <w:tcBorders>
              <w:top w:val="nil"/>
              <w:left w:val="nil"/>
              <w:bottom w:val="nil"/>
              <w:right w:val="nil"/>
            </w:tcBorders>
            <w:hideMark/>
          </w:tcPr>
          <w:p w14:paraId="7F1531E4"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lastRenderedPageBreak/>
              <w:t>Ever</w:t>
            </w:r>
          </w:p>
        </w:tc>
        <w:tc>
          <w:tcPr>
            <w:tcW w:w="1420" w:type="dxa"/>
            <w:tcBorders>
              <w:top w:val="nil"/>
              <w:left w:val="nil"/>
              <w:bottom w:val="nil"/>
              <w:right w:val="nil"/>
            </w:tcBorders>
            <w:hideMark/>
          </w:tcPr>
          <w:p w14:paraId="6B27F1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404</w:t>
            </w:r>
          </w:p>
        </w:tc>
        <w:tc>
          <w:tcPr>
            <w:tcW w:w="1760" w:type="dxa"/>
            <w:tcBorders>
              <w:top w:val="nil"/>
              <w:left w:val="nil"/>
              <w:bottom w:val="nil"/>
              <w:right w:val="nil"/>
            </w:tcBorders>
            <w:hideMark/>
          </w:tcPr>
          <w:p w14:paraId="766907D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30.15 (17.45)</w:t>
            </w:r>
          </w:p>
        </w:tc>
        <w:tc>
          <w:tcPr>
            <w:tcW w:w="1080" w:type="dxa"/>
            <w:tcBorders>
              <w:top w:val="nil"/>
              <w:left w:val="nil"/>
              <w:bottom w:val="nil"/>
              <w:right w:val="nil"/>
            </w:tcBorders>
            <w:hideMark/>
          </w:tcPr>
          <w:p w14:paraId="365E36B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7.23</w:t>
            </w:r>
          </w:p>
        </w:tc>
        <w:tc>
          <w:tcPr>
            <w:tcW w:w="1800" w:type="dxa"/>
            <w:tcBorders>
              <w:top w:val="nil"/>
              <w:left w:val="nil"/>
              <w:bottom w:val="nil"/>
              <w:right w:val="nil"/>
            </w:tcBorders>
            <w:hideMark/>
          </w:tcPr>
          <w:p w14:paraId="5766F20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5.15, 9.31</w:t>
            </w:r>
          </w:p>
        </w:tc>
        <w:tc>
          <w:tcPr>
            <w:tcW w:w="1220" w:type="dxa"/>
            <w:tcBorders>
              <w:top w:val="nil"/>
              <w:left w:val="nil"/>
              <w:bottom w:val="nil"/>
              <w:right w:val="nil"/>
            </w:tcBorders>
            <w:hideMark/>
          </w:tcPr>
          <w:p w14:paraId="23611DE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5FC471A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7.36</w:t>
            </w:r>
          </w:p>
        </w:tc>
        <w:tc>
          <w:tcPr>
            <w:tcW w:w="1800" w:type="dxa"/>
            <w:tcBorders>
              <w:top w:val="nil"/>
              <w:left w:val="nil"/>
              <w:bottom w:val="nil"/>
              <w:right w:val="nil"/>
            </w:tcBorders>
            <w:hideMark/>
          </w:tcPr>
          <w:p w14:paraId="0E489B2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5.32, 9.39</w:t>
            </w:r>
          </w:p>
        </w:tc>
        <w:tc>
          <w:tcPr>
            <w:tcW w:w="1220" w:type="dxa"/>
            <w:tcBorders>
              <w:top w:val="nil"/>
              <w:left w:val="nil"/>
              <w:bottom w:val="nil"/>
              <w:right w:val="nil"/>
            </w:tcBorders>
            <w:hideMark/>
          </w:tcPr>
          <w:p w14:paraId="1275540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7E64C98A" w14:textId="77777777" w:rsidTr="00636CB1">
        <w:trPr>
          <w:trHeight w:val="170"/>
        </w:trPr>
        <w:tc>
          <w:tcPr>
            <w:tcW w:w="3380" w:type="dxa"/>
            <w:tcBorders>
              <w:top w:val="nil"/>
              <w:left w:val="nil"/>
              <w:bottom w:val="nil"/>
              <w:right w:val="nil"/>
            </w:tcBorders>
            <w:hideMark/>
          </w:tcPr>
          <w:p w14:paraId="48B1204C"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Family history of breast cancer</w:t>
            </w:r>
          </w:p>
        </w:tc>
        <w:tc>
          <w:tcPr>
            <w:tcW w:w="1420" w:type="dxa"/>
            <w:tcBorders>
              <w:top w:val="nil"/>
              <w:left w:val="nil"/>
              <w:bottom w:val="nil"/>
              <w:right w:val="nil"/>
            </w:tcBorders>
            <w:hideMark/>
          </w:tcPr>
          <w:p w14:paraId="4E30F14E"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46A6142E"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6C60F03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5DEB6C9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BB14F7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4C418E8C"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A066B4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34F25A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5ABF87A9" w14:textId="77777777" w:rsidTr="00636CB1">
        <w:trPr>
          <w:trHeight w:val="170"/>
        </w:trPr>
        <w:tc>
          <w:tcPr>
            <w:tcW w:w="3380" w:type="dxa"/>
            <w:tcBorders>
              <w:top w:val="nil"/>
              <w:left w:val="nil"/>
              <w:bottom w:val="nil"/>
              <w:right w:val="nil"/>
            </w:tcBorders>
            <w:hideMark/>
          </w:tcPr>
          <w:p w14:paraId="7B94AAB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No</w:t>
            </w:r>
          </w:p>
        </w:tc>
        <w:tc>
          <w:tcPr>
            <w:tcW w:w="1420" w:type="dxa"/>
            <w:tcBorders>
              <w:top w:val="nil"/>
              <w:left w:val="nil"/>
              <w:bottom w:val="nil"/>
              <w:right w:val="nil"/>
            </w:tcBorders>
            <w:hideMark/>
          </w:tcPr>
          <w:p w14:paraId="11662AC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923</w:t>
            </w:r>
          </w:p>
        </w:tc>
        <w:tc>
          <w:tcPr>
            <w:tcW w:w="1760" w:type="dxa"/>
            <w:tcBorders>
              <w:top w:val="nil"/>
              <w:left w:val="nil"/>
              <w:bottom w:val="nil"/>
              <w:right w:val="nil"/>
            </w:tcBorders>
            <w:hideMark/>
          </w:tcPr>
          <w:p w14:paraId="1784480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25.50 (17.54)</w:t>
            </w:r>
          </w:p>
        </w:tc>
        <w:tc>
          <w:tcPr>
            <w:tcW w:w="1080" w:type="dxa"/>
            <w:tcBorders>
              <w:top w:val="nil"/>
              <w:left w:val="nil"/>
              <w:bottom w:val="nil"/>
              <w:right w:val="nil"/>
            </w:tcBorders>
            <w:hideMark/>
          </w:tcPr>
          <w:p w14:paraId="48CCC4D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2A7FC5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189659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7F0AF13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61D6023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A1FA31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153F325A" w14:textId="77777777" w:rsidTr="00636CB1">
        <w:trPr>
          <w:trHeight w:val="170"/>
        </w:trPr>
        <w:tc>
          <w:tcPr>
            <w:tcW w:w="3380" w:type="dxa"/>
            <w:tcBorders>
              <w:top w:val="nil"/>
              <w:left w:val="nil"/>
              <w:bottom w:val="nil"/>
              <w:right w:val="nil"/>
            </w:tcBorders>
            <w:hideMark/>
          </w:tcPr>
          <w:p w14:paraId="00C438F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Yes</w:t>
            </w:r>
          </w:p>
        </w:tc>
        <w:tc>
          <w:tcPr>
            <w:tcW w:w="1420" w:type="dxa"/>
            <w:tcBorders>
              <w:top w:val="nil"/>
              <w:left w:val="nil"/>
              <w:bottom w:val="nil"/>
              <w:right w:val="nil"/>
            </w:tcBorders>
            <w:hideMark/>
          </w:tcPr>
          <w:p w14:paraId="02CAE62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268</w:t>
            </w:r>
          </w:p>
        </w:tc>
        <w:tc>
          <w:tcPr>
            <w:tcW w:w="1760" w:type="dxa"/>
            <w:tcBorders>
              <w:top w:val="nil"/>
              <w:left w:val="nil"/>
              <w:bottom w:val="nil"/>
              <w:right w:val="nil"/>
            </w:tcBorders>
            <w:hideMark/>
          </w:tcPr>
          <w:p w14:paraId="3CED22E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24.94 (17.96)</w:t>
            </w:r>
          </w:p>
        </w:tc>
        <w:tc>
          <w:tcPr>
            <w:tcW w:w="1080" w:type="dxa"/>
            <w:tcBorders>
              <w:top w:val="nil"/>
              <w:left w:val="nil"/>
              <w:bottom w:val="nil"/>
              <w:right w:val="nil"/>
            </w:tcBorders>
            <w:hideMark/>
          </w:tcPr>
          <w:p w14:paraId="7060624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-0.56</w:t>
            </w:r>
          </w:p>
        </w:tc>
        <w:tc>
          <w:tcPr>
            <w:tcW w:w="1800" w:type="dxa"/>
            <w:tcBorders>
              <w:top w:val="nil"/>
              <w:left w:val="nil"/>
              <w:bottom w:val="nil"/>
              <w:right w:val="nil"/>
            </w:tcBorders>
            <w:hideMark/>
          </w:tcPr>
          <w:p w14:paraId="3CA7EA8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-2.96, 1.84</w:t>
            </w:r>
          </w:p>
        </w:tc>
        <w:tc>
          <w:tcPr>
            <w:tcW w:w="1220" w:type="dxa"/>
            <w:tcBorders>
              <w:top w:val="nil"/>
              <w:left w:val="nil"/>
              <w:bottom w:val="nil"/>
              <w:right w:val="nil"/>
            </w:tcBorders>
            <w:hideMark/>
          </w:tcPr>
          <w:p w14:paraId="10DE27A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0.645</w:t>
            </w:r>
          </w:p>
        </w:tc>
        <w:tc>
          <w:tcPr>
            <w:tcW w:w="1080" w:type="dxa"/>
            <w:tcBorders>
              <w:top w:val="nil"/>
              <w:left w:val="nil"/>
              <w:bottom w:val="nil"/>
              <w:right w:val="nil"/>
            </w:tcBorders>
            <w:hideMark/>
          </w:tcPr>
          <w:p w14:paraId="35A2D70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-0.82</w:t>
            </w:r>
          </w:p>
        </w:tc>
        <w:tc>
          <w:tcPr>
            <w:tcW w:w="1800" w:type="dxa"/>
            <w:tcBorders>
              <w:top w:val="nil"/>
              <w:left w:val="nil"/>
              <w:bottom w:val="nil"/>
              <w:right w:val="nil"/>
            </w:tcBorders>
            <w:hideMark/>
          </w:tcPr>
          <w:p w14:paraId="4320005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-3.17, 1.54</w:t>
            </w:r>
          </w:p>
        </w:tc>
        <w:tc>
          <w:tcPr>
            <w:tcW w:w="1220" w:type="dxa"/>
            <w:tcBorders>
              <w:top w:val="nil"/>
              <w:left w:val="nil"/>
              <w:bottom w:val="nil"/>
              <w:right w:val="nil"/>
            </w:tcBorders>
            <w:hideMark/>
          </w:tcPr>
          <w:p w14:paraId="3DB9A01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0.497</w:t>
            </w:r>
          </w:p>
        </w:tc>
      </w:tr>
      <w:tr w:rsidR="00636CB1" w:rsidRPr="00636CB1" w14:paraId="0C31B89C" w14:textId="77777777" w:rsidTr="00636CB1">
        <w:trPr>
          <w:trHeight w:val="170"/>
        </w:trPr>
        <w:tc>
          <w:tcPr>
            <w:tcW w:w="3380" w:type="dxa"/>
            <w:tcBorders>
              <w:top w:val="nil"/>
              <w:left w:val="nil"/>
              <w:bottom w:val="nil"/>
              <w:right w:val="nil"/>
            </w:tcBorders>
            <w:hideMark/>
          </w:tcPr>
          <w:p w14:paraId="347B6FAD"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BMI at age 20 (kg/m²)</w:t>
            </w:r>
          </w:p>
        </w:tc>
        <w:tc>
          <w:tcPr>
            <w:tcW w:w="1420" w:type="dxa"/>
            <w:tcBorders>
              <w:top w:val="nil"/>
              <w:left w:val="nil"/>
              <w:bottom w:val="nil"/>
              <w:right w:val="nil"/>
            </w:tcBorders>
            <w:hideMark/>
          </w:tcPr>
          <w:p w14:paraId="7E781689"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60058C0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4FDA48A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422138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A53C1E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6A4202DF"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17503F3"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01253A1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21AC31ED" w14:textId="77777777" w:rsidTr="00636CB1">
        <w:trPr>
          <w:trHeight w:val="170"/>
        </w:trPr>
        <w:tc>
          <w:tcPr>
            <w:tcW w:w="3380" w:type="dxa"/>
            <w:tcBorders>
              <w:top w:val="nil"/>
              <w:left w:val="nil"/>
              <w:bottom w:val="nil"/>
              <w:right w:val="nil"/>
            </w:tcBorders>
            <w:hideMark/>
          </w:tcPr>
          <w:p w14:paraId="6A83DF25"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&lt;18.5</w:t>
            </w:r>
          </w:p>
        </w:tc>
        <w:tc>
          <w:tcPr>
            <w:tcW w:w="1420" w:type="dxa"/>
            <w:tcBorders>
              <w:top w:val="nil"/>
              <w:left w:val="nil"/>
              <w:bottom w:val="nil"/>
              <w:right w:val="nil"/>
            </w:tcBorders>
            <w:hideMark/>
          </w:tcPr>
          <w:p w14:paraId="60146EE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92</w:t>
            </w:r>
          </w:p>
        </w:tc>
        <w:tc>
          <w:tcPr>
            <w:tcW w:w="1760" w:type="dxa"/>
            <w:tcBorders>
              <w:top w:val="nil"/>
              <w:left w:val="nil"/>
              <w:bottom w:val="nil"/>
              <w:right w:val="nil"/>
            </w:tcBorders>
            <w:hideMark/>
          </w:tcPr>
          <w:p w14:paraId="0AF0245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28.73 (18.05)</w:t>
            </w:r>
          </w:p>
        </w:tc>
        <w:tc>
          <w:tcPr>
            <w:tcW w:w="1080" w:type="dxa"/>
            <w:tcBorders>
              <w:top w:val="nil"/>
              <w:left w:val="nil"/>
              <w:bottom w:val="nil"/>
              <w:right w:val="nil"/>
            </w:tcBorders>
            <w:hideMark/>
          </w:tcPr>
          <w:p w14:paraId="39AFA1F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2.86</w:t>
            </w:r>
          </w:p>
        </w:tc>
        <w:tc>
          <w:tcPr>
            <w:tcW w:w="1800" w:type="dxa"/>
            <w:tcBorders>
              <w:top w:val="nil"/>
              <w:left w:val="nil"/>
              <w:bottom w:val="nil"/>
              <w:right w:val="nil"/>
            </w:tcBorders>
            <w:hideMark/>
          </w:tcPr>
          <w:p w14:paraId="21E5FBB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-0.93, 6.65</w:t>
            </w:r>
          </w:p>
        </w:tc>
        <w:tc>
          <w:tcPr>
            <w:tcW w:w="1220" w:type="dxa"/>
            <w:tcBorders>
              <w:top w:val="nil"/>
              <w:left w:val="nil"/>
              <w:bottom w:val="nil"/>
              <w:right w:val="nil"/>
            </w:tcBorders>
            <w:hideMark/>
          </w:tcPr>
          <w:p w14:paraId="0EF76E8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0.138</w:t>
            </w:r>
          </w:p>
        </w:tc>
        <w:tc>
          <w:tcPr>
            <w:tcW w:w="1080" w:type="dxa"/>
            <w:tcBorders>
              <w:top w:val="nil"/>
              <w:left w:val="nil"/>
              <w:bottom w:val="nil"/>
              <w:right w:val="nil"/>
            </w:tcBorders>
            <w:hideMark/>
          </w:tcPr>
          <w:p w14:paraId="45582E5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2.88</w:t>
            </w:r>
          </w:p>
        </w:tc>
        <w:tc>
          <w:tcPr>
            <w:tcW w:w="1800" w:type="dxa"/>
            <w:tcBorders>
              <w:top w:val="nil"/>
              <w:left w:val="nil"/>
              <w:bottom w:val="nil"/>
              <w:right w:val="nil"/>
            </w:tcBorders>
            <w:hideMark/>
          </w:tcPr>
          <w:p w14:paraId="62F5F49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-0.83, 6.59</w:t>
            </w:r>
          </w:p>
        </w:tc>
        <w:tc>
          <w:tcPr>
            <w:tcW w:w="1220" w:type="dxa"/>
            <w:tcBorders>
              <w:top w:val="nil"/>
              <w:left w:val="nil"/>
              <w:bottom w:val="nil"/>
              <w:right w:val="nil"/>
            </w:tcBorders>
            <w:hideMark/>
          </w:tcPr>
          <w:p w14:paraId="10B5989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0.129</w:t>
            </w:r>
          </w:p>
        </w:tc>
      </w:tr>
      <w:tr w:rsidR="00636CB1" w:rsidRPr="00636CB1" w14:paraId="043F387B" w14:textId="77777777" w:rsidTr="00636CB1">
        <w:trPr>
          <w:trHeight w:val="170"/>
        </w:trPr>
        <w:tc>
          <w:tcPr>
            <w:tcW w:w="3380" w:type="dxa"/>
            <w:tcBorders>
              <w:top w:val="nil"/>
              <w:left w:val="nil"/>
              <w:bottom w:val="nil"/>
              <w:right w:val="nil"/>
            </w:tcBorders>
            <w:hideMark/>
          </w:tcPr>
          <w:p w14:paraId="66040CB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18.5-25</w:t>
            </w:r>
          </w:p>
        </w:tc>
        <w:tc>
          <w:tcPr>
            <w:tcW w:w="1420" w:type="dxa"/>
            <w:tcBorders>
              <w:top w:val="nil"/>
              <w:left w:val="nil"/>
              <w:bottom w:val="nil"/>
              <w:right w:val="nil"/>
            </w:tcBorders>
            <w:hideMark/>
          </w:tcPr>
          <w:p w14:paraId="44699EF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811</w:t>
            </w:r>
          </w:p>
        </w:tc>
        <w:tc>
          <w:tcPr>
            <w:tcW w:w="1760" w:type="dxa"/>
            <w:tcBorders>
              <w:top w:val="nil"/>
              <w:left w:val="nil"/>
              <w:bottom w:val="nil"/>
              <w:right w:val="nil"/>
            </w:tcBorders>
            <w:hideMark/>
          </w:tcPr>
          <w:p w14:paraId="2304C16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25.87 (17.57)</w:t>
            </w:r>
          </w:p>
        </w:tc>
        <w:tc>
          <w:tcPr>
            <w:tcW w:w="1080" w:type="dxa"/>
            <w:tcBorders>
              <w:top w:val="nil"/>
              <w:left w:val="nil"/>
              <w:bottom w:val="nil"/>
              <w:right w:val="nil"/>
            </w:tcBorders>
            <w:hideMark/>
          </w:tcPr>
          <w:p w14:paraId="087B509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DCEE2E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04E4A1E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5223BB8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3FDD6AF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2C5CEEB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512B79A5" w14:textId="77777777" w:rsidTr="00636CB1">
        <w:trPr>
          <w:trHeight w:val="170"/>
        </w:trPr>
        <w:tc>
          <w:tcPr>
            <w:tcW w:w="3380" w:type="dxa"/>
            <w:tcBorders>
              <w:top w:val="nil"/>
              <w:left w:val="nil"/>
              <w:bottom w:val="nil"/>
              <w:right w:val="nil"/>
            </w:tcBorders>
            <w:hideMark/>
          </w:tcPr>
          <w:p w14:paraId="0866712C"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w:t>
            </w:r>
          </w:p>
        </w:tc>
        <w:tc>
          <w:tcPr>
            <w:tcW w:w="1420" w:type="dxa"/>
            <w:tcBorders>
              <w:top w:val="nil"/>
              <w:left w:val="nil"/>
              <w:bottom w:val="nil"/>
              <w:right w:val="nil"/>
            </w:tcBorders>
            <w:hideMark/>
          </w:tcPr>
          <w:p w14:paraId="5D10581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72</w:t>
            </w:r>
          </w:p>
        </w:tc>
        <w:tc>
          <w:tcPr>
            <w:tcW w:w="1760" w:type="dxa"/>
            <w:tcBorders>
              <w:top w:val="nil"/>
              <w:left w:val="nil"/>
              <w:bottom w:val="nil"/>
              <w:right w:val="nil"/>
            </w:tcBorders>
            <w:hideMark/>
          </w:tcPr>
          <w:p w14:paraId="5710192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15.89 (16.65)</w:t>
            </w:r>
          </w:p>
        </w:tc>
        <w:tc>
          <w:tcPr>
            <w:tcW w:w="1080" w:type="dxa"/>
            <w:tcBorders>
              <w:top w:val="nil"/>
              <w:left w:val="nil"/>
              <w:bottom w:val="nil"/>
              <w:right w:val="nil"/>
            </w:tcBorders>
            <w:hideMark/>
          </w:tcPr>
          <w:p w14:paraId="1FA30E1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-9.98</w:t>
            </w:r>
          </w:p>
        </w:tc>
        <w:tc>
          <w:tcPr>
            <w:tcW w:w="1800" w:type="dxa"/>
            <w:tcBorders>
              <w:top w:val="nil"/>
              <w:left w:val="nil"/>
              <w:bottom w:val="nil"/>
              <w:right w:val="nil"/>
            </w:tcBorders>
            <w:hideMark/>
          </w:tcPr>
          <w:p w14:paraId="4D5F94E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-14.22, -5.75</w:t>
            </w:r>
          </w:p>
        </w:tc>
        <w:tc>
          <w:tcPr>
            <w:tcW w:w="1220" w:type="dxa"/>
            <w:tcBorders>
              <w:top w:val="nil"/>
              <w:left w:val="nil"/>
              <w:bottom w:val="nil"/>
              <w:right w:val="nil"/>
            </w:tcBorders>
            <w:hideMark/>
          </w:tcPr>
          <w:p w14:paraId="66DFCC3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32A933B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-11.07</w:t>
            </w:r>
          </w:p>
        </w:tc>
        <w:tc>
          <w:tcPr>
            <w:tcW w:w="1800" w:type="dxa"/>
            <w:tcBorders>
              <w:top w:val="nil"/>
              <w:left w:val="nil"/>
              <w:bottom w:val="nil"/>
              <w:right w:val="nil"/>
            </w:tcBorders>
            <w:hideMark/>
          </w:tcPr>
          <w:p w14:paraId="2031CB0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-15.23, -6.91</w:t>
            </w:r>
          </w:p>
        </w:tc>
        <w:tc>
          <w:tcPr>
            <w:tcW w:w="1220" w:type="dxa"/>
            <w:tcBorders>
              <w:top w:val="nil"/>
              <w:left w:val="nil"/>
              <w:bottom w:val="nil"/>
              <w:right w:val="nil"/>
            </w:tcBorders>
            <w:hideMark/>
          </w:tcPr>
          <w:p w14:paraId="3145787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28ED365E" w14:textId="77777777" w:rsidTr="00636CB1">
        <w:trPr>
          <w:trHeight w:val="170"/>
        </w:trPr>
        <w:tc>
          <w:tcPr>
            <w:tcW w:w="3380" w:type="dxa"/>
            <w:tcBorders>
              <w:top w:val="nil"/>
              <w:left w:val="nil"/>
              <w:bottom w:val="nil"/>
              <w:right w:val="nil"/>
            </w:tcBorders>
            <w:hideMark/>
          </w:tcPr>
          <w:p w14:paraId="0BE697EB"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BMI at recruitment (kg/m²)</w:t>
            </w:r>
          </w:p>
        </w:tc>
        <w:tc>
          <w:tcPr>
            <w:tcW w:w="1420" w:type="dxa"/>
            <w:tcBorders>
              <w:top w:val="nil"/>
              <w:left w:val="nil"/>
              <w:bottom w:val="nil"/>
              <w:right w:val="nil"/>
            </w:tcBorders>
            <w:hideMark/>
          </w:tcPr>
          <w:p w14:paraId="285ED835"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599927D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6399707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107C6285"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0EDC4144"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32C082F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1E6D9048"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6C44DD5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234F668C" w14:textId="77777777" w:rsidTr="00636CB1">
        <w:trPr>
          <w:trHeight w:val="170"/>
        </w:trPr>
        <w:tc>
          <w:tcPr>
            <w:tcW w:w="3380" w:type="dxa"/>
            <w:tcBorders>
              <w:top w:val="nil"/>
              <w:left w:val="nil"/>
              <w:bottom w:val="nil"/>
              <w:right w:val="nil"/>
            </w:tcBorders>
            <w:hideMark/>
          </w:tcPr>
          <w:p w14:paraId="2F4B781C"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&lt;18.5</w:t>
            </w:r>
          </w:p>
        </w:tc>
        <w:tc>
          <w:tcPr>
            <w:tcW w:w="1420" w:type="dxa"/>
            <w:tcBorders>
              <w:top w:val="nil"/>
              <w:left w:val="nil"/>
              <w:bottom w:val="nil"/>
              <w:right w:val="nil"/>
            </w:tcBorders>
            <w:hideMark/>
          </w:tcPr>
          <w:p w14:paraId="7D4B9A5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w:t>
            </w:r>
          </w:p>
        </w:tc>
        <w:tc>
          <w:tcPr>
            <w:tcW w:w="1760" w:type="dxa"/>
            <w:tcBorders>
              <w:top w:val="nil"/>
              <w:left w:val="nil"/>
              <w:bottom w:val="nil"/>
              <w:right w:val="nil"/>
            </w:tcBorders>
            <w:hideMark/>
          </w:tcPr>
          <w:p w14:paraId="586D097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38.84 (23.95)</w:t>
            </w:r>
          </w:p>
        </w:tc>
        <w:tc>
          <w:tcPr>
            <w:tcW w:w="1080" w:type="dxa"/>
            <w:tcBorders>
              <w:top w:val="nil"/>
              <w:left w:val="nil"/>
              <w:bottom w:val="nil"/>
              <w:right w:val="nil"/>
            </w:tcBorders>
            <w:hideMark/>
          </w:tcPr>
          <w:p w14:paraId="6A102E6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7.11</w:t>
            </w:r>
          </w:p>
        </w:tc>
        <w:tc>
          <w:tcPr>
            <w:tcW w:w="1800" w:type="dxa"/>
            <w:tcBorders>
              <w:top w:val="nil"/>
              <w:left w:val="nil"/>
              <w:bottom w:val="nil"/>
              <w:right w:val="nil"/>
            </w:tcBorders>
            <w:hideMark/>
          </w:tcPr>
          <w:p w14:paraId="09D13D6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-5.04, 19.27</w:t>
            </w:r>
          </w:p>
        </w:tc>
        <w:tc>
          <w:tcPr>
            <w:tcW w:w="1220" w:type="dxa"/>
            <w:tcBorders>
              <w:top w:val="nil"/>
              <w:left w:val="nil"/>
              <w:bottom w:val="nil"/>
              <w:right w:val="nil"/>
            </w:tcBorders>
            <w:hideMark/>
          </w:tcPr>
          <w:p w14:paraId="3B2C4D7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0.251</w:t>
            </w:r>
          </w:p>
        </w:tc>
        <w:tc>
          <w:tcPr>
            <w:tcW w:w="1080" w:type="dxa"/>
            <w:tcBorders>
              <w:top w:val="nil"/>
              <w:left w:val="nil"/>
              <w:bottom w:val="nil"/>
              <w:right w:val="nil"/>
            </w:tcBorders>
            <w:hideMark/>
          </w:tcPr>
          <w:p w14:paraId="2DA3990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7.19</w:t>
            </w:r>
          </w:p>
        </w:tc>
        <w:tc>
          <w:tcPr>
            <w:tcW w:w="1800" w:type="dxa"/>
            <w:tcBorders>
              <w:top w:val="nil"/>
              <w:left w:val="nil"/>
              <w:bottom w:val="nil"/>
              <w:right w:val="nil"/>
            </w:tcBorders>
            <w:hideMark/>
          </w:tcPr>
          <w:p w14:paraId="78337FF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-4.67, 19.05</w:t>
            </w:r>
          </w:p>
        </w:tc>
        <w:tc>
          <w:tcPr>
            <w:tcW w:w="1220" w:type="dxa"/>
            <w:tcBorders>
              <w:top w:val="nil"/>
              <w:left w:val="nil"/>
              <w:bottom w:val="nil"/>
              <w:right w:val="nil"/>
            </w:tcBorders>
            <w:hideMark/>
          </w:tcPr>
          <w:p w14:paraId="6AC1AE7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0.234</w:t>
            </w:r>
          </w:p>
        </w:tc>
      </w:tr>
      <w:tr w:rsidR="00636CB1" w:rsidRPr="00636CB1" w14:paraId="3A04701C" w14:textId="77777777" w:rsidTr="00636CB1">
        <w:trPr>
          <w:trHeight w:val="170"/>
        </w:trPr>
        <w:tc>
          <w:tcPr>
            <w:tcW w:w="3380" w:type="dxa"/>
            <w:tcBorders>
              <w:top w:val="nil"/>
              <w:left w:val="nil"/>
              <w:bottom w:val="nil"/>
              <w:right w:val="nil"/>
            </w:tcBorders>
            <w:hideMark/>
          </w:tcPr>
          <w:p w14:paraId="381DD5B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18.5-25</w:t>
            </w:r>
          </w:p>
        </w:tc>
        <w:tc>
          <w:tcPr>
            <w:tcW w:w="1420" w:type="dxa"/>
            <w:tcBorders>
              <w:top w:val="nil"/>
              <w:left w:val="nil"/>
              <w:bottom w:val="nil"/>
              <w:right w:val="nil"/>
            </w:tcBorders>
            <w:hideMark/>
          </w:tcPr>
          <w:p w14:paraId="6B9D751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572</w:t>
            </w:r>
          </w:p>
        </w:tc>
        <w:tc>
          <w:tcPr>
            <w:tcW w:w="1760" w:type="dxa"/>
            <w:tcBorders>
              <w:top w:val="nil"/>
              <w:left w:val="nil"/>
              <w:bottom w:val="nil"/>
              <w:right w:val="nil"/>
            </w:tcBorders>
            <w:hideMark/>
          </w:tcPr>
          <w:p w14:paraId="12A1235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31.73 (18.26)</w:t>
            </w:r>
          </w:p>
        </w:tc>
        <w:tc>
          <w:tcPr>
            <w:tcW w:w="1080" w:type="dxa"/>
            <w:tcBorders>
              <w:top w:val="nil"/>
              <w:left w:val="nil"/>
              <w:bottom w:val="nil"/>
              <w:right w:val="nil"/>
            </w:tcBorders>
            <w:hideMark/>
          </w:tcPr>
          <w:p w14:paraId="4AD54E0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41EDCF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5F1111E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2CE8C11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844074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64D77DD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027CD2B2" w14:textId="77777777" w:rsidTr="00636CB1">
        <w:trPr>
          <w:trHeight w:val="170"/>
        </w:trPr>
        <w:tc>
          <w:tcPr>
            <w:tcW w:w="3380" w:type="dxa"/>
            <w:tcBorders>
              <w:top w:val="nil"/>
              <w:left w:val="nil"/>
              <w:bottom w:val="nil"/>
              <w:right w:val="nil"/>
            </w:tcBorders>
            <w:hideMark/>
          </w:tcPr>
          <w:p w14:paraId="574DC06E"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25-30</w:t>
            </w:r>
          </w:p>
        </w:tc>
        <w:tc>
          <w:tcPr>
            <w:tcW w:w="1420" w:type="dxa"/>
            <w:tcBorders>
              <w:top w:val="nil"/>
              <w:left w:val="nil"/>
              <w:bottom w:val="nil"/>
              <w:right w:val="nil"/>
            </w:tcBorders>
            <w:hideMark/>
          </w:tcPr>
          <w:p w14:paraId="5CDC292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387</w:t>
            </w:r>
          </w:p>
        </w:tc>
        <w:tc>
          <w:tcPr>
            <w:tcW w:w="1760" w:type="dxa"/>
            <w:tcBorders>
              <w:top w:val="nil"/>
              <w:left w:val="nil"/>
              <w:bottom w:val="nil"/>
              <w:right w:val="nil"/>
            </w:tcBorders>
            <w:hideMark/>
          </w:tcPr>
          <w:p w14:paraId="0522C9C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21.38 (14.79)</w:t>
            </w:r>
          </w:p>
        </w:tc>
        <w:tc>
          <w:tcPr>
            <w:tcW w:w="1080" w:type="dxa"/>
            <w:tcBorders>
              <w:top w:val="nil"/>
              <w:left w:val="nil"/>
              <w:bottom w:val="nil"/>
              <w:right w:val="nil"/>
            </w:tcBorders>
            <w:hideMark/>
          </w:tcPr>
          <w:p w14:paraId="22A3BBA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-10.35</w:t>
            </w:r>
          </w:p>
        </w:tc>
        <w:tc>
          <w:tcPr>
            <w:tcW w:w="1800" w:type="dxa"/>
            <w:tcBorders>
              <w:top w:val="nil"/>
              <w:left w:val="nil"/>
              <w:bottom w:val="nil"/>
              <w:right w:val="nil"/>
            </w:tcBorders>
            <w:hideMark/>
          </w:tcPr>
          <w:p w14:paraId="7E61A4E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-12.46, -8.25</w:t>
            </w:r>
          </w:p>
        </w:tc>
        <w:tc>
          <w:tcPr>
            <w:tcW w:w="1220" w:type="dxa"/>
            <w:tcBorders>
              <w:top w:val="nil"/>
              <w:left w:val="nil"/>
              <w:bottom w:val="nil"/>
              <w:right w:val="nil"/>
            </w:tcBorders>
            <w:hideMark/>
          </w:tcPr>
          <w:p w14:paraId="0300A34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4A841DB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-10.36</w:t>
            </w:r>
          </w:p>
        </w:tc>
        <w:tc>
          <w:tcPr>
            <w:tcW w:w="1800" w:type="dxa"/>
            <w:tcBorders>
              <w:top w:val="nil"/>
              <w:left w:val="nil"/>
              <w:bottom w:val="nil"/>
              <w:right w:val="nil"/>
            </w:tcBorders>
            <w:hideMark/>
          </w:tcPr>
          <w:p w14:paraId="497540F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-12.41, -8.31</w:t>
            </w:r>
          </w:p>
        </w:tc>
        <w:tc>
          <w:tcPr>
            <w:tcW w:w="1220" w:type="dxa"/>
            <w:tcBorders>
              <w:top w:val="nil"/>
              <w:left w:val="nil"/>
              <w:bottom w:val="nil"/>
              <w:right w:val="nil"/>
            </w:tcBorders>
            <w:hideMark/>
          </w:tcPr>
          <w:p w14:paraId="324B014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538FB49E" w14:textId="77777777" w:rsidTr="00636CB1">
        <w:trPr>
          <w:trHeight w:val="170"/>
        </w:trPr>
        <w:tc>
          <w:tcPr>
            <w:tcW w:w="3380" w:type="dxa"/>
            <w:tcBorders>
              <w:top w:val="nil"/>
              <w:left w:val="nil"/>
              <w:bottom w:val="nil"/>
              <w:right w:val="nil"/>
            </w:tcBorders>
            <w:hideMark/>
          </w:tcPr>
          <w:p w14:paraId="09AB983C"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w:t>
            </w:r>
          </w:p>
        </w:tc>
        <w:tc>
          <w:tcPr>
            <w:tcW w:w="1420" w:type="dxa"/>
            <w:tcBorders>
              <w:top w:val="nil"/>
              <w:left w:val="nil"/>
              <w:bottom w:val="nil"/>
              <w:right w:val="nil"/>
            </w:tcBorders>
            <w:hideMark/>
          </w:tcPr>
          <w:p w14:paraId="16FBF7A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209</w:t>
            </w:r>
          </w:p>
        </w:tc>
        <w:tc>
          <w:tcPr>
            <w:tcW w:w="1760" w:type="dxa"/>
            <w:tcBorders>
              <w:top w:val="nil"/>
              <w:left w:val="nil"/>
              <w:bottom w:val="nil"/>
              <w:right w:val="nil"/>
            </w:tcBorders>
            <w:hideMark/>
          </w:tcPr>
          <w:p w14:paraId="5B58F24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14.88 (12.53)</w:t>
            </w:r>
          </w:p>
        </w:tc>
        <w:tc>
          <w:tcPr>
            <w:tcW w:w="1080" w:type="dxa"/>
            <w:tcBorders>
              <w:top w:val="nil"/>
              <w:left w:val="nil"/>
              <w:bottom w:val="nil"/>
              <w:right w:val="nil"/>
            </w:tcBorders>
            <w:hideMark/>
          </w:tcPr>
          <w:p w14:paraId="7E52EA2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-16.85</w:t>
            </w:r>
          </w:p>
        </w:tc>
        <w:tc>
          <w:tcPr>
            <w:tcW w:w="1800" w:type="dxa"/>
            <w:tcBorders>
              <w:top w:val="nil"/>
              <w:left w:val="nil"/>
              <w:bottom w:val="nil"/>
              <w:right w:val="nil"/>
            </w:tcBorders>
            <w:hideMark/>
          </w:tcPr>
          <w:p w14:paraId="4DEE2C1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-19.43, -14.27</w:t>
            </w:r>
          </w:p>
        </w:tc>
        <w:tc>
          <w:tcPr>
            <w:tcW w:w="1220" w:type="dxa"/>
            <w:tcBorders>
              <w:top w:val="nil"/>
              <w:left w:val="nil"/>
              <w:bottom w:val="nil"/>
              <w:right w:val="nil"/>
            </w:tcBorders>
            <w:hideMark/>
          </w:tcPr>
          <w:p w14:paraId="451F533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c>
          <w:tcPr>
            <w:tcW w:w="1080" w:type="dxa"/>
            <w:tcBorders>
              <w:top w:val="nil"/>
              <w:left w:val="nil"/>
              <w:bottom w:val="nil"/>
              <w:right w:val="nil"/>
            </w:tcBorders>
            <w:hideMark/>
          </w:tcPr>
          <w:p w14:paraId="5DC92AE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-17.10</w:t>
            </w:r>
          </w:p>
        </w:tc>
        <w:tc>
          <w:tcPr>
            <w:tcW w:w="1800" w:type="dxa"/>
            <w:tcBorders>
              <w:top w:val="nil"/>
              <w:left w:val="nil"/>
              <w:bottom w:val="nil"/>
              <w:right w:val="nil"/>
            </w:tcBorders>
            <w:hideMark/>
          </w:tcPr>
          <w:p w14:paraId="0980587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-19.62, -14.58</w:t>
            </w:r>
          </w:p>
        </w:tc>
        <w:tc>
          <w:tcPr>
            <w:tcW w:w="1220" w:type="dxa"/>
            <w:tcBorders>
              <w:top w:val="nil"/>
              <w:left w:val="nil"/>
              <w:bottom w:val="nil"/>
              <w:right w:val="nil"/>
            </w:tcBorders>
            <w:hideMark/>
          </w:tcPr>
          <w:p w14:paraId="1BCE473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&lt;0.001</w:t>
            </w:r>
          </w:p>
        </w:tc>
      </w:tr>
      <w:tr w:rsidR="00636CB1" w:rsidRPr="00636CB1" w14:paraId="56B06981" w14:textId="77777777" w:rsidTr="00636CB1">
        <w:trPr>
          <w:trHeight w:val="170"/>
        </w:trPr>
        <w:tc>
          <w:tcPr>
            <w:tcW w:w="3380" w:type="dxa"/>
            <w:tcBorders>
              <w:top w:val="nil"/>
              <w:left w:val="nil"/>
              <w:bottom w:val="nil"/>
              <w:right w:val="nil"/>
            </w:tcBorders>
            <w:hideMark/>
          </w:tcPr>
          <w:p w14:paraId="4B10F9D9"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Physical activity (MET h/</w:t>
            </w:r>
            <w:proofErr w:type="spellStart"/>
            <w:r w:rsidRPr="00636CB1">
              <w:rPr>
                <w:rFonts w:ascii="Aptos Narrow" w:eastAsia="Times New Roman" w:hAnsi="Aptos Narrow" w:cs="Arial"/>
                <w:b/>
                <w:bCs/>
                <w:kern w:val="0"/>
                <w:sz w:val="22"/>
                <w:lang w:eastAsia="en-GB"/>
                <w14:ligatures w14:val="none"/>
              </w:rPr>
              <w:t>wk</w:t>
            </w:r>
            <w:proofErr w:type="spellEnd"/>
            <w:r w:rsidRPr="00636CB1">
              <w:rPr>
                <w:rFonts w:ascii="Aptos Narrow" w:eastAsia="Times New Roman" w:hAnsi="Aptos Narrow" w:cs="Arial"/>
                <w:b/>
                <w:bCs/>
                <w:kern w:val="0"/>
                <w:sz w:val="22"/>
                <w:lang w:eastAsia="en-GB"/>
                <w14:ligatures w14:val="none"/>
              </w:rPr>
              <w:t>)</w:t>
            </w:r>
          </w:p>
        </w:tc>
        <w:tc>
          <w:tcPr>
            <w:tcW w:w="1420" w:type="dxa"/>
            <w:tcBorders>
              <w:top w:val="nil"/>
              <w:left w:val="nil"/>
              <w:bottom w:val="nil"/>
              <w:right w:val="nil"/>
            </w:tcBorders>
            <w:hideMark/>
          </w:tcPr>
          <w:p w14:paraId="654DDB9D"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76EEF172"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47B19355"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26DF388"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4F245F1A"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4161593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4EA86B9F"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2E358808"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4C265341" w14:textId="77777777" w:rsidTr="00636CB1">
        <w:trPr>
          <w:trHeight w:val="170"/>
        </w:trPr>
        <w:tc>
          <w:tcPr>
            <w:tcW w:w="3380" w:type="dxa"/>
            <w:tcBorders>
              <w:top w:val="nil"/>
              <w:left w:val="nil"/>
              <w:bottom w:val="nil"/>
              <w:right w:val="nil"/>
            </w:tcBorders>
            <w:hideMark/>
          </w:tcPr>
          <w:p w14:paraId="48CC6875"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&lt;9</w:t>
            </w:r>
          </w:p>
        </w:tc>
        <w:tc>
          <w:tcPr>
            <w:tcW w:w="1420" w:type="dxa"/>
            <w:tcBorders>
              <w:top w:val="nil"/>
              <w:left w:val="nil"/>
              <w:bottom w:val="nil"/>
              <w:right w:val="nil"/>
            </w:tcBorders>
            <w:hideMark/>
          </w:tcPr>
          <w:p w14:paraId="64D02E3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267</w:t>
            </w:r>
          </w:p>
        </w:tc>
        <w:tc>
          <w:tcPr>
            <w:tcW w:w="1760" w:type="dxa"/>
            <w:tcBorders>
              <w:top w:val="nil"/>
              <w:left w:val="nil"/>
              <w:bottom w:val="nil"/>
              <w:right w:val="nil"/>
            </w:tcBorders>
            <w:hideMark/>
          </w:tcPr>
          <w:p w14:paraId="218ABCE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24.09 (17.45)</w:t>
            </w:r>
          </w:p>
        </w:tc>
        <w:tc>
          <w:tcPr>
            <w:tcW w:w="1080" w:type="dxa"/>
            <w:tcBorders>
              <w:top w:val="nil"/>
              <w:left w:val="nil"/>
              <w:bottom w:val="nil"/>
              <w:right w:val="nil"/>
            </w:tcBorders>
            <w:hideMark/>
          </w:tcPr>
          <w:p w14:paraId="627E464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215B19D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3EFC07B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65C15F9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467DB2D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5F43EEA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3ABC803C" w14:textId="77777777" w:rsidTr="00636CB1">
        <w:trPr>
          <w:trHeight w:val="170"/>
        </w:trPr>
        <w:tc>
          <w:tcPr>
            <w:tcW w:w="3380" w:type="dxa"/>
            <w:tcBorders>
              <w:top w:val="nil"/>
              <w:left w:val="nil"/>
              <w:bottom w:val="nil"/>
              <w:right w:val="nil"/>
            </w:tcBorders>
            <w:hideMark/>
          </w:tcPr>
          <w:p w14:paraId="7554CA5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9-17</w:t>
            </w:r>
          </w:p>
        </w:tc>
        <w:tc>
          <w:tcPr>
            <w:tcW w:w="1420" w:type="dxa"/>
            <w:tcBorders>
              <w:top w:val="nil"/>
              <w:left w:val="nil"/>
              <w:bottom w:val="nil"/>
              <w:right w:val="nil"/>
            </w:tcBorders>
            <w:hideMark/>
          </w:tcPr>
          <w:p w14:paraId="50E4454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227</w:t>
            </w:r>
          </w:p>
        </w:tc>
        <w:tc>
          <w:tcPr>
            <w:tcW w:w="1760" w:type="dxa"/>
            <w:tcBorders>
              <w:top w:val="nil"/>
              <w:left w:val="nil"/>
              <w:bottom w:val="nil"/>
              <w:right w:val="nil"/>
            </w:tcBorders>
            <w:hideMark/>
          </w:tcPr>
          <w:p w14:paraId="60417EA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24.54 (16.69)</w:t>
            </w:r>
          </w:p>
        </w:tc>
        <w:tc>
          <w:tcPr>
            <w:tcW w:w="1080" w:type="dxa"/>
            <w:tcBorders>
              <w:top w:val="nil"/>
              <w:left w:val="nil"/>
              <w:bottom w:val="nil"/>
              <w:right w:val="nil"/>
            </w:tcBorders>
            <w:hideMark/>
          </w:tcPr>
          <w:p w14:paraId="4BA443F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0.44</w:t>
            </w:r>
          </w:p>
        </w:tc>
        <w:tc>
          <w:tcPr>
            <w:tcW w:w="1800" w:type="dxa"/>
            <w:tcBorders>
              <w:top w:val="nil"/>
              <w:left w:val="nil"/>
              <w:bottom w:val="nil"/>
              <w:right w:val="nil"/>
            </w:tcBorders>
            <w:hideMark/>
          </w:tcPr>
          <w:p w14:paraId="77D0A4F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-2.68, 3.57</w:t>
            </w:r>
          </w:p>
        </w:tc>
        <w:tc>
          <w:tcPr>
            <w:tcW w:w="1220" w:type="dxa"/>
            <w:tcBorders>
              <w:top w:val="nil"/>
              <w:left w:val="nil"/>
              <w:bottom w:val="nil"/>
              <w:right w:val="nil"/>
            </w:tcBorders>
            <w:hideMark/>
          </w:tcPr>
          <w:p w14:paraId="1A5554B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0.781</w:t>
            </w:r>
          </w:p>
        </w:tc>
        <w:tc>
          <w:tcPr>
            <w:tcW w:w="1080" w:type="dxa"/>
            <w:tcBorders>
              <w:top w:val="nil"/>
              <w:left w:val="nil"/>
              <w:bottom w:val="nil"/>
              <w:right w:val="nil"/>
            </w:tcBorders>
            <w:hideMark/>
          </w:tcPr>
          <w:p w14:paraId="56A011A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0.70</w:t>
            </w:r>
          </w:p>
        </w:tc>
        <w:tc>
          <w:tcPr>
            <w:tcW w:w="1800" w:type="dxa"/>
            <w:tcBorders>
              <w:top w:val="nil"/>
              <w:left w:val="nil"/>
              <w:bottom w:val="nil"/>
              <w:right w:val="nil"/>
            </w:tcBorders>
            <w:hideMark/>
          </w:tcPr>
          <w:p w14:paraId="55D2025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-2.36, 3.77</w:t>
            </w:r>
          </w:p>
        </w:tc>
        <w:tc>
          <w:tcPr>
            <w:tcW w:w="1220" w:type="dxa"/>
            <w:tcBorders>
              <w:top w:val="nil"/>
              <w:left w:val="nil"/>
              <w:bottom w:val="nil"/>
              <w:right w:val="nil"/>
            </w:tcBorders>
            <w:hideMark/>
          </w:tcPr>
          <w:p w14:paraId="74B0B92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0.653</w:t>
            </w:r>
          </w:p>
        </w:tc>
      </w:tr>
      <w:tr w:rsidR="00636CB1" w:rsidRPr="00636CB1" w14:paraId="20DA5C6C" w14:textId="77777777" w:rsidTr="00636CB1">
        <w:trPr>
          <w:trHeight w:val="170"/>
        </w:trPr>
        <w:tc>
          <w:tcPr>
            <w:tcW w:w="3380" w:type="dxa"/>
            <w:tcBorders>
              <w:top w:val="nil"/>
              <w:left w:val="nil"/>
              <w:bottom w:val="nil"/>
              <w:right w:val="nil"/>
            </w:tcBorders>
            <w:hideMark/>
          </w:tcPr>
          <w:p w14:paraId="6C9060E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18+</w:t>
            </w:r>
          </w:p>
        </w:tc>
        <w:tc>
          <w:tcPr>
            <w:tcW w:w="1420" w:type="dxa"/>
            <w:tcBorders>
              <w:top w:val="nil"/>
              <w:left w:val="nil"/>
              <w:bottom w:val="nil"/>
              <w:right w:val="nil"/>
            </w:tcBorders>
            <w:hideMark/>
          </w:tcPr>
          <w:p w14:paraId="79E349D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687</w:t>
            </w:r>
          </w:p>
        </w:tc>
        <w:tc>
          <w:tcPr>
            <w:tcW w:w="1760" w:type="dxa"/>
            <w:tcBorders>
              <w:top w:val="nil"/>
              <w:left w:val="nil"/>
              <w:bottom w:val="nil"/>
              <w:right w:val="nil"/>
            </w:tcBorders>
            <w:hideMark/>
          </w:tcPr>
          <w:p w14:paraId="1F94FD7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26.28 (18.02)</w:t>
            </w:r>
          </w:p>
        </w:tc>
        <w:tc>
          <w:tcPr>
            <w:tcW w:w="1080" w:type="dxa"/>
            <w:tcBorders>
              <w:top w:val="nil"/>
              <w:left w:val="nil"/>
              <w:bottom w:val="nil"/>
              <w:right w:val="nil"/>
            </w:tcBorders>
            <w:hideMark/>
          </w:tcPr>
          <w:p w14:paraId="31CBE2B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2.18</w:t>
            </w:r>
          </w:p>
        </w:tc>
        <w:tc>
          <w:tcPr>
            <w:tcW w:w="1800" w:type="dxa"/>
            <w:tcBorders>
              <w:top w:val="nil"/>
              <w:left w:val="nil"/>
              <w:bottom w:val="nil"/>
              <w:right w:val="nil"/>
            </w:tcBorders>
            <w:hideMark/>
          </w:tcPr>
          <w:p w14:paraId="75C6752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-0.31, 4.68</w:t>
            </w:r>
          </w:p>
        </w:tc>
        <w:tc>
          <w:tcPr>
            <w:tcW w:w="1220" w:type="dxa"/>
            <w:tcBorders>
              <w:top w:val="nil"/>
              <w:left w:val="nil"/>
              <w:bottom w:val="nil"/>
              <w:right w:val="nil"/>
            </w:tcBorders>
            <w:hideMark/>
          </w:tcPr>
          <w:p w14:paraId="598A3D9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0.086</w:t>
            </w:r>
          </w:p>
        </w:tc>
        <w:tc>
          <w:tcPr>
            <w:tcW w:w="1080" w:type="dxa"/>
            <w:tcBorders>
              <w:top w:val="nil"/>
              <w:left w:val="nil"/>
              <w:bottom w:val="nil"/>
              <w:right w:val="nil"/>
            </w:tcBorders>
            <w:hideMark/>
          </w:tcPr>
          <w:p w14:paraId="276A195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2.62</w:t>
            </w:r>
          </w:p>
        </w:tc>
        <w:tc>
          <w:tcPr>
            <w:tcW w:w="1800" w:type="dxa"/>
            <w:tcBorders>
              <w:top w:val="nil"/>
              <w:left w:val="nil"/>
              <w:bottom w:val="nil"/>
              <w:right w:val="nil"/>
            </w:tcBorders>
            <w:hideMark/>
          </w:tcPr>
          <w:p w14:paraId="2C5AAA4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0.17, 5.06</w:t>
            </w:r>
          </w:p>
        </w:tc>
        <w:tc>
          <w:tcPr>
            <w:tcW w:w="1220" w:type="dxa"/>
            <w:tcBorders>
              <w:top w:val="nil"/>
              <w:left w:val="nil"/>
              <w:bottom w:val="nil"/>
              <w:right w:val="nil"/>
            </w:tcBorders>
            <w:hideMark/>
          </w:tcPr>
          <w:p w14:paraId="2D43E5F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0.036</w:t>
            </w:r>
          </w:p>
        </w:tc>
      </w:tr>
      <w:tr w:rsidR="00636CB1" w:rsidRPr="00636CB1" w14:paraId="7209408F" w14:textId="77777777" w:rsidTr="00636CB1">
        <w:trPr>
          <w:trHeight w:val="170"/>
        </w:trPr>
        <w:tc>
          <w:tcPr>
            <w:tcW w:w="3380" w:type="dxa"/>
            <w:tcBorders>
              <w:top w:val="nil"/>
              <w:left w:val="nil"/>
              <w:bottom w:val="nil"/>
              <w:right w:val="nil"/>
            </w:tcBorders>
            <w:hideMark/>
          </w:tcPr>
          <w:p w14:paraId="74186257"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Alcohol units per week</w:t>
            </w:r>
          </w:p>
        </w:tc>
        <w:tc>
          <w:tcPr>
            <w:tcW w:w="1420" w:type="dxa"/>
            <w:tcBorders>
              <w:top w:val="nil"/>
              <w:left w:val="nil"/>
              <w:bottom w:val="nil"/>
              <w:right w:val="nil"/>
            </w:tcBorders>
            <w:hideMark/>
          </w:tcPr>
          <w:p w14:paraId="66818BE7"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12E1172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60410A47"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3A3435F6"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0006F4F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25F1407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3343C631"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4A17118E"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3B2BD069" w14:textId="77777777" w:rsidTr="00636CB1">
        <w:trPr>
          <w:trHeight w:val="170"/>
        </w:trPr>
        <w:tc>
          <w:tcPr>
            <w:tcW w:w="3380" w:type="dxa"/>
            <w:tcBorders>
              <w:top w:val="nil"/>
              <w:left w:val="nil"/>
              <w:bottom w:val="nil"/>
              <w:right w:val="nil"/>
            </w:tcBorders>
            <w:hideMark/>
          </w:tcPr>
          <w:p w14:paraId="67FEB531"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w:t>
            </w:r>
          </w:p>
        </w:tc>
        <w:tc>
          <w:tcPr>
            <w:tcW w:w="1420" w:type="dxa"/>
            <w:tcBorders>
              <w:top w:val="nil"/>
              <w:left w:val="nil"/>
              <w:bottom w:val="nil"/>
              <w:right w:val="nil"/>
            </w:tcBorders>
            <w:hideMark/>
          </w:tcPr>
          <w:p w14:paraId="317A13C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248</w:t>
            </w:r>
          </w:p>
        </w:tc>
        <w:tc>
          <w:tcPr>
            <w:tcW w:w="1760" w:type="dxa"/>
            <w:tcBorders>
              <w:top w:val="nil"/>
              <w:left w:val="nil"/>
              <w:bottom w:val="nil"/>
              <w:right w:val="nil"/>
            </w:tcBorders>
            <w:hideMark/>
          </w:tcPr>
          <w:p w14:paraId="3354D61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22.74 (17.03)</w:t>
            </w:r>
          </w:p>
        </w:tc>
        <w:tc>
          <w:tcPr>
            <w:tcW w:w="1080" w:type="dxa"/>
            <w:tcBorders>
              <w:top w:val="nil"/>
              <w:left w:val="nil"/>
              <w:bottom w:val="nil"/>
              <w:right w:val="nil"/>
            </w:tcBorders>
            <w:hideMark/>
          </w:tcPr>
          <w:p w14:paraId="58A5F75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720D926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0DB73BB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49798B8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56EB9E6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2828AAC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42C50512" w14:textId="77777777" w:rsidTr="00636CB1">
        <w:trPr>
          <w:trHeight w:val="170"/>
        </w:trPr>
        <w:tc>
          <w:tcPr>
            <w:tcW w:w="3380" w:type="dxa"/>
            <w:tcBorders>
              <w:top w:val="nil"/>
              <w:left w:val="nil"/>
              <w:bottom w:val="nil"/>
              <w:right w:val="nil"/>
            </w:tcBorders>
            <w:hideMark/>
          </w:tcPr>
          <w:p w14:paraId="1AE71042"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1-9</w:t>
            </w:r>
          </w:p>
        </w:tc>
        <w:tc>
          <w:tcPr>
            <w:tcW w:w="1420" w:type="dxa"/>
            <w:tcBorders>
              <w:top w:val="nil"/>
              <w:left w:val="nil"/>
              <w:bottom w:val="nil"/>
              <w:right w:val="nil"/>
            </w:tcBorders>
            <w:hideMark/>
          </w:tcPr>
          <w:p w14:paraId="2D676BB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323</w:t>
            </w:r>
          </w:p>
        </w:tc>
        <w:tc>
          <w:tcPr>
            <w:tcW w:w="1760" w:type="dxa"/>
            <w:tcBorders>
              <w:top w:val="nil"/>
              <w:left w:val="nil"/>
              <w:bottom w:val="nil"/>
              <w:right w:val="nil"/>
            </w:tcBorders>
            <w:hideMark/>
          </w:tcPr>
          <w:p w14:paraId="739C777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25.14 (17.40)</w:t>
            </w:r>
          </w:p>
        </w:tc>
        <w:tc>
          <w:tcPr>
            <w:tcW w:w="1080" w:type="dxa"/>
            <w:tcBorders>
              <w:top w:val="nil"/>
              <w:left w:val="nil"/>
              <w:bottom w:val="nil"/>
              <w:right w:val="nil"/>
            </w:tcBorders>
            <w:hideMark/>
          </w:tcPr>
          <w:p w14:paraId="549EFEB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2.40</w:t>
            </w:r>
          </w:p>
        </w:tc>
        <w:tc>
          <w:tcPr>
            <w:tcW w:w="1800" w:type="dxa"/>
            <w:tcBorders>
              <w:top w:val="nil"/>
              <w:left w:val="nil"/>
              <w:bottom w:val="nil"/>
              <w:right w:val="nil"/>
            </w:tcBorders>
            <w:hideMark/>
          </w:tcPr>
          <w:p w14:paraId="729EBC9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-0.51, 5.31</w:t>
            </w:r>
          </w:p>
        </w:tc>
        <w:tc>
          <w:tcPr>
            <w:tcW w:w="1220" w:type="dxa"/>
            <w:tcBorders>
              <w:top w:val="nil"/>
              <w:left w:val="nil"/>
              <w:bottom w:val="nil"/>
              <w:right w:val="nil"/>
            </w:tcBorders>
            <w:hideMark/>
          </w:tcPr>
          <w:p w14:paraId="4EB5242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0.106</w:t>
            </w:r>
          </w:p>
        </w:tc>
        <w:tc>
          <w:tcPr>
            <w:tcW w:w="1080" w:type="dxa"/>
            <w:tcBorders>
              <w:top w:val="nil"/>
              <w:left w:val="nil"/>
              <w:bottom w:val="nil"/>
              <w:right w:val="nil"/>
            </w:tcBorders>
            <w:hideMark/>
          </w:tcPr>
          <w:p w14:paraId="1639A4F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2.48</w:t>
            </w:r>
          </w:p>
        </w:tc>
        <w:tc>
          <w:tcPr>
            <w:tcW w:w="1800" w:type="dxa"/>
            <w:tcBorders>
              <w:top w:val="nil"/>
              <w:left w:val="nil"/>
              <w:bottom w:val="nil"/>
              <w:right w:val="nil"/>
            </w:tcBorders>
            <w:hideMark/>
          </w:tcPr>
          <w:p w14:paraId="3C7B8B8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-0.37, 5.34</w:t>
            </w:r>
          </w:p>
        </w:tc>
        <w:tc>
          <w:tcPr>
            <w:tcW w:w="1220" w:type="dxa"/>
            <w:tcBorders>
              <w:top w:val="nil"/>
              <w:left w:val="nil"/>
              <w:bottom w:val="nil"/>
              <w:right w:val="nil"/>
            </w:tcBorders>
            <w:hideMark/>
          </w:tcPr>
          <w:p w14:paraId="6AA4790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0.088</w:t>
            </w:r>
          </w:p>
        </w:tc>
      </w:tr>
      <w:tr w:rsidR="00636CB1" w:rsidRPr="00636CB1" w14:paraId="584AA16E" w14:textId="77777777" w:rsidTr="00636CB1">
        <w:trPr>
          <w:trHeight w:val="170"/>
        </w:trPr>
        <w:tc>
          <w:tcPr>
            <w:tcW w:w="3380" w:type="dxa"/>
            <w:tcBorders>
              <w:top w:val="nil"/>
              <w:left w:val="nil"/>
              <w:bottom w:val="nil"/>
              <w:right w:val="nil"/>
            </w:tcBorders>
            <w:hideMark/>
          </w:tcPr>
          <w:p w14:paraId="1B606E7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10-19</w:t>
            </w:r>
          </w:p>
        </w:tc>
        <w:tc>
          <w:tcPr>
            <w:tcW w:w="1420" w:type="dxa"/>
            <w:tcBorders>
              <w:top w:val="nil"/>
              <w:left w:val="nil"/>
              <w:bottom w:val="nil"/>
              <w:right w:val="nil"/>
            </w:tcBorders>
            <w:hideMark/>
          </w:tcPr>
          <w:p w14:paraId="5D7A866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300</w:t>
            </w:r>
          </w:p>
        </w:tc>
        <w:tc>
          <w:tcPr>
            <w:tcW w:w="1760" w:type="dxa"/>
            <w:tcBorders>
              <w:top w:val="nil"/>
              <w:left w:val="nil"/>
              <w:bottom w:val="nil"/>
              <w:right w:val="nil"/>
            </w:tcBorders>
            <w:hideMark/>
          </w:tcPr>
          <w:p w14:paraId="4083CA1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27.06 (18.55)</w:t>
            </w:r>
          </w:p>
        </w:tc>
        <w:tc>
          <w:tcPr>
            <w:tcW w:w="1080" w:type="dxa"/>
            <w:tcBorders>
              <w:top w:val="nil"/>
              <w:left w:val="nil"/>
              <w:bottom w:val="nil"/>
              <w:right w:val="nil"/>
            </w:tcBorders>
            <w:hideMark/>
          </w:tcPr>
          <w:p w14:paraId="1AED44B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4.32</w:t>
            </w:r>
          </w:p>
        </w:tc>
        <w:tc>
          <w:tcPr>
            <w:tcW w:w="1800" w:type="dxa"/>
            <w:tcBorders>
              <w:top w:val="nil"/>
              <w:left w:val="nil"/>
              <w:bottom w:val="nil"/>
              <w:right w:val="nil"/>
            </w:tcBorders>
            <w:hideMark/>
          </w:tcPr>
          <w:p w14:paraId="1B726206"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1.35, 7.28</w:t>
            </w:r>
          </w:p>
        </w:tc>
        <w:tc>
          <w:tcPr>
            <w:tcW w:w="1220" w:type="dxa"/>
            <w:tcBorders>
              <w:top w:val="nil"/>
              <w:left w:val="nil"/>
              <w:bottom w:val="nil"/>
              <w:right w:val="nil"/>
            </w:tcBorders>
            <w:hideMark/>
          </w:tcPr>
          <w:p w14:paraId="0E273A7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0.004</w:t>
            </w:r>
          </w:p>
        </w:tc>
        <w:tc>
          <w:tcPr>
            <w:tcW w:w="1080" w:type="dxa"/>
            <w:tcBorders>
              <w:top w:val="nil"/>
              <w:left w:val="nil"/>
              <w:bottom w:val="nil"/>
              <w:right w:val="nil"/>
            </w:tcBorders>
            <w:hideMark/>
          </w:tcPr>
          <w:p w14:paraId="11FB19F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3.86</w:t>
            </w:r>
          </w:p>
        </w:tc>
        <w:tc>
          <w:tcPr>
            <w:tcW w:w="1800" w:type="dxa"/>
            <w:tcBorders>
              <w:top w:val="nil"/>
              <w:left w:val="nil"/>
              <w:bottom w:val="nil"/>
              <w:right w:val="nil"/>
            </w:tcBorders>
            <w:hideMark/>
          </w:tcPr>
          <w:p w14:paraId="691EC7D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0.95, 6.77</w:t>
            </w:r>
          </w:p>
        </w:tc>
        <w:tc>
          <w:tcPr>
            <w:tcW w:w="1220" w:type="dxa"/>
            <w:tcBorders>
              <w:top w:val="nil"/>
              <w:left w:val="nil"/>
              <w:bottom w:val="nil"/>
              <w:right w:val="nil"/>
            </w:tcBorders>
            <w:hideMark/>
          </w:tcPr>
          <w:p w14:paraId="5CE5005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0.009</w:t>
            </w:r>
          </w:p>
        </w:tc>
      </w:tr>
      <w:tr w:rsidR="00636CB1" w:rsidRPr="00636CB1" w14:paraId="4B3A7C2F" w14:textId="77777777" w:rsidTr="00636CB1">
        <w:trPr>
          <w:trHeight w:val="170"/>
        </w:trPr>
        <w:tc>
          <w:tcPr>
            <w:tcW w:w="3380" w:type="dxa"/>
            <w:tcBorders>
              <w:top w:val="nil"/>
              <w:left w:val="nil"/>
              <w:bottom w:val="nil"/>
              <w:right w:val="nil"/>
            </w:tcBorders>
            <w:hideMark/>
          </w:tcPr>
          <w:p w14:paraId="421FF006"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20-29</w:t>
            </w:r>
          </w:p>
        </w:tc>
        <w:tc>
          <w:tcPr>
            <w:tcW w:w="1420" w:type="dxa"/>
            <w:tcBorders>
              <w:top w:val="nil"/>
              <w:left w:val="nil"/>
              <w:bottom w:val="nil"/>
              <w:right w:val="nil"/>
            </w:tcBorders>
            <w:hideMark/>
          </w:tcPr>
          <w:p w14:paraId="5E47E1B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195</w:t>
            </w:r>
          </w:p>
        </w:tc>
        <w:tc>
          <w:tcPr>
            <w:tcW w:w="1760" w:type="dxa"/>
            <w:tcBorders>
              <w:top w:val="nil"/>
              <w:left w:val="nil"/>
              <w:bottom w:val="nil"/>
              <w:right w:val="nil"/>
            </w:tcBorders>
            <w:hideMark/>
          </w:tcPr>
          <w:p w14:paraId="06AABA31"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27.19 (17.38)</w:t>
            </w:r>
          </w:p>
        </w:tc>
        <w:tc>
          <w:tcPr>
            <w:tcW w:w="1080" w:type="dxa"/>
            <w:tcBorders>
              <w:top w:val="nil"/>
              <w:left w:val="nil"/>
              <w:bottom w:val="nil"/>
              <w:right w:val="nil"/>
            </w:tcBorders>
            <w:hideMark/>
          </w:tcPr>
          <w:p w14:paraId="5EB5B0A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4.45</w:t>
            </w:r>
          </w:p>
        </w:tc>
        <w:tc>
          <w:tcPr>
            <w:tcW w:w="1800" w:type="dxa"/>
            <w:tcBorders>
              <w:top w:val="nil"/>
              <w:left w:val="nil"/>
              <w:bottom w:val="nil"/>
              <w:right w:val="nil"/>
            </w:tcBorders>
            <w:hideMark/>
          </w:tcPr>
          <w:p w14:paraId="7B47FCF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1.15, 7.75</w:t>
            </w:r>
          </w:p>
        </w:tc>
        <w:tc>
          <w:tcPr>
            <w:tcW w:w="1220" w:type="dxa"/>
            <w:tcBorders>
              <w:top w:val="nil"/>
              <w:left w:val="nil"/>
              <w:bottom w:val="nil"/>
              <w:right w:val="nil"/>
            </w:tcBorders>
            <w:hideMark/>
          </w:tcPr>
          <w:p w14:paraId="13C0964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0.008</w:t>
            </w:r>
          </w:p>
        </w:tc>
        <w:tc>
          <w:tcPr>
            <w:tcW w:w="1080" w:type="dxa"/>
            <w:tcBorders>
              <w:top w:val="nil"/>
              <w:left w:val="nil"/>
              <w:bottom w:val="nil"/>
              <w:right w:val="nil"/>
            </w:tcBorders>
            <w:hideMark/>
          </w:tcPr>
          <w:p w14:paraId="5E52EA8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4.24</w:t>
            </w:r>
          </w:p>
        </w:tc>
        <w:tc>
          <w:tcPr>
            <w:tcW w:w="1800" w:type="dxa"/>
            <w:tcBorders>
              <w:top w:val="nil"/>
              <w:left w:val="nil"/>
              <w:bottom w:val="nil"/>
              <w:right w:val="nil"/>
            </w:tcBorders>
            <w:hideMark/>
          </w:tcPr>
          <w:p w14:paraId="2DFB2B3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1.00, 7.48</w:t>
            </w:r>
          </w:p>
        </w:tc>
        <w:tc>
          <w:tcPr>
            <w:tcW w:w="1220" w:type="dxa"/>
            <w:tcBorders>
              <w:top w:val="nil"/>
              <w:left w:val="nil"/>
              <w:bottom w:val="nil"/>
              <w:right w:val="nil"/>
            </w:tcBorders>
            <w:hideMark/>
          </w:tcPr>
          <w:p w14:paraId="17B664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0.010</w:t>
            </w:r>
          </w:p>
        </w:tc>
      </w:tr>
      <w:tr w:rsidR="00636CB1" w:rsidRPr="00636CB1" w14:paraId="36208322" w14:textId="77777777" w:rsidTr="00636CB1">
        <w:trPr>
          <w:trHeight w:val="170"/>
        </w:trPr>
        <w:tc>
          <w:tcPr>
            <w:tcW w:w="3380" w:type="dxa"/>
            <w:tcBorders>
              <w:top w:val="nil"/>
              <w:left w:val="nil"/>
              <w:bottom w:val="nil"/>
              <w:right w:val="nil"/>
            </w:tcBorders>
            <w:hideMark/>
          </w:tcPr>
          <w:p w14:paraId="1DBAF051"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30+</w:t>
            </w:r>
          </w:p>
        </w:tc>
        <w:tc>
          <w:tcPr>
            <w:tcW w:w="1420" w:type="dxa"/>
            <w:tcBorders>
              <w:top w:val="nil"/>
              <w:left w:val="nil"/>
              <w:bottom w:val="nil"/>
              <w:right w:val="nil"/>
            </w:tcBorders>
            <w:hideMark/>
          </w:tcPr>
          <w:p w14:paraId="27A213B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125</w:t>
            </w:r>
          </w:p>
        </w:tc>
        <w:tc>
          <w:tcPr>
            <w:tcW w:w="1760" w:type="dxa"/>
            <w:tcBorders>
              <w:top w:val="nil"/>
              <w:left w:val="nil"/>
              <w:bottom w:val="nil"/>
              <w:right w:val="nil"/>
            </w:tcBorders>
            <w:hideMark/>
          </w:tcPr>
          <w:p w14:paraId="0FDB277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24.37 (17.06)</w:t>
            </w:r>
          </w:p>
        </w:tc>
        <w:tc>
          <w:tcPr>
            <w:tcW w:w="1080" w:type="dxa"/>
            <w:tcBorders>
              <w:top w:val="nil"/>
              <w:left w:val="nil"/>
              <w:bottom w:val="nil"/>
              <w:right w:val="nil"/>
            </w:tcBorders>
            <w:hideMark/>
          </w:tcPr>
          <w:p w14:paraId="65863E8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1.63</w:t>
            </w:r>
          </w:p>
        </w:tc>
        <w:tc>
          <w:tcPr>
            <w:tcW w:w="1800" w:type="dxa"/>
            <w:tcBorders>
              <w:top w:val="nil"/>
              <w:left w:val="nil"/>
              <w:bottom w:val="nil"/>
              <w:right w:val="nil"/>
            </w:tcBorders>
            <w:hideMark/>
          </w:tcPr>
          <w:p w14:paraId="6A1A68C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-2.16, 5.41</w:t>
            </w:r>
          </w:p>
        </w:tc>
        <w:tc>
          <w:tcPr>
            <w:tcW w:w="1220" w:type="dxa"/>
            <w:tcBorders>
              <w:top w:val="nil"/>
              <w:left w:val="nil"/>
              <w:bottom w:val="nil"/>
              <w:right w:val="nil"/>
            </w:tcBorders>
            <w:hideMark/>
          </w:tcPr>
          <w:p w14:paraId="1232BE6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0.399</w:t>
            </w:r>
          </w:p>
        </w:tc>
        <w:tc>
          <w:tcPr>
            <w:tcW w:w="1080" w:type="dxa"/>
            <w:tcBorders>
              <w:top w:val="nil"/>
              <w:left w:val="nil"/>
              <w:bottom w:val="nil"/>
              <w:right w:val="nil"/>
            </w:tcBorders>
            <w:hideMark/>
          </w:tcPr>
          <w:p w14:paraId="3FBEADDD"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1.23</w:t>
            </w:r>
          </w:p>
        </w:tc>
        <w:tc>
          <w:tcPr>
            <w:tcW w:w="1800" w:type="dxa"/>
            <w:tcBorders>
              <w:top w:val="nil"/>
              <w:left w:val="nil"/>
              <w:bottom w:val="nil"/>
              <w:right w:val="nil"/>
            </w:tcBorders>
            <w:hideMark/>
          </w:tcPr>
          <w:p w14:paraId="1120BF3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-2.48, 4.95</w:t>
            </w:r>
          </w:p>
        </w:tc>
        <w:tc>
          <w:tcPr>
            <w:tcW w:w="1220" w:type="dxa"/>
            <w:tcBorders>
              <w:top w:val="nil"/>
              <w:left w:val="nil"/>
              <w:bottom w:val="nil"/>
              <w:right w:val="nil"/>
            </w:tcBorders>
            <w:hideMark/>
          </w:tcPr>
          <w:p w14:paraId="3054893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0.516</w:t>
            </w:r>
          </w:p>
        </w:tc>
      </w:tr>
      <w:tr w:rsidR="00636CB1" w:rsidRPr="00636CB1" w14:paraId="48B72CD7" w14:textId="77777777" w:rsidTr="00636CB1">
        <w:trPr>
          <w:trHeight w:val="170"/>
        </w:trPr>
        <w:tc>
          <w:tcPr>
            <w:tcW w:w="3380" w:type="dxa"/>
            <w:tcBorders>
              <w:top w:val="nil"/>
              <w:left w:val="nil"/>
              <w:bottom w:val="nil"/>
              <w:right w:val="nil"/>
            </w:tcBorders>
            <w:hideMark/>
          </w:tcPr>
          <w:p w14:paraId="185370C4"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r w:rsidRPr="00636CB1">
              <w:rPr>
                <w:rFonts w:ascii="Aptos Narrow" w:eastAsia="Times New Roman" w:hAnsi="Aptos Narrow" w:cs="Arial"/>
                <w:b/>
                <w:bCs/>
                <w:kern w:val="0"/>
                <w:sz w:val="22"/>
                <w:lang w:eastAsia="en-GB"/>
                <w14:ligatures w14:val="none"/>
              </w:rPr>
              <w:t>Smoking status</w:t>
            </w:r>
          </w:p>
        </w:tc>
        <w:tc>
          <w:tcPr>
            <w:tcW w:w="1420" w:type="dxa"/>
            <w:tcBorders>
              <w:top w:val="nil"/>
              <w:left w:val="nil"/>
              <w:bottom w:val="nil"/>
              <w:right w:val="nil"/>
            </w:tcBorders>
            <w:hideMark/>
          </w:tcPr>
          <w:p w14:paraId="5419D8A2" w14:textId="77777777" w:rsidR="00636CB1" w:rsidRPr="00636CB1" w:rsidRDefault="00636CB1" w:rsidP="00636CB1">
            <w:pPr>
              <w:spacing w:after="0" w:line="240" w:lineRule="auto"/>
              <w:rPr>
                <w:rFonts w:eastAsia="Times New Roman" w:cs="Arial"/>
                <w:b/>
                <w:bCs/>
                <w:color w:val="000000"/>
                <w:kern w:val="0"/>
                <w:sz w:val="16"/>
                <w:szCs w:val="16"/>
                <w:lang w:eastAsia="en-GB"/>
                <w14:ligatures w14:val="none"/>
              </w:rPr>
            </w:pPr>
          </w:p>
        </w:tc>
        <w:tc>
          <w:tcPr>
            <w:tcW w:w="1760" w:type="dxa"/>
            <w:tcBorders>
              <w:top w:val="nil"/>
              <w:left w:val="nil"/>
              <w:bottom w:val="nil"/>
              <w:right w:val="nil"/>
            </w:tcBorders>
            <w:hideMark/>
          </w:tcPr>
          <w:p w14:paraId="7E9898FD"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3F320F75"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7E87C48E"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98C7F9C"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hideMark/>
          </w:tcPr>
          <w:p w14:paraId="5E085F9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800" w:type="dxa"/>
            <w:tcBorders>
              <w:top w:val="nil"/>
              <w:left w:val="nil"/>
              <w:bottom w:val="nil"/>
              <w:right w:val="nil"/>
            </w:tcBorders>
            <w:hideMark/>
          </w:tcPr>
          <w:p w14:paraId="0248B8A5"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c>
          <w:tcPr>
            <w:tcW w:w="1220" w:type="dxa"/>
            <w:tcBorders>
              <w:top w:val="nil"/>
              <w:left w:val="nil"/>
              <w:bottom w:val="nil"/>
              <w:right w:val="nil"/>
            </w:tcBorders>
            <w:hideMark/>
          </w:tcPr>
          <w:p w14:paraId="3AE044AB" w14:textId="77777777" w:rsidR="00636CB1" w:rsidRPr="00636CB1" w:rsidRDefault="00636CB1" w:rsidP="00636CB1">
            <w:pPr>
              <w:spacing w:after="0" w:line="240" w:lineRule="auto"/>
              <w:jc w:val="center"/>
              <w:rPr>
                <w:rFonts w:ascii="Times New Roman" w:eastAsia="Times New Roman" w:hAnsi="Times New Roman" w:cs="Times New Roman"/>
                <w:kern w:val="0"/>
                <w:sz w:val="20"/>
                <w:szCs w:val="20"/>
                <w:lang w:eastAsia="en-GB"/>
                <w14:ligatures w14:val="none"/>
              </w:rPr>
            </w:pPr>
          </w:p>
        </w:tc>
      </w:tr>
      <w:tr w:rsidR="00636CB1" w:rsidRPr="00636CB1" w14:paraId="690C8576" w14:textId="77777777" w:rsidTr="00636CB1">
        <w:trPr>
          <w:trHeight w:val="170"/>
        </w:trPr>
        <w:tc>
          <w:tcPr>
            <w:tcW w:w="3380" w:type="dxa"/>
            <w:tcBorders>
              <w:top w:val="nil"/>
              <w:left w:val="nil"/>
              <w:bottom w:val="nil"/>
              <w:right w:val="nil"/>
            </w:tcBorders>
            <w:hideMark/>
          </w:tcPr>
          <w:p w14:paraId="364000FC"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Never</w:t>
            </w:r>
          </w:p>
        </w:tc>
        <w:tc>
          <w:tcPr>
            <w:tcW w:w="1420" w:type="dxa"/>
            <w:tcBorders>
              <w:top w:val="nil"/>
              <w:left w:val="nil"/>
              <w:bottom w:val="nil"/>
              <w:right w:val="nil"/>
            </w:tcBorders>
            <w:hideMark/>
          </w:tcPr>
          <w:p w14:paraId="507284F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709</w:t>
            </w:r>
          </w:p>
        </w:tc>
        <w:tc>
          <w:tcPr>
            <w:tcW w:w="1760" w:type="dxa"/>
            <w:tcBorders>
              <w:top w:val="nil"/>
              <w:left w:val="nil"/>
              <w:bottom w:val="nil"/>
              <w:right w:val="nil"/>
            </w:tcBorders>
            <w:hideMark/>
          </w:tcPr>
          <w:p w14:paraId="54639AC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26.05 (18.02)</w:t>
            </w:r>
          </w:p>
        </w:tc>
        <w:tc>
          <w:tcPr>
            <w:tcW w:w="1080" w:type="dxa"/>
            <w:tcBorders>
              <w:top w:val="nil"/>
              <w:left w:val="nil"/>
              <w:bottom w:val="nil"/>
              <w:right w:val="nil"/>
            </w:tcBorders>
            <w:hideMark/>
          </w:tcPr>
          <w:p w14:paraId="0C365E4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CCA846F"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20475F3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c>
          <w:tcPr>
            <w:tcW w:w="1080" w:type="dxa"/>
            <w:tcBorders>
              <w:top w:val="nil"/>
              <w:left w:val="nil"/>
              <w:bottom w:val="nil"/>
              <w:right w:val="nil"/>
            </w:tcBorders>
            <w:hideMark/>
          </w:tcPr>
          <w:p w14:paraId="6D1D2A2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800" w:type="dxa"/>
            <w:tcBorders>
              <w:top w:val="nil"/>
              <w:left w:val="nil"/>
              <w:bottom w:val="nil"/>
              <w:right w:val="nil"/>
            </w:tcBorders>
            <w:hideMark/>
          </w:tcPr>
          <w:p w14:paraId="12E72490"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w:t>
            </w:r>
          </w:p>
        </w:tc>
        <w:tc>
          <w:tcPr>
            <w:tcW w:w="1220" w:type="dxa"/>
            <w:tcBorders>
              <w:top w:val="nil"/>
              <w:left w:val="nil"/>
              <w:bottom w:val="nil"/>
              <w:right w:val="nil"/>
            </w:tcBorders>
            <w:hideMark/>
          </w:tcPr>
          <w:p w14:paraId="48726EA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p>
        </w:tc>
      </w:tr>
      <w:tr w:rsidR="00636CB1" w:rsidRPr="00636CB1" w14:paraId="060591DC" w14:textId="77777777" w:rsidTr="00636CB1">
        <w:trPr>
          <w:trHeight w:val="170"/>
        </w:trPr>
        <w:tc>
          <w:tcPr>
            <w:tcW w:w="3380" w:type="dxa"/>
            <w:tcBorders>
              <w:top w:val="nil"/>
              <w:left w:val="nil"/>
              <w:bottom w:val="nil"/>
              <w:right w:val="nil"/>
            </w:tcBorders>
            <w:hideMark/>
          </w:tcPr>
          <w:p w14:paraId="2068FCED"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Former</w:t>
            </w:r>
          </w:p>
        </w:tc>
        <w:tc>
          <w:tcPr>
            <w:tcW w:w="1420" w:type="dxa"/>
            <w:tcBorders>
              <w:top w:val="nil"/>
              <w:left w:val="nil"/>
              <w:bottom w:val="nil"/>
              <w:right w:val="nil"/>
            </w:tcBorders>
            <w:hideMark/>
          </w:tcPr>
          <w:p w14:paraId="76BBC9A4"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415</w:t>
            </w:r>
          </w:p>
        </w:tc>
        <w:tc>
          <w:tcPr>
            <w:tcW w:w="1760" w:type="dxa"/>
            <w:tcBorders>
              <w:top w:val="nil"/>
              <w:left w:val="nil"/>
              <w:bottom w:val="nil"/>
              <w:right w:val="nil"/>
            </w:tcBorders>
            <w:hideMark/>
          </w:tcPr>
          <w:p w14:paraId="1D33859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23.88 (16.83)</w:t>
            </w:r>
          </w:p>
        </w:tc>
        <w:tc>
          <w:tcPr>
            <w:tcW w:w="1080" w:type="dxa"/>
            <w:tcBorders>
              <w:top w:val="nil"/>
              <w:left w:val="nil"/>
              <w:bottom w:val="nil"/>
              <w:right w:val="nil"/>
            </w:tcBorders>
            <w:hideMark/>
          </w:tcPr>
          <w:p w14:paraId="5C992382"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-2.17</w:t>
            </w:r>
          </w:p>
        </w:tc>
        <w:tc>
          <w:tcPr>
            <w:tcW w:w="1800" w:type="dxa"/>
            <w:tcBorders>
              <w:top w:val="nil"/>
              <w:left w:val="nil"/>
              <w:bottom w:val="nil"/>
              <w:right w:val="nil"/>
            </w:tcBorders>
            <w:hideMark/>
          </w:tcPr>
          <w:p w14:paraId="79F425C3"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-4.30, -0.03</w:t>
            </w:r>
          </w:p>
        </w:tc>
        <w:tc>
          <w:tcPr>
            <w:tcW w:w="1220" w:type="dxa"/>
            <w:tcBorders>
              <w:top w:val="nil"/>
              <w:left w:val="nil"/>
              <w:bottom w:val="nil"/>
              <w:right w:val="nil"/>
            </w:tcBorders>
            <w:hideMark/>
          </w:tcPr>
          <w:p w14:paraId="2659AD7E"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0.047</w:t>
            </w:r>
          </w:p>
        </w:tc>
        <w:tc>
          <w:tcPr>
            <w:tcW w:w="1080" w:type="dxa"/>
            <w:tcBorders>
              <w:top w:val="nil"/>
              <w:left w:val="nil"/>
              <w:bottom w:val="nil"/>
              <w:right w:val="nil"/>
            </w:tcBorders>
            <w:hideMark/>
          </w:tcPr>
          <w:p w14:paraId="596173C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-2.09</w:t>
            </w:r>
          </w:p>
        </w:tc>
        <w:tc>
          <w:tcPr>
            <w:tcW w:w="1800" w:type="dxa"/>
            <w:tcBorders>
              <w:top w:val="nil"/>
              <w:left w:val="nil"/>
              <w:bottom w:val="nil"/>
              <w:right w:val="nil"/>
            </w:tcBorders>
            <w:hideMark/>
          </w:tcPr>
          <w:p w14:paraId="0AA4155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-4.18, 0.01</w:t>
            </w:r>
          </w:p>
        </w:tc>
        <w:tc>
          <w:tcPr>
            <w:tcW w:w="1220" w:type="dxa"/>
            <w:tcBorders>
              <w:top w:val="nil"/>
              <w:left w:val="nil"/>
              <w:bottom w:val="nil"/>
              <w:right w:val="nil"/>
            </w:tcBorders>
            <w:hideMark/>
          </w:tcPr>
          <w:p w14:paraId="53D3F90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0.051</w:t>
            </w:r>
          </w:p>
        </w:tc>
      </w:tr>
      <w:tr w:rsidR="00636CB1" w:rsidRPr="00636CB1" w14:paraId="24FAB5B8" w14:textId="77777777" w:rsidTr="00636CB1">
        <w:trPr>
          <w:trHeight w:val="170"/>
        </w:trPr>
        <w:tc>
          <w:tcPr>
            <w:tcW w:w="3380" w:type="dxa"/>
            <w:tcBorders>
              <w:top w:val="nil"/>
              <w:left w:val="nil"/>
              <w:bottom w:val="single" w:sz="8" w:space="0" w:color="000000"/>
              <w:right w:val="nil"/>
            </w:tcBorders>
            <w:hideMark/>
          </w:tcPr>
          <w:p w14:paraId="1EB95241"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Current</w:t>
            </w:r>
          </w:p>
        </w:tc>
        <w:tc>
          <w:tcPr>
            <w:tcW w:w="1420" w:type="dxa"/>
            <w:tcBorders>
              <w:top w:val="nil"/>
              <w:left w:val="nil"/>
              <w:bottom w:val="single" w:sz="8" w:space="0" w:color="000000"/>
              <w:right w:val="nil"/>
            </w:tcBorders>
            <w:hideMark/>
          </w:tcPr>
          <w:p w14:paraId="46955D55"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66</w:t>
            </w:r>
          </w:p>
        </w:tc>
        <w:tc>
          <w:tcPr>
            <w:tcW w:w="1760" w:type="dxa"/>
            <w:tcBorders>
              <w:top w:val="nil"/>
              <w:left w:val="nil"/>
              <w:bottom w:val="single" w:sz="8" w:space="0" w:color="000000"/>
              <w:right w:val="nil"/>
            </w:tcBorders>
            <w:hideMark/>
          </w:tcPr>
          <w:p w14:paraId="6B2A57E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27.52 (18.11)</w:t>
            </w:r>
          </w:p>
        </w:tc>
        <w:tc>
          <w:tcPr>
            <w:tcW w:w="1080" w:type="dxa"/>
            <w:tcBorders>
              <w:top w:val="nil"/>
              <w:left w:val="nil"/>
              <w:bottom w:val="single" w:sz="8" w:space="0" w:color="000000"/>
              <w:right w:val="nil"/>
            </w:tcBorders>
            <w:hideMark/>
          </w:tcPr>
          <w:p w14:paraId="527BF4F7"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1.47</w:t>
            </w:r>
          </w:p>
        </w:tc>
        <w:tc>
          <w:tcPr>
            <w:tcW w:w="1800" w:type="dxa"/>
            <w:tcBorders>
              <w:top w:val="nil"/>
              <w:left w:val="nil"/>
              <w:bottom w:val="single" w:sz="8" w:space="0" w:color="000000"/>
              <w:right w:val="nil"/>
            </w:tcBorders>
            <w:hideMark/>
          </w:tcPr>
          <w:p w14:paraId="787187DC"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-2.97, 5.92</w:t>
            </w:r>
          </w:p>
        </w:tc>
        <w:tc>
          <w:tcPr>
            <w:tcW w:w="1220" w:type="dxa"/>
            <w:tcBorders>
              <w:top w:val="nil"/>
              <w:left w:val="nil"/>
              <w:bottom w:val="single" w:sz="8" w:space="0" w:color="000000"/>
              <w:right w:val="nil"/>
            </w:tcBorders>
            <w:hideMark/>
          </w:tcPr>
          <w:p w14:paraId="367604D9"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0.516</w:t>
            </w:r>
          </w:p>
        </w:tc>
        <w:tc>
          <w:tcPr>
            <w:tcW w:w="1080" w:type="dxa"/>
            <w:tcBorders>
              <w:top w:val="nil"/>
              <w:left w:val="nil"/>
              <w:bottom w:val="single" w:sz="8" w:space="0" w:color="000000"/>
              <w:right w:val="nil"/>
            </w:tcBorders>
            <w:hideMark/>
          </w:tcPr>
          <w:p w14:paraId="68A4D178"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-0.10</w:t>
            </w:r>
          </w:p>
        </w:tc>
        <w:tc>
          <w:tcPr>
            <w:tcW w:w="1800" w:type="dxa"/>
            <w:tcBorders>
              <w:top w:val="nil"/>
              <w:left w:val="nil"/>
              <w:bottom w:val="single" w:sz="8" w:space="0" w:color="000000"/>
              <w:right w:val="nil"/>
            </w:tcBorders>
            <w:hideMark/>
          </w:tcPr>
          <w:p w14:paraId="1604E43A"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-4.49, 4.28</w:t>
            </w:r>
          </w:p>
        </w:tc>
        <w:tc>
          <w:tcPr>
            <w:tcW w:w="1220" w:type="dxa"/>
            <w:tcBorders>
              <w:top w:val="nil"/>
              <w:left w:val="nil"/>
              <w:bottom w:val="single" w:sz="8" w:space="0" w:color="000000"/>
              <w:right w:val="nil"/>
            </w:tcBorders>
            <w:hideMark/>
          </w:tcPr>
          <w:p w14:paraId="54B453AB" w14:textId="77777777" w:rsidR="00636CB1" w:rsidRPr="00636CB1" w:rsidRDefault="00636CB1" w:rsidP="00636CB1">
            <w:pPr>
              <w:spacing w:after="0" w:line="240" w:lineRule="auto"/>
              <w:jc w:val="center"/>
              <w:rPr>
                <w:rFonts w:eastAsia="Times New Roman" w:cs="Arial"/>
                <w:color w:val="000000"/>
                <w:kern w:val="0"/>
                <w:sz w:val="16"/>
                <w:szCs w:val="16"/>
                <w:lang w:eastAsia="en-GB"/>
                <w14:ligatures w14:val="none"/>
              </w:rPr>
            </w:pPr>
            <w:r w:rsidRPr="00636CB1">
              <w:rPr>
                <w:rFonts w:eastAsia="Times New Roman" w:cs="Arial"/>
                <w:color w:val="000000"/>
                <w:kern w:val="0"/>
                <w:sz w:val="16"/>
                <w:szCs w:val="16"/>
                <w:lang w:eastAsia="en-GB"/>
                <w14:ligatures w14:val="none"/>
              </w:rPr>
              <w:t>0.963</w:t>
            </w:r>
          </w:p>
        </w:tc>
      </w:tr>
      <w:tr w:rsidR="00636CB1" w:rsidRPr="00636CB1" w14:paraId="1F2D1FBD" w14:textId="77777777" w:rsidTr="00636CB1">
        <w:trPr>
          <w:trHeight w:val="170"/>
        </w:trPr>
        <w:tc>
          <w:tcPr>
            <w:tcW w:w="14760" w:type="dxa"/>
            <w:gridSpan w:val="9"/>
            <w:tcBorders>
              <w:top w:val="nil"/>
              <w:left w:val="nil"/>
              <w:bottom w:val="nil"/>
              <w:right w:val="nil"/>
            </w:tcBorders>
            <w:vAlign w:val="center"/>
            <w:hideMark/>
          </w:tcPr>
          <w:p w14:paraId="411A0B37"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ascii="Aptos Narrow" w:eastAsia="Times New Roman" w:hAnsi="Aptos Narrow" w:cs="Arial"/>
                <w:kern w:val="0"/>
                <w:sz w:val="22"/>
                <w:vertAlign w:val="superscript"/>
                <w:lang w:eastAsia="en-GB"/>
                <w14:ligatures w14:val="none"/>
              </w:rPr>
              <w:t>1</w:t>
            </w:r>
            <w:r w:rsidRPr="00636CB1">
              <w:rPr>
                <w:rFonts w:ascii="Aptos Narrow" w:eastAsia="Times New Roman" w:hAnsi="Aptos Narrow" w:cs="Arial"/>
                <w:color w:val="000000"/>
                <w:kern w:val="0"/>
                <w:sz w:val="22"/>
                <w:lang w:eastAsia="en-GB"/>
                <w14:ligatures w14:val="none"/>
              </w:rPr>
              <w:t>n</w:t>
            </w:r>
          </w:p>
        </w:tc>
      </w:tr>
      <w:tr w:rsidR="00636CB1" w:rsidRPr="00636CB1" w14:paraId="7D7DBABE" w14:textId="77777777" w:rsidTr="00636CB1">
        <w:trPr>
          <w:trHeight w:val="170"/>
        </w:trPr>
        <w:tc>
          <w:tcPr>
            <w:tcW w:w="14760" w:type="dxa"/>
            <w:gridSpan w:val="9"/>
            <w:tcBorders>
              <w:top w:val="nil"/>
              <w:left w:val="nil"/>
              <w:bottom w:val="nil"/>
              <w:right w:val="nil"/>
            </w:tcBorders>
            <w:vAlign w:val="center"/>
            <w:hideMark/>
          </w:tcPr>
          <w:p w14:paraId="21275893"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ascii="Aptos Narrow" w:eastAsia="Times New Roman" w:hAnsi="Aptos Narrow" w:cs="Arial"/>
                <w:kern w:val="0"/>
                <w:sz w:val="22"/>
                <w:vertAlign w:val="superscript"/>
                <w:lang w:eastAsia="en-GB"/>
                <w14:ligatures w14:val="none"/>
              </w:rPr>
              <w:t>2</w:t>
            </w:r>
            <w:r w:rsidRPr="00636CB1">
              <w:rPr>
                <w:rFonts w:ascii="Aptos Narrow" w:eastAsia="Times New Roman" w:hAnsi="Aptos Narrow" w:cs="Arial"/>
                <w:color w:val="000000"/>
                <w:kern w:val="0"/>
                <w:sz w:val="22"/>
                <w:lang w:eastAsia="en-GB"/>
                <w14:ligatures w14:val="none"/>
              </w:rPr>
              <w:t>Mean (SD)</w:t>
            </w:r>
          </w:p>
        </w:tc>
      </w:tr>
      <w:tr w:rsidR="00636CB1" w:rsidRPr="00636CB1" w14:paraId="40568B21" w14:textId="77777777" w:rsidTr="00636CB1">
        <w:trPr>
          <w:trHeight w:val="170"/>
        </w:trPr>
        <w:tc>
          <w:tcPr>
            <w:tcW w:w="14760" w:type="dxa"/>
            <w:gridSpan w:val="9"/>
            <w:tcBorders>
              <w:top w:val="nil"/>
              <w:left w:val="nil"/>
              <w:bottom w:val="nil"/>
              <w:right w:val="nil"/>
            </w:tcBorders>
            <w:vAlign w:val="center"/>
            <w:hideMark/>
          </w:tcPr>
          <w:p w14:paraId="5B7205D4" w14:textId="77777777" w:rsidR="00636CB1" w:rsidRPr="00636CB1" w:rsidRDefault="00636CB1" w:rsidP="00636CB1">
            <w:pPr>
              <w:spacing w:after="0" w:line="240" w:lineRule="auto"/>
              <w:rPr>
                <w:rFonts w:eastAsia="Times New Roman" w:cs="Arial"/>
                <w:color w:val="000000"/>
                <w:kern w:val="0"/>
                <w:sz w:val="16"/>
                <w:szCs w:val="16"/>
                <w:lang w:eastAsia="en-GB"/>
                <w14:ligatures w14:val="none"/>
              </w:rPr>
            </w:pPr>
            <w:r w:rsidRPr="00636CB1">
              <w:rPr>
                <w:rFonts w:ascii="Aptos Narrow" w:eastAsia="Times New Roman" w:hAnsi="Aptos Narrow" w:cs="Arial"/>
                <w:kern w:val="0"/>
                <w:sz w:val="22"/>
                <w:vertAlign w:val="superscript"/>
                <w:lang w:eastAsia="en-GB"/>
                <w14:ligatures w14:val="none"/>
              </w:rPr>
              <w:t>3</w:t>
            </w:r>
            <w:r w:rsidRPr="00636CB1">
              <w:rPr>
                <w:rFonts w:ascii="Aptos Narrow" w:eastAsia="Times New Roman" w:hAnsi="Aptos Narrow" w:cs="Arial"/>
                <w:color w:val="000000"/>
                <w:kern w:val="0"/>
                <w:sz w:val="22"/>
                <w:lang w:eastAsia="en-GB"/>
                <w14:ligatures w14:val="none"/>
              </w:rPr>
              <w:t>CI = Confidence Interval</w:t>
            </w:r>
          </w:p>
        </w:tc>
      </w:tr>
    </w:tbl>
    <w:p w14:paraId="02887A36" w14:textId="77777777" w:rsidR="0034202B" w:rsidRDefault="0034202B" w:rsidP="00072A94">
      <w:pPr>
        <w:rPr>
          <w:rFonts w:cs="Arial"/>
          <w:b/>
          <w:bCs/>
          <w:sz w:val="22"/>
        </w:rPr>
        <w:sectPr w:rsidR="0034202B" w:rsidSect="003604D3">
          <w:pgSz w:w="16838" w:h="11906" w:orient="landscape"/>
          <w:pgMar w:top="1440" w:right="1440" w:bottom="1440" w:left="1440" w:header="709" w:footer="709" w:gutter="0"/>
          <w:cols w:space="708"/>
          <w:docGrid w:linePitch="360"/>
        </w:sectPr>
      </w:pPr>
    </w:p>
    <w:p w14:paraId="4792D621" w14:textId="2DA744AE" w:rsidR="00675543" w:rsidRDefault="0097023A" w:rsidP="00595B55">
      <w:pPr>
        <w:rPr>
          <w:rFonts w:cs="Arial"/>
          <w:sz w:val="22"/>
        </w:rPr>
      </w:pPr>
      <w:r w:rsidRPr="00D43421">
        <w:rPr>
          <w:rFonts w:cs="Arial"/>
          <w:b/>
          <w:bCs/>
          <w:sz w:val="22"/>
        </w:rPr>
        <w:lastRenderedPageBreak/>
        <w:t xml:space="preserve">Supplementary Table </w:t>
      </w:r>
      <w:r w:rsidR="00C121F6">
        <w:rPr>
          <w:rFonts w:cs="Arial"/>
          <w:b/>
          <w:bCs/>
          <w:sz w:val="22"/>
        </w:rPr>
        <w:t>4</w:t>
      </w:r>
      <w:r w:rsidRPr="00D43421">
        <w:rPr>
          <w:rFonts w:cs="Arial"/>
          <w:b/>
          <w:bCs/>
          <w:sz w:val="22"/>
        </w:rPr>
        <w:t>:</w:t>
      </w:r>
      <w:r>
        <w:rPr>
          <w:rFonts w:cs="Arial"/>
          <w:sz w:val="22"/>
        </w:rPr>
        <w:t xml:space="preserve"> </w:t>
      </w:r>
      <w:r w:rsidR="00231FBB">
        <w:rPr>
          <w:rFonts w:cs="Arial"/>
          <w:sz w:val="22"/>
        </w:rPr>
        <w:t xml:space="preserve">Association </w:t>
      </w:r>
      <w:r w:rsidR="003C2324">
        <w:rPr>
          <w:rFonts w:cs="Arial"/>
          <w:sz w:val="22"/>
        </w:rPr>
        <w:t xml:space="preserve">of </w:t>
      </w:r>
      <w:r w:rsidR="005A1A77">
        <w:rPr>
          <w:rFonts w:cs="Arial"/>
          <w:sz w:val="22"/>
        </w:rPr>
        <w:t>tumour</w:t>
      </w:r>
      <w:r w:rsidR="003C2324">
        <w:rPr>
          <w:rFonts w:cs="Arial"/>
          <w:sz w:val="22"/>
        </w:rPr>
        <w:t xml:space="preserve"> characteristics and risk factors with IBC compared to SDBC</w:t>
      </w:r>
      <w:r w:rsidR="005C5178">
        <w:rPr>
          <w:rFonts w:cs="Arial"/>
          <w:sz w:val="22"/>
        </w:rPr>
        <w:t xml:space="preserve"> measure by odds rations and 95% confidence intervals (CIs) estimated from </w:t>
      </w:r>
      <w:r w:rsidR="00595B55">
        <w:rPr>
          <w:rFonts w:cs="Arial"/>
          <w:sz w:val="22"/>
        </w:rPr>
        <w:t>four</w:t>
      </w:r>
      <w:r w:rsidR="005C5178">
        <w:rPr>
          <w:rFonts w:cs="Arial"/>
          <w:sz w:val="22"/>
        </w:rPr>
        <w:t xml:space="preserve"> logistic regression models</w:t>
      </w:r>
      <w:r w:rsidR="005A1A77">
        <w:rPr>
          <w:rFonts w:cs="Arial"/>
          <w:sz w:val="22"/>
        </w:rPr>
        <w:t xml:space="preserve">: model 1 included only </w:t>
      </w:r>
      <w:r w:rsidR="007D3EFE">
        <w:rPr>
          <w:rFonts w:cs="Arial"/>
          <w:sz w:val="22"/>
        </w:rPr>
        <w:t>risk factors</w:t>
      </w:r>
      <w:r w:rsidR="005A1A77">
        <w:rPr>
          <w:rFonts w:cs="Arial"/>
          <w:sz w:val="22"/>
        </w:rPr>
        <w:t xml:space="preserve"> as explanatory variables</w:t>
      </w:r>
      <w:r w:rsidR="0092436C">
        <w:rPr>
          <w:rFonts w:cs="Arial"/>
          <w:sz w:val="22"/>
        </w:rPr>
        <w:t>;</w:t>
      </w:r>
      <w:r w:rsidR="005A1A77">
        <w:rPr>
          <w:rFonts w:cs="Arial"/>
          <w:sz w:val="22"/>
        </w:rPr>
        <w:t xml:space="preserve"> model 2 included </w:t>
      </w:r>
      <w:r w:rsidR="007D3EFE">
        <w:rPr>
          <w:rFonts w:cs="Arial"/>
          <w:sz w:val="22"/>
        </w:rPr>
        <w:t xml:space="preserve">risk factors and </w:t>
      </w:r>
      <w:r w:rsidR="00FE61C5">
        <w:rPr>
          <w:rFonts w:cs="Arial"/>
          <w:sz w:val="22"/>
        </w:rPr>
        <w:t>mammographic density</w:t>
      </w:r>
      <w:r w:rsidR="0092436C">
        <w:rPr>
          <w:rFonts w:cs="Arial"/>
          <w:sz w:val="22"/>
        </w:rPr>
        <w:t xml:space="preserve">; model 3 included </w:t>
      </w:r>
      <w:r w:rsidR="00B703C6">
        <w:rPr>
          <w:rFonts w:cs="Arial"/>
          <w:sz w:val="22"/>
        </w:rPr>
        <w:t xml:space="preserve">risk factors and </w:t>
      </w:r>
      <w:r w:rsidR="00FE61C5">
        <w:rPr>
          <w:rFonts w:cs="Arial"/>
          <w:sz w:val="22"/>
        </w:rPr>
        <w:t>tumour characteristics</w:t>
      </w:r>
      <w:r w:rsidR="00B703C6">
        <w:rPr>
          <w:rFonts w:cs="Arial"/>
          <w:sz w:val="22"/>
        </w:rPr>
        <w:t>; model 4 included all variables included in model 3, as well as mammographic density</w:t>
      </w:r>
      <w:r w:rsidR="00595B55">
        <w:rPr>
          <w:rFonts w:cs="Arial"/>
          <w:sz w:val="22"/>
        </w:rPr>
        <w:t>.</w:t>
      </w:r>
    </w:p>
    <w:tbl>
      <w:tblPr>
        <w:tblW w:w="14906" w:type="dxa"/>
        <w:tblLook w:val="04A0" w:firstRow="1" w:lastRow="0" w:firstColumn="1" w:lastColumn="0" w:noHBand="0" w:noVBand="1"/>
      </w:tblPr>
      <w:tblGrid>
        <w:gridCol w:w="2702"/>
        <w:gridCol w:w="1006"/>
        <w:gridCol w:w="1625"/>
        <w:gridCol w:w="552"/>
        <w:gridCol w:w="1017"/>
        <w:gridCol w:w="826"/>
        <w:gridCol w:w="552"/>
        <w:gridCol w:w="1017"/>
        <w:gridCol w:w="826"/>
        <w:gridCol w:w="552"/>
        <w:gridCol w:w="1017"/>
        <w:gridCol w:w="826"/>
        <w:gridCol w:w="552"/>
        <w:gridCol w:w="1010"/>
        <w:gridCol w:w="826"/>
      </w:tblGrid>
      <w:tr w:rsidR="00F57E7E" w:rsidRPr="007030D1" w14:paraId="23E60A05" w14:textId="77777777" w:rsidTr="00F57E7E">
        <w:trPr>
          <w:trHeight w:val="300"/>
        </w:trPr>
        <w:tc>
          <w:tcPr>
            <w:tcW w:w="0" w:type="auto"/>
            <w:tcBorders>
              <w:top w:val="single" w:sz="8" w:space="0" w:color="000000"/>
              <w:left w:val="nil"/>
              <w:bottom w:val="single" w:sz="8" w:space="0" w:color="000000"/>
              <w:right w:val="nil"/>
            </w:tcBorders>
            <w:vAlign w:val="center"/>
            <w:hideMark/>
          </w:tcPr>
          <w:p w14:paraId="3072DBE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p>
        </w:tc>
        <w:tc>
          <w:tcPr>
            <w:tcW w:w="0" w:type="auto"/>
            <w:gridSpan w:val="2"/>
            <w:tcBorders>
              <w:top w:val="single" w:sz="8" w:space="0" w:color="000000"/>
              <w:left w:val="nil"/>
              <w:bottom w:val="single" w:sz="8" w:space="0" w:color="000000"/>
              <w:right w:val="nil"/>
            </w:tcBorders>
            <w:vAlign w:val="center"/>
            <w:hideMark/>
          </w:tcPr>
          <w:p w14:paraId="4169ED5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Distribution by detection mode</w:t>
            </w:r>
          </w:p>
        </w:tc>
        <w:tc>
          <w:tcPr>
            <w:tcW w:w="2392" w:type="dxa"/>
            <w:gridSpan w:val="3"/>
            <w:tcBorders>
              <w:top w:val="single" w:sz="8" w:space="0" w:color="000000"/>
              <w:left w:val="nil"/>
              <w:bottom w:val="single" w:sz="8" w:space="0" w:color="000000"/>
              <w:right w:val="nil"/>
            </w:tcBorders>
            <w:vAlign w:val="center"/>
            <w:hideMark/>
          </w:tcPr>
          <w:p w14:paraId="17C277E6" w14:textId="4D2499AD" w:rsidR="007030D1" w:rsidRPr="007030D1" w:rsidRDefault="007030D1" w:rsidP="007030D1">
            <w:pPr>
              <w:widowControl w:val="0"/>
              <w:spacing w:after="0" w:line="240" w:lineRule="auto"/>
              <w:jc w:val="center"/>
              <w:rPr>
                <w:rFonts w:eastAsia="Times New Roman" w:cs="Arial"/>
                <w:color w:val="000000"/>
                <w:kern w:val="0"/>
                <w:sz w:val="16"/>
                <w:szCs w:val="16"/>
                <w:vertAlign w:val="superscript"/>
                <w:lang w:eastAsia="en-GB"/>
                <w14:ligatures w14:val="none"/>
              </w:rPr>
            </w:pPr>
            <w:r w:rsidRPr="007030D1">
              <w:rPr>
                <w:rFonts w:ascii="Aptos Narrow" w:eastAsia="Times New Roman" w:hAnsi="Aptos Narrow" w:cs="Arial"/>
                <w:b/>
                <w:bCs/>
                <w:kern w:val="0"/>
                <w:sz w:val="22"/>
                <w:lang w:eastAsia="en-GB"/>
                <w14:ligatures w14:val="none"/>
              </w:rPr>
              <w:t>Model 1</w:t>
            </w:r>
            <w:r w:rsidR="00F57E7E">
              <w:rPr>
                <w:rFonts w:ascii="Aptos Narrow" w:eastAsia="Times New Roman" w:hAnsi="Aptos Narrow" w:cs="Arial"/>
                <w:kern w:val="0"/>
                <w:sz w:val="22"/>
                <w:vertAlign w:val="superscript"/>
                <w:lang w:eastAsia="en-GB"/>
                <w14:ligatures w14:val="none"/>
              </w:rPr>
              <w:t>3</w:t>
            </w:r>
          </w:p>
        </w:tc>
        <w:tc>
          <w:tcPr>
            <w:tcW w:w="2392" w:type="dxa"/>
            <w:gridSpan w:val="3"/>
            <w:tcBorders>
              <w:top w:val="single" w:sz="8" w:space="0" w:color="000000"/>
              <w:left w:val="nil"/>
              <w:bottom w:val="single" w:sz="8" w:space="0" w:color="000000"/>
              <w:right w:val="nil"/>
            </w:tcBorders>
            <w:vAlign w:val="center"/>
            <w:hideMark/>
          </w:tcPr>
          <w:p w14:paraId="1A7E77DE" w14:textId="7DC73334" w:rsidR="007030D1" w:rsidRPr="007030D1" w:rsidRDefault="007030D1" w:rsidP="007030D1">
            <w:pPr>
              <w:widowControl w:val="0"/>
              <w:spacing w:after="0" w:line="240" w:lineRule="auto"/>
              <w:jc w:val="center"/>
              <w:rPr>
                <w:rFonts w:eastAsia="Times New Roman" w:cs="Arial"/>
                <w:color w:val="000000"/>
                <w:kern w:val="0"/>
                <w:sz w:val="16"/>
                <w:szCs w:val="16"/>
                <w:vertAlign w:val="superscript"/>
                <w:lang w:eastAsia="en-GB"/>
                <w14:ligatures w14:val="none"/>
              </w:rPr>
            </w:pPr>
            <w:r w:rsidRPr="007030D1">
              <w:rPr>
                <w:rFonts w:ascii="Aptos Narrow" w:eastAsia="Times New Roman" w:hAnsi="Aptos Narrow" w:cs="Arial"/>
                <w:b/>
                <w:bCs/>
                <w:kern w:val="0"/>
                <w:sz w:val="22"/>
                <w:lang w:eastAsia="en-GB"/>
                <w14:ligatures w14:val="none"/>
              </w:rPr>
              <w:t>Model 2</w:t>
            </w:r>
            <w:r w:rsidR="00F57E7E">
              <w:rPr>
                <w:rFonts w:ascii="Aptos Narrow" w:eastAsia="Times New Roman" w:hAnsi="Aptos Narrow" w:cs="Arial"/>
                <w:kern w:val="0"/>
                <w:sz w:val="22"/>
                <w:vertAlign w:val="superscript"/>
                <w:lang w:eastAsia="en-GB"/>
                <w14:ligatures w14:val="none"/>
              </w:rPr>
              <w:t>4</w:t>
            </w:r>
          </w:p>
        </w:tc>
        <w:tc>
          <w:tcPr>
            <w:tcW w:w="2392" w:type="dxa"/>
            <w:gridSpan w:val="3"/>
            <w:tcBorders>
              <w:top w:val="single" w:sz="8" w:space="0" w:color="000000"/>
              <w:left w:val="nil"/>
              <w:bottom w:val="single" w:sz="8" w:space="0" w:color="000000"/>
              <w:right w:val="nil"/>
            </w:tcBorders>
            <w:vAlign w:val="center"/>
            <w:hideMark/>
          </w:tcPr>
          <w:p w14:paraId="00C933CD" w14:textId="6A7880FD" w:rsidR="007030D1" w:rsidRPr="007030D1" w:rsidRDefault="007030D1" w:rsidP="007030D1">
            <w:pPr>
              <w:widowControl w:val="0"/>
              <w:spacing w:after="0" w:line="240" w:lineRule="auto"/>
              <w:jc w:val="center"/>
              <w:rPr>
                <w:rFonts w:eastAsia="Times New Roman" w:cs="Arial"/>
                <w:color w:val="000000"/>
                <w:kern w:val="0"/>
                <w:sz w:val="16"/>
                <w:szCs w:val="16"/>
                <w:vertAlign w:val="superscript"/>
                <w:lang w:eastAsia="en-GB"/>
                <w14:ligatures w14:val="none"/>
              </w:rPr>
            </w:pPr>
            <w:r w:rsidRPr="007030D1">
              <w:rPr>
                <w:rFonts w:ascii="Aptos Narrow" w:eastAsia="Times New Roman" w:hAnsi="Aptos Narrow" w:cs="Arial"/>
                <w:b/>
                <w:bCs/>
                <w:kern w:val="0"/>
                <w:sz w:val="22"/>
                <w:lang w:eastAsia="en-GB"/>
                <w14:ligatures w14:val="none"/>
              </w:rPr>
              <w:t>Model 3</w:t>
            </w:r>
            <w:r w:rsidR="00F57E7E">
              <w:rPr>
                <w:rFonts w:ascii="Aptos Narrow" w:eastAsia="Times New Roman" w:hAnsi="Aptos Narrow" w:cs="Arial"/>
                <w:kern w:val="0"/>
                <w:sz w:val="22"/>
                <w:vertAlign w:val="superscript"/>
                <w:lang w:eastAsia="en-GB"/>
                <w14:ligatures w14:val="none"/>
              </w:rPr>
              <w:t>5</w:t>
            </w:r>
          </w:p>
        </w:tc>
        <w:tc>
          <w:tcPr>
            <w:tcW w:w="2451" w:type="dxa"/>
            <w:gridSpan w:val="3"/>
            <w:tcBorders>
              <w:top w:val="single" w:sz="8" w:space="0" w:color="000000"/>
              <w:left w:val="nil"/>
              <w:bottom w:val="single" w:sz="8" w:space="0" w:color="000000"/>
              <w:right w:val="nil"/>
            </w:tcBorders>
            <w:vAlign w:val="center"/>
            <w:hideMark/>
          </w:tcPr>
          <w:p w14:paraId="41D50322" w14:textId="7BCDEFA3" w:rsidR="007030D1" w:rsidRPr="007030D1" w:rsidRDefault="007030D1" w:rsidP="007030D1">
            <w:pPr>
              <w:widowControl w:val="0"/>
              <w:spacing w:after="0" w:line="240" w:lineRule="auto"/>
              <w:jc w:val="center"/>
              <w:rPr>
                <w:rFonts w:eastAsia="Times New Roman" w:cs="Arial"/>
                <w:color w:val="000000"/>
                <w:kern w:val="0"/>
                <w:sz w:val="16"/>
                <w:szCs w:val="16"/>
                <w:vertAlign w:val="superscript"/>
                <w:lang w:eastAsia="en-GB"/>
                <w14:ligatures w14:val="none"/>
              </w:rPr>
            </w:pPr>
            <w:r w:rsidRPr="007030D1">
              <w:rPr>
                <w:rFonts w:ascii="Aptos Narrow" w:eastAsia="Times New Roman" w:hAnsi="Aptos Narrow" w:cs="Arial"/>
                <w:b/>
                <w:bCs/>
                <w:kern w:val="0"/>
                <w:sz w:val="22"/>
                <w:lang w:eastAsia="en-GB"/>
                <w14:ligatures w14:val="none"/>
              </w:rPr>
              <w:t>Model 4</w:t>
            </w:r>
            <w:r w:rsidR="00F57E7E" w:rsidRPr="00F57E7E">
              <w:rPr>
                <w:rFonts w:ascii="Aptos Narrow" w:eastAsia="Times New Roman" w:hAnsi="Aptos Narrow" w:cs="Arial"/>
                <w:kern w:val="0"/>
                <w:sz w:val="22"/>
                <w:vertAlign w:val="superscript"/>
                <w:lang w:eastAsia="en-GB"/>
                <w14:ligatures w14:val="none"/>
              </w:rPr>
              <w:t>6</w:t>
            </w:r>
          </w:p>
        </w:tc>
      </w:tr>
      <w:tr w:rsidR="00F57E7E" w:rsidRPr="007030D1" w14:paraId="4482C07C" w14:textId="77777777" w:rsidTr="00837878">
        <w:trPr>
          <w:trHeight w:val="1230"/>
        </w:trPr>
        <w:tc>
          <w:tcPr>
            <w:tcW w:w="0" w:type="auto"/>
            <w:tcBorders>
              <w:top w:val="nil"/>
              <w:left w:val="nil"/>
              <w:bottom w:val="single" w:sz="8" w:space="0" w:color="000000"/>
              <w:right w:val="nil"/>
            </w:tcBorders>
            <w:vAlign w:val="center"/>
            <w:hideMark/>
          </w:tcPr>
          <w:p w14:paraId="4B1B1884" w14:textId="77777777" w:rsidR="00F57E7E" w:rsidRPr="007030D1" w:rsidRDefault="00F57E7E" w:rsidP="00F57E7E">
            <w:pPr>
              <w:widowControl w:val="0"/>
              <w:spacing w:after="0" w:line="240" w:lineRule="auto"/>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Characteristic</w:t>
            </w:r>
          </w:p>
        </w:tc>
        <w:tc>
          <w:tcPr>
            <w:tcW w:w="0" w:type="auto"/>
            <w:tcBorders>
              <w:top w:val="nil"/>
              <w:left w:val="nil"/>
              <w:bottom w:val="single" w:sz="8" w:space="0" w:color="000000"/>
              <w:right w:val="nil"/>
            </w:tcBorders>
            <w:vAlign w:val="center"/>
            <w:hideMark/>
          </w:tcPr>
          <w:p w14:paraId="69884A5B" w14:textId="77777777"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Interval</w:t>
            </w:r>
            <w:r w:rsidRPr="007030D1">
              <w:rPr>
                <w:rFonts w:ascii="Aptos Narrow" w:eastAsia="Times New Roman" w:hAnsi="Aptos Narrow" w:cs="Arial"/>
                <w:color w:val="000000"/>
                <w:kern w:val="0"/>
                <w:sz w:val="22"/>
                <w:lang w:eastAsia="en-GB"/>
                <w14:ligatures w14:val="none"/>
              </w:rPr>
              <w:t xml:space="preserve">  </w:t>
            </w:r>
            <w:r w:rsidRPr="007030D1">
              <w:rPr>
                <w:rFonts w:ascii="Aptos Narrow" w:eastAsia="Times New Roman" w:hAnsi="Aptos Narrow" w:cs="Arial"/>
                <w:color w:val="000000"/>
                <w:kern w:val="0"/>
                <w:sz w:val="22"/>
                <w:lang w:eastAsia="en-GB"/>
                <w14:ligatures w14:val="none"/>
              </w:rPr>
              <w:br/>
              <w:t>N = 755</w:t>
            </w:r>
            <w:r w:rsidRPr="007030D1">
              <w:rPr>
                <w:rFonts w:ascii="Aptos Narrow" w:eastAsia="Times New Roman" w:hAnsi="Aptos Narrow" w:cs="Arial"/>
                <w:kern w:val="0"/>
                <w:sz w:val="22"/>
                <w:vertAlign w:val="superscript"/>
                <w:lang w:eastAsia="en-GB"/>
                <w14:ligatures w14:val="none"/>
              </w:rPr>
              <w:t>1</w:t>
            </w:r>
          </w:p>
        </w:tc>
        <w:tc>
          <w:tcPr>
            <w:tcW w:w="0" w:type="auto"/>
            <w:tcBorders>
              <w:top w:val="nil"/>
              <w:left w:val="nil"/>
              <w:bottom w:val="single" w:sz="8" w:space="0" w:color="000000"/>
              <w:right w:val="nil"/>
            </w:tcBorders>
            <w:vAlign w:val="center"/>
            <w:hideMark/>
          </w:tcPr>
          <w:p w14:paraId="2C996D10" w14:textId="77777777"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Screen-Detected</w:t>
            </w:r>
            <w:r w:rsidRPr="007030D1">
              <w:rPr>
                <w:rFonts w:ascii="Aptos Narrow" w:eastAsia="Times New Roman" w:hAnsi="Aptos Narrow" w:cs="Arial"/>
                <w:color w:val="000000"/>
                <w:kern w:val="0"/>
                <w:sz w:val="22"/>
                <w:lang w:eastAsia="en-GB"/>
                <w14:ligatures w14:val="none"/>
              </w:rPr>
              <w:t xml:space="preserve">  </w:t>
            </w:r>
            <w:r w:rsidRPr="007030D1">
              <w:rPr>
                <w:rFonts w:ascii="Aptos Narrow" w:eastAsia="Times New Roman" w:hAnsi="Aptos Narrow" w:cs="Arial"/>
                <w:color w:val="000000"/>
                <w:kern w:val="0"/>
                <w:sz w:val="22"/>
                <w:lang w:eastAsia="en-GB"/>
                <w14:ligatures w14:val="none"/>
              </w:rPr>
              <w:br/>
              <w:t>N = 1,185</w:t>
            </w:r>
            <w:r w:rsidRPr="007030D1">
              <w:rPr>
                <w:rFonts w:ascii="Aptos Narrow" w:eastAsia="Times New Roman" w:hAnsi="Aptos Narrow" w:cs="Arial"/>
                <w:kern w:val="0"/>
                <w:sz w:val="22"/>
                <w:vertAlign w:val="superscript"/>
                <w:lang w:eastAsia="en-GB"/>
                <w14:ligatures w14:val="none"/>
              </w:rPr>
              <w:t>1</w:t>
            </w:r>
          </w:p>
        </w:tc>
        <w:tc>
          <w:tcPr>
            <w:tcW w:w="0" w:type="auto"/>
            <w:tcBorders>
              <w:top w:val="nil"/>
              <w:left w:val="nil"/>
              <w:bottom w:val="single" w:sz="8" w:space="0" w:color="000000"/>
              <w:right w:val="nil"/>
            </w:tcBorders>
            <w:vAlign w:val="center"/>
            <w:hideMark/>
          </w:tcPr>
          <w:p w14:paraId="14F9B6C9" w14:textId="22CB5005"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OR</w:t>
            </w:r>
            <w:r w:rsidRPr="007030D1">
              <w:rPr>
                <w:rFonts w:ascii="Aptos Narrow" w:eastAsia="Times New Roman" w:hAnsi="Aptos Narrow" w:cs="Arial"/>
                <w:kern w:val="0"/>
                <w:sz w:val="22"/>
                <w:vertAlign w:val="superscript"/>
                <w:lang w:eastAsia="en-GB"/>
                <w14:ligatures w14:val="none"/>
              </w:rPr>
              <w:t>2</w:t>
            </w:r>
          </w:p>
        </w:tc>
        <w:tc>
          <w:tcPr>
            <w:tcW w:w="1017" w:type="dxa"/>
            <w:tcBorders>
              <w:top w:val="nil"/>
              <w:left w:val="nil"/>
              <w:bottom w:val="single" w:sz="8" w:space="0" w:color="000000"/>
              <w:right w:val="nil"/>
            </w:tcBorders>
            <w:vAlign w:val="center"/>
            <w:hideMark/>
          </w:tcPr>
          <w:p w14:paraId="4AE60ACB" w14:textId="5764FEFF" w:rsidR="00F57E7E" w:rsidRPr="007030D1" w:rsidRDefault="00F57E7E" w:rsidP="00F57E7E">
            <w:pPr>
              <w:widowControl w:val="0"/>
              <w:spacing w:after="0" w:line="240" w:lineRule="auto"/>
              <w:jc w:val="center"/>
              <w:rPr>
                <w:rFonts w:eastAsia="Times New Roman" w:cs="Arial"/>
                <w:color w:val="000000"/>
                <w:kern w:val="0"/>
                <w:sz w:val="16"/>
                <w:szCs w:val="16"/>
                <w:vertAlign w:val="superscript"/>
                <w:lang w:eastAsia="en-GB"/>
                <w14:ligatures w14:val="none"/>
              </w:rPr>
            </w:pPr>
            <w:r w:rsidRPr="007030D1">
              <w:rPr>
                <w:rFonts w:ascii="Aptos Narrow" w:eastAsia="Times New Roman" w:hAnsi="Aptos Narrow" w:cs="Arial"/>
                <w:b/>
                <w:bCs/>
                <w:kern w:val="0"/>
                <w:sz w:val="22"/>
                <w:lang w:eastAsia="en-GB"/>
                <w14:ligatures w14:val="none"/>
              </w:rPr>
              <w:t>95% CI</w:t>
            </w:r>
            <w:r w:rsidRPr="00F57E7E">
              <w:rPr>
                <w:rFonts w:ascii="Aptos Narrow" w:eastAsia="Times New Roman" w:hAnsi="Aptos Narrow" w:cs="Arial"/>
                <w:kern w:val="0"/>
                <w:sz w:val="22"/>
                <w:vertAlign w:val="superscript"/>
                <w:lang w:eastAsia="en-GB"/>
                <w14:ligatures w14:val="none"/>
              </w:rPr>
              <w:t>2</w:t>
            </w:r>
          </w:p>
        </w:tc>
        <w:tc>
          <w:tcPr>
            <w:tcW w:w="0" w:type="auto"/>
            <w:tcBorders>
              <w:top w:val="nil"/>
              <w:left w:val="nil"/>
              <w:bottom w:val="single" w:sz="8" w:space="0" w:color="000000"/>
              <w:right w:val="nil"/>
            </w:tcBorders>
            <w:vAlign w:val="center"/>
            <w:hideMark/>
          </w:tcPr>
          <w:p w14:paraId="7638FC6A" w14:textId="77777777"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p-value</w:t>
            </w:r>
          </w:p>
        </w:tc>
        <w:tc>
          <w:tcPr>
            <w:tcW w:w="0" w:type="auto"/>
            <w:tcBorders>
              <w:top w:val="nil"/>
              <w:left w:val="nil"/>
              <w:bottom w:val="single" w:sz="8" w:space="0" w:color="000000"/>
              <w:right w:val="nil"/>
            </w:tcBorders>
            <w:vAlign w:val="center"/>
            <w:hideMark/>
          </w:tcPr>
          <w:p w14:paraId="03385337" w14:textId="7D55564C"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OR</w:t>
            </w:r>
            <w:r w:rsidRPr="007030D1">
              <w:rPr>
                <w:rFonts w:ascii="Aptos Narrow" w:eastAsia="Times New Roman" w:hAnsi="Aptos Narrow" w:cs="Arial"/>
                <w:kern w:val="0"/>
                <w:sz w:val="22"/>
                <w:vertAlign w:val="superscript"/>
                <w:lang w:eastAsia="en-GB"/>
                <w14:ligatures w14:val="none"/>
              </w:rPr>
              <w:t>2</w:t>
            </w:r>
          </w:p>
        </w:tc>
        <w:tc>
          <w:tcPr>
            <w:tcW w:w="1017" w:type="dxa"/>
            <w:tcBorders>
              <w:top w:val="nil"/>
              <w:left w:val="nil"/>
              <w:bottom w:val="single" w:sz="8" w:space="0" w:color="000000"/>
              <w:right w:val="nil"/>
            </w:tcBorders>
            <w:vAlign w:val="center"/>
            <w:hideMark/>
          </w:tcPr>
          <w:p w14:paraId="22DD1D41" w14:textId="2227921B"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95% CI</w:t>
            </w:r>
            <w:r w:rsidRPr="00F57E7E">
              <w:rPr>
                <w:rFonts w:ascii="Aptos Narrow" w:eastAsia="Times New Roman" w:hAnsi="Aptos Narrow" w:cs="Arial"/>
                <w:kern w:val="0"/>
                <w:sz w:val="22"/>
                <w:vertAlign w:val="superscript"/>
                <w:lang w:eastAsia="en-GB"/>
                <w14:ligatures w14:val="none"/>
              </w:rPr>
              <w:t>2</w:t>
            </w:r>
          </w:p>
        </w:tc>
        <w:tc>
          <w:tcPr>
            <w:tcW w:w="0" w:type="auto"/>
            <w:tcBorders>
              <w:top w:val="nil"/>
              <w:left w:val="nil"/>
              <w:bottom w:val="single" w:sz="8" w:space="0" w:color="000000"/>
              <w:right w:val="nil"/>
            </w:tcBorders>
            <w:vAlign w:val="center"/>
            <w:hideMark/>
          </w:tcPr>
          <w:p w14:paraId="17B809E7" w14:textId="77777777"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p-value</w:t>
            </w:r>
          </w:p>
        </w:tc>
        <w:tc>
          <w:tcPr>
            <w:tcW w:w="0" w:type="auto"/>
            <w:tcBorders>
              <w:top w:val="nil"/>
              <w:left w:val="nil"/>
              <w:bottom w:val="single" w:sz="8" w:space="0" w:color="000000"/>
              <w:right w:val="nil"/>
            </w:tcBorders>
            <w:vAlign w:val="center"/>
            <w:hideMark/>
          </w:tcPr>
          <w:p w14:paraId="0A60B1BF" w14:textId="2D384C93"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OR</w:t>
            </w:r>
            <w:r w:rsidRPr="007030D1">
              <w:rPr>
                <w:rFonts w:ascii="Aptos Narrow" w:eastAsia="Times New Roman" w:hAnsi="Aptos Narrow" w:cs="Arial"/>
                <w:kern w:val="0"/>
                <w:sz w:val="22"/>
                <w:vertAlign w:val="superscript"/>
                <w:lang w:eastAsia="en-GB"/>
                <w14:ligatures w14:val="none"/>
              </w:rPr>
              <w:t>2</w:t>
            </w:r>
          </w:p>
        </w:tc>
        <w:tc>
          <w:tcPr>
            <w:tcW w:w="1017" w:type="dxa"/>
            <w:tcBorders>
              <w:top w:val="nil"/>
              <w:left w:val="nil"/>
              <w:bottom w:val="single" w:sz="8" w:space="0" w:color="000000"/>
              <w:right w:val="nil"/>
            </w:tcBorders>
            <w:vAlign w:val="center"/>
            <w:hideMark/>
          </w:tcPr>
          <w:p w14:paraId="3A8FA329" w14:textId="66BD049F"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95% CI</w:t>
            </w:r>
            <w:r w:rsidRPr="00F57E7E">
              <w:rPr>
                <w:rFonts w:ascii="Aptos Narrow" w:eastAsia="Times New Roman" w:hAnsi="Aptos Narrow" w:cs="Arial"/>
                <w:kern w:val="0"/>
                <w:sz w:val="22"/>
                <w:vertAlign w:val="superscript"/>
                <w:lang w:eastAsia="en-GB"/>
                <w14:ligatures w14:val="none"/>
              </w:rPr>
              <w:t>2</w:t>
            </w:r>
          </w:p>
        </w:tc>
        <w:tc>
          <w:tcPr>
            <w:tcW w:w="0" w:type="auto"/>
            <w:tcBorders>
              <w:top w:val="nil"/>
              <w:left w:val="nil"/>
              <w:bottom w:val="single" w:sz="8" w:space="0" w:color="000000"/>
              <w:right w:val="nil"/>
            </w:tcBorders>
            <w:vAlign w:val="center"/>
            <w:hideMark/>
          </w:tcPr>
          <w:p w14:paraId="33732D45" w14:textId="77777777"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p-value</w:t>
            </w:r>
          </w:p>
        </w:tc>
        <w:tc>
          <w:tcPr>
            <w:tcW w:w="0" w:type="auto"/>
            <w:tcBorders>
              <w:top w:val="nil"/>
              <w:left w:val="nil"/>
              <w:bottom w:val="single" w:sz="8" w:space="0" w:color="000000"/>
              <w:right w:val="nil"/>
            </w:tcBorders>
            <w:vAlign w:val="center"/>
            <w:hideMark/>
          </w:tcPr>
          <w:p w14:paraId="649C6D95" w14:textId="7B877BCA"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OR</w:t>
            </w:r>
            <w:r w:rsidRPr="007030D1">
              <w:rPr>
                <w:rFonts w:ascii="Aptos Narrow" w:eastAsia="Times New Roman" w:hAnsi="Aptos Narrow" w:cs="Arial"/>
                <w:kern w:val="0"/>
                <w:sz w:val="22"/>
                <w:vertAlign w:val="superscript"/>
                <w:lang w:eastAsia="en-GB"/>
                <w14:ligatures w14:val="none"/>
              </w:rPr>
              <w:t>2</w:t>
            </w:r>
          </w:p>
        </w:tc>
        <w:tc>
          <w:tcPr>
            <w:tcW w:w="1010" w:type="dxa"/>
            <w:tcBorders>
              <w:top w:val="nil"/>
              <w:left w:val="nil"/>
              <w:bottom w:val="single" w:sz="8" w:space="0" w:color="000000"/>
              <w:right w:val="nil"/>
            </w:tcBorders>
            <w:vAlign w:val="center"/>
            <w:hideMark/>
          </w:tcPr>
          <w:p w14:paraId="6024CBD6" w14:textId="2D61FA96"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95% CI</w:t>
            </w:r>
            <w:r w:rsidRPr="00F57E7E">
              <w:rPr>
                <w:rFonts w:ascii="Aptos Narrow" w:eastAsia="Times New Roman" w:hAnsi="Aptos Narrow" w:cs="Arial"/>
                <w:kern w:val="0"/>
                <w:sz w:val="22"/>
                <w:vertAlign w:val="superscript"/>
                <w:lang w:eastAsia="en-GB"/>
                <w14:ligatures w14:val="none"/>
              </w:rPr>
              <w:t>2</w:t>
            </w:r>
          </w:p>
        </w:tc>
        <w:tc>
          <w:tcPr>
            <w:tcW w:w="0" w:type="auto"/>
            <w:tcBorders>
              <w:top w:val="nil"/>
              <w:left w:val="nil"/>
              <w:bottom w:val="single" w:sz="8" w:space="0" w:color="000000"/>
              <w:right w:val="nil"/>
            </w:tcBorders>
            <w:vAlign w:val="center"/>
            <w:hideMark/>
          </w:tcPr>
          <w:p w14:paraId="7EACC15B" w14:textId="77777777" w:rsidR="00F57E7E" w:rsidRPr="007030D1" w:rsidRDefault="00F57E7E" w:rsidP="00F57E7E">
            <w:pPr>
              <w:widowControl w:val="0"/>
              <w:spacing w:after="0" w:line="240" w:lineRule="auto"/>
              <w:jc w:val="center"/>
              <w:rPr>
                <w:rFonts w:eastAsia="Times New Roman" w:cs="Arial"/>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p-value</w:t>
            </w:r>
          </w:p>
        </w:tc>
      </w:tr>
      <w:tr w:rsidR="00F57E7E" w:rsidRPr="007030D1" w14:paraId="5B5363A2" w14:textId="77777777" w:rsidTr="00F57E7E">
        <w:trPr>
          <w:trHeight w:hRule="exact" w:val="283"/>
        </w:trPr>
        <w:tc>
          <w:tcPr>
            <w:tcW w:w="0" w:type="auto"/>
            <w:tcBorders>
              <w:top w:val="nil"/>
              <w:left w:val="nil"/>
              <w:bottom w:val="nil"/>
              <w:right w:val="nil"/>
            </w:tcBorders>
            <w:hideMark/>
          </w:tcPr>
          <w:p w14:paraId="671F3BC6"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Age at menarche</w:t>
            </w:r>
          </w:p>
        </w:tc>
        <w:tc>
          <w:tcPr>
            <w:tcW w:w="0" w:type="auto"/>
            <w:tcBorders>
              <w:top w:val="nil"/>
              <w:left w:val="nil"/>
              <w:bottom w:val="nil"/>
              <w:right w:val="nil"/>
            </w:tcBorders>
            <w:hideMark/>
          </w:tcPr>
          <w:p w14:paraId="3444F5E5"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549A194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C960E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6979E7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1A8051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5D726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9FF41C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8C2E6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CDD634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436CC0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53CE5B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C46069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5775F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F8BA55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074CC1CB" w14:textId="77777777" w:rsidTr="00F57E7E">
        <w:trPr>
          <w:trHeight w:hRule="exact" w:val="283"/>
        </w:trPr>
        <w:tc>
          <w:tcPr>
            <w:tcW w:w="0" w:type="auto"/>
            <w:tcBorders>
              <w:top w:val="nil"/>
              <w:left w:val="nil"/>
              <w:bottom w:val="nil"/>
              <w:right w:val="nil"/>
            </w:tcBorders>
            <w:hideMark/>
          </w:tcPr>
          <w:p w14:paraId="2922141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&lt;12</w:t>
            </w:r>
          </w:p>
        </w:tc>
        <w:tc>
          <w:tcPr>
            <w:tcW w:w="0" w:type="auto"/>
            <w:tcBorders>
              <w:top w:val="nil"/>
              <w:left w:val="nil"/>
              <w:bottom w:val="nil"/>
              <w:right w:val="nil"/>
            </w:tcBorders>
            <w:hideMark/>
          </w:tcPr>
          <w:p w14:paraId="1B69B92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153 (20)</w:t>
            </w:r>
          </w:p>
        </w:tc>
        <w:tc>
          <w:tcPr>
            <w:tcW w:w="0" w:type="auto"/>
            <w:tcBorders>
              <w:top w:val="nil"/>
              <w:left w:val="nil"/>
              <w:bottom w:val="nil"/>
              <w:right w:val="nil"/>
            </w:tcBorders>
            <w:hideMark/>
          </w:tcPr>
          <w:p w14:paraId="41F1F91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260 (22)</w:t>
            </w:r>
          </w:p>
        </w:tc>
        <w:tc>
          <w:tcPr>
            <w:tcW w:w="0" w:type="auto"/>
            <w:tcBorders>
              <w:top w:val="nil"/>
              <w:left w:val="nil"/>
              <w:bottom w:val="nil"/>
              <w:right w:val="nil"/>
            </w:tcBorders>
            <w:hideMark/>
          </w:tcPr>
          <w:p w14:paraId="7AEDF05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15297B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37354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A7B00F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BE1BBA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DE8FC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5E2752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592387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58C829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A7AF3D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49EA157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446483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19353CD8" w14:textId="77777777" w:rsidTr="00F57E7E">
        <w:trPr>
          <w:trHeight w:hRule="exact" w:val="283"/>
        </w:trPr>
        <w:tc>
          <w:tcPr>
            <w:tcW w:w="0" w:type="auto"/>
            <w:tcBorders>
              <w:top w:val="nil"/>
              <w:left w:val="nil"/>
              <w:bottom w:val="nil"/>
              <w:right w:val="nil"/>
            </w:tcBorders>
            <w:hideMark/>
          </w:tcPr>
          <w:p w14:paraId="26B3467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12-13</w:t>
            </w:r>
          </w:p>
        </w:tc>
        <w:tc>
          <w:tcPr>
            <w:tcW w:w="0" w:type="auto"/>
            <w:tcBorders>
              <w:top w:val="nil"/>
              <w:left w:val="nil"/>
              <w:bottom w:val="nil"/>
              <w:right w:val="nil"/>
            </w:tcBorders>
            <w:hideMark/>
          </w:tcPr>
          <w:p w14:paraId="46A3F6A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369 (49)</w:t>
            </w:r>
          </w:p>
        </w:tc>
        <w:tc>
          <w:tcPr>
            <w:tcW w:w="0" w:type="auto"/>
            <w:tcBorders>
              <w:top w:val="nil"/>
              <w:left w:val="nil"/>
              <w:bottom w:val="nil"/>
              <w:right w:val="nil"/>
            </w:tcBorders>
            <w:hideMark/>
          </w:tcPr>
          <w:p w14:paraId="1B3A95A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523 (44)</w:t>
            </w:r>
          </w:p>
        </w:tc>
        <w:tc>
          <w:tcPr>
            <w:tcW w:w="0" w:type="auto"/>
            <w:tcBorders>
              <w:top w:val="nil"/>
              <w:left w:val="nil"/>
              <w:bottom w:val="nil"/>
              <w:right w:val="nil"/>
            </w:tcBorders>
            <w:hideMark/>
          </w:tcPr>
          <w:p w14:paraId="318BDC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1.18</w:t>
            </w:r>
          </w:p>
        </w:tc>
        <w:tc>
          <w:tcPr>
            <w:tcW w:w="1017" w:type="dxa"/>
            <w:tcBorders>
              <w:top w:val="nil"/>
              <w:left w:val="nil"/>
              <w:bottom w:val="nil"/>
              <w:right w:val="nil"/>
            </w:tcBorders>
            <w:hideMark/>
          </w:tcPr>
          <w:p w14:paraId="5D96A9C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0.91, 1.52</w:t>
            </w:r>
          </w:p>
        </w:tc>
        <w:tc>
          <w:tcPr>
            <w:tcW w:w="0" w:type="auto"/>
            <w:tcBorders>
              <w:top w:val="nil"/>
              <w:left w:val="nil"/>
              <w:bottom w:val="nil"/>
              <w:right w:val="nil"/>
            </w:tcBorders>
            <w:hideMark/>
          </w:tcPr>
          <w:p w14:paraId="77FC5FF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0.209</w:t>
            </w:r>
          </w:p>
        </w:tc>
        <w:tc>
          <w:tcPr>
            <w:tcW w:w="0" w:type="auto"/>
            <w:tcBorders>
              <w:top w:val="nil"/>
              <w:left w:val="nil"/>
              <w:bottom w:val="nil"/>
              <w:right w:val="nil"/>
            </w:tcBorders>
            <w:hideMark/>
          </w:tcPr>
          <w:p w14:paraId="27FA0EF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1.13</w:t>
            </w:r>
          </w:p>
        </w:tc>
        <w:tc>
          <w:tcPr>
            <w:tcW w:w="1017" w:type="dxa"/>
            <w:tcBorders>
              <w:top w:val="nil"/>
              <w:left w:val="nil"/>
              <w:bottom w:val="nil"/>
              <w:right w:val="nil"/>
            </w:tcBorders>
            <w:hideMark/>
          </w:tcPr>
          <w:p w14:paraId="3F1D3FB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0.87, 1.46</w:t>
            </w:r>
          </w:p>
        </w:tc>
        <w:tc>
          <w:tcPr>
            <w:tcW w:w="0" w:type="auto"/>
            <w:tcBorders>
              <w:top w:val="nil"/>
              <w:left w:val="nil"/>
              <w:bottom w:val="nil"/>
              <w:right w:val="nil"/>
            </w:tcBorders>
            <w:hideMark/>
          </w:tcPr>
          <w:p w14:paraId="6021765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0.358</w:t>
            </w:r>
          </w:p>
        </w:tc>
        <w:tc>
          <w:tcPr>
            <w:tcW w:w="0" w:type="auto"/>
            <w:tcBorders>
              <w:top w:val="nil"/>
              <w:left w:val="nil"/>
              <w:bottom w:val="nil"/>
              <w:right w:val="nil"/>
            </w:tcBorders>
            <w:hideMark/>
          </w:tcPr>
          <w:p w14:paraId="7EC4D56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1.20</w:t>
            </w:r>
          </w:p>
        </w:tc>
        <w:tc>
          <w:tcPr>
            <w:tcW w:w="1017" w:type="dxa"/>
            <w:tcBorders>
              <w:top w:val="nil"/>
              <w:left w:val="nil"/>
              <w:bottom w:val="nil"/>
              <w:right w:val="nil"/>
            </w:tcBorders>
            <w:hideMark/>
          </w:tcPr>
          <w:p w14:paraId="603C5B7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0.91, 1.58</w:t>
            </w:r>
          </w:p>
        </w:tc>
        <w:tc>
          <w:tcPr>
            <w:tcW w:w="0" w:type="auto"/>
            <w:tcBorders>
              <w:top w:val="nil"/>
              <w:left w:val="nil"/>
              <w:bottom w:val="nil"/>
              <w:right w:val="nil"/>
            </w:tcBorders>
            <w:hideMark/>
          </w:tcPr>
          <w:p w14:paraId="068DA5C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0.203</w:t>
            </w:r>
          </w:p>
        </w:tc>
        <w:tc>
          <w:tcPr>
            <w:tcW w:w="0" w:type="auto"/>
            <w:tcBorders>
              <w:top w:val="nil"/>
              <w:left w:val="nil"/>
              <w:bottom w:val="nil"/>
              <w:right w:val="nil"/>
            </w:tcBorders>
            <w:hideMark/>
          </w:tcPr>
          <w:p w14:paraId="031E341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1.14</w:t>
            </w:r>
          </w:p>
        </w:tc>
        <w:tc>
          <w:tcPr>
            <w:tcW w:w="1010" w:type="dxa"/>
            <w:tcBorders>
              <w:top w:val="nil"/>
              <w:left w:val="nil"/>
              <w:bottom w:val="nil"/>
              <w:right w:val="nil"/>
            </w:tcBorders>
            <w:hideMark/>
          </w:tcPr>
          <w:p w14:paraId="38C20E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0.86, 1.51</w:t>
            </w:r>
          </w:p>
        </w:tc>
        <w:tc>
          <w:tcPr>
            <w:tcW w:w="0" w:type="auto"/>
            <w:tcBorders>
              <w:top w:val="nil"/>
              <w:left w:val="nil"/>
              <w:bottom w:val="nil"/>
              <w:right w:val="nil"/>
            </w:tcBorders>
            <w:hideMark/>
          </w:tcPr>
          <w:p w14:paraId="07B0804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0.376</w:t>
            </w:r>
          </w:p>
        </w:tc>
      </w:tr>
      <w:tr w:rsidR="00F57E7E" w:rsidRPr="007030D1" w14:paraId="4E629CEF" w14:textId="77777777" w:rsidTr="00F57E7E">
        <w:trPr>
          <w:trHeight w:hRule="exact" w:val="283"/>
        </w:trPr>
        <w:tc>
          <w:tcPr>
            <w:tcW w:w="0" w:type="auto"/>
            <w:tcBorders>
              <w:top w:val="nil"/>
              <w:left w:val="nil"/>
              <w:bottom w:val="nil"/>
              <w:right w:val="nil"/>
            </w:tcBorders>
            <w:hideMark/>
          </w:tcPr>
          <w:p w14:paraId="2A6BEE4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w:t>
            </w:r>
          </w:p>
        </w:tc>
        <w:tc>
          <w:tcPr>
            <w:tcW w:w="0" w:type="auto"/>
            <w:tcBorders>
              <w:top w:val="nil"/>
              <w:left w:val="nil"/>
              <w:bottom w:val="nil"/>
              <w:right w:val="nil"/>
            </w:tcBorders>
            <w:hideMark/>
          </w:tcPr>
          <w:p w14:paraId="09A1026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169 (22)</w:t>
            </w:r>
          </w:p>
        </w:tc>
        <w:tc>
          <w:tcPr>
            <w:tcW w:w="0" w:type="auto"/>
            <w:tcBorders>
              <w:top w:val="nil"/>
              <w:left w:val="nil"/>
              <w:bottom w:val="nil"/>
              <w:right w:val="nil"/>
            </w:tcBorders>
            <w:hideMark/>
          </w:tcPr>
          <w:p w14:paraId="00E5A6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286 (24)</w:t>
            </w:r>
          </w:p>
        </w:tc>
        <w:tc>
          <w:tcPr>
            <w:tcW w:w="0" w:type="auto"/>
            <w:tcBorders>
              <w:top w:val="nil"/>
              <w:left w:val="nil"/>
              <w:bottom w:val="nil"/>
              <w:right w:val="nil"/>
            </w:tcBorders>
            <w:hideMark/>
          </w:tcPr>
          <w:p w14:paraId="051FED8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7" w:type="dxa"/>
            <w:tcBorders>
              <w:top w:val="nil"/>
              <w:left w:val="nil"/>
              <w:bottom w:val="nil"/>
              <w:right w:val="nil"/>
            </w:tcBorders>
            <w:hideMark/>
          </w:tcPr>
          <w:p w14:paraId="34E845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0.66, 1.18</w:t>
            </w:r>
          </w:p>
        </w:tc>
        <w:tc>
          <w:tcPr>
            <w:tcW w:w="0" w:type="auto"/>
            <w:tcBorders>
              <w:top w:val="nil"/>
              <w:left w:val="nil"/>
              <w:bottom w:val="nil"/>
              <w:right w:val="nil"/>
            </w:tcBorders>
            <w:hideMark/>
          </w:tcPr>
          <w:p w14:paraId="4DC72B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0.397</w:t>
            </w:r>
          </w:p>
        </w:tc>
        <w:tc>
          <w:tcPr>
            <w:tcW w:w="0" w:type="auto"/>
            <w:tcBorders>
              <w:top w:val="nil"/>
              <w:left w:val="nil"/>
              <w:bottom w:val="nil"/>
              <w:right w:val="nil"/>
            </w:tcBorders>
            <w:hideMark/>
          </w:tcPr>
          <w:p w14:paraId="6CCF04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w:t>
            </w:r>
          </w:p>
        </w:tc>
        <w:tc>
          <w:tcPr>
            <w:tcW w:w="1017" w:type="dxa"/>
            <w:tcBorders>
              <w:top w:val="nil"/>
              <w:left w:val="nil"/>
              <w:bottom w:val="nil"/>
              <w:right w:val="nil"/>
            </w:tcBorders>
            <w:hideMark/>
          </w:tcPr>
          <w:p w14:paraId="5CF3DF2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0.63, 1.14</w:t>
            </w:r>
          </w:p>
        </w:tc>
        <w:tc>
          <w:tcPr>
            <w:tcW w:w="0" w:type="auto"/>
            <w:tcBorders>
              <w:top w:val="nil"/>
              <w:left w:val="nil"/>
              <w:bottom w:val="nil"/>
              <w:right w:val="nil"/>
            </w:tcBorders>
            <w:hideMark/>
          </w:tcPr>
          <w:p w14:paraId="12C4C7E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0.279</w:t>
            </w:r>
          </w:p>
        </w:tc>
        <w:tc>
          <w:tcPr>
            <w:tcW w:w="0" w:type="auto"/>
            <w:tcBorders>
              <w:top w:val="nil"/>
              <w:left w:val="nil"/>
              <w:bottom w:val="nil"/>
              <w:right w:val="nil"/>
            </w:tcBorders>
            <w:hideMark/>
          </w:tcPr>
          <w:p w14:paraId="22353EC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w:t>
            </w:r>
          </w:p>
        </w:tc>
        <w:tc>
          <w:tcPr>
            <w:tcW w:w="1017" w:type="dxa"/>
            <w:tcBorders>
              <w:top w:val="nil"/>
              <w:left w:val="nil"/>
              <w:bottom w:val="nil"/>
              <w:right w:val="nil"/>
            </w:tcBorders>
            <w:hideMark/>
          </w:tcPr>
          <w:p w14:paraId="6FB761E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0.67, 1.28</w:t>
            </w:r>
          </w:p>
        </w:tc>
        <w:tc>
          <w:tcPr>
            <w:tcW w:w="0" w:type="auto"/>
            <w:tcBorders>
              <w:top w:val="nil"/>
              <w:left w:val="nil"/>
              <w:bottom w:val="nil"/>
              <w:right w:val="nil"/>
            </w:tcBorders>
            <w:hideMark/>
          </w:tcPr>
          <w:p w14:paraId="693347B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0.648</w:t>
            </w:r>
          </w:p>
        </w:tc>
        <w:tc>
          <w:tcPr>
            <w:tcW w:w="0" w:type="auto"/>
            <w:tcBorders>
              <w:top w:val="nil"/>
              <w:left w:val="nil"/>
              <w:bottom w:val="nil"/>
              <w:right w:val="nil"/>
            </w:tcBorders>
            <w:hideMark/>
          </w:tcPr>
          <w:p w14:paraId="6F53E45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0" w:type="dxa"/>
            <w:tcBorders>
              <w:top w:val="nil"/>
              <w:left w:val="nil"/>
              <w:bottom w:val="nil"/>
              <w:right w:val="nil"/>
            </w:tcBorders>
            <w:hideMark/>
          </w:tcPr>
          <w:p w14:paraId="006ADC4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0.63, 1.21</w:t>
            </w:r>
          </w:p>
        </w:tc>
        <w:tc>
          <w:tcPr>
            <w:tcW w:w="0" w:type="auto"/>
            <w:tcBorders>
              <w:top w:val="nil"/>
              <w:left w:val="nil"/>
              <w:bottom w:val="nil"/>
              <w:right w:val="nil"/>
            </w:tcBorders>
            <w:hideMark/>
          </w:tcPr>
          <w:p w14:paraId="1E917C8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0.424</w:t>
            </w:r>
          </w:p>
        </w:tc>
      </w:tr>
      <w:tr w:rsidR="00F57E7E" w:rsidRPr="007030D1" w14:paraId="1153D568" w14:textId="77777777" w:rsidTr="00F57E7E">
        <w:trPr>
          <w:trHeight w:hRule="exact" w:val="283"/>
        </w:trPr>
        <w:tc>
          <w:tcPr>
            <w:tcW w:w="0" w:type="auto"/>
            <w:tcBorders>
              <w:top w:val="nil"/>
              <w:left w:val="nil"/>
              <w:bottom w:val="nil"/>
              <w:right w:val="nil"/>
            </w:tcBorders>
            <w:hideMark/>
          </w:tcPr>
          <w:p w14:paraId="382B5F05"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72E90B0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64 (8.5)</w:t>
            </w:r>
          </w:p>
        </w:tc>
        <w:tc>
          <w:tcPr>
            <w:tcW w:w="0" w:type="auto"/>
            <w:tcBorders>
              <w:top w:val="nil"/>
              <w:left w:val="nil"/>
              <w:bottom w:val="nil"/>
              <w:right w:val="nil"/>
            </w:tcBorders>
            <w:hideMark/>
          </w:tcPr>
          <w:p w14:paraId="7159A91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116 (9.8)</w:t>
            </w:r>
          </w:p>
        </w:tc>
        <w:tc>
          <w:tcPr>
            <w:tcW w:w="0" w:type="auto"/>
            <w:tcBorders>
              <w:top w:val="nil"/>
              <w:left w:val="nil"/>
              <w:bottom w:val="nil"/>
              <w:right w:val="nil"/>
            </w:tcBorders>
            <w:hideMark/>
          </w:tcPr>
          <w:p w14:paraId="17B8E08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2A8B4B2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CCFE1E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E1A2B9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D0817E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A8ABC8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76F9AA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F8CCC1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7D620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263C5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45E5F6B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2361F1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856939F" w14:textId="77777777" w:rsidTr="00F57E7E">
        <w:trPr>
          <w:trHeight w:hRule="exact" w:val="283"/>
        </w:trPr>
        <w:tc>
          <w:tcPr>
            <w:tcW w:w="0" w:type="auto"/>
            <w:tcBorders>
              <w:top w:val="nil"/>
              <w:left w:val="nil"/>
              <w:bottom w:val="nil"/>
              <w:right w:val="nil"/>
            </w:tcBorders>
            <w:hideMark/>
          </w:tcPr>
          <w:p w14:paraId="582EA9A8"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Oral contraceptive use</w:t>
            </w:r>
          </w:p>
        </w:tc>
        <w:tc>
          <w:tcPr>
            <w:tcW w:w="0" w:type="auto"/>
            <w:tcBorders>
              <w:top w:val="nil"/>
              <w:left w:val="nil"/>
              <w:bottom w:val="nil"/>
              <w:right w:val="nil"/>
            </w:tcBorders>
            <w:hideMark/>
          </w:tcPr>
          <w:p w14:paraId="112F78B0"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6535A59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61D9D4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92721A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41F4D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65B477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6D11B8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F19396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5BCACF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2454E0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7D081E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5131B7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391224D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1CEA5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9989413" w14:textId="77777777" w:rsidTr="00F57E7E">
        <w:trPr>
          <w:trHeight w:hRule="exact" w:val="283"/>
        </w:trPr>
        <w:tc>
          <w:tcPr>
            <w:tcW w:w="0" w:type="auto"/>
            <w:tcBorders>
              <w:top w:val="nil"/>
              <w:left w:val="nil"/>
              <w:bottom w:val="nil"/>
              <w:right w:val="nil"/>
            </w:tcBorders>
            <w:hideMark/>
          </w:tcPr>
          <w:p w14:paraId="0C6A255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Never</w:t>
            </w:r>
          </w:p>
        </w:tc>
        <w:tc>
          <w:tcPr>
            <w:tcW w:w="0" w:type="auto"/>
            <w:tcBorders>
              <w:top w:val="nil"/>
              <w:left w:val="nil"/>
              <w:bottom w:val="nil"/>
              <w:right w:val="nil"/>
            </w:tcBorders>
            <w:hideMark/>
          </w:tcPr>
          <w:p w14:paraId="5F262CC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95 (13)</w:t>
            </w:r>
          </w:p>
        </w:tc>
        <w:tc>
          <w:tcPr>
            <w:tcW w:w="0" w:type="auto"/>
            <w:tcBorders>
              <w:top w:val="nil"/>
              <w:left w:val="nil"/>
              <w:bottom w:val="nil"/>
              <w:right w:val="nil"/>
            </w:tcBorders>
            <w:hideMark/>
          </w:tcPr>
          <w:p w14:paraId="5690A96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182 (15)</w:t>
            </w:r>
          </w:p>
        </w:tc>
        <w:tc>
          <w:tcPr>
            <w:tcW w:w="0" w:type="auto"/>
            <w:tcBorders>
              <w:top w:val="nil"/>
              <w:left w:val="nil"/>
              <w:bottom w:val="nil"/>
              <w:right w:val="nil"/>
            </w:tcBorders>
            <w:hideMark/>
          </w:tcPr>
          <w:p w14:paraId="06BFCFD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0794B1B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E7267B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36018DB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4A705E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699D63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16BAF20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1CE4341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9B0052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0C2104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5FF7DB6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2A89CE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08CAA7BF" w14:textId="77777777" w:rsidTr="00F57E7E">
        <w:trPr>
          <w:trHeight w:hRule="exact" w:val="283"/>
        </w:trPr>
        <w:tc>
          <w:tcPr>
            <w:tcW w:w="0" w:type="auto"/>
            <w:tcBorders>
              <w:top w:val="nil"/>
              <w:left w:val="nil"/>
              <w:bottom w:val="nil"/>
              <w:right w:val="nil"/>
            </w:tcBorders>
            <w:hideMark/>
          </w:tcPr>
          <w:p w14:paraId="4D75794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Ever</w:t>
            </w:r>
          </w:p>
        </w:tc>
        <w:tc>
          <w:tcPr>
            <w:tcW w:w="0" w:type="auto"/>
            <w:tcBorders>
              <w:top w:val="nil"/>
              <w:left w:val="nil"/>
              <w:bottom w:val="nil"/>
              <w:right w:val="nil"/>
            </w:tcBorders>
            <w:hideMark/>
          </w:tcPr>
          <w:p w14:paraId="2EBAE4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659 (87)</w:t>
            </w:r>
          </w:p>
        </w:tc>
        <w:tc>
          <w:tcPr>
            <w:tcW w:w="0" w:type="auto"/>
            <w:tcBorders>
              <w:top w:val="nil"/>
              <w:left w:val="nil"/>
              <w:bottom w:val="nil"/>
              <w:right w:val="nil"/>
            </w:tcBorders>
            <w:hideMark/>
          </w:tcPr>
          <w:p w14:paraId="52D51E5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1,001 (84)</w:t>
            </w:r>
          </w:p>
        </w:tc>
        <w:tc>
          <w:tcPr>
            <w:tcW w:w="0" w:type="auto"/>
            <w:tcBorders>
              <w:top w:val="nil"/>
              <w:left w:val="nil"/>
              <w:bottom w:val="nil"/>
              <w:right w:val="nil"/>
            </w:tcBorders>
            <w:hideMark/>
          </w:tcPr>
          <w:p w14:paraId="54F9A43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w:t>
            </w:r>
          </w:p>
        </w:tc>
        <w:tc>
          <w:tcPr>
            <w:tcW w:w="1017" w:type="dxa"/>
            <w:tcBorders>
              <w:top w:val="nil"/>
              <w:left w:val="nil"/>
              <w:bottom w:val="nil"/>
              <w:right w:val="nil"/>
            </w:tcBorders>
            <w:hideMark/>
          </w:tcPr>
          <w:p w14:paraId="081D4C5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0.91, 1.65</w:t>
            </w:r>
          </w:p>
        </w:tc>
        <w:tc>
          <w:tcPr>
            <w:tcW w:w="0" w:type="auto"/>
            <w:tcBorders>
              <w:top w:val="nil"/>
              <w:left w:val="nil"/>
              <w:bottom w:val="nil"/>
              <w:right w:val="nil"/>
            </w:tcBorders>
            <w:hideMark/>
          </w:tcPr>
          <w:p w14:paraId="67074DB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0.179</w:t>
            </w:r>
          </w:p>
        </w:tc>
        <w:tc>
          <w:tcPr>
            <w:tcW w:w="0" w:type="auto"/>
            <w:tcBorders>
              <w:top w:val="nil"/>
              <w:left w:val="nil"/>
              <w:bottom w:val="nil"/>
              <w:right w:val="nil"/>
            </w:tcBorders>
            <w:hideMark/>
          </w:tcPr>
          <w:p w14:paraId="1E3D860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1.25</w:t>
            </w:r>
          </w:p>
        </w:tc>
        <w:tc>
          <w:tcPr>
            <w:tcW w:w="1017" w:type="dxa"/>
            <w:tcBorders>
              <w:top w:val="nil"/>
              <w:left w:val="nil"/>
              <w:bottom w:val="nil"/>
              <w:right w:val="nil"/>
            </w:tcBorders>
            <w:hideMark/>
          </w:tcPr>
          <w:p w14:paraId="394C846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0.93, 1.69</w:t>
            </w:r>
          </w:p>
        </w:tc>
        <w:tc>
          <w:tcPr>
            <w:tcW w:w="0" w:type="auto"/>
            <w:tcBorders>
              <w:top w:val="nil"/>
              <w:left w:val="nil"/>
              <w:bottom w:val="nil"/>
              <w:right w:val="nil"/>
            </w:tcBorders>
            <w:hideMark/>
          </w:tcPr>
          <w:p w14:paraId="477F470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0.150</w:t>
            </w:r>
          </w:p>
        </w:tc>
        <w:tc>
          <w:tcPr>
            <w:tcW w:w="0" w:type="auto"/>
            <w:tcBorders>
              <w:top w:val="nil"/>
              <w:left w:val="nil"/>
              <w:bottom w:val="nil"/>
              <w:right w:val="nil"/>
            </w:tcBorders>
            <w:hideMark/>
          </w:tcPr>
          <w:p w14:paraId="78D5479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1.30</w:t>
            </w:r>
          </w:p>
        </w:tc>
        <w:tc>
          <w:tcPr>
            <w:tcW w:w="1017" w:type="dxa"/>
            <w:tcBorders>
              <w:top w:val="nil"/>
              <w:left w:val="nil"/>
              <w:bottom w:val="nil"/>
              <w:right w:val="nil"/>
            </w:tcBorders>
            <w:hideMark/>
          </w:tcPr>
          <w:p w14:paraId="29292AF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0.95, 1.80</w:t>
            </w:r>
          </w:p>
        </w:tc>
        <w:tc>
          <w:tcPr>
            <w:tcW w:w="0" w:type="auto"/>
            <w:tcBorders>
              <w:top w:val="nil"/>
              <w:left w:val="nil"/>
              <w:bottom w:val="nil"/>
              <w:right w:val="nil"/>
            </w:tcBorders>
            <w:hideMark/>
          </w:tcPr>
          <w:p w14:paraId="2B6283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0.109</w:t>
            </w:r>
          </w:p>
        </w:tc>
        <w:tc>
          <w:tcPr>
            <w:tcW w:w="0" w:type="auto"/>
            <w:tcBorders>
              <w:top w:val="nil"/>
              <w:left w:val="nil"/>
              <w:bottom w:val="nil"/>
              <w:right w:val="nil"/>
            </w:tcBorders>
            <w:hideMark/>
          </w:tcPr>
          <w:p w14:paraId="7D6248E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1.32</w:t>
            </w:r>
          </w:p>
        </w:tc>
        <w:tc>
          <w:tcPr>
            <w:tcW w:w="1010" w:type="dxa"/>
            <w:tcBorders>
              <w:top w:val="nil"/>
              <w:left w:val="nil"/>
              <w:bottom w:val="nil"/>
              <w:right w:val="nil"/>
            </w:tcBorders>
            <w:hideMark/>
          </w:tcPr>
          <w:p w14:paraId="3E94BE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0.95, 1.84</w:t>
            </w:r>
          </w:p>
        </w:tc>
        <w:tc>
          <w:tcPr>
            <w:tcW w:w="0" w:type="auto"/>
            <w:tcBorders>
              <w:top w:val="nil"/>
              <w:left w:val="nil"/>
              <w:bottom w:val="nil"/>
              <w:right w:val="nil"/>
            </w:tcBorders>
            <w:hideMark/>
          </w:tcPr>
          <w:p w14:paraId="6B5A78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0.096</w:t>
            </w:r>
          </w:p>
        </w:tc>
      </w:tr>
      <w:tr w:rsidR="00F57E7E" w:rsidRPr="007030D1" w14:paraId="09E87997" w14:textId="77777777" w:rsidTr="00F57E7E">
        <w:trPr>
          <w:trHeight w:hRule="exact" w:val="283"/>
        </w:trPr>
        <w:tc>
          <w:tcPr>
            <w:tcW w:w="0" w:type="auto"/>
            <w:tcBorders>
              <w:top w:val="nil"/>
              <w:left w:val="nil"/>
              <w:bottom w:val="nil"/>
              <w:right w:val="nil"/>
            </w:tcBorders>
            <w:hideMark/>
          </w:tcPr>
          <w:p w14:paraId="6191FC1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387FDC1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 (0.1)</w:t>
            </w:r>
          </w:p>
        </w:tc>
        <w:tc>
          <w:tcPr>
            <w:tcW w:w="0" w:type="auto"/>
            <w:tcBorders>
              <w:top w:val="nil"/>
              <w:left w:val="nil"/>
              <w:bottom w:val="nil"/>
              <w:right w:val="nil"/>
            </w:tcBorders>
            <w:hideMark/>
          </w:tcPr>
          <w:p w14:paraId="1C2A1B0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 (0.2)</w:t>
            </w:r>
          </w:p>
        </w:tc>
        <w:tc>
          <w:tcPr>
            <w:tcW w:w="0" w:type="auto"/>
            <w:tcBorders>
              <w:top w:val="nil"/>
              <w:left w:val="nil"/>
              <w:bottom w:val="nil"/>
              <w:right w:val="nil"/>
            </w:tcBorders>
            <w:hideMark/>
          </w:tcPr>
          <w:p w14:paraId="165B540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8B44A4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9200D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375F1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248FD6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52D594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7C6562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EE4D95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C727BA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EFF87F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C10130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FB7D16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206FDB70" w14:textId="77777777" w:rsidTr="00F57E7E">
        <w:trPr>
          <w:trHeight w:hRule="exact" w:val="283"/>
        </w:trPr>
        <w:tc>
          <w:tcPr>
            <w:tcW w:w="0" w:type="auto"/>
            <w:tcBorders>
              <w:top w:val="nil"/>
              <w:left w:val="nil"/>
              <w:bottom w:val="nil"/>
              <w:right w:val="nil"/>
            </w:tcBorders>
            <w:hideMark/>
          </w:tcPr>
          <w:p w14:paraId="368D594B"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Parity</w:t>
            </w:r>
          </w:p>
        </w:tc>
        <w:tc>
          <w:tcPr>
            <w:tcW w:w="0" w:type="auto"/>
            <w:tcBorders>
              <w:top w:val="nil"/>
              <w:left w:val="nil"/>
              <w:bottom w:val="nil"/>
              <w:right w:val="nil"/>
            </w:tcBorders>
            <w:hideMark/>
          </w:tcPr>
          <w:p w14:paraId="67A75801"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19E7FC5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3C7CD7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32191B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DEEFC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A1227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8B34D0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19DCDD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DEDBC7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4631C0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9365FB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602CFB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4E6757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83550F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B41C3CC" w14:textId="77777777" w:rsidTr="00F57E7E">
        <w:trPr>
          <w:trHeight w:hRule="exact" w:val="283"/>
        </w:trPr>
        <w:tc>
          <w:tcPr>
            <w:tcW w:w="0" w:type="auto"/>
            <w:tcBorders>
              <w:top w:val="nil"/>
              <w:left w:val="nil"/>
              <w:bottom w:val="nil"/>
              <w:right w:val="nil"/>
            </w:tcBorders>
            <w:hideMark/>
          </w:tcPr>
          <w:p w14:paraId="7E422B01"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w:t>
            </w:r>
          </w:p>
        </w:tc>
        <w:tc>
          <w:tcPr>
            <w:tcW w:w="0" w:type="auto"/>
            <w:tcBorders>
              <w:top w:val="nil"/>
              <w:left w:val="nil"/>
              <w:bottom w:val="nil"/>
              <w:right w:val="nil"/>
            </w:tcBorders>
            <w:hideMark/>
          </w:tcPr>
          <w:p w14:paraId="4B78C4F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97 (13)</w:t>
            </w:r>
          </w:p>
        </w:tc>
        <w:tc>
          <w:tcPr>
            <w:tcW w:w="0" w:type="auto"/>
            <w:tcBorders>
              <w:top w:val="nil"/>
              <w:left w:val="nil"/>
              <w:bottom w:val="nil"/>
              <w:right w:val="nil"/>
            </w:tcBorders>
            <w:hideMark/>
          </w:tcPr>
          <w:p w14:paraId="73291E7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161 (14)</w:t>
            </w:r>
          </w:p>
        </w:tc>
        <w:tc>
          <w:tcPr>
            <w:tcW w:w="0" w:type="auto"/>
            <w:tcBorders>
              <w:top w:val="nil"/>
              <w:left w:val="nil"/>
              <w:bottom w:val="nil"/>
              <w:right w:val="nil"/>
            </w:tcBorders>
            <w:hideMark/>
          </w:tcPr>
          <w:p w14:paraId="0B82497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04947D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656461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6CAEC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51D205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12928D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30F60F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007E6C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A2D601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9CBEA8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4EF0CD3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6FE0CE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3802BE10" w14:textId="77777777" w:rsidTr="00F57E7E">
        <w:trPr>
          <w:trHeight w:hRule="exact" w:val="283"/>
        </w:trPr>
        <w:tc>
          <w:tcPr>
            <w:tcW w:w="0" w:type="auto"/>
            <w:tcBorders>
              <w:top w:val="nil"/>
              <w:left w:val="nil"/>
              <w:bottom w:val="nil"/>
              <w:right w:val="nil"/>
            </w:tcBorders>
            <w:hideMark/>
          </w:tcPr>
          <w:p w14:paraId="050146B3"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w:t>
            </w:r>
          </w:p>
        </w:tc>
        <w:tc>
          <w:tcPr>
            <w:tcW w:w="0" w:type="auto"/>
            <w:tcBorders>
              <w:top w:val="nil"/>
              <w:left w:val="nil"/>
              <w:bottom w:val="nil"/>
              <w:right w:val="nil"/>
            </w:tcBorders>
            <w:hideMark/>
          </w:tcPr>
          <w:p w14:paraId="1D01EF7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86 (11)</w:t>
            </w:r>
          </w:p>
        </w:tc>
        <w:tc>
          <w:tcPr>
            <w:tcW w:w="0" w:type="auto"/>
            <w:tcBorders>
              <w:top w:val="nil"/>
              <w:left w:val="nil"/>
              <w:bottom w:val="nil"/>
              <w:right w:val="nil"/>
            </w:tcBorders>
            <w:hideMark/>
          </w:tcPr>
          <w:p w14:paraId="6E4D333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125 (11)</w:t>
            </w:r>
          </w:p>
        </w:tc>
        <w:tc>
          <w:tcPr>
            <w:tcW w:w="0" w:type="auto"/>
            <w:tcBorders>
              <w:top w:val="nil"/>
              <w:left w:val="nil"/>
              <w:bottom w:val="nil"/>
              <w:right w:val="nil"/>
            </w:tcBorders>
            <w:hideMark/>
          </w:tcPr>
          <w:p w14:paraId="22B20C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1.31</w:t>
            </w:r>
          </w:p>
        </w:tc>
        <w:tc>
          <w:tcPr>
            <w:tcW w:w="1017" w:type="dxa"/>
            <w:tcBorders>
              <w:top w:val="nil"/>
              <w:left w:val="nil"/>
              <w:bottom w:val="nil"/>
              <w:right w:val="nil"/>
            </w:tcBorders>
            <w:hideMark/>
          </w:tcPr>
          <w:p w14:paraId="2395CCB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0.69, 2.50</w:t>
            </w:r>
          </w:p>
        </w:tc>
        <w:tc>
          <w:tcPr>
            <w:tcW w:w="0" w:type="auto"/>
            <w:tcBorders>
              <w:top w:val="nil"/>
              <w:left w:val="nil"/>
              <w:bottom w:val="nil"/>
              <w:right w:val="nil"/>
            </w:tcBorders>
            <w:hideMark/>
          </w:tcPr>
          <w:p w14:paraId="44DA350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0.406</w:t>
            </w:r>
          </w:p>
        </w:tc>
        <w:tc>
          <w:tcPr>
            <w:tcW w:w="0" w:type="auto"/>
            <w:tcBorders>
              <w:top w:val="nil"/>
              <w:left w:val="nil"/>
              <w:bottom w:val="nil"/>
              <w:right w:val="nil"/>
            </w:tcBorders>
            <w:hideMark/>
          </w:tcPr>
          <w:p w14:paraId="02315D7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1.40</w:t>
            </w:r>
          </w:p>
        </w:tc>
        <w:tc>
          <w:tcPr>
            <w:tcW w:w="1017" w:type="dxa"/>
            <w:tcBorders>
              <w:top w:val="nil"/>
              <w:left w:val="nil"/>
              <w:bottom w:val="nil"/>
              <w:right w:val="nil"/>
            </w:tcBorders>
            <w:hideMark/>
          </w:tcPr>
          <w:p w14:paraId="3ADC0EE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0.72, 2.70</w:t>
            </w:r>
          </w:p>
        </w:tc>
        <w:tc>
          <w:tcPr>
            <w:tcW w:w="0" w:type="auto"/>
            <w:tcBorders>
              <w:top w:val="nil"/>
              <w:left w:val="nil"/>
              <w:bottom w:val="nil"/>
              <w:right w:val="nil"/>
            </w:tcBorders>
            <w:hideMark/>
          </w:tcPr>
          <w:p w14:paraId="273477E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0.314</w:t>
            </w:r>
          </w:p>
        </w:tc>
        <w:tc>
          <w:tcPr>
            <w:tcW w:w="0" w:type="auto"/>
            <w:tcBorders>
              <w:top w:val="nil"/>
              <w:left w:val="nil"/>
              <w:bottom w:val="nil"/>
              <w:right w:val="nil"/>
            </w:tcBorders>
            <w:hideMark/>
          </w:tcPr>
          <w:p w14:paraId="22E7D9E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1.12</w:t>
            </w:r>
          </w:p>
        </w:tc>
        <w:tc>
          <w:tcPr>
            <w:tcW w:w="1017" w:type="dxa"/>
            <w:tcBorders>
              <w:top w:val="nil"/>
              <w:left w:val="nil"/>
              <w:bottom w:val="nil"/>
              <w:right w:val="nil"/>
            </w:tcBorders>
            <w:hideMark/>
          </w:tcPr>
          <w:p w14:paraId="339FC46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0.55, 2.26</w:t>
            </w:r>
          </w:p>
        </w:tc>
        <w:tc>
          <w:tcPr>
            <w:tcW w:w="0" w:type="auto"/>
            <w:tcBorders>
              <w:top w:val="nil"/>
              <w:left w:val="nil"/>
              <w:bottom w:val="nil"/>
              <w:right w:val="nil"/>
            </w:tcBorders>
            <w:hideMark/>
          </w:tcPr>
          <w:p w14:paraId="133F119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0.752</w:t>
            </w:r>
          </w:p>
        </w:tc>
        <w:tc>
          <w:tcPr>
            <w:tcW w:w="0" w:type="auto"/>
            <w:tcBorders>
              <w:top w:val="nil"/>
              <w:left w:val="nil"/>
              <w:bottom w:val="nil"/>
              <w:right w:val="nil"/>
            </w:tcBorders>
            <w:hideMark/>
          </w:tcPr>
          <w:p w14:paraId="75939E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1.14</w:t>
            </w:r>
          </w:p>
        </w:tc>
        <w:tc>
          <w:tcPr>
            <w:tcW w:w="1010" w:type="dxa"/>
            <w:tcBorders>
              <w:top w:val="nil"/>
              <w:left w:val="nil"/>
              <w:bottom w:val="nil"/>
              <w:right w:val="nil"/>
            </w:tcBorders>
            <w:hideMark/>
          </w:tcPr>
          <w:p w14:paraId="3B379F3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0.55, 2.33</w:t>
            </w:r>
          </w:p>
        </w:tc>
        <w:tc>
          <w:tcPr>
            <w:tcW w:w="0" w:type="auto"/>
            <w:tcBorders>
              <w:top w:val="nil"/>
              <w:left w:val="nil"/>
              <w:bottom w:val="nil"/>
              <w:right w:val="nil"/>
            </w:tcBorders>
            <w:hideMark/>
          </w:tcPr>
          <w:p w14:paraId="5FE38F7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0.722</w:t>
            </w:r>
          </w:p>
        </w:tc>
      </w:tr>
      <w:tr w:rsidR="00F57E7E" w:rsidRPr="007030D1" w14:paraId="15FE3686" w14:textId="77777777" w:rsidTr="00F57E7E">
        <w:trPr>
          <w:trHeight w:hRule="exact" w:val="283"/>
        </w:trPr>
        <w:tc>
          <w:tcPr>
            <w:tcW w:w="0" w:type="auto"/>
            <w:tcBorders>
              <w:top w:val="nil"/>
              <w:left w:val="nil"/>
              <w:bottom w:val="nil"/>
              <w:right w:val="nil"/>
            </w:tcBorders>
            <w:hideMark/>
          </w:tcPr>
          <w:p w14:paraId="5C4247C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w:t>
            </w:r>
          </w:p>
        </w:tc>
        <w:tc>
          <w:tcPr>
            <w:tcW w:w="0" w:type="auto"/>
            <w:tcBorders>
              <w:top w:val="nil"/>
              <w:left w:val="nil"/>
              <w:bottom w:val="nil"/>
              <w:right w:val="nil"/>
            </w:tcBorders>
            <w:hideMark/>
          </w:tcPr>
          <w:p w14:paraId="75C765B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408 (54)</w:t>
            </w:r>
          </w:p>
        </w:tc>
        <w:tc>
          <w:tcPr>
            <w:tcW w:w="0" w:type="auto"/>
            <w:tcBorders>
              <w:top w:val="nil"/>
              <w:left w:val="nil"/>
              <w:bottom w:val="nil"/>
              <w:right w:val="nil"/>
            </w:tcBorders>
            <w:hideMark/>
          </w:tcPr>
          <w:p w14:paraId="7D961CE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630 (53)</w:t>
            </w:r>
          </w:p>
        </w:tc>
        <w:tc>
          <w:tcPr>
            <w:tcW w:w="0" w:type="auto"/>
            <w:tcBorders>
              <w:top w:val="nil"/>
              <w:left w:val="nil"/>
              <w:bottom w:val="nil"/>
              <w:right w:val="nil"/>
            </w:tcBorders>
            <w:hideMark/>
          </w:tcPr>
          <w:p w14:paraId="02E0D59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1.21</w:t>
            </w:r>
          </w:p>
        </w:tc>
        <w:tc>
          <w:tcPr>
            <w:tcW w:w="1017" w:type="dxa"/>
            <w:tcBorders>
              <w:top w:val="nil"/>
              <w:left w:val="nil"/>
              <w:bottom w:val="nil"/>
              <w:right w:val="nil"/>
            </w:tcBorders>
            <w:hideMark/>
          </w:tcPr>
          <w:p w14:paraId="066FCB5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0.67, 2.15</w:t>
            </w:r>
          </w:p>
        </w:tc>
        <w:tc>
          <w:tcPr>
            <w:tcW w:w="0" w:type="auto"/>
            <w:tcBorders>
              <w:top w:val="nil"/>
              <w:left w:val="nil"/>
              <w:bottom w:val="nil"/>
              <w:right w:val="nil"/>
            </w:tcBorders>
            <w:hideMark/>
          </w:tcPr>
          <w:p w14:paraId="09D7AFC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0.528</w:t>
            </w:r>
          </w:p>
        </w:tc>
        <w:tc>
          <w:tcPr>
            <w:tcW w:w="0" w:type="auto"/>
            <w:tcBorders>
              <w:top w:val="nil"/>
              <w:left w:val="nil"/>
              <w:bottom w:val="nil"/>
              <w:right w:val="nil"/>
            </w:tcBorders>
            <w:hideMark/>
          </w:tcPr>
          <w:p w14:paraId="327E5A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1.30</w:t>
            </w:r>
          </w:p>
        </w:tc>
        <w:tc>
          <w:tcPr>
            <w:tcW w:w="1017" w:type="dxa"/>
            <w:tcBorders>
              <w:top w:val="nil"/>
              <w:left w:val="nil"/>
              <w:bottom w:val="nil"/>
              <w:right w:val="nil"/>
            </w:tcBorders>
            <w:hideMark/>
          </w:tcPr>
          <w:p w14:paraId="34749A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0.71, 2.36</w:t>
            </w:r>
          </w:p>
        </w:tc>
        <w:tc>
          <w:tcPr>
            <w:tcW w:w="0" w:type="auto"/>
            <w:tcBorders>
              <w:top w:val="nil"/>
              <w:left w:val="nil"/>
              <w:bottom w:val="nil"/>
              <w:right w:val="nil"/>
            </w:tcBorders>
            <w:hideMark/>
          </w:tcPr>
          <w:p w14:paraId="7864E64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0.388</w:t>
            </w:r>
          </w:p>
        </w:tc>
        <w:tc>
          <w:tcPr>
            <w:tcW w:w="0" w:type="auto"/>
            <w:tcBorders>
              <w:top w:val="nil"/>
              <w:left w:val="nil"/>
              <w:bottom w:val="nil"/>
              <w:right w:val="nil"/>
            </w:tcBorders>
            <w:hideMark/>
          </w:tcPr>
          <w:p w14:paraId="51E2DFC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0.98</w:t>
            </w:r>
          </w:p>
        </w:tc>
        <w:tc>
          <w:tcPr>
            <w:tcW w:w="1017" w:type="dxa"/>
            <w:tcBorders>
              <w:top w:val="nil"/>
              <w:left w:val="nil"/>
              <w:bottom w:val="nil"/>
              <w:right w:val="nil"/>
            </w:tcBorders>
            <w:hideMark/>
          </w:tcPr>
          <w:p w14:paraId="07B0835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0.52, 1.84</w:t>
            </w:r>
          </w:p>
        </w:tc>
        <w:tc>
          <w:tcPr>
            <w:tcW w:w="0" w:type="auto"/>
            <w:tcBorders>
              <w:top w:val="nil"/>
              <w:left w:val="nil"/>
              <w:bottom w:val="nil"/>
              <w:right w:val="nil"/>
            </w:tcBorders>
            <w:hideMark/>
          </w:tcPr>
          <w:p w14:paraId="19AB0EC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0.941</w:t>
            </w:r>
          </w:p>
        </w:tc>
        <w:tc>
          <w:tcPr>
            <w:tcW w:w="0" w:type="auto"/>
            <w:tcBorders>
              <w:top w:val="nil"/>
              <w:left w:val="nil"/>
              <w:bottom w:val="nil"/>
              <w:right w:val="nil"/>
            </w:tcBorders>
            <w:hideMark/>
          </w:tcPr>
          <w:p w14:paraId="526292E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w:t>
            </w:r>
          </w:p>
        </w:tc>
        <w:tc>
          <w:tcPr>
            <w:tcW w:w="1010" w:type="dxa"/>
            <w:tcBorders>
              <w:top w:val="nil"/>
              <w:left w:val="nil"/>
              <w:bottom w:val="nil"/>
              <w:right w:val="nil"/>
            </w:tcBorders>
            <w:hideMark/>
          </w:tcPr>
          <w:p w14:paraId="2AAB75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0.53, 1.95</w:t>
            </w:r>
          </w:p>
        </w:tc>
        <w:tc>
          <w:tcPr>
            <w:tcW w:w="0" w:type="auto"/>
            <w:tcBorders>
              <w:top w:val="nil"/>
              <w:left w:val="nil"/>
              <w:bottom w:val="nil"/>
              <w:right w:val="nil"/>
            </w:tcBorders>
            <w:hideMark/>
          </w:tcPr>
          <w:p w14:paraId="0EC77C7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0.941</w:t>
            </w:r>
          </w:p>
        </w:tc>
      </w:tr>
      <w:tr w:rsidR="00F57E7E" w:rsidRPr="007030D1" w14:paraId="43C437C3" w14:textId="77777777" w:rsidTr="00F57E7E">
        <w:trPr>
          <w:trHeight w:hRule="exact" w:val="283"/>
        </w:trPr>
        <w:tc>
          <w:tcPr>
            <w:tcW w:w="0" w:type="auto"/>
            <w:tcBorders>
              <w:top w:val="nil"/>
              <w:left w:val="nil"/>
              <w:bottom w:val="nil"/>
              <w:right w:val="nil"/>
            </w:tcBorders>
            <w:hideMark/>
          </w:tcPr>
          <w:p w14:paraId="547E77F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w:t>
            </w:r>
          </w:p>
        </w:tc>
        <w:tc>
          <w:tcPr>
            <w:tcW w:w="0" w:type="auto"/>
            <w:tcBorders>
              <w:top w:val="nil"/>
              <w:left w:val="nil"/>
              <w:bottom w:val="nil"/>
              <w:right w:val="nil"/>
            </w:tcBorders>
            <w:hideMark/>
          </w:tcPr>
          <w:p w14:paraId="12CDFF6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164 (22)</w:t>
            </w:r>
          </w:p>
        </w:tc>
        <w:tc>
          <w:tcPr>
            <w:tcW w:w="0" w:type="auto"/>
            <w:tcBorders>
              <w:top w:val="nil"/>
              <w:left w:val="nil"/>
              <w:bottom w:val="nil"/>
              <w:right w:val="nil"/>
            </w:tcBorders>
            <w:hideMark/>
          </w:tcPr>
          <w:p w14:paraId="03CCBC4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269 (23)</w:t>
            </w:r>
          </w:p>
        </w:tc>
        <w:tc>
          <w:tcPr>
            <w:tcW w:w="0" w:type="auto"/>
            <w:tcBorders>
              <w:top w:val="nil"/>
              <w:left w:val="nil"/>
              <w:bottom w:val="nil"/>
              <w:right w:val="nil"/>
            </w:tcBorders>
            <w:hideMark/>
          </w:tcPr>
          <w:p w14:paraId="605F0AA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1.12</w:t>
            </w:r>
          </w:p>
        </w:tc>
        <w:tc>
          <w:tcPr>
            <w:tcW w:w="1017" w:type="dxa"/>
            <w:tcBorders>
              <w:top w:val="nil"/>
              <w:left w:val="nil"/>
              <w:bottom w:val="nil"/>
              <w:right w:val="nil"/>
            </w:tcBorders>
            <w:hideMark/>
          </w:tcPr>
          <w:p w14:paraId="3928072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0.62, 2.03</w:t>
            </w:r>
          </w:p>
        </w:tc>
        <w:tc>
          <w:tcPr>
            <w:tcW w:w="0" w:type="auto"/>
            <w:tcBorders>
              <w:top w:val="nil"/>
              <w:left w:val="nil"/>
              <w:bottom w:val="nil"/>
              <w:right w:val="nil"/>
            </w:tcBorders>
            <w:hideMark/>
          </w:tcPr>
          <w:p w14:paraId="4FA81BC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0.704</w:t>
            </w:r>
          </w:p>
        </w:tc>
        <w:tc>
          <w:tcPr>
            <w:tcW w:w="0" w:type="auto"/>
            <w:tcBorders>
              <w:top w:val="nil"/>
              <w:left w:val="nil"/>
              <w:bottom w:val="nil"/>
              <w:right w:val="nil"/>
            </w:tcBorders>
            <w:hideMark/>
          </w:tcPr>
          <w:p w14:paraId="7F3E26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w:t>
            </w:r>
          </w:p>
        </w:tc>
        <w:tc>
          <w:tcPr>
            <w:tcW w:w="1017" w:type="dxa"/>
            <w:tcBorders>
              <w:top w:val="nil"/>
              <w:left w:val="nil"/>
              <w:bottom w:val="nil"/>
              <w:right w:val="nil"/>
            </w:tcBorders>
            <w:hideMark/>
          </w:tcPr>
          <w:p w14:paraId="0E67AA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0.66, 2.25</w:t>
            </w:r>
          </w:p>
        </w:tc>
        <w:tc>
          <w:tcPr>
            <w:tcW w:w="0" w:type="auto"/>
            <w:tcBorders>
              <w:top w:val="nil"/>
              <w:left w:val="nil"/>
              <w:bottom w:val="nil"/>
              <w:right w:val="nil"/>
            </w:tcBorders>
            <w:hideMark/>
          </w:tcPr>
          <w:p w14:paraId="3A00679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0.518</w:t>
            </w:r>
          </w:p>
        </w:tc>
        <w:tc>
          <w:tcPr>
            <w:tcW w:w="0" w:type="auto"/>
            <w:tcBorders>
              <w:top w:val="nil"/>
              <w:left w:val="nil"/>
              <w:bottom w:val="nil"/>
              <w:right w:val="nil"/>
            </w:tcBorders>
            <w:hideMark/>
          </w:tcPr>
          <w:p w14:paraId="3C93CF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0.98</w:t>
            </w:r>
          </w:p>
        </w:tc>
        <w:tc>
          <w:tcPr>
            <w:tcW w:w="1017" w:type="dxa"/>
            <w:tcBorders>
              <w:top w:val="nil"/>
              <w:left w:val="nil"/>
              <w:bottom w:val="nil"/>
              <w:right w:val="nil"/>
            </w:tcBorders>
            <w:hideMark/>
          </w:tcPr>
          <w:p w14:paraId="0D7CBC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0.51, 1.87</w:t>
            </w:r>
          </w:p>
        </w:tc>
        <w:tc>
          <w:tcPr>
            <w:tcW w:w="0" w:type="auto"/>
            <w:tcBorders>
              <w:top w:val="nil"/>
              <w:left w:val="nil"/>
              <w:bottom w:val="nil"/>
              <w:right w:val="nil"/>
            </w:tcBorders>
            <w:hideMark/>
          </w:tcPr>
          <w:p w14:paraId="0557C9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0.943</w:t>
            </w:r>
          </w:p>
        </w:tc>
        <w:tc>
          <w:tcPr>
            <w:tcW w:w="0" w:type="auto"/>
            <w:tcBorders>
              <w:top w:val="nil"/>
              <w:left w:val="nil"/>
              <w:bottom w:val="nil"/>
              <w:right w:val="nil"/>
            </w:tcBorders>
            <w:hideMark/>
          </w:tcPr>
          <w:p w14:paraId="13C8AFB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w:t>
            </w:r>
          </w:p>
        </w:tc>
        <w:tc>
          <w:tcPr>
            <w:tcW w:w="1010" w:type="dxa"/>
            <w:tcBorders>
              <w:top w:val="nil"/>
              <w:left w:val="nil"/>
              <w:bottom w:val="nil"/>
              <w:right w:val="nil"/>
            </w:tcBorders>
            <w:hideMark/>
          </w:tcPr>
          <w:p w14:paraId="15090D7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0.52, 1.99</w:t>
            </w:r>
          </w:p>
        </w:tc>
        <w:tc>
          <w:tcPr>
            <w:tcW w:w="0" w:type="auto"/>
            <w:tcBorders>
              <w:top w:val="nil"/>
              <w:left w:val="nil"/>
              <w:bottom w:val="nil"/>
              <w:right w:val="nil"/>
            </w:tcBorders>
            <w:hideMark/>
          </w:tcPr>
          <w:p w14:paraId="1755705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0.942</w:t>
            </w:r>
          </w:p>
        </w:tc>
      </w:tr>
      <w:tr w:rsidR="00F57E7E" w:rsidRPr="007030D1" w14:paraId="18B278E0" w14:textId="77777777" w:rsidTr="00F57E7E">
        <w:trPr>
          <w:trHeight w:hRule="exact" w:val="283"/>
        </w:trPr>
        <w:tc>
          <w:tcPr>
            <w:tcW w:w="0" w:type="auto"/>
            <w:tcBorders>
              <w:top w:val="nil"/>
              <w:left w:val="nil"/>
              <w:bottom w:val="nil"/>
              <w:right w:val="nil"/>
            </w:tcBorders>
            <w:hideMark/>
          </w:tcPr>
          <w:p w14:paraId="599C1279"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Age at first birth</w:t>
            </w:r>
          </w:p>
        </w:tc>
        <w:tc>
          <w:tcPr>
            <w:tcW w:w="0" w:type="auto"/>
            <w:tcBorders>
              <w:top w:val="nil"/>
              <w:left w:val="nil"/>
              <w:bottom w:val="nil"/>
              <w:right w:val="nil"/>
            </w:tcBorders>
            <w:hideMark/>
          </w:tcPr>
          <w:p w14:paraId="537D959B"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13E1397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2677CF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732535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0B5211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FC3C82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4E139C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F71AD6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7153D4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4DC9AD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E2E1AD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9C80B4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A66BCC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265DBE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774D6B4D" w14:textId="77777777" w:rsidTr="00F57E7E">
        <w:trPr>
          <w:trHeight w:hRule="exact" w:val="283"/>
        </w:trPr>
        <w:tc>
          <w:tcPr>
            <w:tcW w:w="0" w:type="auto"/>
            <w:tcBorders>
              <w:top w:val="nil"/>
              <w:left w:val="nil"/>
              <w:bottom w:val="nil"/>
              <w:right w:val="nil"/>
            </w:tcBorders>
            <w:hideMark/>
          </w:tcPr>
          <w:p w14:paraId="11D3ED31"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&lt;20</w:t>
            </w:r>
          </w:p>
        </w:tc>
        <w:tc>
          <w:tcPr>
            <w:tcW w:w="0" w:type="auto"/>
            <w:tcBorders>
              <w:top w:val="nil"/>
              <w:left w:val="nil"/>
              <w:bottom w:val="nil"/>
              <w:right w:val="nil"/>
            </w:tcBorders>
            <w:hideMark/>
          </w:tcPr>
          <w:p w14:paraId="0A3F23A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 (4.6)</w:t>
            </w:r>
          </w:p>
        </w:tc>
        <w:tc>
          <w:tcPr>
            <w:tcW w:w="0" w:type="auto"/>
            <w:tcBorders>
              <w:top w:val="nil"/>
              <w:left w:val="nil"/>
              <w:bottom w:val="nil"/>
              <w:right w:val="nil"/>
            </w:tcBorders>
            <w:hideMark/>
          </w:tcPr>
          <w:p w14:paraId="33488A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45 (3.8)</w:t>
            </w:r>
          </w:p>
        </w:tc>
        <w:tc>
          <w:tcPr>
            <w:tcW w:w="0" w:type="auto"/>
            <w:tcBorders>
              <w:top w:val="nil"/>
              <w:left w:val="nil"/>
              <w:bottom w:val="nil"/>
              <w:right w:val="nil"/>
            </w:tcBorders>
            <w:hideMark/>
          </w:tcPr>
          <w:p w14:paraId="00F624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DE2E75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4D2C2B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484A3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0F71CDE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1BF4C5E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1858DE2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44E35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7704B6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5A09B40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414BD21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14C8D2D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42EC29C8" w14:textId="77777777" w:rsidTr="00F57E7E">
        <w:trPr>
          <w:trHeight w:hRule="exact" w:val="283"/>
        </w:trPr>
        <w:tc>
          <w:tcPr>
            <w:tcW w:w="0" w:type="auto"/>
            <w:tcBorders>
              <w:top w:val="nil"/>
              <w:left w:val="nil"/>
              <w:bottom w:val="nil"/>
              <w:right w:val="nil"/>
            </w:tcBorders>
            <w:hideMark/>
          </w:tcPr>
          <w:p w14:paraId="701A6A12"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20-24</w:t>
            </w:r>
          </w:p>
        </w:tc>
        <w:tc>
          <w:tcPr>
            <w:tcW w:w="0" w:type="auto"/>
            <w:tcBorders>
              <w:top w:val="nil"/>
              <w:left w:val="nil"/>
              <w:bottom w:val="nil"/>
              <w:right w:val="nil"/>
            </w:tcBorders>
            <w:hideMark/>
          </w:tcPr>
          <w:p w14:paraId="4064338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197 (26)</w:t>
            </w:r>
          </w:p>
        </w:tc>
        <w:tc>
          <w:tcPr>
            <w:tcW w:w="0" w:type="auto"/>
            <w:tcBorders>
              <w:top w:val="nil"/>
              <w:left w:val="nil"/>
              <w:bottom w:val="nil"/>
              <w:right w:val="nil"/>
            </w:tcBorders>
            <w:hideMark/>
          </w:tcPr>
          <w:p w14:paraId="5F1A30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308 (26)</w:t>
            </w:r>
          </w:p>
        </w:tc>
        <w:tc>
          <w:tcPr>
            <w:tcW w:w="0" w:type="auto"/>
            <w:tcBorders>
              <w:top w:val="nil"/>
              <w:left w:val="nil"/>
              <w:bottom w:val="nil"/>
              <w:right w:val="nil"/>
            </w:tcBorders>
            <w:hideMark/>
          </w:tcPr>
          <w:p w14:paraId="0AD07D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0.83</w:t>
            </w:r>
          </w:p>
        </w:tc>
        <w:tc>
          <w:tcPr>
            <w:tcW w:w="1017" w:type="dxa"/>
            <w:tcBorders>
              <w:top w:val="nil"/>
              <w:left w:val="nil"/>
              <w:bottom w:val="nil"/>
              <w:right w:val="nil"/>
            </w:tcBorders>
            <w:hideMark/>
          </w:tcPr>
          <w:p w14:paraId="7B7219F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0.50, 1.38</w:t>
            </w:r>
          </w:p>
        </w:tc>
        <w:tc>
          <w:tcPr>
            <w:tcW w:w="0" w:type="auto"/>
            <w:tcBorders>
              <w:top w:val="nil"/>
              <w:left w:val="nil"/>
              <w:bottom w:val="nil"/>
              <w:right w:val="nil"/>
            </w:tcBorders>
            <w:hideMark/>
          </w:tcPr>
          <w:p w14:paraId="635AAA1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0.475</w:t>
            </w:r>
          </w:p>
        </w:tc>
        <w:tc>
          <w:tcPr>
            <w:tcW w:w="0" w:type="auto"/>
            <w:tcBorders>
              <w:top w:val="nil"/>
              <w:left w:val="nil"/>
              <w:bottom w:val="nil"/>
              <w:right w:val="nil"/>
            </w:tcBorders>
            <w:hideMark/>
          </w:tcPr>
          <w:p w14:paraId="283CF9C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0.80</w:t>
            </w:r>
          </w:p>
        </w:tc>
        <w:tc>
          <w:tcPr>
            <w:tcW w:w="1017" w:type="dxa"/>
            <w:tcBorders>
              <w:top w:val="nil"/>
              <w:left w:val="nil"/>
              <w:bottom w:val="nil"/>
              <w:right w:val="nil"/>
            </w:tcBorders>
            <w:hideMark/>
          </w:tcPr>
          <w:p w14:paraId="4646CF3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0.48, 1.35</w:t>
            </w:r>
          </w:p>
        </w:tc>
        <w:tc>
          <w:tcPr>
            <w:tcW w:w="0" w:type="auto"/>
            <w:tcBorders>
              <w:top w:val="nil"/>
              <w:left w:val="nil"/>
              <w:bottom w:val="nil"/>
              <w:right w:val="nil"/>
            </w:tcBorders>
            <w:hideMark/>
          </w:tcPr>
          <w:p w14:paraId="2589146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0.410</w:t>
            </w:r>
          </w:p>
        </w:tc>
        <w:tc>
          <w:tcPr>
            <w:tcW w:w="0" w:type="auto"/>
            <w:tcBorders>
              <w:top w:val="nil"/>
              <w:left w:val="nil"/>
              <w:bottom w:val="nil"/>
              <w:right w:val="nil"/>
            </w:tcBorders>
            <w:hideMark/>
          </w:tcPr>
          <w:p w14:paraId="16DF901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0.77</w:t>
            </w:r>
          </w:p>
        </w:tc>
        <w:tc>
          <w:tcPr>
            <w:tcW w:w="1017" w:type="dxa"/>
            <w:tcBorders>
              <w:top w:val="nil"/>
              <w:left w:val="nil"/>
              <w:bottom w:val="nil"/>
              <w:right w:val="nil"/>
            </w:tcBorders>
            <w:hideMark/>
          </w:tcPr>
          <w:p w14:paraId="19A703A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0.45, 1.34</w:t>
            </w:r>
          </w:p>
        </w:tc>
        <w:tc>
          <w:tcPr>
            <w:tcW w:w="0" w:type="auto"/>
            <w:tcBorders>
              <w:top w:val="nil"/>
              <w:left w:val="nil"/>
              <w:bottom w:val="nil"/>
              <w:right w:val="nil"/>
            </w:tcBorders>
            <w:hideMark/>
          </w:tcPr>
          <w:p w14:paraId="374383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0.354</w:t>
            </w:r>
          </w:p>
        </w:tc>
        <w:tc>
          <w:tcPr>
            <w:tcW w:w="0" w:type="auto"/>
            <w:tcBorders>
              <w:top w:val="nil"/>
              <w:left w:val="nil"/>
              <w:bottom w:val="nil"/>
              <w:right w:val="nil"/>
            </w:tcBorders>
            <w:hideMark/>
          </w:tcPr>
          <w:p w14:paraId="340AF0B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w:t>
            </w:r>
          </w:p>
        </w:tc>
        <w:tc>
          <w:tcPr>
            <w:tcW w:w="1010" w:type="dxa"/>
            <w:tcBorders>
              <w:top w:val="nil"/>
              <w:left w:val="nil"/>
              <w:bottom w:val="nil"/>
              <w:right w:val="nil"/>
            </w:tcBorders>
            <w:hideMark/>
          </w:tcPr>
          <w:p w14:paraId="22C27BB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0.44, 1.33</w:t>
            </w:r>
          </w:p>
        </w:tc>
        <w:tc>
          <w:tcPr>
            <w:tcW w:w="0" w:type="auto"/>
            <w:tcBorders>
              <w:top w:val="nil"/>
              <w:left w:val="nil"/>
              <w:bottom w:val="nil"/>
              <w:right w:val="nil"/>
            </w:tcBorders>
            <w:hideMark/>
          </w:tcPr>
          <w:p w14:paraId="1A12163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0.334</w:t>
            </w:r>
          </w:p>
        </w:tc>
      </w:tr>
      <w:tr w:rsidR="00F57E7E" w:rsidRPr="007030D1" w14:paraId="76A30584" w14:textId="77777777" w:rsidTr="00F57E7E">
        <w:trPr>
          <w:trHeight w:hRule="exact" w:val="283"/>
        </w:trPr>
        <w:tc>
          <w:tcPr>
            <w:tcW w:w="0" w:type="auto"/>
            <w:tcBorders>
              <w:top w:val="nil"/>
              <w:left w:val="nil"/>
              <w:bottom w:val="nil"/>
              <w:right w:val="nil"/>
            </w:tcBorders>
            <w:hideMark/>
          </w:tcPr>
          <w:p w14:paraId="790BAEA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25-29</w:t>
            </w:r>
          </w:p>
        </w:tc>
        <w:tc>
          <w:tcPr>
            <w:tcW w:w="0" w:type="auto"/>
            <w:tcBorders>
              <w:top w:val="nil"/>
              <w:left w:val="nil"/>
              <w:bottom w:val="nil"/>
              <w:right w:val="nil"/>
            </w:tcBorders>
            <w:hideMark/>
          </w:tcPr>
          <w:p w14:paraId="5038241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256 (34)</w:t>
            </w:r>
          </w:p>
        </w:tc>
        <w:tc>
          <w:tcPr>
            <w:tcW w:w="0" w:type="auto"/>
            <w:tcBorders>
              <w:top w:val="nil"/>
              <w:left w:val="nil"/>
              <w:bottom w:val="nil"/>
              <w:right w:val="nil"/>
            </w:tcBorders>
            <w:hideMark/>
          </w:tcPr>
          <w:p w14:paraId="14CC93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421 (36)</w:t>
            </w:r>
          </w:p>
        </w:tc>
        <w:tc>
          <w:tcPr>
            <w:tcW w:w="0" w:type="auto"/>
            <w:tcBorders>
              <w:top w:val="nil"/>
              <w:left w:val="nil"/>
              <w:bottom w:val="nil"/>
              <w:right w:val="nil"/>
            </w:tcBorders>
            <w:hideMark/>
          </w:tcPr>
          <w:p w14:paraId="0743112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w:t>
            </w:r>
          </w:p>
        </w:tc>
        <w:tc>
          <w:tcPr>
            <w:tcW w:w="1017" w:type="dxa"/>
            <w:tcBorders>
              <w:top w:val="nil"/>
              <w:left w:val="nil"/>
              <w:bottom w:val="nil"/>
              <w:right w:val="nil"/>
            </w:tcBorders>
            <w:hideMark/>
          </w:tcPr>
          <w:p w14:paraId="32F5F0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0.46, 1.27</w:t>
            </w:r>
          </w:p>
        </w:tc>
        <w:tc>
          <w:tcPr>
            <w:tcW w:w="0" w:type="auto"/>
            <w:tcBorders>
              <w:top w:val="nil"/>
              <w:left w:val="nil"/>
              <w:bottom w:val="nil"/>
              <w:right w:val="nil"/>
            </w:tcBorders>
            <w:hideMark/>
          </w:tcPr>
          <w:p w14:paraId="2025429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0.290</w:t>
            </w:r>
          </w:p>
        </w:tc>
        <w:tc>
          <w:tcPr>
            <w:tcW w:w="0" w:type="auto"/>
            <w:tcBorders>
              <w:top w:val="nil"/>
              <w:left w:val="nil"/>
              <w:bottom w:val="nil"/>
              <w:right w:val="nil"/>
            </w:tcBorders>
            <w:hideMark/>
          </w:tcPr>
          <w:p w14:paraId="507991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0.75</w:t>
            </w:r>
          </w:p>
        </w:tc>
        <w:tc>
          <w:tcPr>
            <w:tcW w:w="1017" w:type="dxa"/>
            <w:tcBorders>
              <w:top w:val="nil"/>
              <w:left w:val="nil"/>
              <w:bottom w:val="nil"/>
              <w:right w:val="nil"/>
            </w:tcBorders>
            <w:hideMark/>
          </w:tcPr>
          <w:p w14:paraId="62CCB6E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0.45, 1.26</w:t>
            </w:r>
          </w:p>
        </w:tc>
        <w:tc>
          <w:tcPr>
            <w:tcW w:w="0" w:type="auto"/>
            <w:tcBorders>
              <w:top w:val="nil"/>
              <w:left w:val="nil"/>
              <w:bottom w:val="nil"/>
              <w:right w:val="nil"/>
            </w:tcBorders>
            <w:hideMark/>
          </w:tcPr>
          <w:p w14:paraId="6291672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0.271</w:t>
            </w:r>
          </w:p>
        </w:tc>
        <w:tc>
          <w:tcPr>
            <w:tcW w:w="0" w:type="auto"/>
            <w:tcBorders>
              <w:top w:val="nil"/>
              <w:left w:val="nil"/>
              <w:bottom w:val="nil"/>
              <w:right w:val="nil"/>
            </w:tcBorders>
            <w:hideMark/>
          </w:tcPr>
          <w:p w14:paraId="7F2F159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0.74</w:t>
            </w:r>
          </w:p>
        </w:tc>
        <w:tc>
          <w:tcPr>
            <w:tcW w:w="1017" w:type="dxa"/>
            <w:tcBorders>
              <w:top w:val="nil"/>
              <w:left w:val="nil"/>
              <w:bottom w:val="nil"/>
              <w:right w:val="nil"/>
            </w:tcBorders>
            <w:hideMark/>
          </w:tcPr>
          <w:p w14:paraId="4C5C143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0.43, 1.29</w:t>
            </w:r>
          </w:p>
        </w:tc>
        <w:tc>
          <w:tcPr>
            <w:tcW w:w="0" w:type="auto"/>
            <w:tcBorders>
              <w:top w:val="nil"/>
              <w:left w:val="nil"/>
              <w:bottom w:val="nil"/>
              <w:right w:val="nil"/>
            </w:tcBorders>
            <w:hideMark/>
          </w:tcPr>
          <w:p w14:paraId="037FDA5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0.283</w:t>
            </w:r>
          </w:p>
        </w:tc>
        <w:tc>
          <w:tcPr>
            <w:tcW w:w="0" w:type="auto"/>
            <w:tcBorders>
              <w:top w:val="nil"/>
              <w:left w:val="nil"/>
              <w:bottom w:val="nil"/>
              <w:right w:val="nil"/>
            </w:tcBorders>
            <w:hideMark/>
          </w:tcPr>
          <w:p w14:paraId="5AE838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0.75</w:t>
            </w:r>
          </w:p>
        </w:tc>
        <w:tc>
          <w:tcPr>
            <w:tcW w:w="1010" w:type="dxa"/>
            <w:tcBorders>
              <w:top w:val="nil"/>
              <w:left w:val="nil"/>
              <w:bottom w:val="nil"/>
              <w:right w:val="nil"/>
            </w:tcBorders>
            <w:hideMark/>
          </w:tcPr>
          <w:p w14:paraId="19C9EBB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0.43, 1.32</w:t>
            </w:r>
          </w:p>
        </w:tc>
        <w:tc>
          <w:tcPr>
            <w:tcW w:w="0" w:type="auto"/>
            <w:tcBorders>
              <w:top w:val="nil"/>
              <w:left w:val="nil"/>
              <w:bottom w:val="nil"/>
              <w:right w:val="nil"/>
            </w:tcBorders>
            <w:hideMark/>
          </w:tcPr>
          <w:p w14:paraId="7263B85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0.315</w:t>
            </w:r>
          </w:p>
        </w:tc>
      </w:tr>
      <w:tr w:rsidR="00F57E7E" w:rsidRPr="007030D1" w14:paraId="72578CDF" w14:textId="77777777" w:rsidTr="00F57E7E">
        <w:trPr>
          <w:trHeight w:hRule="exact" w:val="283"/>
        </w:trPr>
        <w:tc>
          <w:tcPr>
            <w:tcW w:w="0" w:type="auto"/>
            <w:tcBorders>
              <w:top w:val="nil"/>
              <w:left w:val="nil"/>
              <w:bottom w:val="nil"/>
              <w:right w:val="nil"/>
            </w:tcBorders>
            <w:hideMark/>
          </w:tcPr>
          <w:p w14:paraId="6717902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30-34</w:t>
            </w:r>
          </w:p>
        </w:tc>
        <w:tc>
          <w:tcPr>
            <w:tcW w:w="0" w:type="auto"/>
            <w:tcBorders>
              <w:top w:val="nil"/>
              <w:left w:val="nil"/>
              <w:bottom w:val="nil"/>
              <w:right w:val="nil"/>
            </w:tcBorders>
            <w:hideMark/>
          </w:tcPr>
          <w:p w14:paraId="0E0274C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 (16)</w:t>
            </w:r>
          </w:p>
        </w:tc>
        <w:tc>
          <w:tcPr>
            <w:tcW w:w="0" w:type="auto"/>
            <w:tcBorders>
              <w:top w:val="nil"/>
              <w:left w:val="nil"/>
              <w:bottom w:val="nil"/>
              <w:right w:val="nil"/>
            </w:tcBorders>
            <w:hideMark/>
          </w:tcPr>
          <w:p w14:paraId="0F47924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174 (15)</w:t>
            </w:r>
          </w:p>
        </w:tc>
        <w:tc>
          <w:tcPr>
            <w:tcW w:w="0" w:type="auto"/>
            <w:tcBorders>
              <w:top w:val="nil"/>
              <w:left w:val="nil"/>
              <w:bottom w:val="nil"/>
              <w:right w:val="nil"/>
            </w:tcBorders>
            <w:hideMark/>
          </w:tcPr>
          <w:p w14:paraId="47C34A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w:t>
            </w:r>
          </w:p>
        </w:tc>
        <w:tc>
          <w:tcPr>
            <w:tcW w:w="1017" w:type="dxa"/>
            <w:tcBorders>
              <w:top w:val="nil"/>
              <w:left w:val="nil"/>
              <w:bottom w:val="nil"/>
              <w:right w:val="nil"/>
            </w:tcBorders>
            <w:hideMark/>
          </w:tcPr>
          <w:p w14:paraId="2A1ECC4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0.50, 1.49</w:t>
            </w:r>
          </w:p>
        </w:tc>
        <w:tc>
          <w:tcPr>
            <w:tcW w:w="0" w:type="auto"/>
            <w:tcBorders>
              <w:top w:val="nil"/>
              <w:left w:val="nil"/>
              <w:bottom w:val="nil"/>
              <w:right w:val="nil"/>
            </w:tcBorders>
            <w:hideMark/>
          </w:tcPr>
          <w:p w14:paraId="7A8F99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0.595</w:t>
            </w:r>
          </w:p>
        </w:tc>
        <w:tc>
          <w:tcPr>
            <w:tcW w:w="0" w:type="auto"/>
            <w:tcBorders>
              <w:top w:val="nil"/>
              <w:left w:val="nil"/>
              <w:bottom w:val="nil"/>
              <w:right w:val="nil"/>
            </w:tcBorders>
            <w:hideMark/>
          </w:tcPr>
          <w:p w14:paraId="7205AD8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w:t>
            </w:r>
          </w:p>
        </w:tc>
        <w:tc>
          <w:tcPr>
            <w:tcW w:w="1017" w:type="dxa"/>
            <w:tcBorders>
              <w:top w:val="nil"/>
              <w:left w:val="nil"/>
              <w:bottom w:val="nil"/>
              <w:right w:val="nil"/>
            </w:tcBorders>
            <w:hideMark/>
          </w:tcPr>
          <w:p w14:paraId="5EDEC73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0.50, 1.53</w:t>
            </w:r>
          </w:p>
        </w:tc>
        <w:tc>
          <w:tcPr>
            <w:tcW w:w="0" w:type="auto"/>
            <w:tcBorders>
              <w:top w:val="nil"/>
              <w:left w:val="nil"/>
              <w:bottom w:val="nil"/>
              <w:right w:val="nil"/>
            </w:tcBorders>
            <w:hideMark/>
          </w:tcPr>
          <w:p w14:paraId="238D8B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0.625</w:t>
            </w:r>
          </w:p>
        </w:tc>
        <w:tc>
          <w:tcPr>
            <w:tcW w:w="0" w:type="auto"/>
            <w:tcBorders>
              <w:top w:val="nil"/>
              <w:left w:val="nil"/>
              <w:bottom w:val="nil"/>
              <w:right w:val="nil"/>
            </w:tcBorders>
            <w:hideMark/>
          </w:tcPr>
          <w:p w14:paraId="08309D9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0.84</w:t>
            </w:r>
          </w:p>
        </w:tc>
        <w:tc>
          <w:tcPr>
            <w:tcW w:w="1017" w:type="dxa"/>
            <w:tcBorders>
              <w:top w:val="nil"/>
              <w:left w:val="nil"/>
              <w:bottom w:val="nil"/>
              <w:right w:val="nil"/>
            </w:tcBorders>
            <w:hideMark/>
          </w:tcPr>
          <w:p w14:paraId="4C1B324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0.47, 1.54</w:t>
            </w:r>
          </w:p>
        </w:tc>
        <w:tc>
          <w:tcPr>
            <w:tcW w:w="0" w:type="auto"/>
            <w:tcBorders>
              <w:top w:val="nil"/>
              <w:left w:val="nil"/>
              <w:bottom w:val="nil"/>
              <w:right w:val="nil"/>
            </w:tcBorders>
            <w:hideMark/>
          </w:tcPr>
          <w:p w14:paraId="4A64A8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0.576</w:t>
            </w:r>
          </w:p>
        </w:tc>
        <w:tc>
          <w:tcPr>
            <w:tcW w:w="0" w:type="auto"/>
            <w:tcBorders>
              <w:top w:val="nil"/>
              <w:left w:val="nil"/>
              <w:bottom w:val="nil"/>
              <w:right w:val="nil"/>
            </w:tcBorders>
            <w:hideMark/>
          </w:tcPr>
          <w:p w14:paraId="128E22E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w:t>
            </w:r>
          </w:p>
        </w:tc>
        <w:tc>
          <w:tcPr>
            <w:tcW w:w="1010" w:type="dxa"/>
            <w:tcBorders>
              <w:top w:val="nil"/>
              <w:left w:val="nil"/>
              <w:bottom w:val="nil"/>
              <w:right w:val="nil"/>
            </w:tcBorders>
            <w:hideMark/>
          </w:tcPr>
          <w:p w14:paraId="71DCD68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0.47, 1.58</w:t>
            </w:r>
          </w:p>
        </w:tc>
        <w:tc>
          <w:tcPr>
            <w:tcW w:w="0" w:type="auto"/>
            <w:tcBorders>
              <w:top w:val="nil"/>
              <w:left w:val="nil"/>
              <w:bottom w:val="nil"/>
              <w:right w:val="nil"/>
            </w:tcBorders>
            <w:hideMark/>
          </w:tcPr>
          <w:p w14:paraId="401EA2C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0.631</w:t>
            </w:r>
          </w:p>
        </w:tc>
      </w:tr>
      <w:tr w:rsidR="00F57E7E" w:rsidRPr="007030D1" w14:paraId="130A3E75" w14:textId="77777777" w:rsidTr="00F57E7E">
        <w:trPr>
          <w:trHeight w:hRule="exact" w:val="283"/>
        </w:trPr>
        <w:tc>
          <w:tcPr>
            <w:tcW w:w="0" w:type="auto"/>
            <w:tcBorders>
              <w:top w:val="nil"/>
              <w:left w:val="nil"/>
              <w:bottom w:val="nil"/>
              <w:right w:val="nil"/>
            </w:tcBorders>
            <w:hideMark/>
          </w:tcPr>
          <w:p w14:paraId="23C44C63"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w:t>
            </w:r>
          </w:p>
        </w:tc>
        <w:tc>
          <w:tcPr>
            <w:tcW w:w="0" w:type="auto"/>
            <w:tcBorders>
              <w:top w:val="nil"/>
              <w:left w:val="nil"/>
              <w:bottom w:val="nil"/>
              <w:right w:val="nil"/>
            </w:tcBorders>
            <w:hideMark/>
          </w:tcPr>
          <w:p w14:paraId="3CB331B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46 (6.1)</w:t>
            </w:r>
          </w:p>
        </w:tc>
        <w:tc>
          <w:tcPr>
            <w:tcW w:w="0" w:type="auto"/>
            <w:tcBorders>
              <w:top w:val="nil"/>
              <w:left w:val="nil"/>
              <w:bottom w:val="nil"/>
              <w:right w:val="nil"/>
            </w:tcBorders>
            <w:hideMark/>
          </w:tcPr>
          <w:p w14:paraId="41879C8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71 (6.0)</w:t>
            </w:r>
          </w:p>
        </w:tc>
        <w:tc>
          <w:tcPr>
            <w:tcW w:w="0" w:type="auto"/>
            <w:tcBorders>
              <w:top w:val="nil"/>
              <w:left w:val="nil"/>
              <w:bottom w:val="nil"/>
              <w:right w:val="nil"/>
            </w:tcBorders>
            <w:hideMark/>
          </w:tcPr>
          <w:p w14:paraId="0A8C35A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0.80</w:t>
            </w:r>
          </w:p>
        </w:tc>
        <w:tc>
          <w:tcPr>
            <w:tcW w:w="1017" w:type="dxa"/>
            <w:tcBorders>
              <w:top w:val="nil"/>
              <w:left w:val="nil"/>
              <w:bottom w:val="nil"/>
              <w:right w:val="nil"/>
            </w:tcBorders>
            <w:hideMark/>
          </w:tcPr>
          <w:p w14:paraId="3FF3A01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0.42, 1.51</w:t>
            </w:r>
          </w:p>
        </w:tc>
        <w:tc>
          <w:tcPr>
            <w:tcW w:w="0" w:type="auto"/>
            <w:tcBorders>
              <w:top w:val="nil"/>
              <w:left w:val="nil"/>
              <w:bottom w:val="nil"/>
              <w:right w:val="nil"/>
            </w:tcBorders>
            <w:hideMark/>
          </w:tcPr>
          <w:p w14:paraId="00504F7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0.490</w:t>
            </w:r>
          </w:p>
        </w:tc>
        <w:tc>
          <w:tcPr>
            <w:tcW w:w="0" w:type="auto"/>
            <w:tcBorders>
              <w:top w:val="nil"/>
              <w:left w:val="nil"/>
              <w:bottom w:val="nil"/>
              <w:right w:val="nil"/>
            </w:tcBorders>
            <w:hideMark/>
          </w:tcPr>
          <w:p w14:paraId="2405774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0.81</w:t>
            </w:r>
          </w:p>
        </w:tc>
        <w:tc>
          <w:tcPr>
            <w:tcW w:w="1017" w:type="dxa"/>
            <w:tcBorders>
              <w:top w:val="nil"/>
              <w:left w:val="nil"/>
              <w:bottom w:val="nil"/>
              <w:right w:val="nil"/>
            </w:tcBorders>
            <w:hideMark/>
          </w:tcPr>
          <w:p w14:paraId="00BD999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0.42, 1.55</w:t>
            </w:r>
          </w:p>
        </w:tc>
        <w:tc>
          <w:tcPr>
            <w:tcW w:w="0" w:type="auto"/>
            <w:tcBorders>
              <w:top w:val="nil"/>
              <w:left w:val="nil"/>
              <w:bottom w:val="nil"/>
              <w:right w:val="nil"/>
            </w:tcBorders>
            <w:hideMark/>
          </w:tcPr>
          <w:p w14:paraId="04BAF47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0.529</w:t>
            </w:r>
          </w:p>
        </w:tc>
        <w:tc>
          <w:tcPr>
            <w:tcW w:w="0" w:type="auto"/>
            <w:tcBorders>
              <w:top w:val="nil"/>
              <w:left w:val="nil"/>
              <w:bottom w:val="nil"/>
              <w:right w:val="nil"/>
            </w:tcBorders>
            <w:hideMark/>
          </w:tcPr>
          <w:p w14:paraId="1340C68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0.83</w:t>
            </w:r>
          </w:p>
        </w:tc>
        <w:tc>
          <w:tcPr>
            <w:tcW w:w="1017" w:type="dxa"/>
            <w:tcBorders>
              <w:top w:val="nil"/>
              <w:left w:val="nil"/>
              <w:bottom w:val="nil"/>
              <w:right w:val="nil"/>
            </w:tcBorders>
            <w:hideMark/>
          </w:tcPr>
          <w:p w14:paraId="370C295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0.42, 1.67</w:t>
            </w:r>
          </w:p>
        </w:tc>
        <w:tc>
          <w:tcPr>
            <w:tcW w:w="0" w:type="auto"/>
            <w:tcBorders>
              <w:top w:val="nil"/>
              <w:left w:val="nil"/>
              <w:bottom w:val="nil"/>
              <w:right w:val="nil"/>
            </w:tcBorders>
            <w:hideMark/>
          </w:tcPr>
          <w:p w14:paraId="689A234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0.604</w:t>
            </w:r>
          </w:p>
        </w:tc>
        <w:tc>
          <w:tcPr>
            <w:tcW w:w="0" w:type="auto"/>
            <w:tcBorders>
              <w:top w:val="nil"/>
              <w:left w:val="nil"/>
              <w:bottom w:val="nil"/>
              <w:right w:val="nil"/>
            </w:tcBorders>
            <w:hideMark/>
          </w:tcPr>
          <w:p w14:paraId="7C48742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w:t>
            </w:r>
          </w:p>
        </w:tc>
        <w:tc>
          <w:tcPr>
            <w:tcW w:w="1010" w:type="dxa"/>
            <w:tcBorders>
              <w:top w:val="nil"/>
              <w:left w:val="nil"/>
              <w:bottom w:val="nil"/>
              <w:right w:val="nil"/>
            </w:tcBorders>
            <w:hideMark/>
          </w:tcPr>
          <w:p w14:paraId="029D8ED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0.43, 1.75</w:t>
            </w:r>
          </w:p>
        </w:tc>
        <w:tc>
          <w:tcPr>
            <w:tcW w:w="0" w:type="auto"/>
            <w:tcBorders>
              <w:top w:val="nil"/>
              <w:left w:val="nil"/>
              <w:bottom w:val="nil"/>
              <w:right w:val="nil"/>
            </w:tcBorders>
            <w:hideMark/>
          </w:tcPr>
          <w:p w14:paraId="717E3D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0.686</w:t>
            </w:r>
          </w:p>
        </w:tc>
      </w:tr>
      <w:tr w:rsidR="00F57E7E" w:rsidRPr="007030D1" w14:paraId="50EB02DC" w14:textId="77777777" w:rsidTr="00F57E7E">
        <w:trPr>
          <w:trHeight w:hRule="exact" w:val="283"/>
        </w:trPr>
        <w:tc>
          <w:tcPr>
            <w:tcW w:w="0" w:type="auto"/>
            <w:tcBorders>
              <w:top w:val="nil"/>
              <w:left w:val="nil"/>
              <w:bottom w:val="nil"/>
              <w:right w:val="nil"/>
            </w:tcBorders>
            <w:hideMark/>
          </w:tcPr>
          <w:p w14:paraId="0B0AC8B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lastRenderedPageBreak/>
              <w:t>Missing</w:t>
            </w:r>
          </w:p>
        </w:tc>
        <w:tc>
          <w:tcPr>
            <w:tcW w:w="0" w:type="auto"/>
            <w:tcBorders>
              <w:top w:val="nil"/>
              <w:left w:val="nil"/>
              <w:bottom w:val="nil"/>
              <w:right w:val="nil"/>
            </w:tcBorders>
            <w:hideMark/>
          </w:tcPr>
          <w:p w14:paraId="37C3403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99 (13)</w:t>
            </w:r>
          </w:p>
        </w:tc>
        <w:tc>
          <w:tcPr>
            <w:tcW w:w="0" w:type="auto"/>
            <w:tcBorders>
              <w:top w:val="nil"/>
              <w:left w:val="nil"/>
              <w:bottom w:val="nil"/>
              <w:right w:val="nil"/>
            </w:tcBorders>
            <w:hideMark/>
          </w:tcPr>
          <w:p w14:paraId="5883641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166 (14)</w:t>
            </w:r>
          </w:p>
        </w:tc>
        <w:tc>
          <w:tcPr>
            <w:tcW w:w="0" w:type="auto"/>
            <w:tcBorders>
              <w:top w:val="nil"/>
              <w:left w:val="nil"/>
              <w:bottom w:val="nil"/>
              <w:right w:val="nil"/>
            </w:tcBorders>
            <w:hideMark/>
          </w:tcPr>
          <w:p w14:paraId="43A44FC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119460D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45363F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E2E77A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7B1571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966551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5DAF70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C43665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B9E42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73AB2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E78D27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C2F62B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33D35766" w14:textId="77777777" w:rsidTr="00F57E7E">
        <w:trPr>
          <w:trHeight w:hRule="exact" w:val="283"/>
        </w:trPr>
        <w:tc>
          <w:tcPr>
            <w:tcW w:w="0" w:type="auto"/>
            <w:tcBorders>
              <w:top w:val="nil"/>
              <w:left w:val="nil"/>
              <w:bottom w:val="nil"/>
              <w:right w:val="nil"/>
            </w:tcBorders>
            <w:hideMark/>
          </w:tcPr>
          <w:p w14:paraId="62D99FD7"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Breastfeeding duration (</w:t>
            </w:r>
            <w:proofErr w:type="spellStart"/>
            <w:r w:rsidRPr="007030D1">
              <w:rPr>
                <w:rFonts w:ascii="Aptos Narrow" w:eastAsia="Times New Roman" w:hAnsi="Aptos Narrow" w:cs="Arial"/>
                <w:b/>
                <w:bCs/>
                <w:kern w:val="0"/>
                <w:sz w:val="22"/>
                <w:lang w:eastAsia="en-GB"/>
                <w14:ligatures w14:val="none"/>
              </w:rPr>
              <w:t>mths</w:t>
            </w:r>
            <w:proofErr w:type="spellEnd"/>
            <w:r w:rsidRPr="007030D1">
              <w:rPr>
                <w:rFonts w:ascii="Aptos Narrow" w:eastAsia="Times New Roman" w:hAnsi="Aptos Narrow" w:cs="Arial"/>
                <w:b/>
                <w:bCs/>
                <w:kern w:val="0"/>
                <w:sz w:val="22"/>
                <w:lang w:eastAsia="en-GB"/>
                <w14:ligatures w14:val="none"/>
              </w:rPr>
              <w:t>)</w:t>
            </w:r>
          </w:p>
        </w:tc>
        <w:tc>
          <w:tcPr>
            <w:tcW w:w="0" w:type="auto"/>
            <w:tcBorders>
              <w:top w:val="nil"/>
              <w:left w:val="nil"/>
              <w:bottom w:val="nil"/>
              <w:right w:val="nil"/>
            </w:tcBorders>
            <w:hideMark/>
          </w:tcPr>
          <w:p w14:paraId="51D5E6DA"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16061AA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33A44C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D6C54C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FFD977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EA85EC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C48310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8E0A2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C28328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D26BC3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20F175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7FE650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575A46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D305FA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9965577" w14:textId="77777777" w:rsidTr="00F57E7E">
        <w:trPr>
          <w:trHeight w:hRule="exact" w:val="283"/>
        </w:trPr>
        <w:tc>
          <w:tcPr>
            <w:tcW w:w="0" w:type="auto"/>
            <w:tcBorders>
              <w:top w:val="nil"/>
              <w:left w:val="nil"/>
              <w:bottom w:val="nil"/>
              <w:right w:val="nil"/>
            </w:tcBorders>
            <w:hideMark/>
          </w:tcPr>
          <w:p w14:paraId="4DCCBEF1"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Never breastfed</w:t>
            </w:r>
          </w:p>
        </w:tc>
        <w:tc>
          <w:tcPr>
            <w:tcW w:w="0" w:type="auto"/>
            <w:tcBorders>
              <w:top w:val="nil"/>
              <w:left w:val="nil"/>
              <w:bottom w:val="nil"/>
              <w:right w:val="nil"/>
            </w:tcBorders>
            <w:hideMark/>
          </w:tcPr>
          <w:p w14:paraId="42C60A0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101 (13)</w:t>
            </w:r>
          </w:p>
        </w:tc>
        <w:tc>
          <w:tcPr>
            <w:tcW w:w="0" w:type="auto"/>
            <w:tcBorders>
              <w:top w:val="nil"/>
              <w:left w:val="nil"/>
              <w:bottom w:val="nil"/>
              <w:right w:val="nil"/>
            </w:tcBorders>
            <w:hideMark/>
          </w:tcPr>
          <w:p w14:paraId="427C81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179 (15)</w:t>
            </w:r>
          </w:p>
        </w:tc>
        <w:tc>
          <w:tcPr>
            <w:tcW w:w="0" w:type="auto"/>
            <w:tcBorders>
              <w:top w:val="nil"/>
              <w:left w:val="nil"/>
              <w:bottom w:val="nil"/>
              <w:right w:val="nil"/>
            </w:tcBorders>
            <w:hideMark/>
          </w:tcPr>
          <w:p w14:paraId="3D733B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08CE40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B9996B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E3725C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4B0E13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0BBDA8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31BC7D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73724F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9910E7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1CE4A7B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0B0247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18D6CD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17B8A681" w14:textId="77777777" w:rsidTr="00F57E7E">
        <w:trPr>
          <w:trHeight w:hRule="exact" w:val="283"/>
        </w:trPr>
        <w:tc>
          <w:tcPr>
            <w:tcW w:w="0" w:type="auto"/>
            <w:tcBorders>
              <w:top w:val="nil"/>
              <w:left w:val="nil"/>
              <w:bottom w:val="nil"/>
              <w:right w:val="nil"/>
            </w:tcBorders>
            <w:hideMark/>
          </w:tcPr>
          <w:p w14:paraId="7759A7BE"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&lt;6</w:t>
            </w:r>
          </w:p>
        </w:tc>
        <w:tc>
          <w:tcPr>
            <w:tcW w:w="0" w:type="auto"/>
            <w:tcBorders>
              <w:top w:val="nil"/>
              <w:left w:val="nil"/>
              <w:bottom w:val="nil"/>
              <w:right w:val="nil"/>
            </w:tcBorders>
            <w:hideMark/>
          </w:tcPr>
          <w:p w14:paraId="45852B5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223 (30)</w:t>
            </w:r>
          </w:p>
        </w:tc>
        <w:tc>
          <w:tcPr>
            <w:tcW w:w="0" w:type="auto"/>
            <w:tcBorders>
              <w:top w:val="nil"/>
              <w:left w:val="nil"/>
              <w:bottom w:val="nil"/>
              <w:right w:val="nil"/>
            </w:tcBorders>
            <w:hideMark/>
          </w:tcPr>
          <w:p w14:paraId="20DCAA9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319 (27)</w:t>
            </w:r>
          </w:p>
        </w:tc>
        <w:tc>
          <w:tcPr>
            <w:tcW w:w="0" w:type="auto"/>
            <w:tcBorders>
              <w:top w:val="nil"/>
              <w:left w:val="nil"/>
              <w:bottom w:val="nil"/>
              <w:right w:val="nil"/>
            </w:tcBorders>
            <w:hideMark/>
          </w:tcPr>
          <w:p w14:paraId="4C89DBC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1.24</w:t>
            </w:r>
          </w:p>
        </w:tc>
        <w:tc>
          <w:tcPr>
            <w:tcW w:w="1017" w:type="dxa"/>
            <w:tcBorders>
              <w:top w:val="nil"/>
              <w:left w:val="nil"/>
              <w:bottom w:val="nil"/>
              <w:right w:val="nil"/>
            </w:tcBorders>
            <w:hideMark/>
          </w:tcPr>
          <w:p w14:paraId="5FC0D7C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0.91, 1.69</w:t>
            </w:r>
          </w:p>
        </w:tc>
        <w:tc>
          <w:tcPr>
            <w:tcW w:w="0" w:type="auto"/>
            <w:tcBorders>
              <w:top w:val="nil"/>
              <w:left w:val="nil"/>
              <w:bottom w:val="nil"/>
              <w:right w:val="nil"/>
            </w:tcBorders>
            <w:hideMark/>
          </w:tcPr>
          <w:p w14:paraId="0422C48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0.180</w:t>
            </w:r>
          </w:p>
        </w:tc>
        <w:tc>
          <w:tcPr>
            <w:tcW w:w="0" w:type="auto"/>
            <w:tcBorders>
              <w:top w:val="nil"/>
              <w:left w:val="nil"/>
              <w:bottom w:val="nil"/>
              <w:right w:val="nil"/>
            </w:tcBorders>
            <w:hideMark/>
          </w:tcPr>
          <w:p w14:paraId="44D9998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w:t>
            </w:r>
          </w:p>
        </w:tc>
        <w:tc>
          <w:tcPr>
            <w:tcW w:w="1017" w:type="dxa"/>
            <w:tcBorders>
              <w:top w:val="nil"/>
              <w:left w:val="nil"/>
              <w:bottom w:val="nil"/>
              <w:right w:val="nil"/>
            </w:tcBorders>
            <w:hideMark/>
          </w:tcPr>
          <w:p w14:paraId="6AE4866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0.89, 1.68</w:t>
            </w:r>
          </w:p>
        </w:tc>
        <w:tc>
          <w:tcPr>
            <w:tcW w:w="0" w:type="auto"/>
            <w:tcBorders>
              <w:top w:val="nil"/>
              <w:left w:val="nil"/>
              <w:bottom w:val="nil"/>
              <w:right w:val="nil"/>
            </w:tcBorders>
            <w:hideMark/>
          </w:tcPr>
          <w:p w14:paraId="5C04B82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0.223</w:t>
            </w:r>
          </w:p>
        </w:tc>
        <w:tc>
          <w:tcPr>
            <w:tcW w:w="0" w:type="auto"/>
            <w:tcBorders>
              <w:top w:val="nil"/>
              <w:left w:val="nil"/>
              <w:bottom w:val="nil"/>
              <w:right w:val="nil"/>
            </w:tcBorders>
            <w:hideMark/>
          </w:tcPr>
          <w:p w14:paraId="3C1A1D9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1.34</w:t>
            </w:r>
          </w:p>
        </w:tc>
        <w:tc>
          <w:tcPr>
            <w:tcW w:w="1017" w:type="dxa"/>
            <w:tcBorders>
              <w:top w:val="nil"/>
              <w:left w:val="nil"/>
              <w:bottom w:val="nil"/>
              <w:right w:val="nil"/>
            </w:tcBorders>
            <w:hideMark/>
          </w:tcPr>
          <w:p w14:paraId="50EF01A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0.96, 1.90</w:t>
            </w:r>
          </w:p>
        </w:tc>
        <w:tc>
          <w:tcPr>
            <w:tcW w:w="0" w:type="auto"/>
            <w:tcBorders>
              <w:top w:val="nil"/>
              <w:left w:val="nil"/>
              <w:bottom w:val="nil"/>
              <w:right w:val="nil"/>
            </w:tcBorders>
            <w:hideMark/>
          </w:tcPr>
          <w:p w14:paraId="7C1E3F0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0.091</w:t>
            </w:r>
          </w:p>
        </w:tc>
        <w:tc>
          <w:tcPr>
            <w:tcW w:w="0" w:type="auto"/>
            <w:tcBorders>
              <w:top w:val="nil"/>
              <w:left w:val="nil"/>
              <w:bottom w:val="nil"/>
              <w:right w:val="nil"/>
            </w:tcBorders>
            <w:hideMark/>
          </w:tcPr>
          <w:p w14:paraId="2F65AD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1.32</w:t>
            </w:r>
          </w:p>
        </w:tc>
        <w:tc>
          <w:tcPr>
            <w:tcW w:w="1010" w:type="dxa"/>
            <w:tcBorders>
              <w:top w:val="nil"/>
              <w:left w:val="nil"/>
              <w:bottom w:val="nil"/>
              <w:right w:val="nil"/>
            </w:tcBorders>
            <w:hideMark/>
          </w:tcPr>
          <w:p w14:paraId="6AAE1D6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0.93, 1.88</w:t>
            </w:r>
          </w:p>
        </w:tc>
        <w:tc>
          <w:tcPr>
            <w:tcW w:w="0" w:type="auto"/>
            <w:tcBorders>
              <w:top w:val="nil"/>
              <w:left w:val="nil"/>
              <w:bottom w:val="nil"/>
              <w:right w:val="nil"/>
            </w:tcBorders>
            <w:hideMark/>
          </w:tcPr>
          <w:p w14:paraId="34AACE4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0.118</w:t>
            </w:r>
          </w:p>
        </w:tc>
      </w:tr>
      <w:tr w:rsidR="00F57E7E" w:rsidRPr="007030D1" w14:paraId="6B2AFC06" w14:textId="77777777" w:rsidTr="00F57E7E">
        <w:trPr>
          <w:trHeight w:hRule="exact" w:val="283"/>
        </w:trPr>
        <w:tc>
          <w:tcPr>
            <w:tcW w:w="0" w:type="auto"/>
            <w:tcBorders>
              <w:top w:val="nil"/>
              <w:left w:val="nil"/>
              <w:bottom w:val="nil"/>
              <w:right w:val="nil"/>
            </w:tcBorders>
            <w:hideMark/>
          </w:tcPr>
          <w:p w14:paraId="21D8707E"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6-12</w:t>
            </w:r>
          </w:p>
        </w:tc>
        <w:tc>
          <w:tcPr>
            <w:tcW w:w="0" w:type="auto"/>
            <w:tcBorders>
              <w:top w:val="nil"/>
              <w:left w:val="nil"/>
              <w:bottom w:val="nil"/>
              <w:right w:val="nil"/>
            </w:tcBorders>
            <w:hideMark/>
          </w:tcPr>
          <w:p w14:paraId="07604C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131 (17)</w:t>
            </w:r>
          </w:p>
        </w:tc>
        <w:tc>
          <w:tcPr>
            <w:tcW w:w="0" w:type="auto"/>
            <w:tcBorders>
              <w:top w:val="nil"/>
              <w:left w:val="nil"/>
              <w:bottom w:val="nil"/>
              <w:right w:val="nil"/>
            </w:tcBorders>
            <w:hideMark/>
          </w:tcPr>
          <w:p w14:paraId="1455EE0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200 (17)</w:t>
            </w:r>
          </w:p>
        </w:tc>
        <w:tc>
          <w:tcPr>
            <w:tcW w:w="0" w:type="auto"/>
            <w:tcBorders>
              <w:top w:val="nil"/>
              <w:left w:val="nil"/>
              <w:bottom w:val="nil"/>
              <w:right w:val="nil"/>
            </w:tcBorders>
            <w:hideMark/>
          </w:tcPr>
          <w:p w14:paraId="3F993A1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1.12</w:t>
            </w:r>
          </w:p>
        </w:tc>
        <w:tc>
          <w:tcPr>
            <w:tcW w:w="1017" w:type="dxa"/>
            <w:tcBorders>
              <w:top w:val="nil"/>
              <w:left w:val="nil"/>
              <w:bottom w:val="nil"/>
              <w:right w:val="nil"/>
            </w:tcBorders>
            <w:hideMark/>
          </w:tcPr>
          <w:p w14:paraId="745568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0.79, 1.58</w:t>
            </w:r>
          </w:p>
        </w:tc>
        <w:tc>
          <w:tcPr>
            <w:tcW w:w="0" w:type="auto"/>
            <w:tcBorders>
              <w:top w:val="nil"/>
              <w:left w:val="nil"/>
              <w:bottom w:val="nil"/>
              <w:right w:val="nil"/>
            </w:tcBorders>
            <w:hideMark/>
          </w:tcPr>
          <w:p w14:paraId="0B96FDE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0.541</w:t>
            </w:r>
          </w:p>
        </w:tc>
        <w:tc>
          <w:tcPr>
            <w:tcW w:w="0" w:type="auto"/>
            <w:tcBorders>
              <w:top w:val="nil"/>
              <w:left w:val="nil"/>
              <w:bottom w:val="nil"/>
              <w:right w:val="nil"/>
            </w:tcBorders>
            <w:hideMark/>
          </w:tcPr>
          <w:p w14:paraId="3A971CB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1.11</w:t>
            </w:r>
          </w:p>
        </w:tc>
        <w:tc>
          <w:tcPr>
            <w:tcW w:w="1017" w:type="dxa"/>
            <w:tcBorders>
              <w:top w:val="nil"/>
              <w:left w:val="nil"/>
              <w:bottom w:val="nil"/>
              <w:right w:val="nil"/>
            </w:tcBorders>
            <w:hideMark/>
          </w:tcPr>
          <w:p w14:paraId="5235B99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0.78, 1.58</w:t>
            </w:r>
          </w:p>
        </w:tc>
        <w:tc>
          <w:tcPr>
            <w:tcW w:w="0" w:type="auto"/>
            <w:tcBorders>
              <w:top w:val="nil"/>
              <w:left w:val="nil"/>
              <w:bottom w:val="nil"/>
              <w:right w:val="nil"/>
            </w:tcBorders>
            <w:hideMark/>
          </w:tcPr>
          <w:p w14:paraId="721D2A7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0.578</w:t>
            </w:r>
          </w:p>
        </w:tc>
        <w:tc>
          <w:tcPr>
            <w:tcW w:w="0" w:type="auto"/>
            <w:tcBorders>
              <w:top w:val="nil"/>
              <w:left w:val="nil"/>
              <w:bottom w:val="nil"/>
              <w:right w:val="nil"/>
            </w:tcBorders>
            <w:hideMark/>
          </w:tcPr>
          <w:p w14:paraId="63F3374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1.30</w:t>
            </w:r>
          </w:p>
        </w:tc>
        <w:tc>
          <w:tcPr>
            <w:tcW w:w="1017" w:type="dxa"/>
            <w:tcBorders>
              <w:top w:val="nil"/>
              <w:left w:val="nil"/>
              <w:bottom w:val="nil"/>
              <w:right w:val="nil"/>
            </w:tcBorders>
            <w:hideMark/>
          </w:tcPr>
          <w:p w14:paraId="049C780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0.89, 1.91</w:t>
            </w:r>
          </w:p>
        </w:tc>
        <w:tc>
          <w:tcPr>
            <w:tcW w:w="0" w:type="auto"/>
            <w:tcBorders>
              <w:top w:val="nil"/>
              <w:left w:val="nil"/>
              <w:bottom w:val="nil"/>
              <w:right w:val="nil"/>
            </w:tcBorders>
            <w:hideMark/>
          </w:tcPr>
          <w:p w14:paraId="01B5B19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0.180</w:t>
            </w:r>
          </w:p>
        </w:tc>
        <w:tc>
          <w:tcPr>
            <w:tcW w:w="0" w:type="auto"/>
            <w:tcBorders>
              <w:top w:val="nil"/>
              <w:left w:val="nil"/>
              <w:bottom w:val="nil"/>
              <w:right w:val="nil"/>
            </w:tcBorders>
            <w:hideMark/>
          </w:tcPr>
          <w:p w14:paraId="32698EF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1.30</w:t>
            </w:r>
          </w:p>
        </w:tc>
        <w:tc>
          <w:tcPr>
            <w:tcW w:w="1010" w:type="dxa"/>
            <w:tcBorders>
              <w:top w:val="nil"/>
              <w:left w:val="nil"/>
              <w:bottom w:val="nil"/>
              <w:right w:val="nil"/>
            </w:tcBorders>
            <w:hideMark/>
          </w:tcPr>
          <w:p w14:paraId="169DA52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0.88, 1.92</w:t>
            </w:r>
          </w:p>
        </w:tc>
        <w:tc>
          <w:tcPr>
            <w:tcW w:w="0" w:type="auto"/>
            <w:tcBorders>
              <w:top w:val="nil"/>
              <w:left w:val="nil"/>
              <w:bottom w:val="nil"/>
              <w:right w:val="nil"/>
            </w:tcBorders>
            <w:hideMark/>
          </w:tcPr>
          <w:p w14:paraId="38D555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0.194</w:t>
            </w:r>
          </w:p>
        </w:tc>
      </w:tr>
      <w:tr w:rsidR="00F57E7E" w:rsidRPr="007030D1" w14:paraId="1BCFAA3E" w14:textId="77777777" w:rsidTr="00F57E7E">
        <w:trPr>
          <w:trHeight w:hRule="exact" w:val="283"/>
        </w:trPr>
        <w:tc>
          <w:tcPr>
            <w:tcW w:w="0" w:type="auto"/>
            <w:tcBorders>
              <w:top w:val="nil"/>
              <w:left w:val="nil"/>
              <w:bottom w:val="nil"/>
              <w:right w:val="nil"/>
            </w:tcBorders>
            <w:hideMark/>
          </w:tcPr>
          <w:p w14:paraId="6B136B43"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12-24</w:t>
            </w:r>
          </w:p>
        </w:tc>
        <w:tc>
          <w:tcPr>
            <w:tcW w:w="0" w:type="auto"/>
            <w:tcBorders>
              <w:top w:val="nil"/>
              <w:left w:val="nil"/>
              <w:bottom w:val="nil"/>
              <w:right w:val="nil"/>
            </w:tcBorders>
            <w:hideMark/>
          </w:tcPr>
          <w:p w14:paraId="6306D78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131 (17)</w:t>
            </w:r>
          </w:p>
        </w:tc>
        <w:tc>
          <w:tcPr>
            <w:tcW w:w="0" w:type="auto"/>
            <w:tcBorders>
              <w:top w:val="nil"/>
              <w:left w:val="nil"/>
              <w:bottom w:val="nil"/>
              <w:right w:val="nil"/>
            </w:tcBorders>
            <w:hideMark/>
          </w:tcPr>
          <w:p w14:paraId="18886A4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244 (21)</w:t>
            </w:r>
          </w:p>
        </w:tc>
        <w:tc>
          <w:tcPr>
            <w:tcW w:w="0" w:type="auto"/>
            <w:tcBorders>
              <w:top w:val="nil"/>
              <w:left w:val="nil"/>
              <w:bottom w:val="nil"/>
              <w:right w:val="nil"/>
            </w:tcBorders>
            <w:hideMark/>
          </w:tcPr>
          <w:p w14:paraId="4462241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w:t>
            </w:r>
          </w:p>
        </w:tc>
        <w:tc>
          <w:tcPr>
            <w:tcW w:w="1017" w:type="dxa"/>
            <w:tcBorders>
              <w:top w:val="nil"/>
              <w:left w:val="nil"/>
              <w:bottom w:val="nil"/>
              <w:right w:val="nil"/>
            </w:tcBorders>
            <w:hideMark/>
          </w:tcPr>
          <w:p w14:paraId="04109C8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0.65, 1.32</w:t>
            </w:r>
          </w:p>
        </w:tc>
        <w:tc>
          <w:tcPr>
            <w:tcW w:w="0" w:type="auto"/>
            <w:tcBorders>
              <w:top w:val="nil"/>
              <w:left w:val="nil"/>
              <w:bottom w:val="nil"/>
              <w:right w:val="nil"/>
            </w:tcBorders>
            <w:hideMark/>
          </w:tcPr>
          <w:p w14:paraId="0C524D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0.675</w:t>
            </w:r>
          </w:p>
        </w:tc>
        <w:tc>
          <w:tcPr>
            <w:tcW w:w="0" w:type="auto"/>
            <w:tcBorders>
              <w:top w:val="nil"/>
              <w:left w:val="nil"/>
              <w:bottom w:val="nil"/>
              <w:right w:val="nil"/>
            </w:tcBorders>
            <w:hideMark/>
          </w:tcPr>
          <w:p w14:paraId="4C805C8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w:t>
            </w:r>
          </w:p>
        </w:tc>
        <w:tc>
          <w:tcPr>
            <w:tcW w:w="1017" w:type="dxa"/>
            <w:tcBorders>
              <w:top w:val="nil"/>
              <w:left w:val="nil"/>
              <w:bottom w:val="nil"/>
              <w:right w:val="nil"/>
            </w:tcBorders>
            <w:hideMark/>
          </w:tcPr>
          <w:p w14:paraId="7369E4A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0.60, 1.23</w:t>
            </w:r>
          </w:p>
        </w:tc>
        <w:tc>
          <w:tcPr>
            <w:tcW w:w="0" w:type="auto"/>
            <w:tcBorders>
              <w:top w:val="nil"/>
              <w:left w:val="nil"/>
              <w:bottom w:val="nil"/>
              <w:right w:val="nil"/>
            </w:tcBorders>
            <w:hideMark/>
          </w:tcPr>
          <w:p w14:paraId="4075DD6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0.404</w:t>
            </w:r>
          </w:p>
        </w:tc>
        <w:tc>
          <w:tcPr>
            <w:tcW w:w="0" w:type="auto"/>
            <w:tcBorders>
              <w:top w:val="nil"/>
              <w:left w:val="nil"/>
              <w:bottom w:val="nil"/>
              <w:right w:val="nil"/>
            </w:tcBorders>
            <w:hideMark/>
          </w:tcPr>
          <w:p w14:paraId="04BC2A5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1.01</w:t>
            </w:r>
          </w:p>
        </w:tc>
        <w:tc>
          <w:tcPr>
            <w:tcW w:w="1017" w:type="dxa"/>
            <w:tcBorders>
              <w:top w:val="nil"/>
              <w:left w:val="nil"/>
              <w:bottom w:val="nil"/>
              <w:right w:val="nil"/>
            </w:tcBorders>
            <w:hideMark/>
          </w:tcPr>
          <w:p w14:paraId="41B1F91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0.68, 1.48</w:t>
            </w:r>
          </w:p>
        </w:tc>
        <w:tc>
          <w:tcPr>
            <w:tcW w:w="0" w:type="auto"/>
            <w:tcBorders>
              <w:top w:val="nil"/>
              <w:left w:val="nil"/>
              <w:bottom w:val="nil"/>
              <w:right w:val="nil"/>
            </w:tcBorders>
            <w:hideMark/>
          </w:tcPr>
          <w:p w14:paraId="63AECA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0.973</w:t>
            </w:r>
          </w:p>
        </w:tc>
        <w:tc>
          <w:tcPr>
            <w:tcW w:w="0" w:type="auto"/>
            <w:tcBorders>
              <w:top w:val="nil"/>
              <w:left w:val="nil"/>
              <w:bottom w:val="nil"/>
              <w:right w:val="nil"/>
            </w:tcBorders>
            <w:hideMark/>
          </w:tcPr>
          <w:p w14:paraId="43A4A28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w:t>
            </w:r>
          </w:p>
        </w:tc>
        <w:tc>
          <w:tcPr>
            <w:tcW w:w="1010" w:type="dxa"/>
            <w:tcBorders>
              <w:top w:val="nil"/>
              <w:left w:val="nil"/>
              <w:bottom w:val="nil"/>
              <w:right w:val="nil"/>
            </w:tcBorders>
            <w:hideMark/>
          </w:tcPr>
          <w:p w14:paraId="1DFB13A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0.63, 1.39</w:t>
            </w:r>
          </w:p>
        </w:tc>
        <w:tc>
          <w:tcPr>
            <w:tcW w:w="0" w:type="auto"/>
            <w:tcBorders>
              <w:top w:val="nil"/>
              <w:left w:val="nil"/>
              <w:bottom w:val="nil"/>
              <w:right w:val="nil"/>
            </w:tcBorders>
            <w:hideMark/>
          </w:tcPr>
          <w:p w14:paraId="442D602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0.737</w:t>
            </w:r>
          </w:p>
        </w:tc>
      </w:tr>
      <w:tr w:rsidR="00F57E7E" w:rsidRPr="007030D1" w14:paraId="7280DCD0" w14:textId="77777777" w:rsidTr="00F57E7E">
        <w:trPr>
          <w:trHeight w:hRule="exact" w:val="283"/>
        </w:trPr>
        <w:tc>
          <w:tcPr>
            <w:tcW w:w="0" w:type="auto"/>
            <w:tcBorders>
              <w:top w:val="nil"/>
              <w:left w:val="nil"/>
              <w:bottom w:val="nil"/>
              <w:right w:val="nil"/>
            </w:tcBorders>
            <w:hideMark/>
          </w:tcPr>
          <w:p w14:paraId="08C2C4B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24+</w:t>
            </w:r>
          </w:p>
        </w:tc>
        <w:tc>
          <w:tcPr>
            <w:tcW w:w="0" w:type="auto"/>
            <w:tcBorders>
              <w:top w:val="nil"/>
              <w:left w:val="nil"/>
              <w:bottom w:val="nil"/>
              <w:right w:val="nil"/>
            </w:tcBorders>
            <w:hideMark/>
          </w:tcPr>
          <w:p w14:paraId="3301A98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72 (9.5)</w:t>
            </w:r>
          </w:p>
        </w:tc>
        <w:tc>
          <w:tcPr>
            <w:tcW w:w="0" w:type="auto"/>
            <w:tcBorders>
              <w:top w:val="nil"/>
              <w:left w:val="nil"/>
              <w:bottom w:val="nil"/>
              <w:right w:val="nil"/>
            </w:tcBorders>
            <w:hideMark/>
          </w:tcPr>
          <w:p w14:paraId="61D15BF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82 (6.9)</w:t>
            </w:r>
          </w:p>
        </w:tc>
        <w:tc>
          <w:tcPr>
            <w:tcW w:w="0" w:type="auto"/>
            <w:tcBorders>
              <w:top w:val="nil"/>
              <w:left w:val="nil"/>
              <w:bottom w:val="nil"/>
              <w:right w:val="nil"/>
            </w:tcBorders>
            <w:hideMark/>
          </w:tcPr>
          <w:p w14:paraId="37C2B86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1.49</w:t>
            </w:r>
          </w:p>
        </w:tc>
        <w:tc>
          <w:tcPr>
            <w:tcW w:w="1017" w:type="dxa"/>
            <w:tcBorders>
              <w:top w:val="nil"/>
              <w:left w:val="nil"/>
              <w:bottom w:val="nil"/>
              <w:right w:val="nil"/>
            </w:tcBorders>
            <w:hideMark/>
          </w:tcPr>
          <w:p w14:paraId="44280EF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0.95, 2.33</w:t>
            </w:r>
          </w:p>
        </w:tc>
        <w:tc>
          <w:tcPr>
            <w:tcW w:w="0" w:type="auto"/>
            <w:tcBorders>
              <w:top w:val="nil"/>
              <w:left w:val="nil"/>
              <w:bottom w:val="nil"/>
              <w:right w:val="nil"/>
            </w:tcBorders>
            <w:hideMark/>
          </w:tcPr>
          <w:p w14:paraId="4FD22C1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0.081</w:t>
            </w:r>
          </w:p>
        </w:tc>
        <w:tc>
          <w:tcPr>
            <w:tcW w:w="0" w:type="auto"/>
            <w:tcBorders>
              <w:top w:val="nil"/>
              <w:left w:val="nil"/>
              <w:bottom w:val="nil"/>
              <w:right w:val="nil"/>
            </w:tcBorders>
            <w:hideMark/>
          </w:tcPr>
          <w:p w14:paraId="4CF311F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1.45</w:t>
            </w:r>
          </w:p>
        </w:tc>
        <w:tc>
          <w:tcPr>
            <w:tcW w:w="1017" w:type="dxa"/>
            <w:tcBorders>
              <w:top w:val="nil"/>
              <w:left w:val="nil"/>
              <w:bottom w:val="nil"/>
              <w:right w:val="nil"/>
            </w:tcBorders>
            <w:hideMark/>
          </w:tcPr>
          <w:p w14:paraId="24057B9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0.92, 2.29</w:t>
            </w:r>
          </w:p>
        </w:tc>
        <w:tc>
          <w:tcPr>
            <w:tcW w:w="0" w:type="auto"/>
            <w:tcBorders>
              <w:top w:val="nil"/>
              <w:left w:val="nil"/>
              <w:bottom w:val="nil"/>
              <w:right w:val="nil"/>
            </w:tcBorders>
            <w:hideMark/>
          </w:tcPr>
          <w:p w14:paraId="016211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0.108</w:t>
            </w:r>
          </w:p>
        </w:tc>
        <w:tc>
          <w:tcPr>
            <w:tcW w:w="0" w:type="auto"/>
            <w:tcBorders>
              <w:top w:val="nil"/>
              <w:left w:val="nil"/>
              <w:bottom w:val="nil"/>
              <w:right w:val="nil"/>
            </w:tcBorders>
            <w:hideMark/>
          </w:tcPr>
          <w:p w14:paraId="2A4D66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1.57</w:t>
            </w:r>
          </w:p>
        </w:tc>
        <w:tc>
          <w:tcPr>
            <w:tcW w:w="1017" w:type="dxa"/>
            <w:tcBorders>
              <w:top w:val="nil"/>
              <w:left w:val="nil"/>
              <w:bottom w:val="nil"/>
              <w:right w:val="nil"/>
            </w:tcBorders>
            <w:hideMark/>
          </w:tcPr>
          <w:p w14:paraId="7666F23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0.96, 2.55</w:t>
            </w:r>
          </w:p>
        </w:tc>
        <w:tc>
          <w:tcPr>
            <w:tcW w:w="0" w:type="auto"/>
            <w:tcBorders>
              <w:top w:val="nil"/>
              <w:left w:val="nil"/>
              <w:bottom w:val="nil"/>
              <w:right w:val="nil"/>
            </w:tcBorders>
            <w:hideMark/>
          </w:tcPr>
          <w:p w14:paraId="666761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0.072</w:t>
            </w:r>
          </w:p>
        </w:tc>
        <w:tc>
          <w:tcPr>
            <w:tcW w:w="0" w:type="auto"/>
            <w:tcBorders>
              <w:top w:val="nil"/>
              <w:left w:val="nil"/>
              <w:bottom w:val="nil"/>
              <w:right w:val="nil"/>
            </w:tcBorders>
            <w:hideMark/>
          </w:tcPr>
          <w:p w14:paraId="2721515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1.50</w:t>
            </w:r>
          </w:p>
        </w:tc>
        <w:tc>
          <w:tcPr>
            <w:tcW w:w="1010" w:type="dxa"/>
            <w:tcBorders>
              <w:top w:val="nil"/>
              <w:left w:val="nil"/>
              <w:bottom w:val="nil"/>
              <w:right w:val="nil"/>
            </w:tcBorders>
            <w:hideMark/>
          </w:tcPr>
          <w:p w14:paraId="443A677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0.92, 2.47</w:t>
            </w:r>
          </w:p>
        </w:tc>
        <w:tc>
          <w:tcPr>
            <w:tcW w:w="0" w:type="auto"/>
            <w:tcBorders>
              <w:top w:val="nil"/>
              <w:left w:val="nil"/>
              <w:bottom w:val="nil"/>
              <w:right w:val="nil"/>
            </w:tcBorders>
            <w:hideMark/>
          </w:tcPr>
          <w:p w14:paraId="0F9F6F6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0.106</w:t>
            </w:r>
          </w:p>
        </w:tc>
      </w:tr>
      <w:tr w:rsidR="00F57E7E" w:rsidRPr="007030D1" w14:paraId="3580E45D" w14:textId="77777777" w:rsidTr="00F57E7E">
        <w:trPr>
          <w:trHeight w:hRule="exact" w:val="283"/>
        </w:trPr>
        <w:tc>
          <w:tcPr>
            <w:tcW w:w="0" w:type="auto"/>
            <w:tcBorders>
              <w:top w:val="nil"/>
              <w:left w:val="nil"/>
              <w:bottom w:val="nil"/>
              <w:right w:val="nil"/>
            </w:tcBorders>
            <w:hideMark/>
          </w:tcPr>
          <w:p w14:paraId="54A40C13"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3470202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97 (13)</w:t>
            </w:r>
          </w:p>
        </w:tc>
        <w:tc>
          <w:tcPr>
            <w:tcW w:w="0" w:type="auto"/>
            <w:tcBorders>
              <w:top w:val="nil"/>
              <w:left w:val="nil"/>
              <w:bottom w:val="nil"/>
              <w:right w:val="nil"/>
            </w:tcBorders>
            <w:hideMark/>
          </w:tcPr>
          <w:p w14:paraId="4C8D42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161 (14)</w:t>
            </w:r>
          </w:p>
        </w:tc>
        <w:tc>
          <w:tcPr>
            <w:tcW w:w="0" w:type="auto"/>
            <w:tcBorders>
              <w:top w:val="nil"/>
              <w:left w:val="nil"/>
              <w:bottom w:val="nil"/>
              <w:right w:val="nil"/>
            </w:tcBorders>
            <w:hideMark/>
          </w:tcPr>
          <w:p w14:paraId="62445CB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73A4A45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E41F76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3BDC54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245DC8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29250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E7EEB4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6155D0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9FE6D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D685AA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76B164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243939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681735BE" w14:textId="77777777" w:rsidTr="00F57E7E">
        <w:trPr>
          <w:trHeight w:hRule="exact" w:val="283"/>
        </w:trPr>
        <w:tc>
          <w:tcPr>
            <w:tcW w:w="0" w:type="auto"/>
            <w:tcBorders>
              <w:top w:val="nil"/>
              <w:left w:val="nil"/>
              <w:bottom w:val="nil"/>
              <w:right w:val="nil"/>
            </w:tcBorders>
            <w:hideMark/>
          </w:tcPr>
          <w:p w14:paraId="2CC59097"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Menopausal status</w:t>
            </w:r>
          </w:p>
        </w:tc>
        <w:tc>
          <w:tcPr>
            <w:tcW w:w="0" w:type="auto"/>
            <w:tcBorders>
              <w:top w:val="nil"/>
              <w:left w:val="nil"/>
              <w:bottom w:val="nil"/>
              <w:right w:val="nil"/>
            </w:tcBorders>
            <w:hideMark/>
          </w:tcPr>
          <w:p w14:paraId="3248AB4D"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28E0768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62FCC7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2C2FC1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4EE86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736D1F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D22F2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0D0951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F4BB2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3BB626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6BB414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8C4AA5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BC7D27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BE26A5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404C163F" w14:textId="77777777" w:rsidTr="00F57E7E">
        <w:trPr>
          <w:trHeight w:hRule="exact" w:val="283"/>
        </w:trPr>
        <w:tc>
          <w:tcPr>
            <w:tcW w:w="0" w:type="auto"/>
            <w:tcBorders>
              <w:top w:val="nil"/>
              <w:left w:val="nil"/>
              <w:bottom w:val="nil"/>
              <w:right w:val="nil"/>
            </w:tcBorders>
            <w:hideMark/>
          </w:tcPr>
          <w:p w14:paraId="5D75B0A2"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Premenopausal</w:t>
            </w:r>
          </w:p>
        </w:tc>
        <w:tc>
          <w:tcPr>
            <w:tcW w:w="0" w:type="auto"/>
            <w:tcBorders>
              <w:top w:val="nil"/>
              <w:left w:val="nil"/>
              <w:bottom w:val="nil"/>
              <w:right w:val="nil"/>
            </w:tcBorders>
            <w:hideMark/>
          </w:tcPr>
          <w:p w14:paraId="070625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242 (32)</w:t>
            </w:r>
          </w:p>
        </w:tc>
        <w:tc>
          <w:tcPr>
            <w:tcW w:w="0" w:type="auto"/>
            <w:tcBorders>
              <w:top w:val="nil"/>
              <w:left w:val="nil"/>
              <w:bottom w:val="nil"/>
              <w:right w:val="nil"/>
            </w:tcBorders>
            <w:hideMark/>
          </w:tcPr>
          <w:p w14:paraId="11D1A46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355 (30)</w:t>
            </w:r>
          </w:p>
        </w:tc>
        <w:tc>
          <w:tcPr>
            <w:tcW w:w="0" w:type="auto"/>
            <w:tcBorders>
              <w:top w:val="nil"/>
              <w:left w:val="nil"/>
              <w:bottom w:val="nil"/>
              <w:right w:val="nil"/>
            </w:tcBorders>
            <w:hideMark/>
          </w:tcPr>
          <w:p w14:paraId="329D14C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F32FED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26680A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163442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839E41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1FEFCCA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D8AE00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63C18A0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12D99A7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108AD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04E5129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307E0E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4911E91E" w14:textId="77777777" w:rsidTr="00F57E7E">
        <w:trPr>
          <w:trHeight w:hRule="exact" w:val="283"/>
        </w:trPr>
        <w:tc>
          <w:tcPr>
            <w:tcW w:w="0" w:type="auto"/>
            <w:tcBorders>
              <w:top w:val="nil"/>
              <w:left w:val="nil"/>
              <w:bottom w:val="nil"/>
              <w:right w:val="nil"/>
            </w:tcBorders>
            <w:hideMark/>
          </w:tcPr>
          <w:p w14:paraId="41FE534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Postmenopausal</w:t>
            </w:r>
          </w:p>
        </w:tc>
        <w:tc>
          <w:tcPr>
            <w:tcW w:w="0" w:type="auto"/>
            <w:tcBorders>
              <w:top w:val="nil"/>
              <w:left w:val="nil"/>
              <w:bottom w:val="nil"/>
              <w:right w:val="nil"/>
            </w:tcBorders>
            <w:hideMark/>
          </w:tcPr>
          <w:p w14:paraId="54CE27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513 (68)</w:t>
            </w:r>
          </w:p>
        </w:tc>
        <w:tc>
          <w:tcPr>
            <w:tcW w:w="0" w:type="auto"/>
            <w:tcBorders>
              <w:top w:val="nil"/>
              <w:left w:val="nil"/>
              <w:bottom w:val="nil"/>
              <w:right w:val="nil"/>
            </w:tcBorders>
            <w:hideMark/>
          </w:tcPr>
          <w:p w14:paraId="03BB4B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830 (70)</w:t>
            </w:r>
          </w:p>
        </w:tc>
        <w:tc>
          <w:tcPr>
            <w:tcW w:w="0" w:type="auto"/>
            <w:tcBorders>
              <w:top w:val="nil"/>
              <w:left w:val="nil"/>
              <w:bottom w:val="nil"/>
              <w:right w:val="nil"/>
            </w:tcBorders>
            <w:hideMark/>
          </w:tcPr>
          <w:p w14:paraId="434C23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0.75</w:t>
            </w:r>
          </w:p>
        </w:tc>
        <w:tc>
          <w:tcPr>
            <w:tcW w:w="1017" w:type="dxa"/>
            <w:tcBorders>
              <w:top w:val="nil"/>
              <w:left w:val="nil"/>
              <w:bottom w:val="nil"/>
              <w:right w:val="nil"/>
            </w:tcBorders>
            <w:hideMark/>
          </w:tcPr>
          <w:p w14:paraId="5B07239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0.51, 1.12</w:t>
            </w:r>
          </w:p>
        </w:tc>
        <w:tc>
          <w:tcPr>
            <w:tcW w:w="0" w:type="auto"/>
            <w:tcBorders>
              <w:top w:val="nil"/>
              <w:left w:val="nil"/>
              <w:bottom w:val="nil"/>
              <w:right w:val="nil"/>
            </w:tcBorders>
            <w:hideMark/>
          </w:tcPr>
          <w:p w14:paraId="3BECBB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0.161</w:t>
            </w:r>
          </w:p>
        </w:tc>
        <w:tc>
          <w:tcPr>
            <w:tcW w:w="0" w:type="auto"/>
            <w:tcBorders>
              <w:top w:val="nil"/>
              <w:left w:val="nil"/>
              <w:bottom w:val="nil"/>
              <w:right w:val="nil"/>
            </w:tcBorders>
            <w:hideMark/>
          </w:tcPr>
          <w:p w14:paraId="03CF183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0.81</w:t>
            </w:r>
          </w:p>
        </w:tc>
        <w:tc>
          <w:tcPr>
            <w:tcW w:w="1017" w:type="dxa"/>
            <w:tcBorders>
              <w:top w:val="nil"/>
              <w:left w:val="nil"/>
              <w:bottom w:val="nil"/>
              <w:right w:val="nil"/>
            </w:tcBorders>
            <w:hideMark/>
          </w:tcPr>
          <w:p w14:paraId="3ADFC8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0.54, 1.20</w:t>
            </w:r>
          </w:p>
        </w:tc>
        <w:tc>
          <w:tcPr>
            <w:tcW w:w="0" w:type="auto"/>
            <w:tcBorders>
              <w:top w:val="nil"/>
              <w:left w:val="nil"/>
              <w:bottom w:val="nil"/>
              <w:right w:val="nil"/>
            </w:tcBorders>
            <w:hideMark/>
          </w:tcPr>
          <w:p w14:paraId="362802E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0.296</w:t>
            </w:r>
          </w:p>
        </w:tc>
        <w:tc>
          <w:tcPr>
            <w:tcW w:w="0" w:type="auto"/>
            <w:tcBorders>
              <w:top w:val="nil"/>
              <w:left w:val="nil"/>
              <w:bottom w:val="nil"/>
              <w:right w:val="nil"/>
            </w:tcBorders>
            <w:hideMark/>
          </w:tcPr>
          <w:p w14:paraId="3803E68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0.82</w:t>
            </w:r>
          </w:p>
        </w:tc>
        <w:tc>
          <w:tcPr>
            <w:tcW w:w="1017" w:type="dxa"/>
            <w:tcBorders>
              <w:top w:val="nil"/>
              <w:left w:val="nil"/>
              <w:bottom w:val="nil"/>
              <w:right w:val="nil"/>
            </w:tcBorders>
            <w:hideMark/>
          </w:tcPr>
          <w:p w14:paraId="08AFB2F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0.53, 1.26</w:t>
            </w:r>
          </w:p>
        </w:tc>
        <w:tc>
          <w:tcPr>
            <w:tcW w:w="0" w:type="auto"/>
            <w:tcBorders>
              <w:top w:val="nil"/>
              <w:left w:val="nil"/>
              <w:bottom w:val="nil"/>
              <w:right w:val="nil"/>
            </w:tcBorders>
            <w:hideMark/>
          </w:tcPr>
          <w:p w14:paraId="57728D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0.361</w:t>
            </w:r>
          </w:p>
        </w:tc>
        <w:tc>
          <w:tcPr>
            <w:tcW w:w="0" w:type="auto"/>
            <w:tcBorders>
              <w:top w:val="nil"/>
              <w:left w:val="nil"/>
              <w:bottom w:val="nil"/>
              <w:right w:val="nil"/>
            </w:tcBorders>
            <w:hideMark/>
          </w:tcPr>
          <w:p w14:paraId="60BD38C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0" w:type="dxa"/>
            <w:tcBorders>
              <w:top w:val="nil"/>
              <w:left w:val="nil"/>
              <w:bottom w:val="nil"/>
              <w:right w:val="nil"/>
            </w:tcBorders>
            <w:hideMark/>
          </w:tcPr>
          <w:p w14:paraId="5639559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0.56, 1.36</w:t>
            </w:r>
          </w:p>
        </w:tc>
        <w:tc>
          <w:tcPr>
            <w:tcW w:w="0" w:type="auto"/>
            <w:tcBorders>
              <w:top w:val="nil"/>
              <w:left w:val="nil"/>
              <w:bottom w:val="nil"/>
              <w:right w:val="nil"/>
            </w:tcBorders>
            <w:hideMark/>
          </w:tcPr>
          <w:p w14:paraId="7096178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0.557</w:t>
            </w:r>
          </w:p>
        </w:tc>
      </w:tr>
      <w:tr w:rsidR="00F57E7E" w:rsidRPr="007030D1" w14:paraId="3E0F8D5F" w14:textId="77777777" w:rsidTr="00F57E7E">
        <w:trPr>
          <w:trHeight w:hRule="exact" w:val="283"/>
        </w:trPr>
        <w:tc>
          <w:tcPr>
            <w:tcW w:w="0" w:type="auto"/>
            <w:tcBorders>
              <w:top w:val="nil"/>
              <w:left w:val="nil"/>
              <w:bottom w:val="nil"/>
              <w:right w:val="nil"/>
            </w:tcBorders>
            <w:hideMark/>
          </w:tcPr>
          <w:p w14:paraId="4F28F199"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Age at menopause</w:t>
            </w:r>
          </w:p>
        </w:tc>
        <w:tc>
          <w:tcPr>
            <w:tcW w:w="0" w:type="auto"/>
            <w:tcBorders>
              <w:top w:val="nil"/>
              <w:left w:val="nil"/>
              <w:bottom w:val="nil"/>
              <w:right w:val="nil"/>
            </w:tcBorders>
            <w:hideMark/>
          </w:tcPr>
          <w:p w14:paraId="70C96248"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78CC4CF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0B2178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B3D172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1AE9BE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29F80C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C1C0AF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ADC7F5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0D100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82BDE7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60153F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C0000E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730732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8BE0D4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0BAFE3E7" w14:textId="77777777" w:rsidTr="00F57E7E">
        <w:trPr>
          <w:trHeight w:hRule="exact" w:val="283"/>
        </w:trPr>
        <w:tc>
          <w:tcPr>
            <w:tcW w:w="0" w:type="auto"/>
            <w:tcBorders>
              <w:top w:val="nil"/>
              <w:left w:val="nil"/>
              <w:bottom w:val="nil"/>
              <w:right w:val="nil"/>
            </w:tcBorders>
            <w:hideMark/>
          </w:tcPr>
          <w:p w14:paraId="75AF3AA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&lt;50</w:t>
            </w:r>
          </w:p>
        </w:tc>
        <w:tc>
          <w:tcPr>
            <w:tcW w:w="0" w:type="auto"/>
            <w:tcBorders>
              <w:top w:val="nil"/>
              <w:left w:val="nil"/>
              <w:bottom w:val="nil"/>
              <w:right w:val="nil"/>
            </w:tcBorders>
            <w:hideMark/>
          </w:tcPr>
          <w:p w14:paraId="5E6AA50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116 (15)</w:t>
            </w:r>
          </w:p>
        </w:tc>
        <w:tc>
          <w:tcPr>
            <w:tcW w:w="0" w:type="auto"/>
            <w:tcBorders>
              <w:top w:val="nil"/>
              <w:left w:val="nil"/>
              <w:bottom w:val="nil"/>
              <w:right w:val="nil"/>
            </w:tcBorders>
            <w:hideMark/>
          </w:tcPr>
          <w:p w14:paraId="3C4B22D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185 (16)</w:t>
            </w:r>
          </w:p>
        </w:tc>
        <w:tc>
          <w:tcPr>
            <w:tcW w:w="0" w:type="auto"/>
            <w:tcBorders>
              <w:top w:val="nil"/>
              <w:left w:val="nil"/>
              <w:bottom w:val="nil"/>
              <w:right w:val="nil"/>
            </w:tcBorders>
            <w:hideMark/>
          </w:tcPr>
          <w:p w14:paraId="2985602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CC5EF1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073018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70F6C2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55B48C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A8B5C2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1F5A6A4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6AAB1AA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12A46B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DE8CB3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36C85E1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FCF384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6029A4C2" w14:textId="77777777" w:rsidTr="00F57E7E">
        <w:trPr>
          <w:trHeight w:hRule="exact" w:val="283"/>
        </w:trPr>
        <w:tc>
          <w:tcPr>
            <w:tcW w:w="0" w:type="auto"/>
            <w:tcBorders>
              <w:top w:val="nil"/>
              <w:left w:val="nil"/>
              <w:bottom w:val="nil"/>
              <w:right w:val="nil"/>
            </w:tcBorders>
            <w:hideMark/>
          </w:tcPr>
          <w:p w14:paraId="75C6C70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50-54</w:t>
            </w:r>
          </w:p>
        </w:tc>
        <w:tc>
          <w:tcPr>
            <w:tcW w:w="0" w:type="auto"/>
            <w:tcBorders>
              <w:top w:val="nil"/>
              <w:left w:val="nil"/>
              <w:bottom w:val="nil"/>
              <w:right w:val="nil"/>
            </w:tcBorders>
            <w:hideMark/>
          </w:tcPr>
          <w:p w14:paraId="65CEDEB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332 (44)</w:t>
            </w:r>
          </w:p>
        </w:tc>
        <w:tc>
          <w:tcPr>
            <w:tcW w:w="0" w:type="auto"/>
            <w:tcBorders>
              <w:top w:val="nil"/>
              <w:left w:val="nil"/>
              <w:bottom w:val="nil"/>
              <w:right w:val="nil"/>
            </w:tcBorders>
            <w:hideMark/>
          </w:tcPr>
          <w:p w14:paraId="4C42032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570 (48)</w:t>
            </w:r>
          </w:p>
        </w:tc>
        <w:tc>
          <w:tcPr>
            <w:tcW w:w="0" w:type="auto"/>
            <w:tcBorders>
              <w:top w:val="nil"/>
              <w:left w:val="nil"/>
              <w:bottom w:val="nil"/>
              <w:right w:val="nil"/>
            </w:tcBorders>
            <w:hideMark/>
          </w:tcPr>
          <w:p w14:paraId="1B7F69E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w:t>
            </w:r>
          </w:p>
        </w:tc>
        <w:tc>
          <w:tcPr>
            <w:tcW w:w="1017" w:type="dxa"/>
            <w:tcBorders>
              <w:top w:val="nil"/>
              <w:left w:val="nil"/>
              <w:bottom w:val="nil"/>
              <w:right w:val="nil"/>
            </w:tcBorders>
            <w:hideMark/>
          </w:tcPr>
          <w:p w14:paraId="020F678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0.66, 1.16</w:t>
            </w:r>
          </w:p>
        </w:tc>
        <w:tc>
          <w:tcPr>
            <w:tcW w:w="0" w:type="auto"/>
            <w:tcBorders>
              <w:top w:val="nil"/>
              <w:left w:val="nil"/>
              <w:bottom w:val="nil"/>
              <w:right w:val="nil"/>
            </w:tcBorders>
            <w:hideMark/>
          </w:tcPr>
          <w:p w14:paraId="2402F23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0.345</w:t>
            </w:r>
          </w:p>
        </w:tc>
        <w:tc>
          <w:tcPr>
            <w:tcW w:w="0" w:type="auto"/>
            <w:tcBorders>
              <w:top w:val="nil"/>
              <w:left w:val="nil"/>
              <w:bottom w:val="nil"/>
              <w:right w:val="nil"/>
            </w:tcBorders>
            <w:hideMark/>
          </w:tcPr>
          <w:p w14:paraId="2012275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0.90</w:t>
            </w:r>
          </w:p>
        </w:tc>
        <w:tc>
          <w:tcPr>
            <w:tcW w:w="1017" w:type="dxa"/>
            <w:tcBorders>
              <w:top w:val="nil"/>
              <w:left w:val="nil"/>
              <w:bottom w:val="nil"/>
              <w:right w:val="nil"/>
            </w:tcBorders>
            <w:hideMark/>
          </w:tcPr>
          <w:p w14:paraId="737BB71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0.68, 1.21</w:t>
            </w:r>
          </w:p>
        </w:tc>
        <w:tc>
          <w:tcPr>
            <w:tcW w:w="0" w:type="auto"/>
            <w:tcBorders>
              <w:top w:val="nil"/>
              <w:left w:val="nil"/>
              <w:bottom w:val="nil"/>
              <w:right w:val="nil"/>
            </w:tcBorders>
            <w:hideMark/>
          </w:tcPr>
          <w:p w14:paraId="6C2B53E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0.491</w:t>
            </w:r>
          </w:p>
        </w:tc>
        <w:tc>
          <w:tcPr>
            <w:tcW w:w="0" w:type="auto"/>
            <w:tcBorders>
              <w:top w:val="nil"/>
              <w:left w:val="nil"/>
              <w:bottom w:val="nil"/>
              <w:right w:val="nil"/>
            </w:tcBorders>
            <w:hideMark/>
          </w:tcPr>
          <w:p w14:paraId="553DC1D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7" w:type="dxa"/>
            <w:tcBorders>
              <w:top w:val="nil"/>
              <w:left w:val="nil"/>
              <w:bottom w:val="nil"/>
              <w:right w:val="nil"/>
            </w:tcBorders>
            <w:hideMark/>
          </w:tcPr>
          <w:p w14:paraId="3D4347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0.65, 1.20</w:t>
            </w:r>
          </w:p>
        </w:tc>
        <w:tc>
          <w:tcPr>
            <w:tcW w:w="0" w:type="auto"/>
            <w:tcBorders>
              <w:top w:val="nil"/>
              <w:left w:val="nil"/>
              <w:bottom w:val="nil"/>
              <w:right w:val="nil"/>
            </w:tcBorders>
            <w:hideMark/>
          </w:tcPr>
          <w:p w14:paraId="5919E76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0.416</w:t>
            </w:r>
          </w:p>
        </w:tc>
        <w:tc>
          <w:tcPr>
            <w:tcW w:w="0" w:type="auto"/>
            <w:tcBorders>
              <w:top w:val="nil"/>
              <w:left w:val="nil"/>
              <w:bottom w:val="nil"/>
              <w:right w:val="nil"/>
            </w:tcBorders>
            <w:hideMark/>
          </w:tcPr>
          <w:p w14:paraId="51CEB98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w:t>
            </w:r>
          </w:p>
        </w:tc>
        <w:tc>
          <w:tcPr>
            <w:tcW w:w="1010" w:type="dxa"/>
            <w:tcBorders>
              <w:top w:val="nil"/>
              <w:left w:val="nil"/>
              <w:bottom w:val="nil"/>
              <w:right w:val="nil"/>
            </w:tcBorders>
            <w:hideMark/>
          </w:tcPr>
          <w:p w14:paraId="02B02D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0.66, 1.25</w:t>
            </w:r>
          </w:p>
        </w:tc>
        <w:tc>
          <w:tcPr>
            <w:tcW w:w="0" w:type="auto"/>
            <w:tcBorders>
              <w:top w:val="nil"/>
              <w:left w:val="nil"/>
              <w:bottom w:val="nil"/>
              <w:right w:val="nil"/>
            </w:tcBorders>
            <w:hideMark/>
          </w:tcPr>
          <w:p w14:paraId="3BCDC5C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0.546</w:t>
            </w:r>
          </w:p>
        </w:tc>
      </w:tr>
      <w:tr w:rsidR="00F57E7E" w:rsidRPr="007030D1" w14:paraId="07F69382" w14:textId="77777777" w:rsidTr="00F57E7E">
        <w:trPr>
          <w:trHeight w:hRule="exact" w:val="283"/>
        </w:trPr>
        <w:tc>
          <w:tcPr>
            <w:tcW w:w="0" w:type="auto"/>
            <w:tcBorders>
              <w:top w:val="nil"/>
              <w:left w:val="nil"/>
              <w:bottom w:val="nil"/>
              <w:right w:val="nil"/>
            </w:tcBorders>
            <w:hideMark/>
          </w:tcPr>
          <w:p w14:paraId="38A2972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55+</w:t>
            </w:r>
          </w:p>
        </w:tc>
        <w:tc>
          <w:tcPr>
            <w:tcW w:w="0" w:type="auto"/>
            <w:tcBorders>
              <w:top w:val="nil"/>
              <w:left w:val="nil"/>
              <w:bottom w:val="nil"/>
              <w:right w:val="nil"/>
            </w:tcBorders>
            <w:hideMark/>
          </w:tcPr>
          <w:p w14:paraId="508E2DA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64 (8.5)</w:t>
            </w:r>
          </w:p>
        </w:tc>
        <w:tc>
          <w:tcPr>
            <w:tcW w:w="0" w:type="auto"/>
            <w:tcBorders>
              <w:top w:val="nil"/>
              <w:left w:val="nil"/>
              <w:bottom w:val="nil"/>
              <w:right w:val="nil"/>
            </w:tcBorders>
            <w:hideMark/>
          </w:tcPr>
          <w:p w14:paraId="797A421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71 (6.0)</w:t>
            </w:r>
          </w:p>
        </w:tc>
        <w:tc>
          <w:tcPr>
            <w:tcW w:w="0" w:type="auto"/>
            <w:tcBorders>
              <w:top w:val="nil"/>
              <w:left w:val="nil"/>
              <w:bottom w:val="nil"/>
              <w:right w:val="nil"/>
            </w:tcBorders>
            <w:hideMark/>
          </w:tcPr>
          <w:p w14:paraId="6247930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1.52</w:t>
            </w:r>
          </w:p>
        </w:tc>
        <w:tc>
          <w:tcPr>
            <w:tcW w:w="1017" w:type="dxa"/>
            <w:tcBorders>
              <w:top w:val="nil"/>
              <w:left w:val="nil"/>
              <w:bottom w:val="nil"/>
              <w:right w:val="nil"/>
            </w:tcBorders>
            <w:hideMark/>
          </w:tcPr>
          <w:p w14:paraId="6EE03F7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0.98, 2.36</w:t>
            </w:r>
          </w:p>
        </w:tc>
        <w:tc>
          <w:tcPr>
            <w:tcW w:w="0" w:type="auto"/>
            <w:tcBorders>
              <w:top w:val="nil"/>
              <w:left w:val="nil"/>
              <w:bottom w:val="nil"/>
              <w:right w:val="nil"/>
            </w:tcBorders>
            <w:hideMark/>
          </w:tcPr>
          <w:p w14:paraId="2BEED25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0.060</w:t>
            </w:r>
          </w:p>
        </w:tc>
        <w:tc>
          <w:tcPr>
            <w:tcW w:w="0" w:type="auto"/>
            <w:tcBorders>
              <w:top w:val="nil"/>
              <w:left w:val="nil"/>
              <w:bottom w:val="nil"/>
              <w:right w:val="nil"/>
            </w:tcBorders>
            <w:hideMark/>
          </w:tcPr>
          <w:p w14:paraId="0407B92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1.60</w:t>
            </w:r>
          </w:p>
        </w:tc>
        <w:tc>
          <w:tcPr>
            <w:tcW w:w="1017" w:type="dxa"/>
            <w:tcBorders>
              <w:top w:val="nil"/>
              <w:left w:val="nil"/>
              <w:bottom w:val="nil"/>
              <w:right w:val="nil"/>
            </w:tcBorders>
            <w:hideMark/>
          </w:tcPr>
          <w:p w14:paraId="375708C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1.02, 2.50</w:t>
            </w:r>
          </w:p>
        </w:tc>
        <w:tc>
          <w:tcPr>
            <w:tcW w:w="0" w:type="auto"/>
            <w:tcBorders>
              <w:top w:val="nil"/>
              <w:left w:val="nil"/>
              <w:bottom w:val="nil"/>
              <w:right w:val="nil"/>
            </w:tcBorders>
            <w:hideMark/>
          </w:tcPr>
          <w:p w14:paraId="20F96F1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0.040</w:t>
            </w:r>
          </w:p>
        </w:tc>
        <w:tc>
          <w:tcPr>
            <w:tcW w:w="0" w:type="auto"/>
            <w:tcBorders>
              <w:top w:val="nil"/>
              <w:left w:val="nil"/>
              <w:bottom w:val="nil"/>
              <w:right w:val="nil"/>
            </w:tcBorders>
            <w:hideMark/>
          </w:tcPr>
          <w:p w14:paraId="1C26F42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1.51</w:t>
            </w:r>
          </w:p>
        </w:tc>
        <w:tc>
          <w:tcPr>
            <w:tcW w:w="1017" w:type="dxa"/>
            <w:tcBorders>
              <w:top w:val="nil"/>
              <w:left w:val="nil"/>
              <w:bottom w:val="nil"/>
              <w:right w:val="nil"/>
            </w:tcBorders>
            <w:hideMark/>
          </w:tcPr>
          <w:p w14:paraId="1D709A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0.93, 2.44</w:t>
            </w:r>
          </w:p>
        </w:tc>
        <w:tc>
          <w:tcPr>
            <w:tcW w:w="0" w:type="auto"/>
            <w:tcBorders>
              <w:top w:val="nil"/>
              <w:left w:val="nil"/>
              <w:bottom w:val="nil"/>
              <w:right w:val="nil"/>
            </w:tcBorders>
            <w:hideMark/>
          </w:tcPr>
          <w:p w14:paraId="03D420C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0.094</w:t>
            </w:r>
          </w:p>
        </w:tc>
        <w:tc>
          <w:tcPr>
            <w:tcW w:w="0" w:type="auto"/>
            <w:tcBorders>
              <w:top w:val="nil"/>
              <w:left w:val="nil"/>
              <w:bottom w:val="nil"/>
              <w:right w:val="nil"/>
            </w:tcBorders>
            <w:hideMark/>
          </w:tcPr>
          <w:p w14:paraId="7BF928A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1.58</w:t>
            </w:r>
          </w:p>
        </w:tc>
        <w:tc>
          <w:tcPr>
            <w:tcW w:w="1010" w:type="dxa"/>
            <w:tcBorders>
              <w:top w:val="nil"/>
              <w:left w:val="nil"/>
              <w:bottom w:val="nil"/>
              <w:right w:val="nil"/>
            </w:tcBorders>
            <w:hideMark/>
          </w:tcPr>
          <w:p w14:paraId="2099BD1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0.96, 2.58</w:t>
            </w:r>
          </w:p>
        </w:tc>
        <w:tc>
          <w:tcPr>
            <w:tcW w:w="0" w:type="auto"/>
            <w:tcBorders>
              <w:top w:val="nil"/>
              <w:left w:val="nil"/>
              <w:bottom w:val="nil"/>
              <w:right w:val="nil"/>
            </w:tcBorders>
            <w:hideMark/>
          </w:tcPr>
          <w:p w14:paraId="44F862E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0.070</w:t>
            </w:r>
          </w:p>
        </w:tc>
      </w:tr>
      <w:tr w:rsidR="00F57E7E" w:rsidRPr="007030D1" w14:paraId="7F9EBA87" w14:textId="77777777" w:rsidTr="00F57E7E">
        <w:trPr>
          <w:trHeight w:hRule="exact" w:val="283"/>
        </w:trPr>
        <w:tc>
          <w:tcPr>
            <w:tcW w:w="0" w:type="auto"/>
            <w:tcBorders>
              <w:top w:val="nil"/>
              <w:left w:val="nil"/>
              <w:bottom w:val="nil"/>
              <w:right w:val="nil"/>
            </w:tcBorders>
            <w:hideMark/>
          </w:tcPr>
          <w:p w14:paraId="19858B11"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3334BE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243 (32)</w:t>
            </w:r>
          </w:p>
        </w:tc>
        <w:tc>
          <w:tcPr>
            <w:tcW w:w="0" w:type="auto"/>
            <w:tcBorders>
              <w:top w:val="nil"/>
              <w:left w:val="nil"/>
              <w:bottom w:val="nil"/>
              <w:right w:val="nil"/>
            </w:tcBorders>
            <w:hideMark/>
          </w:tcPr>
          <w:p w14:paraId="097A3EB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359 (30)</w:t>
            </w:r>
          </w:p>
        </w:tc>
        <w:tc>
          <w:tcPr>
            <w:tcW w:w="0" w:type="auto"/>
            <w:tcBorders>
              <w:top w:val="nil"/>
              <w:left w:val="nil"/>
              <w:bottom w:val="nil"/>
              <w:right w:val="nil"/>
            </w:tcBorders>
            <w:hideMark/>
          </w:tcPr>
          <w:p w14:paraId="31C54B5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78E77C4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3969FE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48250E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666161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56A535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B0BE20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1EC2EC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CBF75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7DBA2B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FFCFFA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7E74DC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68F3B76C" w14:textId="77777777" w:rsidTr="00F57E7E">
        <w:trPr>
          <w:trHeight w:hRule="exact" w:val="283"/>
        </w:trPr>
        <w:tc>
          <w:tcPr>
            <w:tcW w:w="0" w:type="auto"/>
            <w:tcBorders>
              <w:top w:val="nil"/>
              <w:left w:val="nil"/>
              <w:bottom w:val="nil"/>
              <w:right w:val="nil"/>
            </w:tcBorders>
            <w:hideMark/>
          </w:tcPr>
          <w:p w14:paraId="0766CFF2"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MHT status</w:t>
            </w:r>
          </w:p>
        </w:tc>
        <w:tc>
          <w:tcPr>
            <w:tcW w:w="0" w:type="auto"/>
            <w:tcBorders>
              <w:top w:val="nil"/>
              <w:left w:val="nil"/>
              <w:bottom w:val="nil"/>
              <w:right w:val="nil"/>
            </w:tcBorders>
            <w:hideMark/>
          </w:tcPr>
          <w:p w14:paraId="0E4436FB"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69FDFA4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F77270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920D19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B167C5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8AC8BD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E7E861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6EBBE6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CF56F4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EBAF78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5B6856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28A35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00E780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61E717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17EAB76A" w14:textId="77777777" w:rsidTr="00F57E7E">
        <w:trPr>
          <w:trHeight w:hRule="exact" w:val="283"/>
        </w:trPr>
        <w:tc>
          <w:tcPr>
            <w:tcW w:w="0" w:type="auto"/>
            <w:tcBorders>
              <w:top w:val="nil"/>
              <w:left w:val="nil"/>
              <w:bottom w:val="nil"/>
              <w:right w:val="nil"/>
            </w:tcBorders>
            <w:hideMark/>
          </w:tcPr>
          <w:p w14:paraId="68D0983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Never</w:t>
            </w:r>
          </w:p>
        </w:tc>
        <w:tc>
          <w:tcPr>
            <w:tcW w:w="0" w:type="auto"/>
            <w:tcBorders>
              <w:top w:val="nil"/>
              <w:left w:val="nil"/>
              <w:bottom w:val="nil"/>
              <w:right w:val="nil"/>
            </w:tcBorders>
            <w:hideMark/>
          </w:tcPr>
          <w:p w14:paraId="256CDBC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192 (25)</w:t>
            </w:r>
          </w:p>
        </w:tc>
        <w:tc>
          <w:tcPr>
            <w:tcW w:w="0" w:type="auto"/>
            <w:tcBorders>
              <w:top w:val="nil"/>
              <w:left w:val="nil"/>
              <w:bottom w:val="nil"/>
              <w:right w:val="nil"/>
            </w:tcBorders>
            <w:hideMark/>
          </w:tcPr>
          <w:p w14:paraId="5C388B6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354 (30)</w:t>
            </w:r>
          </w:p>
        </w:tc>
        <w:tc>
          <w:tcPr>
            <w:tcW w:w="0" w:type="auto"/>
            <w:tcBorders>
              <w:top w:val="nil"/>
              <w:left w:val="nil"/>
              <w:bottom w:val="nil"/>
              <w:right w:val="nil"/>
            </w:tcBorders>
            <w:hideMark/>
          </w:tcPr>
          <w:p w14:paraId="0047EE8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6296157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2C27C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A2C560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1ED7B7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EA5BEF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79D1CC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1658D2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FE403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9664D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74A8492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70BB9F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1F62E866" w14:textId="77777777" w:rsidTr="00F57E7E">
        <w:trPr>
          <w:trHeight w:hRule="exact" w:val="283"/>
        </w:trPr>
        <w:tc>
          <w:tcPr>
            <w:tcW w:w="0" w:type="auto"/>
            <w:tcBorders>
              <w:top w:val="nil"/>
              <w:left w:val="nil"/>
              <w:bottom w:val="nil"/>
              <w:right w:val="nil"/>
            </w:tcBorders>
            <w:hideMark/>
          </w:tcPr>
          <w:p w14:paraId="228B2045"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Former</w:t>
            </w:r>
          </w:p>
        </w:tc>
        <w:tc>
          <w:tcPr>
            <w:tcW w:w="0" w:type="auto"/>
            <w:tcBorders>
              <w:top w:val="nil"/>
              <w:left w:val="nil"/>
              <w:bottom w:val="nil"/>
              <w:right w:val="nil"/>
            </w:tcBorders>
            <w:hideMark/>
          </w:tcPr>
          <w:p w14:paraId="4E61CA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161 (21)</w:t>
            </w:r>
          </w:p>
        </w:tc>
        <w:tc>
          <w:tcPr>
            <w:tcW w:w="0" w:type="auto"/>
            <w:tcBorders>
              <w:top w:val="nil"/>
              <w:left w:val="nil"/>
              <w:bottom w:val="nil"/>
              <w:right w:val="nil"/>
            </w:tcBorders>
            <w:hideMark/>
          </w:tcPr>
          <w:p w14:paraId="18AF50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281 (24)</w:t>
            </w:r>
          </w:p>
        </w:tc>
        <w:tc>
          <w:tcPr>
            <w:tcW w:w="0" w:type="auto"/>
            <w:tcBorders>
              <w:top w:val="nil"/>
              <w:left w:val="nil"/>
              <w:bottom w:val="nil"/>
              <w:right w:val="nil"/>
            </w:tcBorders>
            <w:hideMark/>
          </w:tcPr>
          <w:p w14:paraId="18AD59E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w:t>
            </w:r>
          </w:p>
        </w:tc>
        <w:tc>
          <w:tcPr>
            <w:tcW w:w="1017" w:type="dxa"/>
            <w:tcBorders>
              <w:top w:val="nil"/>
              <w:left w:val="nil"/>
              <w:bottom w:val="nil"/>
              <w:right w:val="nil"/>
            </w:tcBorders>
            <w:hideMark/>
          </w:tcPr>
          <w:p w14:paraId="4D5E2FB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0.77, 1.35</w:t>
            </w:r>
          </w:p>
        </w:tc>
        <w:tc>
          <w:tcPr>
            <w:tcW w:w="0" w:type="auto"/>
            <w:tcBorders>
              <w:top w:val="nil"/>
              <w:left w:val="nil"/>
              <w:bottom w:val="nil"/>
              <w:right w:val="nil"/>
            </w:tcBorders>
            <w:hideMark/>
          </w:tcPr>
          <w:p w14:paraId="31590F3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0.914</w:t>
            </w:r>
          </w:p>
        </w:tc>
        <w:tc>
          <w:tcPr>
            <w:tcW w:w="0" w:type="auto"/>
            <w:tcBorders>
              <w:top w:val="nil"/>
              <w:left w:val="nil"/>
              <w:bottom w:val="nil"/>
              <w:right w:val="nil"/>
            </w:tcBorders>
            <w:hideMark/>
          </w:tcPr>
          <w:p w14:paraId="40A9905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w:t>
            </w:r>
          </w:p>
        </w:tc>
        <w:tc>
          <w:tcPr>
            <w:tcW w:w="1017" w:type="dxa"/>
            <w:tcBorders>
              <w:top w:val="nil"/>
              <w:left w:val="nil"/>
              <w:bottom w:val="nil"/>
              <w:right w:val="nil"/>
            </w:tcBorders>
            <w:hideMark/>
          </w:tcPr>
          <w:p w14:paraId="441422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0.76, 1.35</w:t>
            </w:r>
          </w:p>
        </w:tc>
        <w:tc>
          <w:tcPr>
            <w:tcW w:w="0" w:type="auto"/>
            <w:tcBorders>
              <w:top w:val="nil"/>
              <w:left w:val="nil"/>
              <w:bottom w:val="nil"/>
              <w:right w:val="nil"/>
            </w:tcBorders>
            <w:hideMark/>
          </w:tcPr>
          <w:p w14:paraId="537831A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0.916</w:t>
            </w:r>
          </w:p>
        </w:tc>
        <w:tc>
          <w:tcPr>
            <w:tcW w:w="0" w:type="auto"/>
            <w:tcBorders>
              <w:top w:val="nil"/>
              <w:left w:val="nil"/>
              <w:bottom w:val="nil"/>
              <w:right w:val="nil"/>
            </w:tcBorders>
            <w:hideMark/>
          </w:tcPr>
          <w:p w14:paraId="451630B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0.98</w:t>
            </w:r>
          </w:p>
        </w:tc>
        <w:tc>
          <w:tcPr>
            <w:tcW w:w="1017" w:type="dxa"/>
            <w:tcBorders>
              <w:top w:val="nil"/>
              <w:left w:val="nil"/>
              <w:bottom w:val="nil"/>
              <w:right w:val="nil"/>
            </w:tcBorders>
            <w:hideMark/>
          </w:tcPr>
          <w:p w14:paraId="7F57637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0.72, 1.33</w:t>
            </w:r>
          </w:p>
        </w:tc>
        <w:tc>
          <w:tcPr>
            <w:tcW w:w="0" w:type="auto"/>
            <w:tcBorders>
              <w:top w:val="nil"/>
              <w:left w:val="nil"/>
              <w:bottom w:val="nil"/>
              <w:right w:val="nil"/>
            </w:tcBorders>
            <w:hideMark/>
          </w:tcPr>
          <w:p w14:paraId="568F087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0.878</w:t>
            </w:r>
          </w:p>
        </w:tc>
        <w:tc>
          <w:tcPr>
            <w:tcW w:w="0" w:type="auto"/>
            <w:tcBorders>
              <w:top w:val="nil"/>
              <w:left w:val="nil"/>
              <w:bottom w:val="nil"/>
              <w:right w:val="nil"/>
            </w:tcBorders>
            <w:hideMark/>
          </w:tcPr>
          <w:p w14:paraId="4845C22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0.97</w:t>
            </w:r>
          </w:p>
        </w:tc>
        <w:tc>
          <w:tcPr>
            <w:tcW w:w="1010" w:type="dxa"/>
            <w:tcBorders>
              <w:top w:val="nil"/>
              <w:left w:val="nil"/>
              <w:bottom w:val="nil"/>
              <w:right w:val="nil"/>
            </w:tcBorders>
            <w:hideMark/>
          </w:tcPr>
          <w:p w14:paraId="37375A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0.71, 1.33</w:t>
            </w:r>
          </w:p>
        </w:tc>
        <w:tc>
          <w:tcPr>
            <w:tcW w:w="0" w:type="auto"/>
            <w:tcBorders>
              <w:top w:val="nil"/>
              <w:left w:val="nil"/>
              <w:bottom w:val="nil"/>
              <w:right w:val="nil"/>
            </w:tcBorders>
            <w:hideMark/>
          </w:tcPr>
          <w:p w14:paraId="61A8AF8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0.860</w:t>
            </w:r>
          </w:p>
        </w:tc>
      </w:tr>
      <w:tr w:rsidR="00F57E7E" w:rsidRPr="007030D1" w14:paraId="39DE671A" w14:textId="77777777" w:rsidTr="00F57E7E">
        <w:trPr>
          <w:trHeight w:hRule="exact" w:val="283"/>
        </w:trPr>
        <w:tc>
          <w:tcPr>
            <w:tcW w:w="0" w:type="auto"/>
            <w:tcBorders>
              <w:top w:val="nil"/>
              <w:left w:val="nil"/>
              <w:bottom w:val="nil"/>
              <w:right w:val="nil"/>
            </w:tcBorders>
            <w:hideMark/>
          </w:tcPr>
          <w:p w14:paraId="307A4B6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Current</w:t>
            </w:r>
          </w:p>
        </w:tc>
        <w:tc>
          <w:tcPr>
            <w:tcW w:w="0" w:type="auto"/>
            <w:tcBorders>
              <w:top w:val="nil"/>
              <w:left w:val="nil"/>
              <w:bottom w:val="nil"/>
              <w:right w:val="nil"/>
            </w:tcBorders>
            <w:hideMark/>
          </w:tcPr>
          <w:p w14:paraId="5EAC5B2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157 (21)</w:t>
            </w:r>
          </w:p>
        </w:tc>
        <w:tc>
          <w:tcPr>
            <w:tcW w:w="0" w:type="auto"/>
            <w:tcBorders>
              <w:top w:val="nil"/>
              <w:left w:val="nil"/>
              <w:bottom w:val="nil"/>
              <w:right w:val="nil"/>
            </w:tcBorders>
            <w:hideMark/>
          </w:tcPr>
          <w:p w14:paraId="1532D19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192 (16)</w:t>
            </w:r>
          </w:p>
        </w:tc>
        <w:tc>
          <w:tcPr>
            <w:tcW w:w="0" w:type="auto"/>
            <w:tcBorders>
              <w:top w:val="nil"/>
              <w:left w:val="nil"/>
              <w:bottom w:val="nil"/>
              <w:right w:val="nil"/>
            </w:tcBorders>
            <w:hideMark/>
          </w:tcPr>
          <w:p w14:paraId="599FA4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1.50</w:t>
            </w:r>
          </w:p>
        </w:tc>
        <w:tc>
          <w:tcPr>
            <w:tcW w:w="1017" w:type="dxa"/>
            <w:tcBorders>
              <w:top w:val="nil"/>
              <w:left w:val="nil"/>
              <w:bottom w:val="nil"/>
              <w:right w:val="nil"/>
            </w:tcBorders>
            <w:hideMark/>
          </w:tcPr>
          <w:p w14:paraId="5C865F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1.12, 2.02</w:t>
            </w:r>
          </w:p>
        </w:tc>
        <w:tc>
          <w:tcPr>
            <w:tcW w:w="0" w:type="auto"/>
            <w:tcBorders>
              <w:top w:val="nil"/>
              <w:left w:val="nil"/>
              <w:bottom w:val="nil"/>
              <w:right w:val="nil"/>
            </w:tcBorders>
            <w:hideMark/>
          </w:tcPr>
          <w:p w14:paraId="2A11524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0.007</w:t>
            </w:r>
          </w:p>
        </w:tc>
        <w:tc>
          <w:tcPr>
            <w:tcW w:w="0" w:type="auto"/>
            <w:tcBorders>
              <w:top w:val="nil"/>
              <w:left w:val="nil"/>
              <w:bottom w:val="nil"/>
              <w:right w:val="nil"/>
            </w:tcBorders>
            <w:hideMark/>
          </w:tcPr>
          <w:p w14:paraId="758F47B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1.41</w:t>
            </w:r>
          </w:p>
        </w:tc>
        <w:tc>
          <w:tcPr>
            <w:tcW w:w="1017" w:type="dxa"/>
            <w:tcBorders>
              <w:top w:val="nil"/>
              <w:left w:val="nil"/>
              <w:bottom w:val="nil"/>
              <w:right w:val="nil"/>
            </w:tcBorders>
            <w:hideMark/>
          </w:tcPr>
          <w:p w14:paraId="14BFE9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1.04, 1.91</w:t>
            </w:r>
          </w:p>
        </w:tc>
        <w:tc>
          <w:tcPr>
            <w:tcW w:w="0" w:type="auto"/>
            <w:tcBorders>
              <w:top w:val="nil"/>
              <w:left w:val="nil"/>
              <w:bottom w:val="nil"/>
              <w:right w:val="nil"/>
            </w:tcBorders>
            <w:hideMark/>
          </w:tcPr>
          <w:p w14:paraId="216D335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0.025</w:t>
            </w:r>
          </w:p>
        </w:tc>
        <w:tc>
          <w:tcPr>
            <w:tcW w:w="0" w:type="auto"/>
            <w:tcBorders>
              <w:top w:val="nil"/>
              <w:left w:val="nil"/>
              <w:bottom w:val="nil"/>
              <w:right w:val="nil"/>
            </w:tcBorders>
            <w:hideMark/>
          </w:tcPr>
          <w:p w14:paraId="755806D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1.55</w:t>
            </w:r>
          </w:p>
        </w:tc>
        <w:tc>
          <w:tcPr>
            <w:tcW w:w="1017" w:type="dxa"/>
            <w:tcBorders>
              <w:top w:val="nil"/>
              <w:left w:val="nil"/>
              <w:bottom w:val="nil"/>
              <w:right w:val="nil"/>
            </w:tcBorders>
            <w:hideMark/>
          </w:tcPr>
          <w:p w14:paraId="4D0A7B2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1.12, 2.15</w:t>
            </w:r>
          </w:p>
        </w:tc>
        <w:tc>
          <w:tcPr>
            <w:tcW w:w="0" w:type="auto"/>
            <w:tcBorders>
              <w:top w:val="nil"/>
              <w:left w:val="nil"/>
              <w:bottom w:val="nil"/>
              <w:right w:val="nil"/>
            </w:tcBorders>
            <w:hideMark/>
          </w:tcPr>
          <w:p w14:paraId="26248C4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0.008</w:t>
            </w:r>
          </w:p>
        </w:tc>
        <w:tc>
          <w:tcPr>
            <w:tcW w:w="0" w:type="auto"/>
            <w:tcBorders>
              <w:top w:val="nil"/>
              <w:left w:val="nil"/>
              <w:bottom w:val="nil"/>
              <w:right w:val="nil"/>
            </w:tcBorders>
            <w:hideMark/>
          </w:tcPr>
          <w:p w14:paraId="632616D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1.46</w:t>
            </w:r>
          </w:p>
        </w:tc>
        <w:tc>
          <w:tcPr>
            <w:tcW w:w="1010" w:type="dxa"/>
            <w:tcBorders>
              <w:top w:val="nil"/>
              <w:left w:val="nil"/>
              <w:bottom w:val="nil"/>
              <w:right w:val="nil"/>
            </w:tcBorders>
            <w:hideMark/>
          </w:tcPr>
          <w:p w14:paraId="474840C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1.05, 2.03</w:t>
            </w:r>
          </w:p>
        </w:tc>
        <w:tc>
          <w:tcPr>
            <w:tcW w:w="0" w:type="auto"/>
            <w:tcBorders>
              <w:top w:val="nil"/>
              <w:left w:val="nil"/>
              <w:bottom w:val="nil"/>
              <w:right w:val="nil"/>
            </w:tcBorders>
            <w:hideMark/>
          </w:tcPr>
          <w:p w14:paraId="39E8FA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0.025</w:t>
            </w:r>
          </w:p>
        </w:tc>
      </w:tr>
      <w:tr w:rsidR="00F57E7E" w:rsidRPr="007030D1" w14:paraId="5DF7D05C" w14:textId="77777777" w:rsidTr="00F57E7E">
        <w:trPr>
          <w:trHeight w:hRule="exact" w:val="283"/>
        </w:trPr>
        <w:tc>
          <w:tcPr>
            <w:tcW w:w="0" w:type="auto"/>
            <w:tcBorders>
              <w:top w:val="nil"/>
              <w:left w:val="nil"/>
              <w:bottom w:val="nil"/>
              <w:right w:val="nil"/>
            </w:tcBorders>
            <w:hideMark/>
          </w:tcPr>
          <w:p w14:paraId="2426142F"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63E10A5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245 (32)</w:t>
            </w:r>
          </w:p>
        </w:tc>
        <w:tc>
          <w:tcPr>
            <w:tcW w:w="0" w:type="auto"/>
            <w:tcBorders>
              <w:top w:val="nil"/>
              <w:left w:val="nil"/>
              <w:bottom w:val="nil"/>
              <w:right w:val="nil"/>
            </w:tcBorders>
            <w:hideMark/>
          </w:tcPr>
          <w:p w14:paraId="4B569F7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358 (30)</w:t>
            </w:r>
          </w:p>
        </w:tc>
        <w:tc>
          <w:tcPr>
            <w:tcW w:w="0" w:type="auto"/>
            <w:tcBorders>
              <w:top w:val="nil"/>
              <w:left w:val="nil"/>
              <w:bottom w:val="nil"/>
              <w:right w:val="nil"/>
            </w:tcBorders>
            <w:hideMark/>
          </w:tcPr>
          <w:p w14:paraId="552FAB3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20C8057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4859D3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4EC0BD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E8DE81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50D25F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476B21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89A5CF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4ED567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1AA17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8B13FB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2E59E5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7A26F313" w14:textId="77777777" w:rsidTr="00F57E7E">
        <w:trPr>
          <w:trHeight w:hRule="exact" w:val="283"/>
        </w:trPr>
        <w:tc>
          <w:tcPr>
            <w:tcW w:w="0" w:type="auto"/>
            <w:tcBorders>
              <w:top w:val="nil"/>
              <w:left w:val="nil"/>
              <w:bottom w:val="nil"/>
              <w:right w:val="nil"/>
            </w:tcBorders>
            <w:hideMark/>
          </w:tcPr>
          <w:p w14:paraId="07013D15"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Benign breast disease</w:t>
            </w:r>
          </w:p>
        </w:tc>
        <w:tc>
          <w:tcPr>
            <w:tcW w:w="0" w:type="auto"/>
            <w:tcBorders>
              <w:top w:val="nil"/>
              <w:left w:val="nil"/>
              <w:bottom w:val="nil"/>
              <w:right w:val="nil"/>
            </w:tcBorders>
            <w:hideMark/>
          </w:tcPr>
          <w:p w14:paraId="5590F212"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34A3732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859E7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A1D52B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1FBDAE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60A8DC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DED5F9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679C17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800756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4A4FBE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861E1E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E24523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1272755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C0BC23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38CA37D4" w14:textId="77777777" w:rsidTr="00F57E7E">
        <w:trPr>
          <w:trHeight w:hRule="exact" w:val="283"/>
        </w:trPr>
        <w:tc>
          <w:tcPr>
            <w:tcW w:w="0" w:type="auto"/>
            <w:tcBorders>
              <w:top w:val="nil"/>
              <w:left w:val="nil"/>
              <w:bottom w:val="nil"/>
              <w:right w:val="nil"/>
            </w:tcBorders>
            <w:hideMark/>
          </w:tcPr>
          <w:p w14:paraId="43480F1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Never</w:t>
            </w:r>
          </w:p>
        </w:tc>
        <w:tc>
          <w:tcPr>
            <w:tcW w:w="0" w:type="auto"/>
            <w:tcBorders>
              <w:top w:val="nil"/>
              <w:left w:val="nil"/>
              <w:bottom w:val="nil"/>
              <w:right w:val="nil"/>
            </w:tcBorders>
            <w:hideMark/>
          </w:tcPr>
          <w:p w14:paraId="3E77FA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467 (62)</w:t>
            </w:r>
          </w:p>
        </w:tc>
        <w:tc>
          <w:tcPr>
            <w:tcW w:w="0" w:type="auto"/>
            <w:tcBorders>
              <w:top w:val="nil"/>
              <w:left w:val="nil"/>
              <w:bottom w:val="nil"/>
              <w:right w:val="nil"/>
            </w:tcBorders>
            <w:hideMark/>
          </w:tcPr>
          <w:p w14:paraId="1BDECBE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831 (70)</w:t>
            </w:r>
          </w:p>
        </w:tc>
        <w:tc>
          <w:tcPr>
            <w:tcW w:w="0" w:type="auto"/>
            <w:tcBorders>
              <w:top w:val="nil"/>
              <w:left w:val="nil"/>
              <w:bottom w:val="nil"/>
              <w:right w:val="nil"/>
            </w:tcBorders>
            <w:hideMark/>
          </w:tcPr>
          <w:p w14:paraId="4D40D6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B6268F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19622E3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694B7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25CCF1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D80F94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7E8B9F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06322A9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D98CD1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A014E0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1F1AB4B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E9297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4B7071C6" w14:textId="77777777" w:rsidTr="00F57E7E">
        <w:trPr>
          <w:trHeight w:hRule="exact" w:val="283"/>
        </w:trPr>
        <w:tc>
          <w:tcPr>
            <w:tcW w:w="0" w:type="auto"/>
            <w:tcBorders>
              <w:top w:val="nil"/>
              <w:left w:val="nil"/>
              <w:bottom w:val="nil"/>
              <w:right w:val="nil"/>
            </w:tcBorders>
            <w:hideMark/>
          </w:tcPr>
          <w:p w14:paraId="40CC9A4E"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Ever</w:t>
            </w:r>
          </w:p>
        </w:tc>
        <w:tc>
          <w:tcPr>
            <w:tcW w:w="0" w:type="auto"/>
            <w:tcBorders>
              <w:top w:val="nil"/>
              <w:left w:val="nil"/>
              <w:bottom w:val="nil"/>
              <w:right w:val="nil"/>
            </w:tcBorders>
            <w:hideMark/>
          </w:tcPr>
          <w:p w14:paraId="0448777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288 (38)</w:t>
            </w:r>
          </w:p>
        </w:tc>
        <w:tc>
          <w:tcPr>
            <w:tcW w:w="0" w:type="auto"/>
            <w:tcBorders>
              <w:top w:val="nil"/>
              <w:left w:val="nil"/>
              <w:bottom w:val="nil"/>
              <w:right w:val="nil"/>
            </w:tcBorders>
            <w:hideMark/>
          </w:tcPr>
          <w:p w14:paraId="6B1B842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354 (30)</w:t>
            </w:r>
          </w:p>
        </w:tc>
        <w:tc>
          <w:tcPr>
            <w:tcW w:w="0" w:type="auto"/>
            <w:tcBorders>
              <w:top w:val="nil"/>
              <w:left w:val="nil"/>
              <w:bottom w:val="nil"/>
              <w:right w:val="nil"/>
            </w:tcBorders>
            <w:hideMark/>
          </w:tcPr>
          <w:p w14:paraId="19AA36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1.46</w:t>
            </w:r>
          </w:p>
        </w:tc>
        <w:tc>
          <w:tcPr>
            <w:tcW w:w="1017" w:type="dxa"/>
            <w:tcBorders>
              <w:top w:val="nil"/>
              <w:left w:val="nil"/>
              <w:bottom w:val="nil"/>
              <w:right w:val="nil"/>
            </w:tcBorders>
            <w:hideMark/>
          </w:tcPr>
          <w:p w14:paraId="31EA13D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1.19, 1.78</w:t>
            </w:r>
          </w:p>
        </w:tc>
        <w:tc>
          <w:tcPr>
            <w:tcW w:w="0" w:type="auto"/>
            <w:tcBorders>
              <w:top w:val="nil"/>
              <w:left w:val="nil"/>
              <w:bottom w:val="nil"/>
              <w:right w:val="nil"/>
            </w:tcBorders>
            <w:hideMark/>
          </w:tcPr>
          <w:p w14:paraId="7C0889E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c>
          <w:tcPr>
            <w:tcW w:w="0" w:type="auto"/>
            <w:tcBorders>
              <w:top w:val="nil"/>
              <w:left w:val="nil"/>
              <w:bottom w:val="nil"/>
              <w:right w:val="nil"/>
            </w:tcBorders>
            <w:hideMark/>
          </w:tcPr>
          <w:p w14:paraId="6EA0535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1.36</w:t>
            </w:r>
          </w:p>
        </w:tc>
        <w:tc>
          <w:tcPr>
            <w:tcW w:w="1017" w:type="dxa"/>
            <w:tcBorders>
              <w:top w:val="nil"/>
              <w:left w:val="nil"/>
              <w:bottom w:val="nil"/>
              <w:right w:val="nil"/>
            </w:tcBorders>
            <w:hideMark/>
          </w:tcPr>
          <w:p w14:paraId="17AA0F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1.11, 1.68</w:t>
            </w:r>
          </w:p>
        </w:tc>
        <w:tc>
          <w:tcPr>
            <w:tcW w:w="0" w:type="auto"/>
            <w:tcBorders>
              <w:top w:val="nil"/>
              <w:left w:val="nil"/>
              <w:bottom w:val="nil"/>
              <w:right w:val="nil"/>
            </w:tcBorders>
            <w:hideMark/>
          </w:tcPr>
          <w:p w14:paraId="721D409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0.003</w:t>
            </w:r>
          </w:p>
        </w:tc>
        <w:tc>
          <w:tcPr>
            <w:tcW w:w="0" w:type="auto"/>
            <w:tcBorders>
              <w:top w:val="nil"/>
              <w:left w:val="nil"/>
              <w:bottom w:val="nil"/>
              <w:right w:val="nil"/>
            </w:tcBorders>
            <w:hideMark/>
          </w:tcPr>
          <w:p w14:paraId="6745170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1.69</w:t>
            </w:r>
          </w:p>
        </w:tc>
        <w:tc>
          <w:tcPr>
            <w:tcW w:w="1017" w:type="dxa"/>
            <w:tcBorders>
              <w:top w:val="nil"/>
              <w:left w:val="nil"/>
              <w:bottom w:val="nil"/>
              <w:right w:val="nil"/>
            </w:tcBorders>
            <w:hideMark/>
          </w:tcPr>
          <w:p w14:paraId="609197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1.36, 2.11</w:t>
            </w:r>
          </w:p>
        </w:tc>
        <w:tc>
          <w:tcPr>
            <w:tcW w:w="0" w:type="auto"/>
            <w:tcBorders>
              <w:top w:val="nil"/>
              <w:left w:val="nil"/>
              <w:bottom w:val="nil"/>
              <w:right w:val="nil"/>
            </w:tcBorders>
            <w:hideMark/>
          </w:tcPr>
          <w:p w14:paraId="4C5E8A5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c>
          <w:tcPr>
            <w:tcW w:w="0" w:type="auto"/>
            <w:tcBorders>
              <w:top w:val="nil"/>
              <w:left w:val="nil"/>
              <w:bottom w:val="nil"/>
              <w:right w:val="nil"/>
            </w:tcBorders>
            <w:hideMark/>
          </w:tcPr>
          <w:p w14:paraId="61ED6FB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1.59</w:t>
            </w:r>
          </w:p>
        </w:tc>
        <w:tc>
          <w:tcPr>
            <w:tcW w:w="1010" w:type="dxa"/>
            <w:tcBorders>
              <w:top w:val="nil"/>
              <w:left w:val="nil"/>
              <w:bottom w:val="nil"/>
              <w:right w:val="nil"/>
            </w:tcBorders>
            <w:hideMark/>
          </w:tcPr>
          <w:p w14:paraId="6CE47A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1.26, 2.00</w:t>
            </w:r>
          </w:p>
        </w:tc>
        <w:tc>
          <w:tcPr>
            <w:tcW w:w="0" w:type="auto"/>
            <w:tcBorders>
              <w:top w:val="nil"/>
              <w:left w:val="nil"/>
              <w:bottom w:val="nil"/>
              <w:right w:val="nil"/>
            </w:tcBorders>
            <w:hideMark/>
          </w:tcPr>
          <w:p w14:paraId="143B8B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r>
      <w:tr w:rsidR="00F57E7E" w:rsidRPr="007030D1" w14:paraId="3BF5B1D4" w14:textId="77777777" w:rsidTr="00F57E7E">
        <w:trPr>
          <w:trHeight w:hRule="exact" w:val="283"/>
        </w:trPr>
        <w:tc>
          <w:tcPr>
            <w:tcW w:w="0" w:type="auto"/>
            <w:tcBorders>
              <w:top w:val="nil"/>
              <w:left w:val="nil"/>
              <w:bottom w:val="nil"/>
              <w:right w:val="nil"/>
            </w:tcBorders>
            <w:hideMark/>
          </w:tcPr>
          <w:p w14:paraId="33C99B63"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Family history of breast cancer</w:t>
            </w:r>
          </w:p>
        </w:tc>
        <w:tc>
          <w:tcPr>
            <w:tcW w:w="0" w:type="auto"/>
            <w:tcBorders>
              <w:top w:val="nil"/>
              <w:left w:val="nil"/>
              <w:bottom w:val="nil"/>
              <w:right w:val="nil"/>
            </w:tcBorders>
            <w:hideMark/>
          </w:tcPr>
          <w:p w14:paraId="585AF25D"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3410CBF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36E08C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F5323F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3978FA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6DBF4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54EB0B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6DE851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1A3D1B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4B0381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764741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3C6825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183E28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B955BF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312FF32A" w14:textId="77777777" w:rsidTr="00F57E7E">
        <w:trPr>
          <w:trHeight w:hRule="exact" w:val="283"/>
        </w:trPr>
        <w:tc>
          <w:tcPr>
            <w:tcW w:w="0" w:type="auto"/>
            <w:tcBorders>
              <w:top w:val="nil"/>
              <w:left w:val="nil"/>
              <w:bottom w:val="nil"/>
              <w:right w:val="nil"/>
            </w:tcBorders>
            <w:hideMark/>
          </w:tcPr>
          <w:p w14:paraId="5BB3D41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No</w:t>
            </w:r>
          </w:p>
        </w:tc>
        <w:tc>
          <w:tcPr>
            <w:tcW w:w="0" w:type="auto"/>
            <w:tcBorders>
              <w:top w:val="nil"/>
              <w:left w:val="nil"/>
              <w:bottom w:val="nil"/>
              <w:right w:val="nil"/>
            </w:tcBorders>
            <w:hideMark/>
          </w:tcPr>
          <w:p w14:paraId="1CDCCB3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564 (75)</w:t>
            </w:r>
          </w:p>
        </w:tc>
        <w:tc>
          <w:tcPr>
            <w:tcW w:w="0" w:type="auto"/>
            <w:tcBorders>
              <w:top w:val="nil"/>
              <w:left w:val="nil"/>
              <w:bottom w:val="nil"/>
              <w:right w:val="nil"/>
            </w:tcBorders>
            <w:hideMark/>
          </w:tcPr>
          <w:p w14:paraId="5D6D4B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931 (79)</w:t>
            </w:r>
          </w:p>
        </w:tc>
        <w:tc>
          <w:tcPr>
            <w:tcW w:w="0" w:type="auto"/>
            <w:tcBorders>
              <w:top w:val="nil"/>
              <w:left w:val="nil"/>
              <w:bottom w:val="nil"/>
              <w:right w:val="nil"/>
            </w:tcBorders>
            <w:hideMark/>
          </w:tcPr>
          <w:p w14:paraId="44F59E9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1DD2498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75B496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41C0FA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391FAB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24D535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B8233D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D0BFB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FBB438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1E1A3B1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6F5A42F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4C7D47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0A5E7996" w14:textId="77777777" w:rsidTr="00F57E7E">
        <w:trPr>
          <w:trHeight w:hRule="exact" w:val="283"/>
        </w:trPr>
        <w:tc>
          <w:tcPr>
            <w:tcW w:w="0" w:type="auto"/>
            <w:tcBorders>
              <w:top w:val="nil"/>
              <w:left w:val="nil"/>
              <w:bottom w:val="nil"/>
              <w:right w:val="nil"/>
            </w:tcBorders>
            <w:hideMark/>
          </w:tcPr>
          <w:p w14:paraId="179062CF"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Yes</w:t>
            </w:r>
          </w:p>
        </w:tc>
        <w:tc>
          <w:tcPr>
            <w:tcW w:w="0" w:type="auto"/>
            <w:tcBorders>
              <w:top w:val="nil"/>
              <w:left w:val="nil"/>
              <w:bottom w:val="nil"/>
              <w:right w:val="nil"/>
            </w:tcBorders>
            <w:hideMark/>
          </w:tcPr>
          <w:p w14:paraId="192B5CC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191 (25)</w:t>
            </w:r>
          </w:p>
        </w:tc>
        <w:tc>
          <w:tcPr>
            <w:tcW w:w="0" w:type="auto"/>
            <w:tcBorders>
              <w:top w:val="nil"/>
              <w:left w:val="nil"/>
              <w:bottom w:val="nil"/>
              <w:right w:val="nil"/>
            </w:tcBorders>
            <w:hideMark/>
          </w:tcPr>
          <w:p w14:paraId="2F93971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254 (21)</w:t>
            </w:r>
          </w:p>
        </w:tc>
        <w:tc>
          <w:tcPr>
            <w:tcW w:w="0" w:type="auto"/>
            <w:tcBorders>
              <w:top w:val="nil"/>
              <w:left w:val="nil"/>
              <w:bottom w:val="nil"/>
              <w:right w:val="nil"/>
            </w:tcBorders>
            <w:hideMark/>
          </w:tcPr>
          <w:p w14:paraId="4C1706F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1.26</w:t>
            </w:r>
          </w:p>
        </w:tc>
        <w:tc>
          <w:tcPr>
            <w:tcW w:w="1017" w:type="dxa"/>
            <w:tcBorders>
              <w:top w:val="nil"/>
              <w:left w:val="nil"/>
              <w:bottom w:val="nil"/>
              <w:right w:val="nil"/>
            </w:tcBorders>
            <w:hideMark/>
          </w:tcPr>
          <w:p w14:paraId="2A724C5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1.00, 1.57</w:t>
            </w:r>
          </w:p>
        </w:tc>
        <w:tc>
          <w:tcPr>
            <w:tcW w:w="0" w:type="auto"/>
            <w:tcBorders>
              <w:top w:val="nil"/>
              <w:left w:val="nil"/>
              <w:bottom w:val="nil"/>
              <w:right w:val="nil"/>
            </w:tcBorders>
            <w:hideMark/>
          </w:tcPr>
          <w:p w14:paraId="7DE7FBB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0.047</w:t>
            </w:r>
          </w:p>
        </w:tc>
        <w:tc>
          <w:tcPr>
            <w:tcW w:w="0" w:type="auto"/>
            <w:tcBorders>
              <w:top w:val="nil"/>
              <w:left w:val="nil"/>
              <w:bottom w:val="nil"/>
              <w:right w:val="nil"/>
            </w:tcBorders>
            <w:hideMark/>
          </w:tcPr>
          <w:p w14:paraId="47B1D38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1.26</w:t>
            </w:r>
          </w:p>
        </w:tc>
        <w:tc>
          <w:tcPr>
            <w:tcW w:w="1017" w:type="dxa"/>
            <w:tcBorders>
              <w:top w:val="nil"/>
              <w:left w:val="nil"/>
              <w:bottom w:val="nil"/>
              <w:right w:val="nil"/>
            </w:tcBorders>
            <w:hideMark/>
          </w:tcPr>
          <w:p w14:paraId="0C0D001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1.00, 1.58</w:t>
            </w:r>
          </w:p>
        </w:tc>
        <w:tc>
          <w:tcPr>
            <w:tcW w:w="0" w:type="auto"/>
            <w:tcBorders>
              <w:top w:val="nil"/>
              <w:left w:val="nil"/>
              <w:bottom w:val="nil"/>
              <w:right w:val="nil"/>
            </w:tcBorders>
            <w:hideMark/>
          </w:tcPr>
          <w:p w14:paraId="69C8691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0.051</w:t>
            </w:r>
          </w:p>
        </w:tc>
        <w:tc>
          <w:tcPr>
            <w:tcW w:w="0" w:type="auto"/>
            <w:tcBorders>
              <w:top w:val="nil"/>
              <w:left w:val="nil"/>
              <w:bottom w:val="nil"/>
              <w:right w:val="nil"/>
            </w:tcBorders>
            <w:hideMark/>
          </w:tcPr>
          <w:p w14:paraId="487453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1.37</w:t>
            </w:r>
          </w:p>
        </w:tc>
        <w:tc>
          <w:tcPr>
            <w:tcW w:w="1017" w:type="dxa"/>
            <w:tcBorders>
              <w:top w:val="nil"/>
              <w:left w:val="nil"/>
              <w:bottom w:val="nil"/>
              <w:right w:val="nil"/>
            </w:tcBorders>
            <w:hideMark/>
          </w:tcPr>
          <w:p w14:paraId="31C08F8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1.07, 1.75</w:t>
            </w:r>
          </w:p>
        </w:tc>
        <w:tc>
          <w:tcPr>
            <w:tcW w:w="0" w:type="auto"/>
            <w:tcBorders>
              <w:top w:val="nil"/>
              <w:left w:val="nil"/>
              <w:bottom w:val="nil"/>
              <w:right w:val="nil"/>
            </w:tcBorders>
            <w:hideMark/>
          </w:tcPr>
          <w:p w14:paraId="434F31F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0.013</w:t>
            </w:r>
          </w:p>
        </w:tc>
        <w:tc>
          <w:tcPr>
            <w:tcW w:w="0" w:type="auto"/>
            <w:tcBorders>
              <w:top w:val="nil"/>
              <w:left w:val="nil"/>
              <w:bottom w:val="nil"/>
              <w:right w:val="nil"/>
            </w:tcBorders>
            <w:hideMark/>
          </w:tcPr>
          <w:p w14:paraId="503DB2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1.35</w:t>
            </w:r>
          </w:p>
        </w:tc>
        <w:tc>
          <w:tcPr>
            <w:tcW w:w="1010" w:type="dxa"/>
            <w:tcBorders>
              <w:top w:val="nil"/>
              <w:left w:val="nil"/>
              <w:bottom w:val="nil"/>
              <w:right w:val="nil"/>
            </w:tcBorders>
            <w:hideMark/>
          </w:tcPr>
          <w:p w14:paraId="69E60DD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1.05, 1.74</w:t>
            </w:r>
          </w:p>
        </w:tc>
        <w:tc>
          <w:tcPr>
            <w:tcW w:w="0" w:type="auto"/>
            <w:tcBorders>
              <w:top w:val="nil"/>
              <w:left w:val="nil"/>
              <w:bottom w:val="nil"/>
              <w:right w:val="nil"/>
            </w:tcBorders>
            <w:hideMark/>
          </w:tcPr>
          <w:p w14:paraId="39AF04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0.017</w:t>
            </w:r>
          </w:p>
        </w:tc>
      </w:tr>
      <w:tr w:rsidR="00F57E7E" w:rsidRPr="007030D1" w14:paraId="7018A97D" w14:textId="77777777" w:rsidTr="00F57E7E">
        <w:trPr>
          <w:trHeight w:hRule="exact" w:val="283"/>
        </w:trPr>
        <w:tc>
          <w:tcPr>
            <w:tcW w:w="0" w:type="auto"/>
            <w:tcBorders>
              <w:top w:val="nil"/>
              <w:left w:val="nil"/>
              <w:bottom w:val="nil"/>
              <w:right w:val="nil"/>
            </w:tcBorders>
            <w:hideMark/>
          </w:tcPr>
          <w:p w14:paraId="656B1AA6"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BMI at recruitment (kg/m²)</w:t>
            </w:r>
          </w:p>
        </w:tc>
        <w:tc>
          <w:tcPr>
            <w:tcW w:w="0" w:type="auto"/>
            <w:tcBorders>
              <w:top w:val="nil"/>
              <w:left w:val="nil"/>
              <w:bottom w:val="nil"/>
              <w:right w:val="nil"/>
            </w:tcBorders>
            <w:hideMark/>
          </w:tcPr>
          <w:p w14:paraId="58EA441F"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2E442FB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E7E3F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320413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7271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8BA15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3B8994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BDD5ED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8BFF0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3C272E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5BDC6F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C87493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D10F8D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F26D72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1644E89" w14:textId="77777777" w:rsidTr="00F57E7E">
        <w:trPr>
          <w:trHeight w:hRule="exact" w:val="283"/>
        </w:trPr>
        <w:tc>
          <w:tcPr>
            <w:tcW w:w="0" w:type="auto"/>
            <w:tcBorders>
              <w:top w:val="nil"/>
              <w:left w:val="nil"/>
              <w:bottom w:val="nil"/>
              <w:right w:val="nil"/>
            </w:tcBorders>
            <w:hideMark/>
          </w:tcPr>
          <w:p w14:paraId="7D2B14B2"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&lt;18.5</w:t>
            </w:r>
          </w:p>
        </w:tc>
        <w:tc>
          <w:tcPr>
            <w:tcW w:w="0" w:type="auto"/>
            <w:tcBorders>
              <w:top w:val="nil"/>
              <w:left w:val="nil"/>
              <w:bottom w:val="nil"/>
              <w:right w:val="nil"/>
            </w:tcBorders>
            <w:hideMark/>
          </w:tcPr>
          <w:p w14:paraId="78C5ED4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 (1.1)</w:t>
            </w:r>
          </w:p>
        </w:tc>
        <w:tc>
          <w:tcPr>
            <w:tcW w:w="0" w:type="auto"/>
            <w:tcBorders>
              <w:top w:val="nil"/>
              <w:left w:val="nil"/>
              <w:bottom w:val="nil"/>
              <w:right w:val="nil"/>
            </w:tcBorders>
            <w:hideMark/>
          </w:tcPr>
          <w:p w14:paraId="5C2C4C9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 (0.3)</w:t>
            </w:r>
          </w:p>
        </w:tc>
        <w:tc>
          <w:tcPr>
            <w:tcW w:w="0" w:type="auto"/>
            <w:tcBorders>
              <w:top w:val="nil"/>
              <w:left w:val="nil"/>
              <w:bottom w:val="nil"/>
              <w:right w:val="nil"/>
            </w:tcBorders>
            <w:hideMark/>
          </w:tcPr>
          <w:p w14:paraId="2A83966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3.37</w:t>
            </w:r>
          </w:p>
        </w:tc>
        <w:tc>
          <w:tcPr>
            <w:tcW w:w="1017" w:type="dxa"/>
            <w:tcBorders>
              <w:top w:val="nil"/>
              <w:left w:val="nil"/>
              <w:bottom w:val="nil"/>
              <w:right w:val="nil"/>
            </w:tcBorders>
            <w:hideMark/>
          </w:tcPr>
          <w:p w14:paraId="152C9F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0.94, 15.8</w:t>
            </w:r>
          </w:p>
        </w:tc>
        <w:tc>
          <w:tcPr>
            <w:tcW w:w="0" w:type="auto"/>
            <w:tcBorders>
              <w:top w:val="nil"/>
              <w:left w:val="nil"/>
              <w:bottom w:val="nil"/>
              <w:right w:val="nil"/>
            </w:tcBorders>
            <w:hideMark/>
          </w:tcPr>
          <w:p w14:paraId="6C019E5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0.080</w:t>
            </w:r>
          </w:p>
        </w:tc>
        <w:tc>
          <w:tcPr>
            <w:tcW w:w="0" w:type="auto"/>
            <w:tcBorders>
              <w:top w:val="nil"/>
              <w:left w:val="nil"/>
              <w:bottom w:val="nil"/>
              <w:right w:val="nil"/>
            </w:tcBorders>
            <w:hideMark/>
          </w:tcPr>
          <w:p w14:paraId="1523969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4.07</w:t>
            </w:r>
          </w:p>
        </w:tc>
        <w:tc>
          <w:tcPr>
            <w:tcW w:w="1017" w:type="dxa"/>
            <w:tcBorders>
              <w:top w:val="nil"/>
              <w:left w:val="nil"/>
              <w:bottom w:val="nil"/>
              <w:right w:val="nil"/>
            </w:tcBorders>
            <w:hideMark/>
          </w:tcPr>
          <w:p w14:paraId="115500C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1.09, 19.8</w:t>
            </w:r>
          </w:p>
        </w:tc>
        <w:tc>
          <w:tcPr>
            <w:tcW w:w="0" w:type="auto"/>
            <w:tcBorders>
              <w:top w:val="nil"/>
              <w:left w:val="nil"/>
              <w:bottom w:val="nil"/>
              <w:right w:val="nil"/>
            </w:tcBorders>
            <w:hideMark/>
          </w:tcPr>
          <w:p w14:paraId="050C085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0.050</w:t>
            </w:r>
          </w:p>
        </w:tc>
        <w:tc>
          <w:tcPr>
            <w:tcW w:w="0" w:type="auto"/>
            <w:tcBorders>
              <w:top w:val="nil"/>
              <w:left w:val="nil"/>
              <w:bottom w:val="nil"/>
              <w:right w:val="nil"/>
            </w:tcBorders>
            <w:hideMark/>
          </w:tcPr>
          <w:p w14:paraId="39A9E6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3.50</w:t>
            </w:r>
          </w:p>
        </w:tc>
        <w:tc>
          <w:tcPr>
            <w:tcW w:w="1017" w:type="dxa"/>
            <w:tcBorders>
              <w:top w:val="nil"/>
              <w:left w:val="nil"/>
              <w:bottom w:val="nil"/>
              <w:right w:val="nil"/>
            </w:tcBorders>
            <w:hideMark/>
          </w:tcPr>
          <w:p w14:paraId="4608FCF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0.85, 18.2</w:t>
            </w:r>
          </w:p>
        </w:tc>
        <w:tc>
          <w:tcPr>
            <w:tcW w:w="0" w:type="auto"/>
            <w:tcBorders>
              <w:top w:val="nil"/>
              <w:left w:val="nil"/>
              <w:bottom w:val="nil"/>
              <w:right w:val="nil"/>
            </w:tcBorders>
            <w:hideMark/>
          </w:tcPr>
          <w:p w14:paraId="61DDD1D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0.099</w:t>
            </w:r>
          </w:p>
        </w:tc>
        <w:tc>
          <w:tcPr>
            <w:tcW w:w="0" w:type="auto"/>
            <w:tcBorders>
              <w:top w:val="nil"/>
              <w:left w:val="nil"/>
              <w:bottom w:val="nil"/>
              <w:right w:val="nil"/>
            </w:tcBorders>
            <w:hideMark/>
          </w:tcPr>
          <w:p w14:paraId="15C923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4.13</w:t>
            </w:r>
          </w:p>
        </w:tc>
        <w:tc>
          <w:tcPr>
            <w:tcW w:w="1010" w:type="dxa"/>
            <w:tcBorders>
              <w:top w:val="nil"/>
              <w:left w:val="nil"/>
              <w:bottom w:val="nil"/>
              <w:right w:val="nil"/>
            </w:tcBorders>
            <w:hideMark/>
          </w:tcPr>
          <w:p w14:paraId="606B024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0.97, 22.1</w:t>
            </w:r>
          </w:p>
        </w:tc>
        <w:tc>
          <w:tcPr>
            <w:tcW w:w="0" w:type="auto"/>
            <w:tcBorders>
              <w:top w:val="nil"/>
              <w:left w:val="nil"/>
              <w:bottom w:val="nil"/>
              <w:right w:val="nil"/>
            </w:tcBorders>
            <w:hideMark/>
          </w:tcPr>
          <w:p w14:paraId="044475B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0.068</w:t>
            </w:r>
          </w:p>
        </w:tc>
      </w:tr>
      <w:tr w:rsidR="00F57E7E" w:rsidRPr="007030D1" w14:paraId="7965BA30" w14:textId="77777777" w:rsidTr="00F57E7E">
        <w:trPr>
          <w:trHeight w:hRule="exact" w:val="283"/>
        </w:trPr>
        <w:tc>
          <w:tcPr>
            <w:tcW w:w="0" w:type="auto"/>
            <w:tcBorders>
              <w:top w:val="nil"/>
              <w:left w:val="nil"/>
              <w:bottom w:val="nil"/>
              <w:right w:val="nil"/>
            </w:tcBorders>
            <w:hideMark/>
          </w:tcPr>
          <w:p w14:paraId="1025B6F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18.5-25</w:t>
            </w:r>
          </w:p>
        </w:tc>
        <w:tc>
          <w:tcPr>
            <w:tcW w:w="0" w:type="auto"/>
            <w:tcBorders>
              <w:top w:val="nil"/>
              <w:left w:val="nil"/>
              <w:bottom w:val="nil"/>
              <w:right w:val="nil"/>
            </w:tcBorders>
            <w:hideMark/>
          </w:tcPr>
          <w:p w14:paraId="11E7CE8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421 (56)</w:t>
            </w:r>
          </w:p>
        </w:tc>
        <w:tc>
          <w:tcPr>
            <w:tcW w:w="0" w:type="auto"/>
            <w:tcBorders>
              <w:top w:val="nil"/>
              <w:left w:val="nil"/>
              <w:bottom w:val="nil"/>
              <w:right w:val="nil"/>
            </w:tcBorders>
            <w:hideMark/>
          </w:tcPr>
          <w:p w14:paraId="04EA295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550 (46)</w:t>
            </w:r>
          </w:p>
        </w:tc>
        <w:tc>
          <w:tcPr>
            <w:tcW w:w="0" w:type="auto"/>
            <w:tcBorders>
              <w:top w:val="nil"/>
              <w:left w:val="nil"/>
              <w:bottom w:val="nil"/>
              <w:right w:val="nil"/>
            </w:tcBorders>
            <w:hideMark/>
          </w:tcPr>
          <w:p w14:paraId="2640DF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1D766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F8D264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501F5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7244CE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6A6C95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7876BB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13C4C8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14FE8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1A3B92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6102C01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1912C8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2D5A5D74" w14:textId="77777777" w:rsidTr="00F57E7E">
        <w:trPr>
          <w:trHeight w:hRule="exact" w:val="283"/>
        </w:trPr>
        <w:tc>
          <w:tcPr>
            <w:tcW w:w="0" w:type="auto"/>
            <w:tcBorders>
              <w:top w:val="nil"/>
              <w:left w:val="nil"/>
              <w:bottom w:val="nil"/>
              <w:right w:val="nil"/>
            </w:tcBorders>
            <w:hideMark/>
          </w:tcPr>
          <w:p w14:paraId="4EA4B56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25-30</w:t>
            </w:r>
          </w:p>
        </w:tc>
        <w:tc>
          <w:tcPr>
            <w:tcW w:w="0" w:type="auto"/>
            <w:tcBorders>
              <w:top w:val="nil"/>
              <w:left w:val="nil"/>
              <w:bottom w:val="nil"/>
              <w:right w:val="nil"/>
            </w:tcBorders>
            <w:hideMark/>
          </w:tcPr>
          <w:p w14:paraId="1FD014E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203 (27)</w:t>
            </w:r>
          </w:p>
        </w:tc>
        <w:tc>
          <w:tcPr>
            <w:tcW w:w="0" w:type="auto"/>
            <w:tcBorders>
              <w:top w:val="nil"/>
              <w:left w:val="nil"/>
              <w:bottom w:val="nil"/>
              <w:right w:val="nil"/>
            </w:tcBorders>
            <w:hideMark/>
          </w:tcPr>
          <w:p w14:paraId="0CBE854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405 (34)</w:t>
            </w:r>
          </w:p>
        </w:tc>
        <w:tc>
          <w:tcPr>
            <w:tcW w:w="0" w:type="auto"/>
            <w:tcBorders>
              <w:top w:val="nil"/>
              <w:left w:val="nil"/>
              <w:bottom w:val="nil"/>
              <w:right w:val="nil"/>
            </w:tcBorders>
            <w:hideMark/>
          </w:tcPr>
          <w:p w14:paraId="040C112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0.69</w:t>
            </w:r>
          </w:p>
        </w:tc>
        <w:tc>
          <w:tcPr>
            <w:tcW w:w="1017" w:type="dxa"/>
            <w:tcBorders>
              <w:top w:val="nil"/>
              <w:left w:val="nil"/>
              <w:bottom w:val="nil"/>
              <w:right w:val="nil"/>
            </w:tcBorders>
            <w:hideMark/>
          </w:tcPr>
          <w:p w14:paraId="5DFB7BA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0.55, 0.86</w:t>
            </w:r>
          </w:p>
        </w:tc>
        <w:tc>
          <w:tcPr>
            <w:tcW w:w="0" w:type="auto"/>
            <w:tcBorders>
              <w:top w:val="nil"/>
              <w:left w:val="nil"/>
              <w:bottom w:val="nil"/>
              <w:right w:val="nil"/>
            </w:tcBorders>
            <w:hideMark/>
          </w:tcPr>
          <w:p w14:paraId="13C4B2F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0.001</w:t>
            </w:r>
          </w:p>
        </w:tc>
        <w:tc>
          <w:tcPr>
            <w:tcW w:w="0" w:type="auto"/>
            <w:tcBorders>
              <w:top w:val="nil"/>
              <w:left w:val="nil"/>
              <w:bottom w:val="nil"/>
              <w:right w:val="nil"/>
            </w:tcBorders>
            <w:hideMark/>
          </w:tcPr>
          <w:p w14:paraId="7C1308D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0.74</w:t>
            </w:r>
          </w:p>
        </w:tc>
        <w:tc>
          <w:tcPr>
            <w:tcW w:w="1017" w:type="dxa"/>
            <w:tcBorders>
              <w:top w:val="nil"/>
              <w:left w:val="nil"/>
              <w:bottom w:val="nil"/>
              <w:right w:val="nil"/>
            </w:tcBorders>
            <w:hideMark/>
          </w:tcPr>
          <w:p w14:paraId="01463E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0.58, 0.93</w:t>
            </w:r>
          </w:p>
        </w:tc>
        <w:tc>
          <w:tcPr>
            <w:tcW w:w="0" w:type="auto"/>
            <w:tcBorders>
              <w:top w:val="nil"/>
              <w:left w:val="nil"/>
              <w:bottom w:val="nil"/>
              <w:right w:val="nil"/>
            </w:tcBorders>
            <w:hideMark/>
          </w:tcPr>
          <w:p w14:paraId="7EDD4DF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0.009</w:t>
            </w:r>
          </w:p>
        </w:tc>
        <w:tc>
          <w:tcPr>
            <w:tcW w:w="0" w:type="auto"/>
            <w:tcBorders>
              <w:top w:val="nil"/>
              <w:left w:val="nil"/>
              <w:bottom w:val="nil"/>
              <w:right w:val="nil"/>
            </w:tcBorders>
            <w:hideMark/>
          </w:tcPr>
          <w:p w14:paraId="0B053F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0.67</w:t>
            </w:r>
          </w:p>
        </w:tc>
        <w:tc>
          <w:tcPr>
            <w:tcW w:w="1017" w:type="dxa"/>
            <w:tcBorders>
              <w:top w:val="nil"/>
              <w:left w:val="nil"/>
              <w:bottom w:val="nil"/>
              <w:right w:val="nil"/>
            </w:tcBorders>
            <w:hideMark/>
          </w:tcPr>
          <w:p w14:paraId="635267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0.52, 0.85</w:t>
            </w:r>
          </w:p>
        </w:tc>
        <w:tc>
          <w:tcPr>
            <w:tcW w:w="0" w:type="auto"/>
            <w:tcBorders>
              <w:top w:val="nil"/>
              <w:left w:val="nil"/>
              <w:bottom w:val="nil"/>
              <w:right w:val="nil"/>
            </w:tcBorders>
            <w:hideMark/>
          </w:tcPr>
          <w:p w14:paraId="6B66811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0.001</w:t>
            </w:r>
          </w:p>
        </w:tc>
        <w:tc>
          <w:tcPr>
            <w:tcW w:w="0" w:type="auto"/>
            <w:tcBorders>
              <w:top w:val="nil"/>
              <w:left w:val="nil"/>
              <w:bottom w:val="nil"/>
              <w:right w:val="nil"/>
            </w:tcBorders>
            <w:hideMark/>
          </w:tcPr>
          <w:p w14:paraId="56723A7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0.71</w:t>
            </w:r>
          </w:p>
        </w:tc>
        <w:tc>
          <w:tcPr>
            <w:tcW w:w="1010" w:type="dxa"/>
            <w:tcBorders>
              <w:top w:val="nil"/>
              <w:left w:val="nil"/>
              <w:bottom w:val="nil"/>
              <w:right w:val="nil"/>
            </w:tcBorders>
            <w:hideMark/>
          </w:tcPr>
          <w:p w14:paraId="773A10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0.55, 0.91</w:t>
            </w:r>
          </w:p>
        </w:tc>
        <w:tc>
          <w:tcPr>
            <w:tcW w:w="0" w:type="auto"/>
            <w:tcBorders>
              <w:top w:val="nil"/>
              <w:left w:val="nil"/>
              <w:bottom w:val="nil"/>
              <w:right w:val="nil"/>
            </w:tcBorders>
            <w:hideMark/>
          </w:tcPr>
          <w:p w14:paraId="09A8D75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0.007</w:t>
            </w:r>
          </w:p>
        </w:tc>
      </w:tr>
      <w:tr w:rsidR="00F57E7E" w:rsidRPr="007030D1" w14:paraId="4B767AD5" w14:textId="77777777" w:rsidTr="00F57E7E">
        <w:trPr>
          <w:trHeight w:hRule="exact" w:val="283"/>
        </w:trPr>
        <w:tc>
          <w:tcPr>
            <w:tcW w:w="0" w:type="auto"/>
            <w:tcBorders>
              <w:top w:val="nil"/>
              <w:left w:val="nil"/>
              <w:bottom w:val="nil"/>
              <w:right w:val="nil"/>
            </w:tcBorders>
            <w:hideMark/>
          </w:tcPr>
          <w:p w14:paraId="7EC0091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lastRenderedPageBreak/>
              <w:t>30+</w:t>
            </w:r>
          </w:p>
        </w:tc>
        <w:tc>
          <w:tcPr>
            <w:tcW w:w="0" w:type="auto"/>
            <w:tcBorders>
              <w:top w:val="nil"/>
              <w:left w:val="nil"/>
              <w:bottom w:val="nil"/>
              <w:right w:val="nil"/>
            </w:tcBorders>
            <w:hideMark/>
          </w:tcPr>
          <w:p w14:paraId="2829FBB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116 (15)</w:t>
            </w:r>
          </w:p>
        </w:tc>
        <w:tc>
          <w:tcPr>
            <w:tcW w:w="0" w:type="auto"/>
            <w:tcBorders>
              <w:top w:val="nil"/>
              <w:left w:val="nil"/>
              <w:bottom w:val="nil"/>
              <w:right w:val="nil"/>
            </w:tcBorders>
            <w:hideMark/>
          </w:tcPr>
          <w:p w14:paraId="6DAB85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213 (18)</w:t>
            </w:r>
          </w:p>
        </w:tc>
        <w:tc>
          <w:tcPr>
            <w:tcW w:w="0" w:type="auto"/>
            <w:tcBorders>
              <w:top w:val="nil"/>
              <w:left w:val="nil"/>
              <w:bottom w:val="nil"/>
              <w:right w:val="nil"/>
            </w:tcBorders>
            <w:hideMark/>
          </w:tcPr>
          <w:p w14:paraId="681A878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w:t>
            </w:r>
          </w:p>
        </w:tc>
        <w:tc>
          <w:tcPr>
            <w:tcW w:w="1017" w:type="dxa"/>
            <w:tcBorders>
              <w:top w:val="nil"/>
              <w:left w:val="nil"/>
              <w:bottom w:val="nil"/>
              <w:right w:val="nil"/>
            </w:tcBorders>
            <w:hideMark/>
          </w:tcPr>
          <w:p w14:paraId="5CCE0BC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0.59, 1.04</w:t>
            </w:r>
          </w:p>
        </w:tc>
        <w:tc>
          <w:tcPr>
            <w:tcW w:w="0" w:type="auto"/>
            <w:tcBorders>
              <w:top w:val="nil"/>
              <w:left w:val="nil"/>
              <w:bottom w:val="nil"/>
              <w:right w:val="nil"/>
            </w:tcBorders>
            <w:hideMark/>
          </w:tcPr>
          <w:p w14:paraId="67A795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0.092</w:t>
            </w:r>
          </w:p>
        </w:tc>
        <w:tc>
          <w:tcPr>
            <w:tcW w:w="0" w:type="auto"/>
            <w:tcBorders>
              <w:top w:val="nil"/>
              <w:left w:val="nil"/>
              <w:bottom w:val="nil"/>
              <w:right w:val="nil"/>
            </w:tcBorders>
            <w:hideMark/>
          </w:tcPr>
          <w:p w14:paraId="231C94A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7" w:type="dxa"/>
            <w:tcBorders>
              <w:top w:val="nil"/>
              <w:left w:val="nil"/>
              <w:bottom w:val="nil"/>
              <w:right w:val="nil"/>
            </w:tcBorders>
            <w:hideMark/>
          </w:tcPr>
          <w:p w14:paraId="1A7E74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0.66, 1.19</w:t>
            </w:r>
          </w:p>
        </w:tc>
        <w:tc>
          <w:tcPr>
            <w:tcW w:w="0" w:type="auto"/>
            <w:tcBorders>
              <w:top w:val="nil"/>
              <w:left w:val="nil"/>
              <w:bottom w:val="nil"/>
              <w:right w:val="nil"/>
            </w:tcBorders>
            <w:hideMark/>
          </w:tcPr>
          <w:p w14:paraId="004ECD5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0.416</w:t>
            </w:r>
          </w:p>
        </w:tc>
        <w:tc>
          <w:tcPr>
            <w:tcW w:w="0" w:type="auto"/>
            <w:tcBorders>
              <w:top w:val="nil"/>
              <w:left w:val="nil"/>
              <w:bottom w:val="nil"/>
              <w:right w:val="nil"/>
            </w:tcBorders>
            <w:hideMark/>
          </w:tcPr>
          <w:p w14:paraId="6A27664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0.73</w:t>
            </w:r>
          </w:p>
        </w:tc>
        <w:tc>
          <w:tcPr>
            <w:tcW w:w="1017" w:type="dxa"/>
            <w:tcBorders>
              <w:top w:val="nil"/>
              <w:left w:val="nil"/>
              <w:bottom w:val="nil"/>
              <w:right w:val="nil"/>
            </w:tcBorders>
            <w:hideMark/>
          </w:tcPr>
          <w:p w14:paraId="048C9BE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0.53, 1.00</w:t>
            </w:r>
          </w:p>
        </w:tc>
        <w:tc>
          <w:tcPr>
            <w:tcW w:w="0" w:type="auto"/>
            <w:tcBorders>
              <w:top w:val="nil"/>
              <w:left w:val="nil"/>
              <w:bottom w:val="nil"/>
              <w:right w:val="nil"/>
            </w:tcBorders>
            <w:hideMark/>
          </w:tcPr>
          <w:p w14:paraId="21468F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0.052</w:t>
            </w:r>
          </w:p>
        </w:tc>
        <w:tc>
          <w:tcPr>
            <w:tcW w:w="0" w:type="auto"/>
            <w:tcBorders>
              <w:top w:val="nil"/>
              <w:left w:val="nil"/>
              <w:bottom w:val="nil"/>
              <w:right w:val="nil"/>
            </w:tcBorders>
            <w:hideMark/>
          </w:tcPr>
          <w:p w14:paraId="2B0CD6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0.83</w:t>
            </w:r>
          </w:p>
        </w:tc>
        <w:tc>
          <w:tcPr>
            <w:tcW w:w="1010" w:type="dxa"/>
            <w:tcBorders>
              <w:top w:val="nil"/>
              <w:left w:val="nil"/>
              <w:bottom w:val="nil"/>
              <w:right w:val="nil"/>
            </w:tcBorders>
            <w:hideMark/>
          </w:tcPr>
          <w:p w14:paraId="269D71A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0.60, 1.15</w:t>
            </w:r>
          </w:p>
        </w:tc>
        <w:tc>
          <w:tcPr>
            <w:tcW w:w="0" w:type="auto"/>
            <w:tcBorders>
              <w:top w:val="nil"/>
              <w:left w:val="nil"/>
              <w:bottom w:val="nil"/>
              <w:right w:val="nil"/>
            </w:tcBorders>
            <w:hideMark/>
          </w:tcPr>
          <w:p w14:paraId="011CDD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0.272</w:t>
            </w:r>
          </w:p>
        </w:tc>
      </w:tr>
      <w:tr w:rsidR="00F57E7E" w:rsidRPr="007030D1" w14:paraId="244DB7B4" w14:textId="77777777" w:rsidTr="00F57E7E">
        <w:trPr>
          <w:trHeight w:hRule="exact" w:val="283"/>
        </w:trPr>
        <w:tc>
          <w:tcPr>
            <w:tcW w:w="0" w:type="auto"/>
            <w:tcBorders>
              <w:top w:val="nil"/>
              <w:left w:val="nil"/>
              <w:bottom w:val="nil"/>
              <w:right w:val="nil"/>
            </w:tcBorders>
            <w:hideMark/>
          </w:tcPr>
          <w:p w14:paraId="1B532A6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608E7B5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 (0.9)</w:t>
            </w:r>
          </w:p>
        </w:tc>
        <w:tc>
          <w:tcPr>
            <w:tcW w:w="0" w:type="auto"/>
            <w:tcBorders>
              <w:top w:val="nil"/>
              <w:left w:val="nil"/>
              <w:bottom w:val="nil"/>
              <w:right w:val="nil"/>
            </w:tcBorders>
            <w:hideMark/>
          </w:tcPr>
          <w:p w14:paraId="551FD01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 (1.2)</w:t>
            </w:r>
          </w:p>
        </w:tc>
        <w:tc>
          <w:tcPr>
            <w:tcW w:w="0" w:type="auto"/>
            <w:tcBorders>
              <w:top w:val="nil"/>
              <w:left w:val="nil"/>
              <w:bottom w:val="nil"/>
              <w:right w:val="nil"/>
            </w:tcBorders>
            <w:hideMark/>
          </w:tcPr>
          <w:p w14:paraId="407DECE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39F518E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AC9335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3C3F0F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EFF20F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C9FC41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833BBC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3B82F1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BF4599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81E62A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0BA93B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C22D3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0CF73EAD" w14:textId="77777777" w:rsidTr="00F57E7E">
        <w:trPr>
          <w:trHeight w:hRule="exact" w:val="283"/>
        </w:trPr>
        <w:tc>
          <w:tcPr>
            <w:tcW w:w="0" w:type="auto"/>
            <w:tcBorders>
              <w:top w:val="nil"/>
              <w:left w:val="nil"/>
              <w:bottom w:val="nil"/>
              <w:right w:val="nil"/>
            </w:tcBorders>
            <w:hideMark/>
          </w:tcPr>
          <w:p w14:paraId="548D3F9E"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BMI at age 20 (kg/m²)</w:t>
            </w:r>
          </w:p>
        </w:tc>
        <w:tc>
          <w:tcPr>
            <w:tcW w:w="0" w:type="auto"/>
            <w:tcBorders>
              <w:top w:val="nil"/>
              <w:left w:val="nil"/>
              <w:bottom w:val="nil"/>
              <w:right w:val="nil"/>
            </w:tcBorders>
            <w:hideMark/>
          </w:tcPr>
          <w:p w14:paraId="49CE7853"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10EADF8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D8DC33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286DCE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AD5BED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5083DE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83B156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DB074B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579A29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65E363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753D0C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57C22B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64C1BC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D2403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00EF4BFC" w14:textId="77777777" w:rsidTr="00F57E7E">
        <w:trPr>
          <w:trHeight w:hRule="exact" w:val="283"/>
        </w:trPr>
        <w:tc>
          <w:tcPr>
            <w:tcW w:w="0" w:type="auto"/>
            <w:tcBorders>
              <w:top w:val="nil"/>
              <w:left w:val="nil"/>
              <w:bottom w:val="nil"/>
              <w:right w:val="nil"/>
            </w:tcBorders>
            <w:hideMark/>
          </w:tcPr>
          <w:p w14:paraId="042C3683"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&lt;18.5</w:t>
            </w:r>
          </w:p>
        </w:tc>
        <w:tc>
          <w:tcPr>
            <w:tcW w:w="0" w:type="auto"/>
            <w:tcBorders>
              <w:top w:val="nil"/>
              <w:left w:val="nil"/>
              <w:bottom w:val="nil"/>
              <w:right w:val="nil"/>
            </w:tcBorders>
            <w:hideMark/>
          </w:tcPr>
          <w:p w14:paraId="2F33F3E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77 (10)</w:t>
            </w:r>
          </w:p>
        </w:tc>
        <w:tc>
          <w:tcPr>
            <w:tcW w:w="0" w:type="auto"/>
            <w:tcBorders>
              <w:top w:val="nil"/>
              <w:left w:val="nil"/>
              <w:bottom w:val="nil"/>
              <w:right w:val="nil"/>
            </w:tcBorders>
            <w:hideMark/>
          </w:tcPr>
          <w:p w14:paraId="772043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72 (6.1)</w:t>
            </w:r>
          </w:p>
        </w:tc>
        <w:tc>
          <w:tcPr>
            <w:tcW w:w="0" w:type="auto"/>
            <w:tcBorders>
              <w:top w:val="nil"/>
              <w:left w:val="nil"/>
              <w:bottom w:val="nil"/>
              <w:right w:val="nil"/>
            </w:tcBorders>
            <w:hideMark/>
          </w:tcPr>
          <w:p w14:paraId="2BC77F0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1.59</w:t>
            </w:r>
          </w:p>
        </w:tc>
        <w:tc>
          <w:tcPr>
            <w:tcW w:w="1017" w:type="dxa"/>
            <w:tcBorders>
              <w:top w:val="nil"/>
              <w:left w:val="nil"/>
              <w:bottom w:val="nil"/>
              <w:right w:val="nil"/>
            </w:tcBorders>
            <w:hideMark/>
          </w:tcPr>
          <w:p w14:paraId="1F60B52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1.10, 2.28</w:t>
            </w:r>
          </w:p>
        </w:tc>
        <w:tc>
          <w:tcPr>
            <w:tcW w:w="0" w:type="auto"/>
            <w:tcBorders>
              <w:top w:val="nil"/>
              <w:left w:val="nil"/>
              <w:bottom w:val="nil"/>
              <w:right w:val="nil"/>
            </w:tcBorders>
            <w:hideMark/>
          </w:tcPr>
          <w:p w14:paraId="5C12D7A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0.012</w:t>
            </w:r>
          </w:p>
        </w:tc>
        <w:tc>
          <w:tcPr>
            <w:tcW w:w="0" w:type="auto"/>
            <w:tcBorders>
              <w:top w:val="nil"/>
              <w:left w:val="nil"/>
              <w:bottom w:val="nil"/>
              <w:right w:val="nil"/>
            </w:tcBorders>
            <w:hideMark/>
          </w:tcPr>
          <w:p w14:paraId="59E757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1.65</w:t>
            </w:r>
          </w:p>
        </w:tc>
        <w:tc>
          <w:tcPr>
            <w:tcW w:w="1017" w:type="dxa"/>
            <w:tcBorders>
              <w:top w:val="nil"/>
              <w:left w:val="nil"/>
              <w:bottom w:val="nil"/>
              <w:right w:val="nil"/>
            </w:tcBorders>
            <w:hideMark/>
          </w:tcPr>
          <w:p w14:paraId="1B1CD69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1.14, 2.38</w:t>
            </w:r>
          </w:p>
        </w:tc>
        <w:tc>
          <w:tcPr>
            <w:tcW w:w="0" w:type="auto"/>
            <w:tcBorders>
              <w:top w:val="nil"/>
              <w:left w:val="nil"/>
              <w:bottom w:val="nil"/>
              <w:right w:val="nil"/>
            </w:tcBorders>
            <w:hideMark/>
          </w:tcPr>
          <w:p w14:paraId="3C61CAF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0.008</w:t>
            </w:r>
          </w:p>
        </w:tc>
        <w:tc>
          <w:tcPr>
            <w:tcW w:w="0" w:type="auto"/>
            <w:tcBorders>
              <w:top w:val="nil"/>
              <w:left w:val="nil"/>
              <w:bottom w:val="nil"/>
              <w:right w:val="nil"/>
            </w:tcBorders>
            <w:hideMark/>
          </w:tcPr>
          <w:p w14:paraId="0EB3D9E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1.47</w:t>
            </w:r>
          </w:p>
        </w:tc>
        <w:tc>
          <w:tcPr>
            <w:tcW w:w="1017" w:type="dxa"/>
            <w:tcBorders>
              <w:top w:val="nil"/>
              <w:left w:val="nil"/>
              <w:bottom w:val="nil"/>
              <w:right w:val="nil"/>
            </w:tcBorders>
            <w:hideMark/>
          </w:tcPr>
          <w:p w14:paraId="24BAE53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0.99, 2.19</w:t>
            </w:r>
          </w:p>
        </w:tc>
        <w:tc>
          <w:tcPr>
            <w:tcW w:w="0" w:type="auto"/>
            <w:tcBorders>
              <w:top w:val="nil"/>
              <w:left w:val="nil"/>
              <w:bottom w:val="nil"/>
              <w:right w:val="nil"/>
            </w:tcBorders>
            <w:hideMark/>
          </w:tcPr>
          <w:p w14:paraId="30F7F2E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0.059</w:t>
            </w:r>
          </w:p>
        </w:tc>
        <w:tc>
          <w:tcPr>
            <w:tcW w:w="0" w:type="auto"/>
            <w:tcBorders>
              <w:top w:val="nil"/>
              <w:left w:val="nil"/>
              <w:bottom w:val="nil"/>
              <w:right w:val="nil"/>
            </w:tcBorders>
            <w:hideMark/>
          </w:tcPr>
          <w:p w14:paraId="332D664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1.50</w:t>
            </w:r>
          </w:p>
        </w:tc>
        <w:tc>
          <w:tcPr>
            <w:tcW w:w="1010" w:type="dxa"/>
            <w:tcBorders>
              <w:top w:val="nil"/>
              <w:left w:val="nil"/>
              <w:bottom w:val="nil"/>
              <w:right w:val="nil"/>
            </w:tcBorders>
            <w:hideMark/>
          </w:tcPr>
          <w:p w14:paraId="6FBA532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1.00, 2.25</w:t>
            </w:r>
          </w:p>
        </w:tc>
        <w:tc>
          <w:tcPr>
            <w:tcW w:w="0" w:type="auto"/>
            <w:tcBorders>
              <w:top w:val="nil"/>
              <w:left w:val="nil"/>
              <w:bottom w:val="nil"/>
              <w:right w:val="nil"/>
            </w:tcBorders>
            <w:hideMark/>
          </w:tcPr>
          <w:p w14:paraId="5A155F2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0.049</w:t>
            </w:r>
          </w:p>
        </w:tc>
      </w:tr>
      <w:tr w:rsidR="00F57E7E" w:rsidRPr="007030D1" w14:paraId="67A4F40A" w14:textId="77777777" w:rsidTr="00F57E7E">
        <w:trPr>
          <w:trHeight w:hRule="exact" w:val="283"/>
        </w:trPr>
        <w:tc>
          <w:tcPr>
            <w:tcW w:w="0" w:type="auto"/>
            <w:tcBorders>
              <w:top w:val="nil"/>
              <w:left w:val="nil"/>
              <w:bottom w:val="nil"/>
              <w:right w:val="nil"/>
            </w:tcBorders>
            <w:hideMark/>
          </w:tcPr>
          <w:p w14:paraId="7742B19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18.5-25</w:t>
            </w:r>
          </w:p>
        </w:tc>
        <w:tc>
          <w:tcPr>
            <w:tcW w:w="0" w:type="auto"/>
            <w:tcBorders>
              <w:top w:val="nil"/>
              <w:left w:val="nil"/>
              <w:bottom w:val="nil"/>
              <w:right w:val="nil"/>
            </w:tcBorders>
            <w:hideMark/>
          </w:tcPr>
          <w:p w14:paraId="54A43D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506 (67)</w:t>
            </w:r>
          </w:p>
        </w:tc>
        <w:tc>
          <w:tcPr>
            <w:tcW w:w="0" w:type="auto"/>
            <w:tcBorders>
              <w:top w:val="nil"/>
              <w:left w:val="nil"/>
              <w:bottom w:val="nil"/>
              <w:right w:val="nil"/>
            </w:tcBorders>
            <w:hideMark/>
          </w:tcPr>
          <w:p w14:paraId="3BD789A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828 (70)</w:t>
            </w:r>
          </w:p>
        </w:tc>
        <w:tc>
          <w:tcPr>
            <w:tcW w:w="0" w:type="auto"/>
            <w:tcBorders>
              <w:top w:val="nil"/>
              <w:left w:val="nil"/>
              <w:bottom w:val="nil"/>
              <w:right w:val="nil"/>
            </w:tcBorders>
            <w:hideMark/>
          </w:tcPr>
          <w:p w14:paraId="56C889B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6657CDE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182048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3F3CBE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AE29DE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2D1B01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15C58A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EC1449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771843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8E900C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4DCF95E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FB5AC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7A3496E5" w14:textId="77777777" w:rsidTr="00F57E7E">
        <w:trPr>
          <w:trHeight w:hRule="exact" w:val="283"/>
        </w:trPr>
        <w:tc>
          <w:tcPr>
            <w:tcW w:w="0" w:type="auto"/>
            <w:tcBorders>
              <w:top w:val="nil"/>
              <w:left w:val="nil"/>
              <w:bottom w:val="nil"/>
              <w:right w:val="nil"/>
            </w:tcBorders>
            <w:hideMark/>
          </w:tcPr>
          <w:p w14:paraId="3E331C0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w:t>
            </w:r>
          </w:p>
        </w:tc>
        <w:tc>
          <w:tcPr>
            <w:tcW w:w="0" w:type="auto"/>
            <w:tcBorders>
              <w:top w:val="nil"/>
              <w:left w:val="nil"/>
              <w:bottom w:val="nil"/>
              <w:right w:val="nil"/>
            </w:tcBorders>
            <w:hideMark/>
          </w:tcPr>
          <w:p w14:paraId="49C7A7D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39 (5.2)</w:t>
            </w:r>
          </w:p>
        </w:tc>
        <w:tc>
          <w:tcPr>
            <w:tcW w:w="0" w:type="auto"/>
            <w:tcBorders>
              <w:top w:val="nil"/>
              <w:left w:val="nil"/>
              <w:bottom w:val="nil"/>
              <w:right w:val="nil"/>
            </w:tcBorders>
            <w:hideMark/>
          </w:tcPr>
          <w:p w14:paraId="0B7FA94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69 (5.8)</w:t>
            </w:r>
          </w:p>
        </w:tc>
        <w:tc>
          <w:tcPr>
            <w:tcW w:w="0" w:type="auto"/>
            <w:tcBorders>
              <w:top w:val="nil"/>
              <w:left w:val="nil"/>
              <w:bottom w:val="nil"/>
              <w:right w:val="nil"/>
            </w:tcBorders>
            <w:hideMark/>
          </w:tcPr>
          <w:p w14:paraId="3B8D89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w:t>
            </w:r>
          </w:p>
        </w:tc>
        <w:tc>
          <w:tcPr>
            <w:tcW w:w="1017" w:type="dxa"/>
            <w:tcBorders>
              <w:top w:val="nil"/>
              <w:left w:val="nil"/>
              <w:bottom w:val="nil"/>
              <w:right w:val="nil"/>
            </w:tcBorders>
            <w:hideMark/>
          </w:tcPr>
          <w:p w14:paraId="3FE82C0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0.66, 1.60</w:t>
            </w:r>
          </w:p>
        </w:tc>
        <w:tc>
          <w:tcPr>
            <w:tcW w:w="0" w:type="auto"/>
            <w:tcBorders>
              <w:top w:val="nil"/>
              <w:left w:val="nil"/>
              <w:bottom w:val="nil"/>
              <w:right w:val="nil"/>
            </w:tcBorders>
            <w:hideMark/>
          </w:tcPr>
          <w:p w14:paraId="48EE1BD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0.875</w:t>
            </w:r>
          </w:p>
        </w:tc>
        <w:tc>
          <w:tcPr>
            <w:tcW w:w="0" w:type="auto"/>
            <w:tcBorders>
              <w:top w:val="nil"/>
              <w:left w:val="nil"/>
              <w:bottom w:val="nil"/>
              <w:right w:val="nil"/>
            </w:tcBorders>
            <w:hideMark/>
          </w:tcPr>
          <w:p w14:paraId="71AF581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1.13</w:t>
            </w:r>
          </w:p>
        </w:tc>
        <w:tc>
          <w:tcPr>
            <w:tcW w:w="1017" w:type="dxa"/>
            <w:tcBorders>
              <w:top w:val="nil"/>
              <w:left w:val="nil"/>
              <w:bottom w:val="nil"/>
              <w:right w:val="nil"/>
            </w:tcBorders>
            <w:hideMark/>
          </w:tcPr>
          <w:p w14:paraId="6ED2E7F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0.72, 1.77</w:t>
            </w:r>
          </w:p>
        </w:tc>
        <w:tc>
          <w:tcPr>
            <w:tcW w:w="0" w:type="auto"/>
            <w:tcBorders>
              <w:top w:val="nil"/>
              <w:left w:val="nil"/>
              <w:bottom w:val="nil"/>
              <w:right w:val="nil"/>
            </w:tcBorders>
            <w:hideMark/>
          </w:tcPr>
          <w:p w14:paraId="2C19830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0.580</w:t>
            </w:r>
          </w:p>
        </w:tc>
        <w:tc>
          <w:tcPr>
            <w:tcW w:w="0" w:type="auto"/>
            <w:tcBorders>
              <w:top w:val="nil"/>
              <w:left w:val="nil"/>
              <w:bottom w:val="nil"/>
              <w:right w:val="nil"/>
            </w:tcBorders>
            <w:hideMark/>
          </w:tcPr>
          <w:p w14:paraId="69C4D2C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1.06</w:t>
            </w:r>
          </w:p>
        </w:tc>
        <w:tc>
          <w:tcPr>
            <w:tcW w:w="1017" w:type="dxa"/>
            <w:tcBorders>
              <w:top w:val="nil"/>
              <w:left w:val="nil"/>
              <w:bottom w:val="nil"/>
              <w:right w:val="nil"/>
            </w:tcBorders>
            <w:hideMark/>
          </w:tcPr>
          <w:p w14:paraId="3ED7D6D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0.65, 1.70</w:t>
            </w:r>
          </w:p>
        </w:tc>
        <w:tc>
          <w:tcPr>
            <w:tcW w:w="0" w:type="auto"/>
            <w:tcBorders>
              <w:top w:val="nil"/>
              <w:left w:val="nil"/>
              <w:bottom w:val="nil"/>
              <w:right w:val="nil"/>
            </w:tcBorders>
            <w:hideMark/>
          </w:tcPr>
          <w:p w14:paraId="7959E42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0.811</w:t>
            </w:r>
          </w:p>
        </w:tc>
        <w:tc>
          <w:tcPr>
            <w:tcW w:w="0" w:type="auto"/>
            <w:tcBorders>
              <w:top w:val="nil"/>
              <w:left w:val="nil"/>
              <w:bottom w:val="nil"/>
              <w:right w:val="nil"/>
            </w:tcBorders>
            <w:hideMark/>
          </w:tcPr>
          <w:p w14:paraId="089365A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1.16</w:t>
            </w:r>
          </w:p>
        </w:tc>
        <w:tc>
          <w:tcPr>
            <w:tcW w:w="1010" w:type="dxa"/>
            <w:tcBorders>
              <w:top w:val="nil"/>
              <w:left w:val="nil"/>
              <w:bottom w:val="nil"/>
              <w:right w:val="nil"/>
            </w:tcBorders>
            <w:hideMark/>
          </w:tcPr>
          <w:p w14:paraId="19B02A5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0.71, 1.87</w:t>
            </w:r>
          </w:p>
        </w:tc>
        <w:tc>
          <w:tcPr>
            <w:tcW w:w="0" w:type="auto"/>
            <w:tcBorders>
              <w:top w:val="nil"/>
              <w:left w:val="nil"/>
              <w:bottom w:val="nil"/>
              <w:right w:val="nil"/>
            </w:tcBorders>
            <w:hideMark/>
          </w:tcPr>
          <w:p w14:paraId="1655F21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0.559</w:t>
            </w:r>
          </w:p>
        </w:tc>
      </w:tr>
      <w:tr w:rsidR="00F57E7E" w:rsidRPr="007030D1" w14:paraId="61685EF3" w14:textId="77777777" w:rsidTr="00F57E7E">
        <w:trPr>
          <w:trHeight w:hRule="exact" w:val="283"/>
        </w:trPr>
        <w:tc>
          <w:tcPr>
            <w:tcW w:w="0" w:type="auto"/>
            <w:tcBorders>
              <w:top w:val="nil"/>
              <w:left w:val="nil"/>
              <w:bottom w:val="nil"/>
              <w:right w:val="nil"/>
            </w:tcBorders>
            <w:hideMark/>
          </w:tcPr>
          <w:p w14:paraId="4E8DC0C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2F29A0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133 (18)</w:t>
            </w:r>
          </w:p>
        </w:tc>
        <w:tc>
          <w:tcPr>
            <w:tcW w:w="0" w:type="auto"/>
            <w:tcBorders>
              <w:top w:val="nil"/>
              <w:left w:val="nil"/>
              <w:bottom w:val="nil"/>
              <w:right w:val="nil"/>
            </w:tcBorders>
            <w:hideMark/>
          </w:tcPr>
          <w:p w14:paraId="6B024B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216 (18)</w:t>
            </w:r>
          </w:p>
        </w:tc>
        <w:tc>
          <w:tcPr>
            <w:tcW w:w="0" w:type="auto"/>
            <w:tcBorders>
              <w:top w:val="nil"/>
              <w:left w:val="nil"/>
              <w:bottom w:val="nil"/>
              <w:right w:val="nil"/>
            </w:tcBorders>
            <w:hideMark/>
          </w:tcPr>
          <w:p w14:paraId="5217190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5B28364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B70AA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91F64E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46DF3E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3237E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696D2F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327020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A84986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BD7C8E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4042AE0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91A4F7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76600348" w14:textId="77777777" w:rsidTr="00F57E7E">
        <w:trPr>
          <w:trHeight w:hRule="exact" w:val="283"/>
        </w:trPr>
        <w:tc>
          <w:tcPr>
            <w:tcW w:w="0" w:type="auto"/>
            <w:tcBorders>
              <w:top w:val="nil"/>
              <w:left w:val="nil"/>
              <w:bottom w:val="nil"/>
              <w:right w:val="nil"/>
            </w:tcBorders>
            <w:hideMark/>
          </w:tcPr>
          <w:p w14:paraId="7C0F89BC"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Physical activity (MET h/</w:t>
            </w:r>
            <w:proofErr w:type="spellStart"/>
            <w:r w:rsidRPr="007030D1">
              <w:rPr>
                <w:rFonts w:ascii="Aptos Narrow" w:eastAsia="Times New Roman" w:hAnsi="Aptos Narrow" w:cs="Arial"/>
                <w:b/>
                <w:bCs/>
                <w:kern w:val="0"/>
                <w:sz w:val="22"/>
                <w:lang w:eastAsia="en-GB"/>
                <w14:ligatures w14:val="none"/>
              </w:rPr>
              <w:t>wk</w:t>
            </w:r>
            <w:proofErr w:type="spellEnd"/>
            <w:r w:rsidRPr="007030D1">
              <w:rPr>
                <w:rFonts w:ascii="Aptos Narrow" w:eastAsia="Times New Roman" w:hAnsi="Aptos Narrow" w:cs="Arial"/>
                <w:b/>
                <w:bCs/>
                <w:kern w:val="0"/>
                <w:sz w:val="22"/>
                <w:lang w:eastAsia="en-GB"/>
                <w14:ligatures w14:val="none"/>
              </w:rPr>
              <w:t>)</w:t>
            </w:r>
          </w:p>
        </w:tc>
        <w:tc>
          <w:tcPr>
            <w:tcW w:w="0" w:type="auto"/>
            <w:tcBorders>
              <w:top w:val="nil"/>
              <w:left w:val="nil"/>
              <w:bottom w:val="nil"/>
              <w:right w:val="nil"/>
            </w:tcBorders>
            <w:hideMark/>
          </w:tcPr>
          <w:p w14:paraId="7B23DBFE"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29BB924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BE7F3D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C81E8C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ECBEF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A3D68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86B08C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D3CE2E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3D8C61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E34B0B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66CD53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83D872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B770F5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194D94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212F203A" w14:textId="77777777" w:rsidTr="00F57E7E">
        <w:trPr>
          <w:trHeight w:hRule="exact" w:val="283"/>
        </w:trPr>
        <w:tc>
          <w:tcPr>
            <w:tcW w:w="0" w:type="auto"/>
            <w:tcBorders>
              <w:top w:val="nil"/>
              <w:left w:val="nil"/>
              <w:bottom w:val="nil"/>
              <w:right w:val="nil"/>
            </w:tcBorders>
            <w:hideMark/>
          </w:tcPr>
          <w:p w14:paraId="5C6ACB7A" w14:textId="77777777" w:rsidR="007030D1" w:rsidRPr="007030D1" w:rsidRDefault="008A6972" w:rsidP="007030D1">
            <w:pPr>
              <w:widowControl w:val="0"/>
              <w:spacing w:after="0" w:line="240" w:lineRule="auto"/>
              <w:rPr>
                <w:rFonts w:eastAsia="Times New Roman" w:cs="Arial"/>
                <w:color w:val="000000"/>
                <w:kern w:val="0"/>
                <w:sz w:val="16"/>
                <w:szCs w:val="16"/>
                <w:lang w:eastAsia="en-GB"/>
                <w14:ligatures w14:val="none"/>
              </w:rPr>
            </w:pPr>
            <w:r>
              <w:rPr>
                <w:rFonts w:eastAsia="Times New Roman" w:cs="Arial"/>
                <w:color w:val="000000"/>
                <w:kern w:val="0"/>
                <w:sz w:val="16"/>
                <w:szCs w:val="16"/>
                <w:lang w:eastAsia="en-GB"/>
                <w14:ligatures w14:val="none"/>
              </w:rPr>
              <w:t>&lt;9</w:t>
            </w:r>
          </w:p>
        </w:tc>
        <w:tc>
          <w:tcPr>
            <w:tcW w:w="0" w:type="auto"/>
            <w:tcBorders>
              <w:top w:val="nil"/>
              <w:left w:val="nil"/>
              <w:bottom w:val="nil"/>
              <w:right w:val="nil"/>
            </w:tcBorders>
            <w:hideMark/>
          </w:tcPr>
          <w:p w14:paraId="080CFDE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153 (20)</w:t>
            </w:r>
          </w:p>
        </w:tc>
        <w:tc>
          <w:tcPr>
            <w:tcW w:w="0" w:type="auto"/>
            <w:tcBorders>
              <w:top w:val="nil"/>
              <w:left w:val="nil"/>
              <w:bottom w:val="nil"/>
              <w:right w:val="nil"/>
            </w:tcBorders>
            <w:hideMark/>
          </w:tcPr>
          <w:p w14:paraId="757681E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271 (23)</w:t>
            </w:r>
          </w:p>
        </w:tc>
        <w:tc>
          <w:tcPr>
            <w:tcW w:w="0" w:type="auto"/>
            <w:tcBorders>
              <w:top w:val="nil"/>
              <w:left w:val="nil"/>
              <w:bottom w:val="nil"/>
              <w:right w:val="nil"/>
            </w:tcBorders>
            <w:hideMark/>
          </w:tcPr>
          <w:p w14:paraId="5E62711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0198F75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4558DB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12B49E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4BFEC3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1D652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563435C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BFF03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133766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5E51B59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7FB044F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8535D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07467408" w14:textId="77777777" w:rsidTr="00F57E7E">
        <w:trPr>
          <w:trHeight w:hRule="exact" w:val="283"/>
        </w:trPr>
        <w:tc>
          <w:tcPr>
            <w:tcW w:w="0" w:type="auto"/>
            <w:tcBorders>
              <w:top w:val="nil"/>
              <w:left w:val="nil"/>
              <w:bottom w:val="nil"/>
              <w:right w:val="nil"/>
            </w:tcBorders>
            <w:hideMark/>
          </w:tcPr>
          <w:p w14:paraId="27F40EF6"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9-17</w:t>
            </w:r>
          </w:p>
        </w:tc>
        <w:tc>
          <w:tcPr>
            <w:tcW w:w="0" w:type="auto"/>
            <w:tcBorders>
              <w:top w:val="nil"/>
              <w:left w:val="nil"/>
              <w:bottom w:val="nil"/>
              <w:right w:val="nil"/>
            </w:tcBorders>
            <w:hideMark/>
          </w:tcPr>
          <w:p w14:paraId="58EECE8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145 (19)</w:t>
            </w:r>
          </w:p>
        </w:tc>
        <w:tc>
          <w:tcPr>
            <w:tcW w:w="0" w:type="auto"/>
            <w:tcBorders>
              <w:top w:val="nil"/>
              <w:left w:val="nil"/>
              <w:bottom w:val="nil"/>
              <w:right w:val="nil"/>
            </w:tcBorders>
            <w:hideMark/>
          </w:tcPr>
          <w:p w14:paraId="5C76F99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246 (21)</w:t>
            </w:r>
          </w:p>
        </w:tc>
        <w:tc>
          <w:tcPr>
            <w:tcW w:w="0" w:type="auto"/>
            <w:tcBorders>
              <w:top w:val="nil"/>
              <w:left w:val="nil"/>
              <w:bottom w:val="nil"/>
              <w:right w:val="nil"/>
            </w:tcBorders>
            <w:hideMark/>
          </w:tcPr>
          <w:p w14:paraId="5B523E8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w:t>
            </w:r>
          </w:p>
        </w:tc>
        <w:tc>
          <w:tcPr>
            <w:tcW w:w="1017" w:type="dxa"/>
            <w:tcBorders>
              <w:top w:val="nil"/>
              <w:left w:val="nil"/>
              <w:bottom w:val="nil"/>
              <w:right w:val="nil"/>
            </w:tcBorders>
            <w:hideMark/>
          </w:tcPr>
          <w:p w14:paraId="7D35494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0.76, 1.37</w:t>
            </w:r>
          </w:p>
        </w:tc>
        <w:tc>
          <w:tcPr>
            <w:tcW w:w="0" w:type="auto"/>
            <w:tcBorders>
              <w:top w:val="nil"/>
              <w:left w:val="nil"/>
              <w:bottom w:val="nil"/>
              <w:right w:val="nil"/>
            </w:tcBorders>
            <w:hideMark/>
          </w:tcPr>
          <w:p w14:paraId="00494E9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0.903</w:t>
            </w:r>
          </w:p>
        </w:tc>
        <w:tc>
          <w:tcPr>
            <w:tcW w:w="0" w:type="auto"/>
            <w:tcBorders>
              <w:top w:val="nil"/>
              <w:left w:val="nil"/>
              <w:bottom w:val="nil"/>
              <w:right w:val="nil"/>
            </w:tcBorders>
            <w:hideMark/>
          </w:tcPr>
          <w:p w14:paraId="17598F7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0.97</w:t>
            </w:r>
          </w:p>
        </w:tc>
        <w:tc>
          <w:tcPr>
            <w:tcW w:w="1017" w:type="dxa"/>
            <w:tcBorders>
              <w:top w:val="nil"/>
              <w:left w:val="nil"/>
              <w:bottom w:val="nil"/>
              <w:right w:val="nil"/>
            </w:tcBorders>
            <w:hideMark/>
          </w:tcPr>
          <w:p w14:paraId="61E1851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0.72, 1.32</w:t>
            </w:r>
          </w:p>
        </w:tc>
        <w:tc>
          <w:tcPr>
            <w:tcW w:w="0" w:type="auto"/>
            <w:tcBorders>
              <w:top w:val="nil"/>
              <w:left w:val="nil"/>
              <w:bottom w:val="nil"/>
              <w:right w:val="nil"/>
            </w:tcBorders>
            <w:hideMark/>
          </w:tcPr>
          <w:p w14:paraId="23BAFE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0.855</w:t>
            </w:r>
          </w:p>
        </w:tc>
        <w:tc>
          <w:tcPr>
            <w:tcW w:w="0" w:type="auto"/>
            <w:tcBorders>
              <w:top w:val="nil"/>
              <w:left w:val="nil"/>
              <w:bottom w:val="nil"/>
              <w:right w:val="nil"/>
            </w:tcBorders>
            <w:hideMark/>
          </w:tcPr>
          <w:p w14:paraId="57C7328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w:t>
            </w:r>
          </w:p>
        </w:tc>
        <w:tc>
          <w:tcPr>
            <w:tcW w:w="1017" w:type="dxa"/>
            <w:tcBorders>
              <w:top w:val="nil"/>
              <w:left w:val="nil"/>
              <w:bottom w:val="nil"/>
              <w:right w:val="nil"/>
            </w:tcBorders>
            <w:hideMark/>
          </w:tcPr>
          <w:p w14:paraId="0FEABFF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0.66, 1.26</w:t>
            </w:r>
          </w:p>
        </w:tc>
        <w:tc>
          <w:tcPr>
            <w:tcW w:w="0" w:type="auto"/>
            <w:tcBorders>
              <w:top w:val="nil"/>
              <w:left w:val="nil"/>
              <w:bottom w:val="nil"/>
              <w:right w:val="nil"/>
            </w:tcBorders>
            <w:hideMark/>
          </w:tcPr>
          <w:p w14:paraId="3BD3F6F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0.569</w:t>
            </w:r>
          </w:p>
        </w:tc>
        <w:tc>
          <w:tcPr>
            <w:tcW w:w="0" w:type="auto"/>
            <w:tcBorders>
              <w:top w:val="nil"/>
              <w:left w:val="nil"/>
              <w:bottom w:val="nil"/>
              <w:right w:val="nil"/>
            </w:tcBorders>
            <w:hideMark/>
          </w:tcPr>
          <w:p w14:paraId="4DB577E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w:t>
            </w:r>
          </w:p>
        </w:tc>
        <w:tc>
          <w:tcPr>
            <w:tcW w:w="1010" w:type="dxa"/>
            <w:tcBorders>
              <w:top w:val="nil"/>
              <w:left w:val="nil"/>
              <w:bottom w:val="nil"/>
              <w:right w:val="nil"/>
            </w:tcBorders>
            <w:hideMark/>
          </w:tcPr>
          <w:p w14:paraId="45C6D36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0.62, 1.21</w:t>
            </w:r>
          </w:p>
        </w:tc>
        <w:tc>
          <w:tcPr>
            <w:tcW w:w="0" w:type="auto"/>
            <w:tcBorders>
              <w:top w:val="nil"/>
              <w:left w:val="nil"/>
              <w:bottom w:val="nil"/>
              <w:right w:val="nil"/>
            </w:tcBorders>
            <w:hideMark/>
          </w:tcPr>
          <w:p w14:paraId="77A81BF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0.393</w:t>
            </w:r>
          </w:p>
        </w:tc>
      </w:tr>
      <w:tr w:rsidR="00F57E7E" w:rsidRPr="007030D1" w14:paraId="74E456C4" w14:textId="77777777" w:rsidTr="00F57E7E">
        <w:trPr>
          <w:trHeight w:hRule="exact" w:val="283"/>
        </w:trPr>
        <w:tc>
          <w:tcPr>
            <w:tcW w:w="0" w:type="auto"/>
            <w:tcBorders>
              <w:top w:val="nil"/>
              <w:left w:val="nil"/>
              <w:bottom w:val="nil"/>
              <w:right w:val="nil"/>
            </w:tcBorders>
            <w:hideMark/>
          </w:tcPr>
          <w:p w14:paraId="34DE1685"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w:t>
            </w:r>
          </w:p>
        </w:tc>
        <w:tc>
          <w:tcPr>
            <w:tcW w:w="0" w:type="auto"/>
            <w:tcBorders>
              <w:top w:val="nil"/>
              <w:left w:val="nil"/>
              <w:bottom w:val="nil"/>
              <w:right w:val="nil"/>
            </w:tcBorders>
            <w:hideMark/>
          </w:tcPr>
          <w:p w14:paraId="4712CE5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451 (60)</w:t>
            </w:r>
          </w:p>
        </w:tc>
        <w:tc>
          <w:tcPr>
            <w:tcW w:w="0" w:type="auto"/>
            <w:tcBorders>
              <w:top w:val="nil"/>
              <w:left w:val="nil"/>
              <w:bottom w:val="nil"/>
              <w:right w:val="nil"/>
            </w:tcBorders>
            <w:hideMark/>
          </w:tcPr>
          <w:p w14:paraId="3782101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660 (56)</w:t>
            </w:r>
          </w:p>
        </w:tc>
        <w:tc>
          <w:tcPr>
            <w:tcW w:w="0" w:type="auto"/>
            <w:tcBorders>
              <w:top w:val="nil"/>
              <w:left w:val="nil"/>
              <w:bottom w:val="nil"/>
              <w:right w:val="nil"/>
            </w:tcBorders>
            <w:hideMark/>
          </w:tcPr>
          <w:p w14:paraId="13B0C05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1.18</w:t>
            </w:r>
          </w:p>
        </w:tc>
        <w:tc>
          <w:tcPr>
            <w:tcW w:w="1017" w:type="dxa"/>
            <w:tcBorders>
              <w:top w:val="nil"/>
              <w:left w:val="nil"/>
              <w:bottom w:val="nil"/>
              <w:right w:val="nil"/>
            </w:tcBorders>
            <w:hideMark/>
          </w:tcPr>
          <w:p w14:paraId="7ED080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0.93, 1.51</w:t>
            </w:r>
          </w:p>
        </w:tc>
        <w:tc>
          <w:tcPr>
            <w:tcW w:w="0" w:type="auto"/>
            <w:tcBorders>
              <w:top w:val="nil"/>
              <w:left w:val="nil"/>
              <w:bottom w:val="nil"/>
              <w:right w:val="nil"/>
            </w:tcBorders>
            <w:hideMark/>
          </w:tcPr>
          <w:p w14:paraId="1FDDE09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0.174</w:t>
            </w:r>
          </w:p>
        </w:tc>
        <w:tc>
          <w:tcPr>
            <w:tcW w:w="0" w:type="auto"/>
            <w:tcBorders>
              <w:top w:val="nil"/>
              <w:left w:val="nil"/>
              <w:bottom w:val="nil"/>
              <w:right w:val="nil"/>
            </w:tcBorders>
            <w:hideMark/>
          </w:tcPr>
          <w:p w14:paraId="1DFD44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1.16</w:t>
            </w:r>
          </w:p>
        </w:tc>
        <w:tc>
          <w:tcPr>
            <w:tcW w:w="1017" w:type="dxa"/>
            <w:tcBorders>
              <w:top w:val="nil"/>
              <w:left w:val="nil"/>
              <w:bottom w:val="nil"/>
              <w:right w:val="nil"/>
            </w:tcBorders>
            <w:hideMark/>
          </w:tcPr>
          <w:p w14:paraId="1846B2F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0.90, 1.48</w:t>
            </w:r>
          </w:p>
        </w:tc>
        <w:tc>
          <w:tcPr>
            <w:tcW w:w="0" w:type="auto"/>
            <w:tcBorders>
              <w:top w:val="nil"/>
              <w:left w:val="nil"/>
              <w:bottom w:val="nil"/>
              <w:right w:val="nil"/>
            </w:tcBorders>
            <w:hideMark/>
          </w:tcPr>
          <w:p w14:paraId="6B4D674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0.251</w:t>
            </w:r>
          </w:p>
        </w:tc>
        <w:tc>
          <w:tcPr>
            <w:tcW w:w="0" w:type="auto"/>
            <w:tcBorders>
              <w:top w:val="nil"/>
              <w:left w:val="nil"/>
              <w:bottom w:val="nil"/>
              <w:right w:val="nil"/>
            </w:tcBorders>
            <w:hideMark/>
          </w:tcPr>
          <w:p w14:paraId="1380FB8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1.21</w:t>
            </w:r>
          </w:p>
        </w:tc>
        <w:tc>
          <w:tcPr>
            <w:tcW w:w="1017" w:type="dxa"/>
            <w:tcBorders>
              <w:top w:val="nil"/>
              <w:left w:val="nil"/>
              <w:bottom w:val="nil"/>
              <w:right w:val="nil"/>
            </w:tcBorders>
            <w:hideMark/>
          </w:tcPr>
          <w:p w14:paraId="563EE60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0.93, 1.58</w:t>
            </w:r>
          </w:p>
        </w:tc>
        <w:tc>
          <w:tcPr>
            <w:tcW w:w="0" w:type="auto"/>
            <w:tcBorders>
              <w:top w:val="nil"/>
              <w:left w:val="nil"/>
              <w:bottom w:val="nil"/>
              <w:right w:val="nil"/>
            </w:tcBorders>
            <w:hideMark/>
          </w:tcPr>
          <w:p w14:paraId="460B6EE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0.161</w:t>
            </w:r>
          </w:p>
        </w:tc>
        <w:tc>
          <w:tcPr>
            <w:tcW w:w="0" w:type="auto"/>
            <w:tcBorders>
              <w:top w:val="nil"/>
              <w:left w:val="nil"/>
              <w:bottom w:val="nil"/>
              <w:right w:val="nil"/>
            </w:tcBorders>
            <w:hideMark/>
          </w:tcPr>
          <w:p w14:paraId="3FAACEB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1.16</w:t>
            </w:r>
          </w:p>
        </w:tc>
        <w:tc>
          <w:tcPr>
            <w:tcW w:w="1010" w:type="dxa"/>
            <w:tcBorders>
              <w:top w:val="nil"/>
              <w:left w:val="nil"/>
              <w:bottom w:val="nil"/>
              <w:right w:val="nil"/>
            </w:tcBorders>
            <w:hideMark/>
          </w:tcPr>
          <w:p w14:paraId="16C915C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0.88, 1.52</w:t>
            </w:r>
          </w:p>
        </w:tc>
        <w:tc>
          <w:tcPr>
            <w:tcW w:w="0" w:type="auto"/>
            <w:tcBorders>
              <w:top w:val="nil"/>
              <w:left w:val="nil"/>
              <w:bottom w:val="nil"/>
              <w:right w:val="nil"/>
            </w:tcBorders>
            <w:hideMark/>
          </w:tcPr>
          <w:p w14:paraId="3B5632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0.284</w:t>
            </w:r>
          </w:p>
        </w:tc>
      </w:tr>
      <w:tr w:rsidR="00F57E7E" w:rsidRPr="007030D1" w14:paraId="1837EB00" w14:textId="77777777" w:rsidTr="00F57E7E">
        <w:trPr>
          <w:trHeight w:hRule="exact" w:val="283"/>
        </w:trPr>
        <w:tc>
          <w:tcPr>
            <w:tcW w:w="0" w:type="auto"/>
            <w:tcBorders>
              <w:top w:val="nil"/>
              <w:left w:val="nil"/>
              <w:bottom w:val="nil"/>
              <w:right w:val="nil"/>
            </w:tcBorders>
            <w:hideMark/>
          </w:tcPr>
          <w:p w14:paraId="76E1978F"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47803A9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 (0.8)</w:t>
            </w:r>
          </w:p>
        </w:tc>
        <w:tc>
          <w:tcPr>
            <w:tcW w:w="0" w:type="auto"/>
            <w:tcBorders>
              <w:top w:val="nil"/>
              <w:left w:val="nil"/>
              <w:bottom w:val="nil"/>
              <w:right w:val="nil"/>
            </w:tcBorders>
            <w:hideMark/>
          </w:tcPr>
          <w:p w14:paraId="1D5588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 (0.7)</w:t>
            </w:r>
          </w:p>
        </w:tc>
        <w:tc>
          <w:tcPr>
            <w:tcW w:w="0" w:type="auto"/>
            <w:tcBorders>
              <w:top w:val="nil"/>
              <w:left w:val="nil"/>
              <w:bottom w:val="nil"/>
              <w:right w:val="nil"/>
            </w:tcBorders>
            <w:hideMark/>
          </w:tcPr>
          <w:p w14:paraId="754F689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026BC3E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B47D33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D7F558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90002F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7E940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30273C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020E7A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96387E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A62408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653369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1612E3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3209882A" w14:textId="77777777" w:rsidTr="00F57E7E">
        <w:trPr>
          <w:trHeight w:hRule="exact" w:val="283"/>
        </w:trPr>
        <w:tc>
          <w:tcPr>
            <w:tcW w:w="0" w:type="auto"/>
            <w:tcBorders>
              <w:top w:val="nil"/>
              <w:left w:val="nil"/>
              <w:bottom w:val="nil"/>
              <w:right w:val="nil"/>
            </w:tcBorders>
            <w:hideMark/>
          </w:tcPr>
          <w:p w14:paraId="343F16BF"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Alcohol units per week</w:t>
            </w:r>
          </w:p>
        </w:tc>
        <w:tc>
          <w:tcPr>
            <w:tcW w:w="0" w:type="auto"/>
            <w:tcBorders>
              <w:top w:val="nil"/>
              <w:left w:val="nil"/>
              <w:bottom w:val="nil"/>
              <w:right w:val="nil"/>
            </w:tcBorders>
            <w:hideMark/>
          </w:tcPr>
          <w:p w14:paraId="73587C9E"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24B1B46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063C3B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E572E1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18F616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4985F5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48F86C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132037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6BAD1A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809D81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CB313A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D06348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1219FBB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9DB02D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7E56BF70" w14:textId="77777777" w:rsidTr="00F57E7E">
        <w:trPr>
          <w:trHeight w:hRule="exact" w:val="283"/>
        </w:trPr>
        <w:tc>
          <w:tcPr>
            <w:tcW w:w="0" w:type="auto"/>
            <w:tcBorders>
              <w:top w:val="nil"/>
              <w:left w:val="nil"/>
              <w:bottom w:val="nil"/>
              <w:right w:val="nil"/>
            </w:tcBorders>
            <w:hideMark/>
          </w:tcPr>
          <w:p w14:paraId="32B98FB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w:t>
            </w:r>
          </w:p>
        </w:tc>
        <w:tc>
          <w:tcPr>
            <w:tcW w:w="0" w:type="auto"/>
            <w:tcBorders>
              <w:top w:val="nil"/>
              <w:left w:val="nil"/>
              <w:bottom w:val="nil"/>
              <w:right w:val="nil"/>
            </w:tcBorders>
            <w:hideMark/>
          </w:tcPr>
          <w:p w14:paraId="13CB653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149 (20)</w:t>
            </w:r>
          </w:p>
        </w:tc>
        <w:tc>
          <w:tcPr>
            <w:tcW w:w="0" w:type="auto"/>
            <w:tcBorders>
              <w:top w:val="nil"/>
              <w:left w:val="nil"/>
              <w:bottom w:val="nil"/>
              <w:right w:val="nil"/>
            </w:tcBorders>
            <w:hideMark/>
          </w:tcPr>
          <w:p w14:paraId="7CF744A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258 (22)</w:t>
            </w:r>
          </w:p>
        </w:tc>
        <w:tc>
          <w:tcPr>
            <w:tcW w:w="0" w:type="auto"/>
            <w:tcBorders>
              <w:top w:val="nil"/>
              <w:left w:val="nil"/>
              <w:bottom w:val="nil"/>
              <w:right w:val="nil"/>
            </w:tcBorders>
            <w:hideMark/>
          </w:tcPr>
          <w:p w14:paraId="35127C3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133011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CBDF6B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5EAFCEF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19A46B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3CEDB7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1C549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89ED07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FB00DF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0159BE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080B6DA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979524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75C7EE66" w14:textId="77777777" w:rsidTr="00F57E7E">
        <w:trPr>
          <w:trHeight w:hRule="exact" w:val="283"/>
        </w:trPr>
        <w:tc>
          <w:tcPr>
            <w:tcW w:w="0" w:type="auto"/>
            <w:tcBorders>
              <w:top w:val="nil"/>
              <w:left w:val="nil"/>
              <w:bottom w:val="nil"/>
              <w:right w:val="nil"/>
            </w:tcBorders>
            <w:hideMark/>
          </w:tcPr>
          <w:p w14:paraId="60FB34B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w:t>
            </w:r>
          </w:p>
        </w:tc>
        <w:tc>
          <w:tcPr>
            <w:tcW w:w="0" w:type="auto"/>
            <w:tcBorders>
              <w:top w:val="nil"/>
              <w:left w:val="nil"/>
              <w:bottom w:val="nil"/>
              <w:right w:val="nil"/>
            </w:tcBorders>
            <w:hideMark/>
          </w:tcPr>
          <w:p w14:paraId="2022CC5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200 (26)</w:t>
            </w:r>
          </w:p>
        </w:tc>
        <w:tc>
          <w:tcPr>
            <w:tcW w:w="0" w:type="auto"/>
            <w:tcBorders>
              <w:top w:val="nil"/>
              <w:left w:val="nil"/>
              <w:bottom w:val="nil"/>
              <w:right w:val="nil"/>
            </w:tcBorders>
            <w:hideMark/>
          </w:tcPr>
          <w:p w14:paraId="720505D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317 (27)</w:t>
            </w:r>
          </w:p>
        </w:tc>
        <w:tc>
          <w:tcPr>
            <w:tcW w:w="0" w:type="auto"/>
            <w:tcBorders>
              <w:top w:val="nil"/>
              <w:left w:val="nil"/>
              <w:bottom w:val="nil"/>
              <w:right w:val="nil"/>
            </w:tcBorders>
            <w:hideMark/>
          </w:tcPr>
          <w:p w14:paraId="45BE98D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w:t>
            </w:r>
          </w:p>
        </w:tc>
        <w:tc>
          <w:tcPr>
            <w:tcW w:w="1017" w:type="dxa"/>
            <w:tcBorders>
              <w:top w:val="nil"/>
              <w:left w:val="nil"/>
              <w:bottom w:val="nil"/>
              <w:right w:val="nil"/>
            </w:tcBorders>
            <w:hideMark/>
          </w:tcPr>
          <w:p w14:paraId="3BFB75A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0.78, 1.38</w:t>
            </w:r>
          </w:p>
        </w:tc>
        <w:tc>
          <w:tcPr>
            <w:tcW w:w="0" w:type="auto"/>
            <w:tcBorders>
              <w:top w:val="nil"/>
              <w:left w:val="nil"/>
              <w:bottom w:val="nil"/>
              <w:right w:val="nil"/>
            </w:tcBorders>
            <w:hideMark/>
          </w:tcPr>
          <w:p w14:paraId="38DD954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0.785</w:t>
            </w:r>
          </w:p>
        </w:tc>
        <w:tc>
          <w:tcPr>
            <w:tcW w:w="0" w:type="auto"/>
            <w:tcBorders>
              <w:top w:val="nil"/>
              <w:left w:val="nil"/>
              <w:bottom w:val="nil"/>
              <w:right w:val="nil"/>
            </w:tcBorders>
            <w:hideMark/>
          </w:tcPr>
          <w:p w14:paraId="27B4D08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w:t>
            </w:r>
          </w:p>
        </w:tc>
        <w:tc>
          <w:tcPr>
            <w:tcW w:w="1017" w:type="dxa"/>
            <w:tcBorders>
              <w:top w:val="nil"/>
              <w:left w:val="nil"/>
              <w:bottom w:val="nil"/>
              <w:right w:val="nil"/>
            </w:tcBorders>
            <w:hideMark/>
          </w:tcPr>
          <w:p w14:paraId="5EB0E8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0.78, 1.39</w:t>
            </w:r>
          </w:p>
        </w:tc>
        <w:tc>
          <w:tcPr>
            <w:tcW w:w="0" w:type="auto"/>
            <w:tcBorders>
              <w:top w:val="nil"/>
              <w:left w:val="nil"/>
              <w:bottom w:val="nil"/>
              <w:right w:val="nil"/>
            </w:tcBorders>
            <w:hideMark/>
          </w:tcPr>
          <w:p w14:paraId="43D02F4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0.764</w:t>
            </w:r>
          </w:p>
        </w:tc>
        <w:tc>
          <w:tcPr>
            <w:tcW w:w="0" w:type="auto"/>
            <w:tcBorders>
              <w:top w:val="nil"/>
              <w:left w:val="nil"/>
              <w:bottom w:val="nil"/>
              <w:right w:val="nil"/>
            </w:tcBorders>
            <w:hideMark/>
          </w:tcPr>
          <w:p w14:paraId="24B18BC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1.17</w:t>
            </w:r>
          </w:p>
        </w:tc>
        <w:tc>
          <w:tcPr>
            <w:tcW w:w="1017" w:type="dxa"/>
            <w:tcBorders>
              <w:top w:val="nil"/>
              <w:left w:val="nil"/>
              <w:bottom w:val="nil"/>
              <w:right w:val="nil"/>
            </w:tcBorders>
            <w:hideMark/>
          </w:tcPr>
          <w:p w14:paraId="4A4D4AB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0.86, 1.60</w:t>
            </w:r>
          </w:p>
        </w:tc>
        <w:tc>
          <w:tcPr>
            <w:tcW w:w="0" w:type="auto"/>
            <w:tcBorders>
              <w:top w:val="nil"/>
              <w:left w:val="nil"/>
              <w:bottom w:val="nil"/>
              <w:right w:val="nil"/>
            </w:tcBorders>
            <w:hideMark/>
          </w:tcPr>
          <w:p w14:paraId="1237D8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0.314</w:t>
            </w:r>
          </w:p>
        </w:tc>
        <w:tc>
          <w:tcPr>
            <w:tcW w:w="0" w:type="auto"/>
            <w:tcBorders>
              <w:top w:val="nil"/>
              <w:left w:val="nil"/>
              <w:bottom w:val="nil"/>
              <w:right w:val="nil"/>
            </w:tcBorders>
            <w:hideMark/>
          </w:tcPr>
          <w:p w14:paraId="03800CF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1.18</w:t>
            </w:r>
          </w:p>
        </w:tc>
        <w:tc>
          <w:tcPr>
            <w:tcW w:w="1010" w:type="dxa"/>
            <w:tcBorders>
              <w:top w:val="nil"/>
              <w:left w:val="nil"/>
              <w:bottom w:val="nil"/>
              <w:right w:val="nil"/>
            </w:tcBorders>
            <w:hideMark/>
          </w:tcPr>
          <w:p w14:paraId="627D0D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0.86, 1.61</w:t>
            </w:r>
          </w:p>
        </w:tc>
        <w:tc>
          <w:tcPr>
            <w:tcW w:w="0" w:type="auto"/>
            <w:tcBorders>
              <w:top w:val="nil"/>
              <w:left w:val="nil"/>
              <w:bottom w:val="nil"/>
              <w:right w:val="nil"/>
            </w:tcBorders>
            <w:hideMark/>
          </w:tcPr>
          <w:p w14:paraId="727B0DA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0.308</w:t>
            </w:r>
          </w:p>
        </w:tc>
      </w:tr>
      <w:tr w:rsidR="00F57E7E" w:rsidRPr="007030D1" w14:paraId="41B3AB71" w14:textId="77777777" w:rsidTr="00F57E7E">
        <w:trPr>
          <w:trHeight w:hRule="exact" w:val="283"/>
        </w:trPr>
        <w:tc>
          <w:tcPr>
            <w:tcW w:w="0" w:type="auto"/>
            <w:tcBorders>
              <w:top w:val="nil"/>
              <w:left w:val="nil"/>
              <w:bottom w:val="nil"/>
              <w:right w:val="nil"/>
            </w:tcBorders>
            <w:hideMark/>
          </w:tcPr>
          <w:p w14:paraId="1211AF6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10-19</w:t>
            </w:r>
          </w:p>
        </w:tc>
        <w:tc>
          <w:tcPr>
            <w:tcW w:w="0" w:type="auto"/>
            <w:tcBorders>
              <w:top w:val="nil"/>
              <w:left w:val="nil"/>
              <w:bottom w:val="nil"/>
              <w:right w:val="nil"/>
            </w:tcBorders>
            <w:hideMark/>
          </w:tcPr>
          <w:p w14:paraId="4B81B42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208 (28)</w:t>
            </w:r>
          </w:p>
        </w:tc>
        <w:tc>
          <w:tcPr>
            <w:tcW w:w="0" w:type="auto"/>
            <w:tcBorders>
              <w:top w:val="nil"/>
              <w:left w:val="nil"/>
              <w:bottom w:val="nil"/>
              <w:right w:val="nil"/>
            </w:tcBorders>
            <w:hideMark/>
          </w:tcPr>
          <w:p w14:paraId="49E8A0B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290 (24)</w:t>
            </w:r>
          </w:p>
        </w:tc>
        <w:tc>
          <w:tcPr>
            <w:tcW w:w="0" w:type="auto"/>
            <w:tcBorders>
              <w:top w:val="nil"/>
              <w:left w:val="nil"/>
              <w:bottom w:val="nil"/>
              <w:right w:val="nil"/>
            </w:tcBorders>
            <w:hideMark/>
          </w:tcPr>
          <w:p w14:paraId="7C6B86C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1.20</w:t>
            </w:r>
          </w:p>
        </w:tc>
        <w:tc>
          <w:tcPr>
            <w:tcW w:w="1017" w:type="dxa"/>
            <w:tcBorders>
              <w:top w:val="nil"/>
              <w:left w:val="nil"/>
              <w:bottom w:val="nil"/>
              <w:right w:val="nil"/>
            </w:tcBorders>
            <w:hideMark/>
          </w:tcPr>
          <w:p w14:paraId="441EF78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0.90, 1.60</w:t>
            </w:r>
          </w:p>
        </w:tc>
        <w:tc>
          <w:tcPr>
            <w:tcW w:w="0" w:type="auto"/>
            <w:tcBorders>
              <w:top w:val="nil"/>
              <w:left w:val="nil"/>
              <w:bottom w:val="nil"/>
              <w:right w:val="nil"/>
            </w:tcBorders>
            <w:hideMark/>
          </w:tcPr>
          <w:p w14:paraId="730BEC4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0.205</w:t>
            </w:r>
          </w:p>
        </w:tc>
        <w:tc>
          <w:tcPr>
            <w:tcW w:w="0" w:type="auto"/>
            <w:tcBorders>
              <w:top w:val="nil"/>
              <w:left w:val="nil"/>
              <w:bottom w:val="nil"/>
              <w:right w:val="nil"/>
            </w:tcBorders>
            <w:hideMark/>
          </w:tcPr>
          <w:p w14:paraId="2B7577D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1.21</w:t>
            </w:r>
          </w:p>
        </w:tc>
        <w:tc>
          <w:tcPr>
            <w:tcW w:w="1017" w:type="dxa"/>
            <w:tcBorders>
              <w:top w:val="nil"/>
              <w:left w:val="nil"/>
              <w:bottom w:val="nil"/>
              <w:right w:val="nil"/>
            </w:tcBorders>
            <w:hideMark/>
          </w:tcPr>
          <w:p w14:paraId="5483C86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0.91, 1.62</w:t>
            </w:r>
          </w:p>
        </w:tc>
        <w:tc>
          <w:tcPr>
            <w:tcW w:w="0" w:type="auto"/>
            <w:tcBorders>
              <w:top w:val="nil"/>
              <w:left w:val="nil"/>
              <w:bottom w:val="nil"/>
              <w:right w:val="nil"/>
            </w:tcBorders>
            <w:hideMark/>
          </w:tcPr>
          <w:p w14:paraId="5EACDC7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0.197</w:t>
            </w:r>
          </w:p>
        </w:tc>
        <w:tc>
          <w:tcPr>
            <w:tcW w:w="0" w:type="auto"/>
            <w:tcBorders>
              <w:top w:val="nil"/>
              <w:left w:val="nil"/>
              <w:bottom w:val="nil"/>
              <w:right w:val="nil"/>
            </w:tcBorders>
            <w:hideMark/>
          </w:tcPr>
          <w:p w14:paraId="28924CB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1.24</w:t>
            </w:r>
          </w:p>
        </w:tc>
        <w:tc>
          <w:tcPr>
            <w:tcW w:w="1017" w:type="dxa"/>
            <w:tcBorders>
              <w:top w:val="nil"/>
              <w:left w:val="nil"/>
              <w:bottom w:val="nil"/>
              <w:right w:val="nil"/>
            </w:tcBorders>
            <w:hideMark/>
          </w:tcPr>
          <w:p w14:paraId="0F951A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0.91, 1.70</w:t>
            </w:r>
          </w:p>
        </w:tc>
        <w:tc>
          <w:tcPr>
            <w:tcW w:w="0" w:type="auto"/>
            <w:tcBorders>
              <w:top w:val="nil"/>
              <w:left w:val="nil"/>
              <w:bottom w:val="nil"/>
              <w:right w:val="nil"/>
            </w:tcBorders>
            <w:hideMark/>
          </w:tcPr>
          <w:p w14:paraId="6625EE5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0.171</w:t>
            </w:r>
          </w:p>
        </w:tc>
        <w:tc>
          <w:tcPr>
            <w:tcW w:w="0" w:type="auto"/>
            <w:tcBorders>
              <w:top w:val="nil"/>
              <w:left w:val="nil"/>
              <w:bottom w:val="nil"/>
              <w:right w:val="nil"/>
            </w:tcBorders>
            <w:hideMark/>
          </w:tcPr>
          <w:p w14:paraId="58369ED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w:t>
            </w:r>
          </w:p>
        </w:tc>
        <w:tc>
          <w:tcPr>
            <w:tcW w:w="1010" w:type="dxa"/>
            <w:tcBorders>
              <w:top w:val="nil"/>
              <w:left w:val="nil"/>
              <w:bottom w:val="nil"/>
              <w:right w:val="nil"/>
            </w:tcBorders>
            <w:hideMark/>
          </w:tcPr>
          <w:p w14:paraId="42792A6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0.89, 1.68</w:t>
            </w:r>
          </w:p>
        </w:tc>
        <w:tc>
          <w:tcPr>
            <w:tcW w:w="0" w:type="auto"/>
            <w:tcBorders>
              <w:top w:val="nil"/>
              <w:left w:val="nil"/>
              <w:bottom w:val="nil"/>
              <w:right w:val="nil"/>
            </w:tcBorders>
            <w:hideMark/>
          </w:tcPr>
          <w:p w14:paraId="3D5D5C8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0.221</w:t>
            </w:r>
          </w:p>
        </w:tc>
      </w:tr>
      <w:tr w:rsidR="00F57E7E" w:rsidRPr="007030D1" w14:paraId="4AFD2951" w14:textId="77777777" w:rsidTr="00F57E7E">
        <w:trPr>
          <w:trHeight w:hRule="exact" w:val="283"/>
        </w:trPr>
        <w:tc>
          <w:tcPr>
            <w:tcW w:w="0" w:type="auto"/>
            <w:tcBorders>
              <w:top w:val="nil"/>
              <w:left w:val="nil"/>
              <w:bottom w:val="nil"/>
              <w:right w:val="nil"/>
            </w:tcBorders>
            <w:hideMark/>
          </w:tcPr>
          <w:p w14:paraId="24C4E651"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20-29</w:t>
            </w:r>
          </w:p>
        </w:tc>
        <w:tc>
          <w:tcPr>
            <w:tcW w:w="0" w:type="auto"/>
            <w:tcBorders>
              <w:top w:val="nil"/>
              <w:left w:val="nil"/>
              <w:bottom w:val="nil"/>
              <w:right w:val="nil"/>
            </w:tcBorders>
            <w:hideMark/>
          </w:tcPr>
          <w:p w14:paraId="30C48A3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126 (17)</w:t>
            </w:r>
          </w:p>
        </w:tc>
        <w:tc>
          <w:tcPr>
            <w:tcW w:w="0" w:type="auto"/>
            <w:tcBorders>
              <w:top w:val="nil"/>
              <w:left w:val="nil"/>
              <w:bottom w:val="nil"/>
              <w:right w:val="nil"/>
            </w:tcBorders>
            <w:hideMark/>
          </w:tcPr>
          <w:p w14:paraId="7EF7432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190 (16)</w:t>
            </w:r>
          </w:p>
        </w:tc>
        <w:tc>
          <w:tcPr>
            <w:tcW w:w="0" w:type="auto"/>
            <w:tcBorders>
              <w:top w:val="nil"/>
              <w:left w:val="nil"/>
              <w:bottom w:val="nil"/>
              <w:right w:val="nil"/>
            </w:tcBorders>
            <w:hideMark/>
          </w:tcPr>
          <w:p w14:paraId="6ED94EC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1.03</w:t>
            </w:r>
          </w:p>
        </w:tc>
        <w:tc>
          <w:tcPr>
            <w:tcW w:w="1017" w:type="dxa"/>
            <w:tcBorders>
              <w:top w:val="nil"/>
              <w:left w:val="nil"/>
              <w:bottom w:val="nil"/>
              <w:right w:val="nil"/>
            </w:tcBorders>
            <w:hideMark/>
          </w:tcPr>
          <w:p w14:paraId="21B0B12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0.74, 1.42</w:t>
            </w:r>
          </w:p>
        </w:tc>
        <w:tc>
          <w:tcPr>
            <w:tcW w:w="0" w:type="auto"/>
            <w:tcBorders>
              <w:top w:val="nil"/>
              <w:left w:val="nil"/>
              <w:bottom w:val="nil"/>
              <w:right w:val="nil"/>
            </w:tcBorders>
            <w:hideMark/>
          </w:tcPr>
          <w:p w14:paraId="128975F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0.865</w:t>
            </w:r>
          </w:p>
        </w:tc>
        <w:tc>
          <w:tcPr>
            <w:tcW w:w="0" w:type="auto"/>
            <w:tcBorders>
              <w:top w:val="nil"/>
              <w:left w:val="nil"/>
              <w:bottom w:val="nil"/>
              <w:right w:val="nil"/>
            </w:tcBorders>
            <w:hideMark/>
          </w:tcPr>
          <w:p w14:paraId="3E80740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w:t>
            </w:r>
          </w:p>
        </w:tc>
        <w:tc>
          <w:tcPr>
            <w:tcW w:w="1017" w:type="dxa"/>
            <w:tcBorders>
              <w:top w:val="nil"/>
              <w:left w:val="nil"/>
              <w:bottom w:val="nil"/>
              <w:right w:val="nil"/>
            </w:tcBorders>
            <w:hideMark/>
          </w:tcPr>
          <w:p w14:paraId="60F019D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0.75, 1.44</w:t>
            </w:r>
          </w:p>
        </w:tc>
        <w:tc>
          <w:tcPr>
            <w:tcW w:w="0" w:type="auto"/>
            <w:tcBorders>
              <w:top w:val="nil"/>
              <w:left w:val="nil"/>
              <w:bottom w:val="nil"/>
              <w:right w:val="nil"/>
            </w:tcBorders>
            <w:hideMark/>
          </w:tcPr>
          <w:p w14:paraId="761B48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0.813</w:t>
            </w:r>
          </w:p>
        </w:tc>
        <w:tc>
          <w:tcPr>
            <w:tcW w:w="0" w:type="auto"/>
            <w:tcBorders>
              <w:top w:val="nil"/>
              <w:left w:val="nil"/>
              <w:bottom w:val="nil"/>
              <w:right w:val="nil"/>
            </w:tcBorders>
            <w:hideMark/>
          </w:tcPr>
          <w:p w14:paraId="0FBE43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w:t>
            </w:r>
          </w:p>
        </w:tc>
        <w:tc>
          <w:tcPr>
            <w:tcW w:w="1017" w:type="dxa"/>
            <w:tcBorders>
              <w:top w:val="nil"/>
              <w:left w:val="nil"/>
              <w:bottom w:val="nil"/>
              <w:right w:val="nil"/>
            </w:tcBorders>
            <w:hideMark/>
          </w:tcPr>
          <w:p w14:paraId="1128895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0.85, 1.74</w:t>
            </w:r>
          </w:p>
        </w:tc>
        <w:tc>
          <w:tcPr>
            <w:tcW w:w="0" w:type="auto"/>
            <w:tcBorders>
              <w:top w:val="nil"/>
              <w:left w:val="nil"/>
              <w:bottom w:val="nil"/>
              <w:right w:val="nil"/>
            </w:tcBorders>
            <w:hideMark/>
          </w:tcPr>
          <w:p w14:paraId="5B2A649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0.277</w:t>
            </w:r>
          </w:p>
        </w:tc>
        <w:tc>
          <w:tcPr>
            <w:tcW w:w="0" w:type="auto"/>
            <w:tcBorders>
              <w:top w:val="nil"/>
              <w:left w:val="nil"/>
              <w:bottom w:val="nil"/>
              <w:right w:val="nil"/>
            </w:tcBorders>
            <w:hideMark/>
          </w:tcPr>
          <w:p w14:paraId="0461CA5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1.22</w:t>
            </w:r>
          </w:p>
        </w:tc>
        <w:tc>
          <w:tcPr>
            <w:tcW w:w="1010" w:type="dxa"/>
            <w:tcBorders>
              <w:top w:val="nil"/>
              <w:left w:val="nil"/>
              <w:bottom w:val="nil"/>
              <w:right w:val="nil"/>
            </w:tcBorders>
            <w:hideMark/>
          </w:tcPr>
          <w:p w14:paraId="369C9B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0.85, 1.75</w:t>
            </w:r>
          </w:p>
        </w:tc>
        <w:tc>
          <w:tcPr>
            <w:tcW w:w="0" w:type="auto"/>
            <w:tcBorders>
              <w:top w:val="nil"/>
              <w:left w:val="nil"/>
              <w:bottom w:val="nil"/>
              <w:right w:val="nil"/>
            </w:tcBorders>
            <w:hideMark/>
          </w:tcPr>
          <w:p w14:paraId="311342F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0.285</w:t>
            </w:r>
          </w:p>
        </w:tc>
      </w:tr>
      <w:tr w:rsidR="00F57E7E" w:rsidRPr="007030D1" w14:paraId="5F97B0EB" w14:textId="77777777" w:rsidTr="00F57E7E">
        <w:trPr>
          <w:trHeight w:hRule="exact" w:val="283"/>
        </w:trPr>
        <w:tc>
          <w:tcPr>
            <w:tcW w:w="0" w:type="auto"/>
            <w:tcBorders>
              <w:top w:val="nil"/>
              <w:left w:val="nil"/>
              <w:bottom w:val="nil"/>
              <w:right w:val="nil"/>
            </w:tcBorders>
            <w:hideMark/>
          </w:tcPr>
          <w:p w14:paraId="6D26E09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30+</w:t>
            </w:r>
          </w:p>
        </w:tc>
        <w:tc>
          <w:tcPr>
            <w:tcW w:w="0" w:type="auto"/>
            <w:tcBorders>
              <w:top w:val="nil"/>
              <w:left w:val="nil"/>
              <w:bottom w:val="nil"/>
              <w:right w:val="nil"/>
            </w:tcBorders>
            <w:hideMark/>
          </w:tcPr>
          <w:p w14:paraId="0783DF3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72 (9.5)</w:t>
            </w:r>
          </w:p>
        </w:tc>
        <w:tc>
          <w:tcPr>
            <w:tcW w:w="0" w:type="auto"/>
            <w:tcBorders>
              <w:top w:val="nil"/>
              <w:left w:val="nil"/>
              <w:bottom w:val="nil"/>
              <w:right w:val="nil"/>
            </w:tcBorders>
            <w:hideMark/>
          </w:tcPr>
          <w:p w14:paraId="69174EA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130 (11)</w:t>
            </w:r>
          </w:p>
        </w:tc>
        <w:tc>
          <w:tcPr>
            <w:tcW w:w="0" w:type="auto"/>
            <w:tcBorders>
              <w:top w:val="nil"/>
              <w:left w:val="nil"/>
              <w:bottom w:val="nil"/>
              <w:right w:val="nil"/>
            </w:tcBorders>
            <w:hideMark/>
          </w:tcPr>
          <w:p w14:paraId="3E31E27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7" w:type="dxa"/>
            <w:tcBorders>
              <w:top w:val="nil"/>
              <w:left w:val="nil"/>
              <w:bottom w:val="nil"/>
              <w:right w:val="nil"/>
            </w:tcBorders>
            <w:hideMark/>
          </w:tcPr>
          <w:p w14:paraId="1AC9E2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0.60, 1.28</w:t>
            </w:r>
          </w:p>
        </w:tc>
        <w:tc>
          <w:tcPr>
            <w:tcW w:w="0" w:type="auto"/>
            <w:tcBorders>
              <w:top w:val="nil"/>
              <w:left w:val="nil"/>
              <w:bottom w:val="nil"/>
              <w:right w:val="nil"/>
            </w:tcBorders>
            <w:hideMark/>
          </w:tcPr>
          <w:p w14:paraId="4DF39E0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0.512</w:t>
            </w:r>
          </w:p>
        </w:tc>
        <w:tc>
          <w:tcPr>
            <w:tcW w:w="0" w:type="auto"/>
            <w:tcBorders>
              <w:top w:val="nil"/>
              <w:left w:val="nil"/>
              <w:bottom w:val="nil"/>
              <w:right w:val="nil"/>
            </w:tcBorders>
            <w:hideMark/>
          </w:tcPr>
          <w:p w14:paraId="1601DD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0.92</w:t>
            </w:r>
          </w:p>
        </w:tc>
        <w:tc>
          <w:tcPr>
            <w:tcW w:w="1017" w:type="dxa"/>
            <w:tcBorders>
              <w:top w:val="nil"/>
              <w:left w:val="nil"/>
              <w:bottom w:val="nil"/>
              <w:right w:val="nil"/>
            </w:tcBorders>
            <w:hideMark/>
          </w:tcPr>
          <w:p w14:paraId="609ADC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0.62, 1.34</w:t>
            </w:r>
          </w:p>
        </w:tc>
        <w:tc>
          <w:tcPr>
            <w:tcW w:w="0" w:type="auto"/>
            <w:tcBorders>
              <w:top w:val="nil"/>
              <w:left w:val="nil"/>
              <w:bottom w:val="nil"/>
              <w:right w:val="nil"/>
            </w:tcBorders>
            <w:hideMark/>
          </w:tcPr>
          <w:p w14:paraId="3010B1A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0.651</w:t>
            </w:r>
          </w:p>
        </w:tc>
        <w:tc>
          <w:tcPr>
            <w:tcW w:w="0" w:type="auto"/>
            <w:tcBorders>
              <w:top w:val="nil"/>
              <w:left w:val="nil"/>
              <w:bottom w:val="nil"/>
              <w:right w:val="nil"/>
            </w:tcBorders>
            <w:hideMark/>
          </w:tcPr>
          <w:p w14:paraId="0B7B9D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0.89</w:t>
            </w:r>
          </w:p>
        </w:tc>
        <w:tc>
          <w:tcPr>
            <w:tcW w:w="1017" w:type="dxa"/>
            <w:tcBorders>
              <w:top w:val="nil"/>
              <w:left w:val="nil"/>
              <w:bottom w:val="nil"/>
              <w:right w:val="nil"/>
            </w:tcBorders>
            <w:hideMark/>
          </w:tcPr>
          <w:p w14:paraId="2052FE9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0.59, 1.33</w:t>
            </w:r>
          </w:p>
        </w:tc>
        <w:tc>
          <w:tcPr>
            <w:tcW w:w="0" w:type="auto"/>
            <w:tcBorders>
              <w:top w:val="nil"/>
              <w:left w:val="nil"/>
              <w:bottom w:val="nil"/>
              <w:right w:val="nil"/>
            </w:tcBorders>
            <w:hideMark/>
          </w:tcPr>
          <w:p w14:paraId="2AFDD63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0.563</w:t>
            </w:r>
          </w:p>
        </w:tc>
        <w:tc>
          <w:tcPr>
            <w:tcW w:w="0" w:type="auto"/>
            <w:tcBorders>
              <w:top w:val="nil"/>
              <w:left w:val="nil"/>
              <w:bottom w:val="nil"/>
              <w:right w:val="nil"/>
            </w:tcBorders>
            <w:hideMark/>
          </w:tcPr>
          <w:p w14:paraId="670F393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0.91</w:t>
            </w:r>
          </w:p>
        </w:tc>
        <w:tc>
          <w:tcPr>
            <w:tcW w:w="1010" w:type="dxa"/>
            <w:tcBorders>
              <w:top w:val="nil"/>
              <w:left w:val="nil"/>
              <w:bottom w:val="nil"/>
              <w:right w:val="nil"/>
            </w:tcBorders>
            <w:hideMark/>
          </w:tcPr>
          <w:p w14:paraId="4E12F94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0.60, 1.38</w:t>
            </w:r>
          </w:p>
        </w:tc>
        <w:tc>
          <w:tcPr>
            <w:tcW w:w="0" w:type="auto"/>
            <w:tcBorders>
              <w:top w:val="nil"/>
              <w:left w:val="nil"/>
              <w:bottom w:val="nil"/>
              <w:right w:val="nil"/>
            </w:tcBorders>
            <w:hideMark/>
          </w:tcPr>
          <w:p w14:paraId="48F0F94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0.670</w:t>
            </w:r>
          </w:p>
        </w:tc>
      </w:tr>
      <w:tr w:rsidR="00F57E7E" w:rsidRPr="007030D1" w14:paraId="7DE8EAEE" w14:textId="77777777" w:rsidTr="00F57E7E">
        <w:trPr>
          <w:trHeight w:hRule="exact" w:val="283"/>
        </w:trPr>
        <w:tc>
          <w:tcPr>
            <w:tcW w:w="0" w:type="auto"/>
            <w:tcBorders>
              <w:top w:val="nil"/>
              <w:left w:val="nil"/>
              <w:bottom w:val="nil"/>
              <w:right w:val="nil"/>
            </w:tcBorders>
            <w:hideMark/>
          </w:tcPr>
          <w:p w14:paraId="596B13F1"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Smoking status</w:t>
            </w:r>
          </w:p>
        </w:tc>
        <w:tc>
          <w:tcPr>
            <w:tcW w:w="0" w:type="auto"/>
            <w:tcBorders>
              <w:top w:val="nil"/>
              <w:left w:val="nil"/>
              <w:bottom w:val="nil"/>
              <w:right w:val="nil"/>
            </w:tcBorders>
            <w:hideMark/>
          </w:tcPr>
          <w:p w14:paraId="7BE8E5F4"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30CAC6F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E3EC46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90237E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5277CA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E5BD2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6965AA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11FCE0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C3069F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85F01A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FCE349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4C33F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15C349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59323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45F9EF57" w14:textId="77777777" w:rsidTr="00F57E7E">
        <w:trPr>
          <w:trHeight w:hRule="exact" w:val="283"/>
        </w:trPr>
        <w:tc>
          <w:tcPr>
            <w:tcW w:w="0" w:type="auto"/>
            <w:tcBorders>
              <w:top w:val="nil"/>
              <w:left w:val="nil"/>
              <w:bottom w:val="nil"/>
              <w:right w:val="nil"/>
            </w:tcBorders>
            <w:hideMark/>
          </w:tcPr>
          <w:p w14:paraId="6B89AE8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Never</w:t>
            </w:r>
          </w:p>
        </w:tc>
        <w:tc>
          <w:tcPr>
            <w:tcW w:w="0" w:type="auto"/>
            <w:tcBorders>
              <w:top w:val="nil"/>
              <w:left w:val="nil"/>
              <w:bottom w:val="nil"/>
              <w:right w:val="nil"/>
            </w:tcBorders>
            <w:hideMark/>
          </w:tcPr>
          <w:p w14:paraId="1BF9A43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453 (60)</w:t>
            </w:r>
          </w:p>
        </w:tc>
        <w:tc>
          <w:tcPr>
            <w:tcW w:w="0" w:type="auto"/>
            <w:tcBorders>
              <w:top w:val="nil"/>
              <w:left w:val="nil"/>
              <w:bottom w:val="nil"/>
              <w:right w:val="nil"/>
            </w:tcBorders>
            <w:hideMark/>
          </w:tcPr>
          <w:p w14:paraId="531CF7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709 (60)</w:t>
            </w:r>
          </w:p>
        </w:tc>
        <w:tc>
          <w:tcPr>
            <w:tcW w:w="0" w:type="auto"/>
            <w:tcBorders>
              <w:top w:val="nil"/>
              <w:left w:val="nil"/>
              <w:bottom w:val="nil"/>
              <w:right w:val="nil"/>
            </w:tcBorders>
            <w:hideMark/>
          </w:tcPr>
          <w:p w14:paraId="19571FD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E6E1D9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1727F4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088A01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5471F35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3290FC7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F3138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1E51118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719C36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226A271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5D69E9E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33E3EB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377ACEEC" w14:textId="77777777" w:rsidTr="00F57E7E">
        <w:trPr>
          <w:trHeight w:hRule="exact" w:val="283"/>
        </w:trPr>
        <w:tc>
          <w:tcPr>
            <w:tcW w:w="0" w:type="auto"/>
            <w:tcBorders>
              <w:top w:val="nil"/>
              <w:left w:val="nil"/>
              <w:bottom w:val="nil"/>
              <w:right w:val="nil"/>
            </w:tcBorders>
            <w:hideMark/>
          </w:tcPr>
          <w:p w14:paraId="205FC12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Former</w:t>
            </w:r>
          </w:p>
        </w:tc>
        <w:tc>
          <w:tcPr>
            <w:tcW w:w="0" w:type="auto"/>
            <w:tcBorders>
              <w:top w:val="nil"/>
              <w:left w:val="nil"/>
              <w:bottom w:val="nil"/>
              <w:right w:val="nil"/>
            </w:tcBorders>
            <w:hideMark/>
          </w:tcPr>
          <w:p w14:paraId="1482129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261 (35)</w:t>
            </w:r>
          </w:p>
        </w:tc>
        <w:tc>
          <w:tcPr>
            <w:tcW w:w="0" w:type="auto"/>
            <w:tcBorders>
              <w:top w:val="nil"/>
              <w:left w:val="nil"/>
              <w:bottom w:val="nil"/>
              <w:right w:val="nil"/>
            </w:tcBorders>
            <w:hideMark/>
          </w:tcPr>
          <w:p w14:paraId="5D101CB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392 (33)</w:t>
            </w:r>
          </w:p>
        </w:tc>
        <w:tc>
          <w:tcPr>
            <w:tcW w:w="0" w:type="auto"/>
            <w:tcBorders>
              <w:top w:val="nil"/>
              <w:left w:val="nil"/>
              <w:bottom w:val="nil"/>
              <w:right w:val="nil"/>
            </w:tcBorders>
            <w:hideMark/>
          </w:tcPr>
          <w:p w14:paraId="4E2BA8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1.05</w:t>
            </w:r>
          </w:p>
        </w:tc>
        <w:tc>
          <w:tcPr>
            <w:tcW w:w="1017" w:type="dxa"/>
            <w:tcBorders>
              <w:top w:val="nil"/>
              <w:left w:val="nil"/>
              <w:bottom w:val="nil"/>
              <w:right w:val="nil"/>
            </w:tcBorders>
            <w:hideMark/>
          </w:tcPr>
          <w:p w14:paraId="7BF86D8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0.85, 1.30</w:t>
            </w:r>
          </w:p>
        </w:tc>
        <w:tc>
          <w:tcPr>
            <w:tcW w:w="0" w:type="auto"/>
            <w:tcBorders>
              <w:top w:val="nil"/>
              <w:left w:val="nil"/>
              <w:bottom w:val="nil"/>
              <w:right w:val="nil"/>
            </w:tcBorders>
            <w:hideMark/>
          </w:tcPr>
          <w:p w14:paraId="048EF42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0.621</w:t>
            </w:r>
          </w:p>
        </w:tc>
        <w:tc>
          <w:tcPr>
            <w:tcW w:w="0" w:type="auto"/>
            <w:tcBorders>
              <w:top w:val="nil"/>
              <w:left w:val="nil"/>
              <w:bottom w:val="nil"/>
              <w:right w:val="nil"/>
            </w:tcBorders>
            <w:hideMark/>
          </w:tcPr>
          <w:p w14:paraId="7B39CF8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1.09</w:t>
            </w:r>
          </w:p>
        </w:tc>
        <w:tc>
          <w:tcPr>
            <w:tcW w:w="1017" w:type="dxa"/>
            <w:tcBorders>
              <w:top w:val="nil"/>
              <w:left w:val="nil"/>
              <w:bottom w:val="nil"/>
              <w:right w:val="nil"/>
            </w:tcBorders>
            <w:hideMark/>
          </w:tcPr>
          <w:p w14:paraId="73DBCA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0.87, 1.35</w:t>
            </w:r>
          </w:p>
        </w:tc>
        <w:tc>
          <w:tcPr>
            <w:tcW w:w="0" w:type="auto"/>
            <w:tcBorders>
              <w:top w:val="nil"/>
              <w:left w:val="nil"/>
              <w:bottom w:val="nil"/>
              <w:right w:val="nil"/>
            </w:tcBorders>
            <w:hideMark/>
          </w:tcPr>
          <w:p w14:paraId="51F9791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0.458</w:t>
            </w:r>
          </w:p>
        </w:tc>
        <w:tc>
          <w:tcPr>
            <w:tcW w:w="0" w:type="auto"/>
            <w:tcBorders>
              <w:top w:val="nil"/>
              <w:left w:val="nil"/>
              <w:bottom w:val="nil"/>
              <w:right w:val="nil"/>
            </w:tcBorders>
            <w:hideMark/>
          </w:tcPr>
          <w:p w14:paraId="6AA7A29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w:t>
            </w:r>
          </w:p>
        </w:tc>
        <w:tc>
          <w:tcPr>
            <w:tcW w:w="1017" w:type="dxa"/>
            <w:tcBorders>
              <w:top w:val="nil"/>
              <w:left w:val="nil"/>
              <w:bottom w:val="nil"/>
              <w:right w:val="nil"/>
            </w:tcBorders>
            <w:hideMark/>
          </w:tcPr>
          <w:p w14:paraId="3C15C4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0.83, 1.32</w:t>
            </w:r>
          </w:p>
        </w:tc>
        <w:tc>
          <w:tcPr>
            <w:tcW w:w="0" w:type="auto"/>
            <w:tcBorders>
              <w:top w:val="nil"/>
              <w:left w:val="nil"/>
              <w:bottom w:val="nil"/>
              <w:right w:val="nil"/>
            </w:tcBorders>
            <w:hideMark/>
          </w:tcPr>
          <w:p w14:paraId="2A2860F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0.714</w:t>
            </w:r>
          </w:p>
        </w:tc>
        <w:tc>
          <w:tcPr>
            <w:tcW w:w="0" w:type="auto"/>
            <w:tcBorders>
              <w:top w:val="nil"/>
              <w:left w:val="nil"/>
              <w:bottom w:val="nil"/>
              <w:right w:val="nil"/>
            </w:tcBorders>
            <w:hideMark/>
          </w:tcPr>
          <w:p w14:paraId="6A1DD92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1.09</w:t>
            </w:r>
          </w:p>
        </w:tc>
        <w:tc>
          <w:tcPr>
            <w:tcW w:w="1010" w:type="dxa"/>
            <w:tcBorders>
              <w:top w:val="nil"/>
              <w:left w:val="nil"/>
              <w:bottom w:val="nil"/>
              <w:right w:val="nil"/>
            </w:tcBorders>
            <w:hideMark/>
          </w:tcPr>
          <w:p w14:paraId="1621523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0.86, 1.38</w:t>
            </w:r>
          </w:p>
        </w:tc>
        <w:tc>
          <w:tcPr>
            <w:tcW w:w="0" w:type="auto"/>
            <w:tcBorders>
              <w:top w:val="nil"/>
              <w:left w:val="nil"/>
              <w:bottom w:val="nil"/>
              <w:right w:val="nil"/>
            </w:tcBorders>
            <w:hideMark/>
          </w:tcPr>
          <w:p w14:paraId="175BCAA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0.489</w:t>
            </w:r>
          </w:p>
        </w:tc>
      </w:tr>
      <w:tr w:rsidR="00F57E7E" w:rsidRPr="007030D1" w14:paraId="137465FA" w14:textId="77777777" w:rsidTr="00F57E7E">
        <w:trPr>
          <w:trHeight w:hRule="exact" w:val="283"/>
        </w:trPr>
        <w:tc>
          <w:tcPr>
            <w:tcW w:w="0" w:type="auto"/>
            <w:tcBorders>
              <w:top w:val="nil"/>
              <w:left w:val="nil"/>
              <w:bottom w:val="nil"/>
              <w:right w:val="nil"/>
            </w:tcBorders>
            <w:hideMark/>
          </w:tcPr>
          <w:p w14:paraId="7D61148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Current</w:t>
            </w:r>
          </w:p>
        </w:tc>
        <w:tc>
          <w:tcPr>
            <w:tcW w:w="0" w:type="auto"/>
            <w:tcBorders>
              <w:top w:val="nil"/>
              <w:left w:val="nil"/>
              <w:bottom w:val="nil"/>
              <w:right w:val="nil"/>
            </w:tcBorders>
            <w:hideMark/>
          </w:tcPr>
          <w:p w14:paraId="105DE6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41 (5.4)</w:t>
            </w:r>
          </w:p>
        </w:tc>
        <w:tc>
          <w:tcPr>
            <w:tcW w:w="0" w:type="auto"/>
            <w:tcBorders>
              <w:top w:val="nil"/>
              <w:left w:val="nil"/>
              <w:bottom w:val="nil"/>
              <w:right w:val="nil"/>
            </w:tcBorders>
            <w:hideMark/>
          </w:tcPr>
          <w:p w14:paraId="7D4F343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82 (6.9)</w:t>
            </w:r>
          </w:p>
        </w:tc>
        <w:tc>
          <w:tcPr>
            <w:tcW w:w="0" w:type="auto"/>
            <w:tcBorders>
              <w:top w:val="nil"/>
              <w:left w:val="nil"/>
              <w:bottom w:val="nil"/>
              <w:right w:val="nil"/>
            </w:tcBorders>
            <w:hideMark/>
          </w:tcPr>
          <w:p w14:paraId="62925A3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w:t>
            </w:r>
          </w:p>
        </w:tc>
        <w:tc>
          <w:tcPr>
            <w:tcW w:w="1017" w:type="dxa"/>
            <w:tcBorders>
              <w:top w:val="nil"/>
              <w:left w:val="nil"/>
              <w:bottom w:val="nil"/>
              <w:right w:val="nil"/>
            </w:tcBorders>
            <w:hideMark/>
          </w:tcPr>
          <w:p w14:paraId="239B301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0.51, 1.17</w:t>
            </w:r>
          </w:p>
        </w:tc>
        <w:tc>
          <w:tcPr>
            <w:tcW w:w="0" w:type="auto"/>
            <w:tcBorders>
              <w:top w:val="nil"/>
              <w:left w:val="nil"/>
              <w:bottom w:val="nil"/>
              <w:right w:val="nil"/>
            </w:tcBorders>
            <w:hideMark/>
          </w:tcPr>
          <w:p w14:paraId="138FD85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0.228</w:t>
            </w:r>
          </w:p>
        </w:tc>
        <w:tc>
          <w:tcPr>
            <w:tcW w:w="0" w:type="auto"/>
            <w:tcBorders>
              <w:top w:val="nil"/>
              <w:left w:val="nil"/>
              <w:bottom w:val="nil"/>
              <w:right w:val="nil"/>
            </w:tcBorders>
            <w:hideMark/>
          </w:tcPr>
          <w:p w14:paraId="106B451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w:t>
            </w:r>
          </w:p>
        </w:tc>
        <w:tc>
          <w:tcPr>
            <w:tcW w:w="1017" w:type="dxa"/>
            <w:tcBorders>
              <w:top w:val="nil"/>
              <w:left w:val="nil"/>
              <w:bottom w:val="nil"/>
              <w:right w:val="nil"/>
            </w:tcBorders>
            <w:hideMark/>
          </w:tcPr>
          <w:p w14:paraId="7E475C9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0.51, 1.19</w:t>
            </w:r>
          </w:p>
        </w:tc>
        <w:tc>
          <w:tcPr>
            <w:tcW w:w="0" w:type="auto"/>
            <w:tcBorders>
              <w:top w:val="nil"/>
              <w:left w:val="nil"/>
              <w:bottom w:val="nil"/>
              <w:right w:val="nil"/>
            </w:tcBorders>
            <w:hideMark/>
          </w:tcPr>
          <w:p w14:paraId="12B93F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0.259</w:t>
            </w:r>
          </w:p>
        </w:tc>
        <w:tc>
          <w:tcPr>
            <w:tcW w:w="0" w:type="auto"/>
            <w:tcBorders>
              <w:top w:val="nil"/>
              <w:left w:val="nil"/>
              <w:bottom w:val="nil"/>
              <w:right w:val="nil"/>
            </w:tcBorders>
            <w:hideMark/>
          </w:tcPr>
          <w:p w14:paraId="67D7B8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w:t>
            </w:r>
          </w:p>
        </w:tc>
        <w:tc>
          <w:tcPr>
            <w:tcW w:w="1017" w:type="dxa"/>
            <w:tcBorders>
              <w:top w:val="nil"/>
              <w:left w:val="nil"/>
              <w:bottom w:val="nil"/>
              <w:right w:val="nil"/>
            </w:tcBorders>
            <w:hideMark/>
          </w:tcPr>
          <w:p w14:paraId="59CD00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0.48, 1.19</w:t>
            </w:r>
          </w:p>
        </w:tc>
        <w:tc>
          <w:tcPr>
            <w:tcW w:w="0" w:type="auto"/>
            <w:tcBorders>
              <w:top w:val="nil"/>
              <w:left w:val="nil"/>
              <w:bottom w:val="nil"/>
              <w:right w:val="nil"/>
            </w:tcBorders>
            <w:hideMark/>
          </w:tcPr>
          <w:p w14:paraId="289FDD5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0.234</w:t>
            </w:r>
          </w:p>
        </w:tc>
        <w:tc>
          <w:tcPr>
            <w:tcW w:w="0" w:type="auto"/>
            <w:tcBorders>
              <w:top w:val="nil"/>
              <w:left w:val="nil"/>
              <w:bottom w:val="nil"/>
              <w:right w:val="nil"/>
            </w:tcBorders>
            <w:hideMark/>
          </w:tcPr>
          <w:p w14:paraId="17FA388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0.78</w:t>
            </w:r>
          </w:p>
        </w:tc>
        <w:tc>
          <w:tcPr>
            <w:tcW w:w="1010" w:type="dxa"/>
            <w:tcBorders>
              <w:top w:val="nil"/>
              <w:left w:val="nil"/>
              <w:bottom w:val="nil"/>
              <w:right w:val="nil"/>
            </w:tcBorders>
            <w:hideMark/>
          </w:tcPr>
          <w:p w14:paraId="7558680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0.49, 1.22</w:t>
            </w:r>
          </w:p>
        </w:tc>
        <w:tc>
          <w:tcPr>
            <w:tcW w:w="0" w:type="auto"/>
            <w:tcBorders>
              <w:top w:val="nil"/>
              <w:left w:val="nil"/>
              <w:bottom w:val="nil"/>
              <w:right w:val="nil"/>
            </w:tcBorders>
            <w:hideMark/>
          </w:tcPr>
          <w:p w14:paraId="5B9C3A4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0.277</w:t>
            </w:r>
          </w:p>
        </w:tc>
      </w:tr>
      <w:tr w:rsidR="00F57E7E" w:rsidRPr="007030D1" w14:paraId="71C9C5A2" w14:textId="77777777" w:rsidTr="00F57E7E">
        <w:trPr>
          <w:trHeight w:hRule="exact" w:val="283"/>
        </w:trPr>
        <w:tc>
          <w:tcPr>
            <w:tcW w:w="0" w:type="auto"/>
            <w:tcBorders>
              <w:top w:val="nil"/>
              <w:left w:val="nil"/>
              <w:bottom w:val="nil"/>
              <w:right w:val="nil"/>
            </w:tcBorders>
            <w:hideMark/>
          </w:tcPr>
          <w:p w14:paraId="7378D36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7D53F1D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 (0)</w:t>
            </w:r>
          </w:p>
        </w:tc>
        <w:tc>
          <w:tcPr>
            <w:tcW w:w="0" w:type="auto"/>
            <w:tcBorders>
              <w:top w:val="nil"/>
              <w:left w:val="nil"/>
              <w:bottom w:val="nil"/>
              <w:right w:val="nil"/>
            </w:tcBorders>
            <w:hideMark/>
          </w:tcPr>
          <w:p w14:paraId="1872691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 (0.2)</w:t>
            </w:r>
          </w:p>
        </w:tc>
        <w:tc>
          <w:tcPr>
            <w:tcW w:w="0" w:type="auto"/>
            <w:tcBorders>
              <w:top w:val="nil"/>
              <w:left w:val="nil"/>
              <w:bottom w:val="nil"/>
              <w:right w:val="nil"/>
            </w:tcBorders>
            <w:hideMark/>
          </w:tcPr>
          <w:p w14:paraId="7836DE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6C0BDFC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E94134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1B48A1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622ABD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B27FB6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7E4683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07F295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9612E1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032197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7D09019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D8FD42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1B3AB7E5" w14:textId="77777777" w:rsidTr="00F57E7E">
        <w:trPr>
          <w:trHeight w:hRule="exact" w:val="283"/>
        </w:trPr>
        <w:tc>
          <w:tcPr>
            <w:tcW w:w="0" w:type="auto"/>
            <w:tcBorders>
              <w:top w:val="nil"/>
              <w:left w:val="nil"/>
              <w:bottom w:val="nil"/>
              <w:right w:val="nil"/>
            </w:tcBorders>
            <w:hideMark/>
          </w:tcPr>
          <w:p w14:paraId="64AFDB46"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Mammographic density (quartiles)</w:t>
            </w:r>
          </w:p>
        </w:tc>
        <w:tc>
          <w:tcPr>
            <w:tcW w:w="0" w:type="auto"/>
            <w:tcBorders>
              <w:top w:val="nil"/>
              <w:left w:val="nil"/>
              <w:bottom w:val="nil"/>
              <w:right w:val="nil"/>
            </w:tcBorders>
            <w:hideMark/>
          </w:tcPr>
          <w:p w14:paraId="497BFD59"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34B30EE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44FB05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02E216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4C42DA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5194E1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6D4C48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B85686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802478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A7FBEC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1C7520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6A2C00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CAE363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263D6F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B1CD8D0" w14:textId="77777777" w:rsidTr="00F57E7E">
        <w:trPr>
          <w:trHeight w:hRule="exact" w:val="283"/>
        </w:trPr>
        <w:tc>
          <w:tcPr>
            <w:tcW w:w="0" w:type="auto"/>
            <w:tcBorders>
              <w:top w:val="nil"/>
              <w:left w:val="nil"/>
              <w:bottom w:val="nil"/>
              <w:right w:val="nil"/>
            </w:tcBorders>
            <w:hideMark/>
          </w:tcPr>
          <w:p w14:paraId="36AD90D4"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 (&lt;11.45%)</w:t>
            </w:r>
          </w:p>
        </w:tc>
        <w:tc>
          <w:tcPr>
            <w:tcW w:w="0" w:type="auto"/>
            <w:tcBorders>
              <w:top w:val="nil"/>
              <w:left w:val="nil"/>
              <w:bottom w:val="nil"/>
              <w:right w:val="nil"/>
            </w:tcBorders>
            <w:hideMark/>
          </w:tcPr>
          <w:p w14:paraId="3B99D72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73 (9.7)</w:t>
            </w:r>
          </w:p>
        </w:tc>
        <w:tc>
          <w:tcPr>
            <w:tcW w:w="0" w:type="auto"/>
            <w:tcBorders>
              <w:top w:val="nil"/>
              <w:left w:val="nil"/>
              <w:bottom w:val="nil"/>
              <w:right w:val="nil"/>
            </w:tcBorders>
            <w:hideMark/>
          </w:tcPr>
          <w:p w14:paraId="17E0C21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225 (19)</w:t>
            </w:r>
          </w:p>
        </w:tc>
        <w:tc>
          <w:tcPr>
            <w:tcW w:w="0" w:type="auto"/>
            <w:tcBorders>
              <w:top w:val="nil"/>
              <w:left w:val="nil"/>
              <w:bottom w:val="nil"/>
              <w:right w:val="nil"/>
            </w:tcBorders>
            <w:hideMark/>
          </w:tcPr>
          <w:p w14:paraId="2483106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5317FDC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A7093E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BE6535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E171A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176CE6A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47DA1C0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572976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82645B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F4D89C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7CAA3F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A5006A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0018366B" w14:textId="77777777" w:rsidTr="00F57E7E">
        <w:trPr>
          <w:trHeight w:hRule="exact" w:val="283"/>
        </w:trPr>
        <w:tc>
          <w:tcPr>
            <w:tcW w:w="0" w:type="auto"/>
            <w:tcBorders>
              <w:top w:val="nil"/>
              <w:left w:val="nil"/>
              <w:bottom w:val="nil"/>
              <w:right w:val="nil"/>
            </w:tcBorders>
            <w:hideMark/>
          </w:tcPr>
          <w:p w14:paraId="7CB685B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 (11.45-22.00%)</w:t>
            </w:r>
          </w:p>
        </w:tc>
        <w:tc>
          <w:tcPr>
            <w:tcW w:w="0" w:type="auto"/>
            <w:tcBorders>
              <w:top w:val="nil"/>
              <w:left w:val="nil"/>
              <w:bottom w:val="nil"/>
              <w:right w:val="nil"/>
            </w:tcBorders>
            <w:hideMark/>
          </w:tcPr>
          <w:p w14:paraId="0134BB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96 (13)</w:t>
            </w:r>
          </w:p>
        </w:tc>
        <w:tc>
          <w:tcPr>
            <w:tcW w:w="0" w:type="auto"/>
            <w:tcBorders>
              <w:top w:val="nil"/>
              <w:left w:val="nil"/>
              <w:bottom w:val="nil"/>
              <w:right w:val="nil"/>
            </w:tcBorders>
            <w:hideMark/>
          </w:tcPr>
          <w:p w14:paraId="5F12F7A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202 (17)</w:t>
            </w:r>
          </w:p>
        </w:tc>
        <w:tc>
          <w:tcPr>
            <w:tcW w:w="0" w:type="auto"/>
            <w:tcBorders>
              <w:top w:val="nil"/>
              <w:left w:val="nil"/>
              <w:bottom w:val="nil"/>
              <w:right w:val="nil"/>
            </w:tcBorders>
            <w:hideMark/>
          </w:tcPr>
          <w:p w14:paraId="75B4CCF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3428F81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2C2D06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6C1691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1.39</w:t>
            </w:r>
          </w:p>
        </w:tc>
        <w:tc>
          <w:tcPr>
            <w:tcW w:w="1017" w:type="dxa"/>
            <w:tcBorders>
              <w:top w:val="nil"/>
              <w:left w:val="nil"/>
              <w:bottom w:val="nil"/>
              <w:right w:val="nil"/>
            </w:tcBorders>
            <w:hideMark/>
          </w:tcPr>
          <w:p w14:paraId="64E96C3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0.95, 2.03</w:t>
            </w:r>
          </w:p>
        </w:tc>
        <w:tc>
          <w:tcPr>
            <w:tcW w:w="0" w:type="auto"/>
            <w:tcBorders>
              <w:top w:val="nil"/>
              <w:left w:val="nil"/>
              <w:bottom w:val="nil"/>
              <w:right w:val="nil"/>
            </w:tcBorders>
            <w:hideMark/>
          </w:tcPr>
          <w:p w14:paraId="69EAA55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0.094</w:t>
            </w:r>
          </w:p>
        </w:tc>
        <w:tc>
          <w:tcPr>
            <w:tcW w:w="0" w:type="auto"/>
            <w:tcBorders>
              <w:top w:val="nil"/>
              <w:left w:val="nil"/>
              <w:bottom w:val="nil"/>
              <w:right w:val="nil"/>
            </w:tcBorders>
            <w:hideMark/>
          </w:tcPr>
          <w:p w14:paraId="69D70A5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79B4D4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93D502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39388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1.42</w:t>
            </w:r>
          </w:p>
        </w:tc>
        <w:tc>
          <w:tcPr>
            <w:tcW w:w="1010" w:type="dxa"/>
            <w:tcBorders>
              <w:top w:val="nil"/>
              <w:left w:val="nil"/>
              <w:bottom w:val="nil"/>
              <w:right w:val="nil"/>
            </w:tcBorders>
            <w:hideMark/>
          </w:tcPr>
          <w:p w14:paraId="1E3B0BC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0.94, 2.16</w:t>
            </w:r>
          </w:p>
        </w:tc>
        <w:tc>
          <w:tcPr>
            <w:tcW w:w="0" w:type="auto"/>
            <w:tcBorders>
              <w:top w:val="nil"/>
              <w:left w:val="nil"/>
              <w:bottom w:val="nil"/>
              <w:right w:val="nil"/>
            </w:tcBorders>
            <w:hideMark/>
          </w:tcPr>
          <w:p w14:paraId="5A40B97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0.094</w:t>
            </w:r>
          </w:p>
        </w:tc>
      </w:tr>
      <w:tr w:rsidR="00F57E7E" w:rsidRPr="007030D1" w14:paraId="5864BA1E" w14:textId="77777777" w:rsidTr="00F57E7E">
        <w:trPr>
          <w:trHeight w:hRule="exact" w:val="283"/>
        </w:trPr>
        <w:tc>
          <w:tcPr>
            <w:tcW w:w="0" w:type="auto"/>
            <w:tcBorders>
              <w:top w:val="nil"/>
              <w:left w:val="nil"/>
              <w:bottom w:val="nil"/>
              <w:right w:val="nil"/>
            </w:tcBorders>
            <w:hideMark/>
          </w:tcPr>
          <w:p w14:paraId="3BEC6A15"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 (22.00-26.70%)</w:t>
            </w:r>
          </w:p>
        </w:tc>
        <w:tc>
          <w:tcPr>
            <w:tcW w:w="0" w:type="auto"/>
            <w:tcBorders>
              <w:top w:val="nil"/>
              <w:left w:val="nil"/>
              <w:bottom w:val="nil"/>
              <w:right w:val="nil"/>
            </w:tcBorders>
            <w:hideMark/>
          </w:tcPr>
          <w:p w14:paraId="77AE7ED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105 (14)</w:t>
            </w:r>
          </w:p>
        </w:tc>
        <w:tc>
          <w:tcPr>
            <w:tcW w:w="0" w:type="auto"/>
            <w:tcBorders>
              <w:top w:val="nil"/>
              <w:left w:val="nil"/>
              <w:bottom w:val="nil"/>
              <w:right w:val="nil"/>
            </w:tcBorders>
            <w:hideMark/>
          </w:tcPr>
          <w:p w14:paraId="7C451C6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193 (16)</w:t>
            </w:r>
          </w:p>
        </w:tc>
        <w:tc>
          <w:tcPr>
            <w:tcW w:w="0" w:type="auto"/>
            <w:tcBorders>
              <w:top w:val="nil"/>
              <w:left w:val="nil"/>
              <w:bottom w:val="nil"/>
              <w:right w:val="nil"/>
            </w:tcBorders>
            <w:hideMark/>
          </w:tcPr>
          <w:p w14:paraId="02607A7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A46B3E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570266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A7EB9A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1.66</w:t>
            </w:r>
          </w:p>
        </w:tc>
        <w:tc>
          <w:tcPr>
            <w:tcW w:w="1017" w:type="dxa"/>
            <w:tcBorders>
              <w:top w:val="nil"/>
              <w:left w:val="nil"/>
              <w:bottom w:val="nil"/>
              <w:right w:val="nil"/>
            </w:tcBorders>
            <w:hideMark/>
          </w:tcPr>
          <w:p w14:paraId="3AA4186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1.14, 2.44</w:t>
            </w:r>
          </w:p>
        </w:tc>
        <w:tc>
          <w:tcPr>
            <w:tcW w:w="0" w:type="auto"/>
            <w:tcBorders>
              <w:top w:val="nil"/>
              <w:left w:val="nil"/>
              <w:bottom w:val="nil"/>
              <w:right w:val="nil"/>
            </w:tcBorders>
            <w:hideMark/>
          </w:tcPr>
          <w:p w14:paraId="4448E2C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0.009</w:t>
            </w:r>
          </w:p>
        </w:tc>
        <w:tc>
          <w:tcPr>
            <w:tcW w:w="0" w:type="auto"/>
            <w:tcBorders>
              <w:top w:val="nil"/>
              <w:left w:val="nil"/>
              <w:bottom w:val="nil"/>
              <w:right w:val="nil"/>
            </w:tcBorders>
            <w:hideMark/>
          </w:tcPr>
          <w:p w14:paraId="3B30274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15FEA3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7A84F5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EF97C6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1.58</w:t>
            </w:r>
          </w:p>
        </w:tc>
        <w:tc>
          <w:tcPr>
            <w:tcW w:w="1010" w:type="dxa"/>
            <w:tcBorders>
              <w:top w:val="nil"/>
              <w:left w:val="nil"/>
              <w:bottom w:val="nil"/>
              <w:right w:val="nil"/>
            </w:tcBorders>
            <w:hideMark/>
          </w:tcPr>
          <w:p w14:paraId="3426383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1.04, 2.41</w:t>
            </w:r>
          </w:p>
        </w:tc>
        <w:tc>
          <w:tcPr>
            <w:tcW w:w="0" w:type="auto"/>
            <w:tcBorders>
              <w:top w:val="nil"/>
              <w:left w:val="nil"/>
              <w:bottom w:val="nil"/>
              <w:right w:val="nil"/>
            </w:tcBorders>
            <w:hideMark/>
          </w:tcPr>
          <w:p w14:paraId="394648D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0.034</w:t>
            </w:r>
          </w:p>
        </w:tc>
      </w:tr>
      <w:tr w:rsidR="00F57E7E" w:rsidRPr="007030D1" w14:paraId="4DF48BEF" w14:textId="77777777" w:rsidTr="00F57E7E">
        <w:trPr>
          <w:trHeight w:hRule="exact" w:val="283"/>
        </w:trPr>
        <w:tc>
          <w:tcPr>
            <w:tcW w:w="0" w:type="auto"/>
            <w:tcBorders>
              <w:top w:val="nil"/>
              <w:left w:val="nil"/>
              <w:bottom w:val="nil"/>
              <w:right w:val="nil"/>
            </w:tcBorders>
            <w:hideMark/>
          </w:tcPr>
          <w:p w14:paraId="2B44E73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 (&gt;36.70%)</w:t>
            </w:r>
          </w:p>
        </w:tc>
        <w:tc>
          <w:tcPr>
            <w:tcW w:w="0" w:type="auto"/>
            <w:tcBorders>
              <w:top w:val="nil"/>
              <w:left w:val="nil"/>
              <w:bottom w:val="nil"/>
              <w:right w:val="nil"/>
            </w:tcBorders>
            <w:hideMark/>
          </w:tcPr>
          <w:p w14:paraId="0D670C6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127 (17)</w:t>
            </w:r>
          </w:p>
        </w:tc>
        <w:tc>
          <w:tcPr>
            <w:tcW w:w="0" w:type="auto"/>
            <w:tcBorders>
              <w:top w:val="nil"/>
              <w:left w:val="nil"/>
              <w:bottom w:val="nil"/>
              <w:right w:val="nil"/>
            </w:tcBorders>
            <w:hideMark/>
          </w:tcPr>
          <w:p w14:paraId="4553F36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170 (14)</w:t>
            </w:r>
          </w:p>
        </w:tc>
        <w:tc>
          <w:tcPr>
            <w:tcW w:w="0" w:type="auto"/>
            <w:tcBorders>
              <w:top w:val="nil"/>
              <w:left w:val="nil"/>
              <w:bottom w:val="nil"/>
              <w:right w:val="nil"/>
            </w:tcBorders>
            <w:hideMark/>
          </w:tcPr>
          <w:p w14:paraId="40ADBFC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64A273A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3BC96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BA93D7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2.13</w:t>
            </w:r>
          </w:p>
        </w:tc>
        <w:tc>
          <w:tcPr>
            <w:tcW w:w="1017" w:type="dxa"/>
            <w:tcBorders>
              <w:top w:val="nil"/>
              <w:left w:val="nil"/>
              <w:bottom w:val="nil"/>
              <w:right w:val="nil"/>
            </w:tcBorders>
            <w:hideMark/>
          </w:tcPr>
          <w:p w14:paraId="06A7028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1.44, 3.17</w:t>
            </w:r>
          </w:p>
        </w:tc>
        <w:tc>
          <w:tcPr>
            <w:tcW w:w="0" w:type="auto"/>
            <w:tcBorders>
              <w:top w:val="nil"/>
              <w:left w:val="nil"/>
              <w:bottom w:val="nil"/>
              <w:right w:val="nil"/>
            </w:tcBorders>
            <w:hideMark/>
          </w:tcPr>
          <w:p w14:paraId="5018ACC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c>
          <w:tcPr>
            <w:tcW w:w="0" w:type="auto"/>
            <w:tcBorders>
              <w:top w:val="nil"/>
              <w:left w:val="nil"/>
              <w:bottom w:val="nil"/>
              <w:right w:val="nil"/>
            </w:tcBorders>
            <w:hideMark/>
          </w:tcPr>
          <w:p w14:paraId="5DA9A09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F83A21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7ED49C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5335A5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2.18</w:t>
            </w:r>
          </w:p>
        </w:tc>
        <w:tc>
          <w:tcPr>
            <w:tcW w:w="1010" w:type="dxa"/>
            <w:tcBorders>
              <w:top w:val="nil"/>
              <w:left w:val="nil"/>
              <w:bottom w:val="nil"/>
              <w:right w:val="nil"/>
            </w:tcBorders>
            <w:hideMark/>
          </w:tcPr>
          <w:p w14:paraId="0E1C89C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1.42, 3.38</w:t>
            </w:r>
          </w:p>
        </w:tc>
        <w:tc>
          <w:tcPr>
            <w:tcW w:w="0" w:type="auto"/>
            <w:tcBorders>
              <w:top w:val="nil"/>
              <w:left w:val="nil"/>
              <w:bottom w:val="nil"/>
              <w:right w:val="nil"/>
            </w:tcBorders>
            <w:hideMark/>
          </w:tcPr>
          <w:p w14:paraId="77DF560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r>
      <w:tr w:rsidR="00F57E7E" w:rsidRPr="007030D1" w14:paraId="2E70F783" w14:textId="77777777" w:rsidTr="00F57E7E">
        <w:trPr>
          <w:trHeight w:hRule="exact" w:val="283"/>
        </w:trPr>
        <w:tc>
          <w:tcPr>
            <w:tcW w:w="0" w:type="auto"/>
            <w:tcBorders>
              <w:top w:val="nil"/>
              <w:left w:val="nil"/>
              <w:bottom w:val="nil"/>
              <w:right w:val="nil"/>
            </w:tcBorders>
            <w:hideMark/>
          </w:tcPr>
          <w:p w14:paraId="39A9229F"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28A1FC9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354 (47)</w:t>
            </w:r>
          </w:p>
        </w:tc>
        <w:tc>
          <w:tcPr>
            <w:tcW w:w="0" w:type="auto"/>
            <w:tcBorders>
              <w:top w:val="nil"/>
              <w:left w:val="nil"/>
              <w:bottom w:val="nil"/>
              <w:right w:val="nil"/>
            </w:tcBorders>
            <w:hideMark/>
          </w:tcPr>
          <w:p w14:paraId="6963E3A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395 (33)</w:t>
            </w:r>
          </w:p>
        </w:tc>
        <w:tc>
          <w:tcPr>
            <w:tcW w:w="0" w:type="auto"/>
            <w:tcBorders>
              <w:top w:val="nil"/>
              <w:left w:val="nil"/>
              <w:bottom w:val="nil"/>
              <w:right w:val="nil"/>
            </w:tcBorders>
            <w:hideMark/>
          </w:tcPr>
          <w:p w14:paraId="382068D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E63A3C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F8FCE2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AE5AB5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7EA8F9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93075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F8D87F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3A710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B437B2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6D928E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403826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5AFA59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77FFA4DC" w14:textId="77777777" w:rsidTr="00F57E7E">
        <w:trPr>
          <w:trHeight w:hRule="exact" w:val="283"/>
        </w:trPr>
        <w:tc>
          <w:tcPr>
            <w:tcW w:w="0" w:type="auto"/>
            <w:tcBorders>
              <w:top w:val="nil"/>
              <w:left w:val="nil"/>
              <w:bottom w:val="nil"/>
              <w:right w:val="nil"/>
            </w:tcBorders>
            <w:hideMark/>
          </w:tcPr>
          <w:p w14:paraId="3ED42C04"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Invasive status</w:t>
            </w:r>
          </w:p>
        </w:tc>
        <w:tc>
          <w:tcPr>
            <w:tcW w:w="0" w:type="auto"/>
            <w:tcBorders>
              <w:top w:val="nil"/>
              <w:left w:val="nil"/>
              <w:bottom w:val="nil"/>
              <w:right w:val="nil"/>
            </w:tcBorders>
            <w:hideMark/>
          </w:tcPr>
          <w:p w14:paraId="6CA95D9B"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3879007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512AFB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8EBCFF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995A0A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C4003E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EE360D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4078F8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119B29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1E60DF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1B1DFC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FE177B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7BB168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F5B2DF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4BD55147" w14:textId="77777777" w:rsidTr="00F57E7E">
        <w:trPr>
          <w:trHeight w:hRule="exact" w:val="283"/>
        </w:trPr>
        <w:tc>
          <w:tcPr>
            <w:tcW w:w="0" w:type="auto"/>
            <w:tcBorders>
              <w:top w:val="nil"/>
              <w:left w:val="nil"/>
              <w:bottom w:val="nil"/>
              <w:right w:val="nil"/>
            </w:tcBorders>
            <w:hideMark/>
          </w:tcPr>
          <w:p w14:paraId="2564925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DCIS</w:t>
            </w:r>
          </w:p>
        </w:tc>
        <w:tc>
          <w:tcPr>
            <w:tcW w:w="0" w:type="auto"/>
            <w:tcBorders>
              <w:top w:val="nil"/>
              <w:left w:val="nil"/>
              <w:bottom w:val="nil"/>
              <w:right w:val="nil"/>
            </w:tcBorders>
            <w:hideMark/>
          </w:tcPr>
          <w:p w14:paraId="1E4F0EB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47 (6.2)</w:t>
            </w:r>
          </w:p>
        </w:tc>
        <w:tc>
          <w:tcPr>
            <w:tcW w:w="0" w:type="auto"/>
            <w:tcBorders>
              <w:top w:val="nil"/>
              <w:left w:val="nil"/>
              <w:bottom w:val="nil"/>
              <w:right w:val="nil"/>
            </w:tcBorders>
            <w:hideMark/>
          </w:tcPr>
          <w:p w14:paraId="59F446A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261 (22)</w:t>
            </w:r>
          </w:p>
        </w:tc>
        <w:tc>
          <w:tcPr>
            <w:tcW w:w="0" w:type="auto"/>
            <w:tcBorders>
              <w:top w:val="nil"/>
              <w:left w:val="nil"/>
              <w:bottom w:val="nil"/>
              <w:right w:val="nil"/>
            </w:tcBorders>
            <w:hideMark/>
          </w:tcPr>
          <w:p w14:paraId="0B47CC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5C8A08D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828E9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A58A0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EAC1CF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BDFBF9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1C6D75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344098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D24435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633783B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63C4148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453BF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03CCB482" w14:textId="77777777" w:rsidTr="00F57E7E">
        <w:trPr>
          <w:trHeight w:hRule="exact" w:val="283"/>
        </w:trPr>
        <w:tc>
          <w:tcPr>
            <w:tcW w:w="0" w:type="auto"/>
            <w:tcBorders>
              <w:top w:val="nil"/>
              <w:left w:val="nil"/>
              <w:bottom w:val="nil"/>
              <w:right w:val="nil"/>
            </w:tcBorders>
            <w:hideMark/>
          </w:tcPr>
          <w:p w14:paraId="519BFED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lastRenderedPageBreak/>
              <w:t>Invasive</w:t>
            </w:r>
          </w:p>
        </w:tc>
        <w:tc>
          <w:tcPr>
            <w:tcW w:w="0" w:type="auto"/>
            <w:tcBorders>
              <w:top w:val="nil"/>
              <w:left w:val="nil"/>
              <w:bottom w:val="nil"/>
              <w:right w:val="nil"/>
            </w:tcBorders>
            <w:hideMark/>
          </w:tcPr>
          <w:p w14:paraId="688D379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708 (94)</w:t>
            </w:r>
          </w:p>
        </w:tc>
        <w:tc>
          <w:tcPr>
            <w:tcW w:w="0" w:type="auto"/>
            <w:tcBorders>
              <w:top w:val="nil"/>
              <w:left w:val="nil"/>
              <w:bottom w:val="nil"/>
              <w:right w:val="nil"/>
            </w:tcBorders>
            <w:hideMark/>
          </w:tcPr>
          <w:p w14:paraId="0C9B0E8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924 (78)</w:t>
            </w:r>
          </w:p>
        </w:tc>
        <w:tc>
          <w:tcPr>
            <w:tcW w:w="0" w:type="auto"/>
            <w:tcBorders>
              <w:top w:val="nil"/>
              <w:left w:val="nil"/>
              <w:bottom w:val="nil"/>
              <w:right w:val="nil"/>
            </w:tcBorders>
            <w:hideMark/>
          </w:tcPr>
          <w:p w14:paraId="3389F78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EE9309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2F9B5B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0BD3BC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6AACBF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15E61B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D7BE2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1.50</w:t>
            </w:r>
          </w:p>
        </w:tc>
        <w:tc>
          <w:tcPr>
            <w:tcW w:w="1017" w:type="dxa"/>
            <w:tcBorders>
              <w:top w:val="nil"/>
              <w:left w:val="nil"/>
              <w:bottom w:val="nil"/>
              <w:right w:val="nil"/>
            </w:tcBorders>
            <w:hideMark/>
          </w:tcPr>
          <w:p w14:paraId="4BA62C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0.85, 2.67</w:t>
            </w:r>
          </w:p>
        </w:tc>
        <w:tc>
          <w:tcPr>
            <w:tcW w:w="0" w:type="auto"/>
            <w:tcBorders>
              <w:top w:val="nil"/>
              <w:left w:val="nil"/>
              <w:bottom w:val="nil"/>
              <w:right w:val="nil"/>
            </w:tcBorders>
            <w:hideMark/>
          </w:tcPr>
          <w:p w14:paraId="4116E66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0.166</w:t>
            </w:r>
          </w:p>
        </w:tc>
        <w:tc>
          <w:tcPr>
            <w:tcW w:w="0" w:type="auto"/>
            <w:tcBorders>
              <w:top w:val="nil"/>
              <w:left w:val="nil"/>
              <w:bottom w:val="nil"/>
              <w:right w:val="nil"/>
            </w:tcBorders>
            <w:hideMark/>
          </w:tcPr>
          <w:p w14:paraId="2692CB6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1.58</w:t>
            </w:r>
          </w:p>
        </w:tc>
        <w:tc>
          <w:tcPr>
            <w:tcW w:w="1010" w:type="dxa"/>
            <w:tcBorders>
              <w:top w:val="nil"/>
              <w:left w:val="nil"/>
              <w:bottom w:val="nil"/>
              <w:right w:val="nil"/>
            </w:tcBorders>
            <w:hideMark/>
          </w:tcPr>
          <w:p w14:paraId="6890EB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0.88, 2.84</w:t>
            </w:r>
          </w:p>
        </w:tc>
        <w:tc>
          <w:tcPr>
            <w:tcW w:w="0" w:type="auto"/>
            <w:tcBorders>
              <w:top w:val="nil"/>
              <w:left w:val="nil"/>
              <w:bottom w:val="nil"/>
              <w:right w:val="nil"/>
            </w:tcBorders>
            <w:hideMark/>
          </w:tcPr>
          <w:p w14:paraId="1A9FE9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0.128</w:t>
            </w:r>
          </w:p>
        </w:tc>
      </w:tr>
      <w:tr w:rsidR="00F57E7E" w:rsidRPr="007030D1" w14:paraId="535FA991" w14:textId="77777777" w:rsidTr="00F57E7E">
        <w:trPr>
          <w:trHeight w:hRule="exact" w:val="283"/>
        </w:trPr>
        <w:tc>
          <w:tcPr>
            <w:tcW w:w="0" w:type="auto"/>
            <w:tcBorders>
              <w:top w:val="nil"/>
              <w:left w:val="nil"/>
              <w:bottom w:val="nil"/>
              <w:right w:val="nil"/>
            </w:tcBorders>
            <w:hideMark/>
          </w:tcPr>
          <w:p w14:paraId="5F3581C4"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Grade</w:t>
            </w:r>
          </w:p>
        </w:tc>
        <w:tc>
          <w:tcPr>
            <w:tcW w:w="0" w:type="auto"/>
            <w:tcBorders>
              <w:top w:val="nil"/>
              <w:left w:val="nil"/>
              <w:bottom w:val="nil"/>
              <w:right w:val="nil"/>
            </w:tcBorders>
            <w:hideMark/>
          </w:tcPr>
          <w:p w14:paraId="22C0324B"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425624E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D2EB4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F995E4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9C1E4D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E75D8C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A0A837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061599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1B70A5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6156C1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EDFEA0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F21A8D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195736F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1E3988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63C9585B" w14:textId="77777777" w:rsidTr="00F57E7E">
        <w:trPr>
          <w:trHeight w:hRule="exact" w:val="283"/>
        </w:trPr>
        <w:tc>
          <w:tcPr>
            <w:tcW w:w="0" w:type="auto"/>
            <w:tcBorders>
              <w:top w:val="nil"/>
              <w:left w:val="nil"/>
              <w:bottom w:val="nil"/>
              <w:right w:val="nil"/>
            </w:tcBorders>
            <w:hideMark/>
          </w:tcPr>
          <w:p w14:paraId="17F90BC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w:t>
            </w:r>
          </w:p>
        </w:tc>
        <w:tc>
          <w:tcPr>
            <w:tcW w:w="0" w:type="auto"/>
            <w:tcBorders>
              <w:top w:val="nil"/>
              <w:left w:val="nil"/>
              <w:bottom w:val="nil"/>
              <w:right w:val="nil"/>
            </w:tcBorders>
            <w:hideMark/>
          </w:tcPr>
          <w:p w14:paraId="48466F1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88 (12)</w:t>
            </w:r>
          </w:p>
        </w:tc>
        <w:tc>
          <w:tcPr>
            <w:tcW w:w="0" w:type="auto"/>
            <w:tcBorders>
              <w:top w:val="nil"/>
              <w:left w:val="nil"/>
              <w:bottom w:val="nil"/>
              <w:right w:val="nil"/>
            </w:tcBorders>
            <w:hideMark/>
          </w:tcPr>
          <w:p w14:paraId="511FD6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250 (21)</w:t>
            </w:r>
          </w:p>
        </w:tc>
        <w:tc>
          <w:tcPr>
            <w:tcW w:w="0" w:type="auto"/>
            <w:tcBorders>
              <w:top w:val="nil"/>
              <w:left w:val="nil"/>
              <w:bottom w:val="nil"/>
              <w:right w:val="nil"/>
            </w:tcBorders>
            <w:hideMark/>
          </w:tcPr>
          <w:p w14:paraId="4D81ACA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02C9658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347A96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F39CBD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74D497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B08617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B9059D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BD362C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7802AD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5AF7E10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727FC2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A679B9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49B8B182" w14:textId="77777777" w:rsidTr="00F57E7E">
        <w:trPr>
          <w:trHeight w:hRule="exact" w:val="283"/>
        </w:trPr>
        <w:tc>
          <w:tcPr>
            <w:tcW w:w="0" w:type="auto"/>
            <w:tcBorders>
              <w:top w:val="nil"/>
              <w:left w:val="nil"/>
              <w:bottom w:val="nil"/>
              <w:right w:val="nil"/>
            </w:tcBorders>
            <w:hideMark/>
          </w:tcPr>
          <w:p w14:paraId="3E4F8D1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w:t>
            </w:r>
          </w:p>
        </w:tc>
        <w:tc>
          <w:tcPr>
            <w:tcW w:w="0" w:type="auto"/>
            <w:tcBorders>
              <w:top w:val="nil"/>
              <w:left w:val="nil"/>
              <w:bottom w:val="nil"/>
              <w:right w:val="nil"/>
            </w:tcBorders>
            <w:hideMark/>
          </w:tcPr>
          <w:p w14:paraId="0CE4E37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335 (44)</w:t>
            </w:r>
          </w:p>
        </w:tc>
        <w:tc>
          <w:tcPr>
            <w:tcW w:w="0" w:type="auto"/>
            <w:tcBorders>
              <w:top w:val="nil"/>
              <w:left w:val="nil"/>
              <w:bottom w:val="nil"/>
              <w:right w:val="nil"/>
            </w:tcBorders>
            <w:hideMark/>
          </w:tcPr>
          <w:p w14:paraId="43F6BE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477 (40)</w:t>
            </w:r>
          </w:p>
        </w:tc>
        <w:tc>
          <w:tcPr>
            <w:tcW w:w="0" w:type="auto"/>
            <w:tcBorders>
              <w:top w:val="nil"/>
              <w:left w:val="nil"/>
              <w:bottom w:val="nil"/>
              <w:right w:val="nil"/>
            </w:tcBorders>
            <w:hideMark/>
          </w:tcPr>
          <w:p w14:paraId="6BE965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73EB04A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A1E80D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F42846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5DEA01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8B0541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F95F5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1.64</w:t>
            </w:r>
          </w:p>
        </w:tc>
        <w:tc>
          <w:tcPr>
            <w:tcW w:w="1017" w:type="dxa"/>
            <w:tcBorders>
              <w:top w:val="nil"/>
              <w:left w:val="nil"/>
              <w:bottom w:val="nil"/>
              <w:right w:val="nil"/>
            </w:tcBorders>
            <w:hideMark/>
          </w:tcPr>
          <w:p w14:paraId="36F7395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1.20, 2.27</w:t>
            </w:r>
          </w:p>
        </w:tc>
        <w:tc>
          <w:tcPr>
            <w:tcW w:w="0" w:type="auto"/>
            <w:tcBorders>
              <w:top w:val="nil"/>
              <w:left w:val="nil"/>
              <w:bottom w:val="nil"/>
              <w:right w:val="nil"/>
            </w:tcBorders>
            <w:hideMark/>
          </w:tcPr>
          <w:p w14:paraId="455F875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0.002</w:t>
            </w:r>
          </w:p>
        </w:tc>
        <w:tc>
          <w:tcPr>
            <w:tcW w:w="0" w:type="auto"/>
            <w:tcBorders>
              <w:top w:val="nil"/>
              <w:left w:val="nil"/>
              <w:bottom w:val="nil"/>
              <w:right w:val="nil"/>
            </w:tcBorders>
            <w:hideMark/>
          </w:tcPr>
          <w:p w14:paraId="7CD8BC9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1.65</w:t>
            </w:r>
          </w:p>
        </w:tc>
        <w:tc>
          <w:tcPr>
            <w:tcW w:w="1010" w:type="dxa"/>
            <w:tcBorders>
              <w:top w:val="nil"/>
              <w:left w:val="nil"/>
              <w:bottom w:val="nil"/>
              <w:right w:val="nil"/>
            </w:tcBorders>
            <w:hideMark/>
          </w:tcPr>
          <w:p w14:paraId="21C7195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1.19, 2.28</w:t>
            </w:r>
          </w:p>
        </w:tc>
        <w:tc>
          <w:tcPr>
            <w:tcW w:w="0" w:type="auto"/>
            <w:tcBorders>
              <w:top w:val="nil"/>
              <w:left w:val="nil"/>
              <w:bottom w:val="nil"/>
              <w:right w:val="nil"/>
            </w:tcBorders>
            <w:hideMark/>
          </w:tcPr>
          <w:p w14:paraId="6E22D7A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0.003</w:t>
            </w:r>
          </w:p>
        </w:tc>
      </w:tr>
      <w:tr w:rsidR="00F57E7E" w:rsidRPr="007030D1" w14:paraId="3A6F2FD5" w14:textId="77777777" w:rsidTr="00F57E7E">
        <w:trPr>
          <w:trHeight w:hRule="exact" w:val="283"/>
        </w:trPr>
        <w:tc>
          <w:tcPr>
            <w:tcW w:w="0" w:type="auto"/>
            <w:tcBorders>
              <w:top w:val="nil"/>
              <w:left w:val="nil"/>
              <w:bottom w:val="nil"/>
              <w:right w:val="nil"/>
            </w:tcBorders>
            <w:hideMark/>
          </w:tcPr>
          <w:p w14:paraId="4D7EA1C4"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w:t>
            </w:r>
          </w:p>
        </w:tc>
        <w:tc>
          <w:tcPr>
            <w:tcW w:w="0" w:type="auto"/>
            <w:tcBorders>
              <w:top w:val="nil"/>
              <w:left w:val="nil"/>
              <w:bottom w:val="nil"/>
              <w:right w:val="nil"/>
            </w:tcBorders>
            <w:hideMark/>
          </w:tcPr>
          <w:p w14:paraId="0E10B85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264 (35)</w:t>
            </w:r>
          </w:p>
        </w:tc>
        <w:tc>
          <w:tcPr>
            <w:tcW w:w="0" w:type="auto"/>
            <w:tcBorders>
              <w:top w:val="nil"/>
              <w:left w:val="nil"/>
              <w:bottom w:val="nil"/>
              <w:right w:val="nil"/>
            </w:tcBorders>
            <w:hideMark/>
          </w:tcPr>
          <w:p w14:paraId="327DB1A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187 (16)</w:t>
            </w:r>
          </w:p>
        </w:tc>
        <w:tc>
          <w:tcPr>
            <w:tcW w:w="0" w:type="auto"/>
            <w:tcBorders>
              <w:top w:val="nil"/>
              <w:left w:val="nil"/>
              <w:bottom w:val="nil"/>
              <w:right w:val="nil"/>
            </w:tcBorders>
            <w:hideMark/>
          </w:tcPr>
          <w:p w14:paraId="1B156D2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2008181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1916F1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360AB4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E98042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8E551E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082A6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2.86</w:t>
            </w:r>
          </w:p>
        </w:tc>
        <w:tc>
          <w:tcPr>
            <w:tcW w:w="1017" w:type="dxa"/>
            <w:tcBorders>
              <w:top w:val="nil"/>
              <w:left w:val="nil"/>
              <w:bottom w:val="nil"/>
              <w:right w:val="nil"/>
            </w:tcBorders>
            <w:hideMark/>
          </w:tcPr>
          <w:p w14:paraId="0F473CE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1.97, 4.18</w:t>
            </w:r>
          </w:p>
        </w:tc>
        <w:tc>
          <w:tcPr>
            <w:tcW w:w="0" w:type="auto"/>
            <w:tcBorders>
              <w:top w:val="nil"/>
              <w:left w:val="nil"/>
              <w:bottom w:val="nil"/>
              <w:right w:val="nil"/>
            </w:tcBorders>
            <w:hideMark/>
          </w:tcPr>
          <w:p w14:paraId="3AF7551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c>
          <w:tcPr>
            <w:tcW w:w="0" w:type="auto"/>
            <w:tcBorders>
              <w:top w:val="nil"/>
              <w:left w:val="nil"/>
              <w:bottom w:val="nil"/>
              <w:right w:val="nil"/>
            </w:tcBorders>
            <w:hideMark/>
          </w:tcPr>
          <w:p w14:paraId="3D88F7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2.98</w:t>
            </w:r>
          </w:p>
        </w:tc>
        <w:tc>
          <w:tcPr>
            <w:tcW w:w="1010" w:type="dxa"/>
            <w:tcBorders>
              <w:top w:val="nil"/>
              <w:left w:val="nil"/>
              <w:bottom w:val="nil"/>
              <w:right w:val="nil"/>
            </w:tcBorders>
            <w:hideMark/>
          </w:tcPr>
          <w:p w14:paraId="4A7A8C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2.04, 4.39</w:t>
            </w:r>
          </w:p>
        </w:tc>
        <w:tc>
          <w:tcPr>
            <w:tcW w:w="0" w:type="auto"/>
            <w:tcBorders>
              <w:top w:val="nil"/>
              <w:left w:val="nil"/>
              <w:bottom w:val="nil"/>
              <w:right w:val="nil"/>
            </w:tcBorders>
            <w:hideMark/>
          </w:tcPr>
          <w:p w14:paraId="5A6A489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r>
      <w:tr w:rsidR="00F57E7E" w:rsidRPr="007030D1" w14:paraId="7C834242" w14:textId="77777777" w:rsidTr="00F57E7E">
        <w:trPr>
          <w:trHeight w:hRule="exact" w:val="283"/>
        </w:trPr>
        <w:tc>
          <w:tcPr>
            <w:tcW w:w="0" w:type="auto"/>
            <w:tcBorders>
              <w:top w:val="nil"/>
              <w:left w:val="nil"/>
              <w:bottom w:val="nil"/>
              <w:right w:val="nil"/>
            </w:tcBorders>
            <w:hideMark/>
          </w:tcPr>
          <w:p w14:paraId="568ABE9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23BE9A3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68 (9.0)</w:t>
            </w:r>
          </w:p>
        </w:tc>
        <w:tc>
          <w:tcPr>
            <w:tcW w:w="0" w:type="auto"/>
            <w:tcBorders>
              <w:top w:val="nil"/>
              <w:left w:val="nil"/>
              <w:bottom w:val="nil"/>
              <w:right w:val="nil"/>
            </w:tcBorders>
            <w:hideMark/>
          </w:tcPr>
          <w:p w14:paraId="6230323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271 (23)</w:t>
            </w:r>
          </w:p>
        </w:tc>
        <w:tc>
          <w:tcPr>
            <w:tcW w:w="0" w:type="auto"/>
            <w:tcBorders>
              <w:top w:val="nil"/>
              <w:left w:val="nil"/>
              <w:bottom w:val="nil"/>
              <w:right w:val="nil"/>
            </w:tcBorders>
            <w:hideMark/>
          </w:tcPr>
          <w:p w14:paraId="6E040F5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2CCDA43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821DEE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671D0C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76298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C75511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BB3B4A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826E6A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76B691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EAC4C3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2F482D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94B658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49B16364" w14:textId="77777777" w:rsidTr="00F57E7E">
        <w:trPr>
          <w:trHeight w:hRule="exact" w:val="283"/>
        </w:trPr>
        <w:tc>
          <w:tcPr>
            <w:tcW w:w="0" w:type="auto"/>
            <w:tcBorders>
              <w:top w:val="nil"/>
              <w:left w:val="nil"/>
              <w:bottom w:val="nil"/>
              <w:right w:val="nil"/>
            </w:tcBorders>
            <w:hideMark/>
          </w:tcPr>
          <w:p w14:paraId="5291EA17"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Morphology type</w:t>
            </w:r>
          </w:p>
        </w:tc>
        <w:tc>
          <w:tcPr>
            <w:tcW w:w="0" w:type="auto"/>
            <w:tcBorders>
              <w:top w:val="nil"/>
              <w:left w:val="nil"/>
              <w:bottom w:val="nil"/>
              <w:right w:val="nil"/>
            </w:tcBorders>
            <w:hideMark/>
          </w:tcPr>
          <w:p w14:paraId="42CE67F8"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0377795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977268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B0D985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399AA7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92CF91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D5D804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70E630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FAEC5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E48F6B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02D4D6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4FF457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20194A3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541D5B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7E4F77C3" w14:textId="77777777" w:rsidTr="00F57E7E">
        <w:trPr>
          <w:trHeight w:hRule="exact" w:val="283"/>
        </w:trPr>
        <w:tc>
          <w:tcPr>
            <w:tcW w:w="0" w:type="auto"/>
            <w:tcBorders>
              <w:top w:val="nil"/>
              <w:left w:val="nil"/>
              <w:bottom w:val="nil"/>
              <w:right w:val="nil"/>
            </w:tcBorders>
            <w:hideMark/>
          </w:tcPr>
          <w:p w14:paraId="353EC1D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Ductal</w:t>
            </w:r>
          </w:p>
        </w:tc>
        <w:tc>
          <w:tcPr>
            <w:tcW w:w="0" w:type="auto"/>
            <w:tcBorders>
              <w:top w:val="nil"/>
              <w:left w:val="nil"/>
              <w:bottom w:val="nil"/>
              <w:right w:val="nil"/>
            </w:tcBorders>
            <w:hideMark/>
          </w:tcPr>
          <w:p w14:paraId="439FAF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549 (73)</w:t>
            </w:r>
          </w:p>
        </w:tc>
        <w:tc>
          <w:tcPr>
            <w:tcW w:w="0" w:type="auto"/>
            <w:tcBorders>
              <w:top w:val="nil"/>
              <w:left w:val="nil"/>
              <w:bottom w:val="nil"/>
              <w:right w:val="nil"/>
            </w:tcBorders>
            <w:hideMark/>
          </w:tcPr>
          <w:p w14:paraId="6028ED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698 (59)</w:t>
            </w:r>
          </w:p>
        </w:tc>
        <w:tc>
          <w:tcPr>
            <w:tcW w:w="0" w:type="auto"/>
            <w:tcBorders>
              <w:top w:val="nil"/>
              <w:left w:val="nil"/>
              <w:bottom w:val="nil"/>
              <w:right w:val="nil"/>
            </w:tcBorders>
            <w:hideMark/>
          </w:tcPr>
          <w:p w14:paraId="1D1E86D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3727131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11402F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7C1AA2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BA847B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1D348B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19A42A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5FC62F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E6CF3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34C251D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1DCA918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F3DBB8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2D35104E" w14:textId="77777777" w:rsidTr="00F57E7E">
        <w:trPr>
          <w:trHeight w:hRule="exact" w:val="283"/>
        </w:trPr>
        <w:tc>
          <w:tcPr>
            <w:tcW w:w="0" w:type="auto"/>
            <w:tcBorders>
              <w:top w:val="nil"/>
              <w:left w:val="nil"/>
              <w:bottom w:val="nil"/>
              <w:right w:val="nil"/>
            </w:tcBorders>
            <w:hideMark/>
          </w:tcPr>
          <w:p w14:paraId="49B278B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Lobular</w:t>
            </w:r>
          </w:p>
        </w:tc>
        <w:tc>
          <w:tcPr>
            <w:tcW w:w="0" w:type="auto"/>
            <w:tcBorders>
              <w:top w:val="nil"/>
              <w:left w:val="nil"/>
              <w:bottom w:val="nil"/>
              <w:right w:val="nil"/>
            </w:tcBorders>
            <w:hideMark/>
          </w:tcPr>
          <w:p w14:paraId="5ECCD3B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95 (13)</w:t>
            </w:r>
          </w:p>
        </w:tc>
        <w:tc>
          <w:tcPr>
            <w:tcW w:w="0" w:type="auto"/>
            <w:tcBorders>
              <w:top w:val="nil"/>
              <w:left w:val="nil"/>
              <w:bottom w:val="nil"/>
              <w:right w:val="nil"/>
            </w:tcBorders>
            <w:hideMark/>
          </w:tcPr>
          <w:p w14:paraId="72E34D9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119 (10)</w:t>
            </w:r>
          </w:p>
        </w:tc>
        <w:tc>
          <w:tcPr>
            <w:tcW w:w="0" w:type="auto"/>
            <w:tcBorders>
              <w:top w:val="nil"/>
              <w:left w:val="nil"/>
              <w:bottom w:val="nil"/>
              <w:right w:val="nil"/>
            </w:tcBorders>
            <w:hideMark/>
          </w:tcPr>
          <w:p w14:paraId="1524EE4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4D5F1D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EAB62A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FF383B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C1008E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E32331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6DF344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0.92</w:t>
            </w:r>
          </w:p>
        </w:tc>
        <w:tc>
          <w:tcPr>
            <w:tcW w:w="1017" w:type="dxa"/>
            <w:tcBorders>
              <w:top w:val="nil"/>
              <w:left w:val="nil"/>
              <w:bottom w:val="nil"/>
              <w:right w:val="nil"/>
            </w:tcBorders>
            <w:hideMark/>
          </w:tcPr>
          <w:p w14:paraId="5BE64F3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0.65, 1.32</w:t>
            </w:r>
          </w:p>
        </w:tc>
        <w:tc>
          <w:tcPr>
            <w:tcW w:w="0" w:type="auto"/>
            <w:tcBorders>
              <w:top w:val="nil"/>
              <w:left w:val="nil"/>
              <w:bottom w:val="nil"/>
              <w:right w:val="nil"/>
            </w:tcBorders>
            <w:hideMark/>
          </w:tcPr>
          <w:p w14:paraId="2D7A5B6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0.662</w:t>
            </w:r>
          </w:p>
        </w:tc>
        <w:tc>
          <w:tcPr>
            <w:tcW w:w="0" w:type="auto"/>
            <w:tcBorders>
              <w:top w:val="nil"/>
              <w:left w:val="nil"/>
              <w:bottom w:val="nil"/>
              <w:right w:val="nil"/>
            </w:tcBorders>
            <w:hideMark/>
          </w:tcPr>
          <w:p w14:paraId="4A12725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0.89</w:t>
            </w:r>
          </w:p>
        </w:tc>
        <w:tc>
          <w:tcPr>
            <w:tcW w:w="1010" w:type="dxa"/>
            <w:tcBorders>
              <w:top w:val="nil"/>
              <w:left w:val="nil"/>
              <w:bottom w:val="nil"/>
              <w:right w:val="nil"/>
            </w:tcBorders>
            <w:hideMark/>
          </w:tcPr>
          <w:p w14:paraId="40BA26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0.62, 1.27</w:t>
            </w:r>
          </w:p>
        </w:tc>
        <w:tc>
          <w:tcPr>
            <w:tcW w:w="0" w:type="auto"/>
            <w:tcBorders>
              <w:top w:val="nil"/>
              <w:left w:val="nil"/>
              <w:bottom w:val="nil"/>
              <w:right w:val="nil"/>
            </w:tcBorders>
            <w:hideMark/>
          </w:tcPr>
          <w:p w14:paraId="406CE90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0.529</w:t>
            </w:r>
          </w:p>
        </w:tc>
      </w:tr>
      <w:tr w:rsidR="00F57E7E" w:rsidRPr="007030D1" w14:paraId="539FAF72" w14:textId="77777777" w:rsidTr="00F57E7E">
        <w:trPr>
          <w:trHeight w:hRule="exact" w:val="283"/>
        </w:trPr>
        <w:tc>
          <w:tcPr>
            <w:tcW w:w="0" w:type="auto"/>
            <w:tcBorders>
              <w:top w:val="nil"/>
              <w:left w:val="nil"/>
              <w:bottom w:val="nil"/>
              <w:right w:val="nil"/>
            </w:tcBorders>
            <w:hideMark/>
          </w:tcPr>
          <w:p w14:paraId="67BF5AD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Mixed</w:t>
            </w:r>
          </w:p>
        </w:tc>
        <w:tc>
          <w:tcPr>
            <w:tcW w:w="0" w:type="auto"/>
            <w:tcBorders>
              <w:top w:val="nil"/>
              <w:left w:val="nil"/>
              <w:bottom w:val="nil"/>
              <w:right w:val="nil"/>
            </w:tcBorders>
            <w:hideMark/>
          </w:tcPr>
          <w:p w14:paraId="330D20D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25 (3.3)</w:t>
            </w:r>
          </w:p>
        </w:tc>
        <w:tc>
          <w:tcPr>
            <w:tcW w:w="0" w:type="auto"/>
            <w:tcBorders>
              <w:top w:val="nil"/>
              <w:left w:val="nil"/>
              <w:bottom w:val="nil"/>
              <w:right w:val="nil"/>
            </w:tcBorders>
            <w:hideMark/>
          </w:tcPr>
          <w:p w14:paraId="19B24C3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43 (3.6)</w:t>
            </w:r>
          </w:p>
        </w:tc>
        <w:tc>
          <w:tcPr>
            <w:tcW w:w="0" w:type="auto"/>
            <w:tcBorders>
              <w:top w:val="nil"/>
              <w:left w:val="nil"/>
              <w:bottom w:val="nil"/>
              <w:right w:val="nil"/>
            </w:tcBorders>
            <w:hideMark/>
          </w:tcPr>
          <w:p w14:paraId="6822F8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209C9AC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2E9D6D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FE3280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8838A6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6186E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D8144E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0.92</w:t>
            </w:r>
          </w:p>
        </w:tc>
        <w:tc>
          <w:tcPr>
            <w:tcW w:w="1017" w:type="dxa"/>
            <w:tcBorders>
              <w:top w:val="nil"/>
              <w:left w:val="nil"/>
              <w:bottom w:val="nil"/>
              <w:right w:val="nil"/>
            </w:tcBorders>
            <w:hideMark/>
          </w:tcPr>
          <w:p w14:paraId="233E1F5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0.51, 1.61</w:t>
            </w:r>
          </w:p>
        </w:tc>
        <w:tc>
          <w:tcPr>
            <w:tcW w:w="0" w:type="auto"/>
            <w:tcBorders>
              <w:top w:val="nil"/>
              <w:left w:val="nil"/>
              <w:bottom w:val="nil"/>
              <w:right w:val="nil"/>
            </w:tcBorders>
            <w:hideMark/>
          </w:tcPr>
          <w:p w14:paraId="21457E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0.771</w:t>
            </w:r>
          </w:p>
        </w:tc>
        <w:tc>
          <w:tcPr>
            <w:tcW w:w="0" w:type="auto"/>
            <w:tcBorders>
              <w:top w:val="nil"/>
              <w:left w:val="nil"/>
              <w:bottom w:val="nil"/>
              <w:right w:val="nil"/>
            </w:tcBorders>
            <w:hideMark/>
          </w:tcPr>
          <w:p w14:paraId="021ADCB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0.88</w:t>
            </w:r>
          </w:p>
        </w:tc>
        <w:tc>
          <w:tcPr>
            <w:tcW w:w="1010" w:type="dxa"/>
            <w:tcBorders>
              <w:top w:val="nil"/>
              <w:left w:val="nil"/>
              <w:bottom w:val="nil"/>
              <w:right w:val="nil"/>
            </w:tcBorders>
            <w:hideMark/>
          </w:tcPr>
          <w:p w14:paraId="5B9329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0.49, 1.56</w:t>
            </w:r>
          </w:p>
        </w:tc>
        <w:tc>
          <w:tcPr>
            <w:tcW w:w="0" w:type="auto"/>
            <w:tcBorders>
              <w:top w:val="nil"/>
              <w:left w:val="nil"/>
              <w:bottom w:val="nil"/>
              <w:right w:val="nil"/>
            </w:tcBorders>
            <w:hideMark/>
          </w:tcPr>
          <w:p w14:paraId="37AF1AB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0.668</w:t>
            </w:r>
          </w:p>
        </w:tc>
      </w:tr>
      <w:tr w:rsidR="00F57E7E" w:rsidRPr="007030D1" w14:paraId="4B1FB235" w14:textId="77777777" w:rsidTr="00F57E7E">
        <w:trPr>
          <w:trHeight w:hRule="exact" w:val="283"/>
        </w:trPr>
        <w:tc>
          <w:tcPr>
            <w:tcW w:w="0" w:type="auto"/>
            <w:tcBorders>
              <w:top w:val="nil"/>
              <w:left w:val="nil"/>
              <w:bottom w:val="nil"/>
              <w:right w:val="nil"/>
            </w:tcBorders>
            <w:hideMark/>
          </w:tcPr>
          <w:p w14:paraId="301A9CA1"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Other</w:t>
            </w:r>
          </w:p>
        </w:tc>
        <w:tc>
          <w:tcPr>
            <w:tcW w:w="0" w:type="auto"/>
            <w:tcBorders>
              <w:top w:val="nil"/>
              <w:left w:val="nil"/>
              <w:bottom w:val="nil"/>
              <w:right w:val="nil"/>
            </w:tcBorders>
            <w:hideMark/>
          </w:tcPr>
          <w:p w14:paraId="07F79BC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39 (5.2)</w:t>
            </w:r>
          </w:p>
        </w:tc>
        <w:tc>
          <w:tcPr>
            <w:tcW w:w="0" w:type="auto"/>
            <w:tcBorders>
              <w:top w:val="nil"/>
              <w:left w:val="nil"/>
              <w:bottom w:val="nil"/>
              <w:right w:val="nil"/>
            </w:tcBorders>
            <w:hideMark/>
          </w:tcPr>
          <w:p w14:paraId="411F68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64 (5.4)</w:t>
            </w:r>
          </w:p>
        </w:tc>
        <w:tc>
          <w:tcPr>
            <w:tcW w:w="0" w:type="auto"/>
            <w:tcBorders>
              <w:top w:val="nil"/>
              <w:left w:val="nil"/>
              <w:bottom w:val="nil"/>
              <w:right w:val="nil"/>
            </w:tcBorders>
            <w:hideMark/>
          </w:tcPr>
          <w:p w14:paraId="6CF5D63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2E28EEA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358465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C8EA6D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7A31AB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744901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C5858E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0.95</w:t>
            </w:r>
          </w:p>
        </w:tc>
        <w:tc>
          <w:tcPr>
            <w:tcW w:w="1017" w:type="dxa"/>
            <w:tcBorders>
              <w:top w:val="nil"/>
              <w:left w:val="nil"/>
              <w:bottom w:val="nil"/>
              <w:right w:val="nil"/>
            </w:tcBorders>
            <w:hideMark/>
          </w:tcPr>
          <w:p w14:paraId="4457AF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0.57, 1.55</w:t>
            </w:r>
          </w:p>
        </w:tc>
        <w:tc>
          <w:tcPr>
            <w:tcW w:w="0" w:type="auto"/>
            <w:tcBorders>
              <w:top w:val="nil"/>
              <w:left w:val="nil"/>
              <w:bottom w:val="nil"/>
              <w:right w:val="nil"/>
            </w:tcBorders>
            <w:hideMark/>
          </w:tcPr>
          <w:p w14:paraId="7306A85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0.828</w:t>
            </w:r>
          </w:p>
        </w:tc>
        <w:tc>
          <w:tcPr>
            <w:tcW w:w="0" w:type="auto"/>
            <w:tcBorders>
              <w:top w:val="nil"/>
              <w:left w:val="nil"/>
              <w:bottom w:val="nil"/>
              <w:right w:val="nil"/>
            </w:tcBorders>
            <w:hideMark/>
          </w:tcPr>
          <w:p w14:paraId="6174027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0.89</w:t>
            </w:r>
          </w:p>
        </w:tc>
        <w:tc>
          <w:tcPr>
            <w:tcW w:w="1010" w:type="dxa"/>
            <w:tcBorders>
              <w:top w:val="nil"/>
              <w:left w:val="nil"/>
              <w:bottom w:val="nil"/>
              <w:right w:val="nil"/>
            </w:tcBorders>
            <w:hideMark/>
          </w:tcPr>
          <w:p w14:paraId="3A90784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0.54, 1.47</w:t>
            </w:r>
          </w:p>
        </w:tc>
        <w:tc>
          <w:tcPr>
            <w:tcW w:w="0" w:type="auto"/>
            <w:tcBorders>
              <w:top w:val="nil"/>
              <w:left w:val="nil"/>
              <w:bottom w:val="nil"/>
              <w:right w:val="nil"/>
            </w:tcBorders>
            <w:hideMark/>
          </w:tcPr>
          <w:p w14:paraId="536455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0.656</w:t>
            </w:r>
          </w:p>
        </w:tc>
      </w:tr>
      <w:tr w:rsidR="00F57E7E" w:rsidRPr="007030D1" w14:paraId="276C835C" w14:textId="77777777" w:rsidTr="00F57E7E">
        <w:trPr>
          <w:trHeight w:hRule="exact" w:val="283"/>
        </w:trPr>
        <w:tc>
          <w:tcPr>
            <w:tcW w:w="0" w:type="auto"/>
            <w:tcBorders>
              <w:top w:val="nil"/>
              <w:left w:val="nil"/>
              <w:bottom w:val="nil"/>
              <w:right w:val="nil"/>
            </w:tcBorders>
            <w:hideMark/>
          </w:tcPr>
          <w:p w14:paraId="1A0476F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3854C82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47 (6.2)</w:t>
            </w:r>
          </w:p>
        </w:tc>
        <w:tc>
          <w:tcPr>
            <w:tcW w:w="0" w:type="auto"/>
            <w:tcBorders>
              <w:top w:val="nil"/>
              <w:left w:val="nil"/>
              <w:bottom w:val="nil"/>
              <w:right w:val="nil"/>
            </w:tcBorders>
            <w:hideMark/>
          </w:tcPr>
          <w:p w14:paraId="278F8BF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261 (22)</w:t>
            </w:r>
          </w:p>
        </w:tc>
        <w:tc>
          <w:tcPr>
            <w:tcW w:w="0" w:type="auto"/>
            <w:tcBorders>
              <w:top w:val="nil"/>
              <w:left w:val="nil"/>
              <w:bottom w:val="nil"/>
              <w:right w:val="nil"/>
            </w:tcBorders>
            <w:hideMark/>
          </w:tcPr>
          <w:p w14:paraId="48FA1A2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3DC9978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9C684E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FE4BB7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4F8139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C14D93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6DD8D1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C796B3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913E77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BA4889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3217FA9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CF468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54EB8067" w14:textId="77777777" w:rsidTr="00F57E7E">
        <w:trPr>
          <w:trHeight w:hRule="exact" w:val="283"/>
        </w:trPr>
        <w:tc>
          <w:tcPr>
            <w:tcW w:w="0" w:type="auto"/>
            <w:tcBorders>
              <w:top w:val="nil"/>
              <w:left w:val="nil"/>
              <w:bottom w:val="nil"/>
              <w:right w:val="nil"/>
            </w:tcBorders>
            <w:hideMark/>
          </w:tcPr>
          <w:p w14:paraId="08F824E9"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Node status</w:t>
            </w:r>
          </w:p>
        </w:tc>
        <w:tc>
          <w:tcPr>
            <w:tcW w:w="0" w:type="auto"/>
            <w:tcBorders>
              <w:top w:val="nil"/>
              <w:left w:val="nil"/>
              <w:bottom w:val="nil"/>
              <w:right w:val="nil"/>
            </w:tcBorders>
            <w:hideMark/>
          </w:tcPr>
          <w:p w14:paraId="32ACB2DF"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2656DFA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DCE6D1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33D103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8A49CD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E21FC8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8E0F2B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8CD7C5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E276E6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9C3D8C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9606FA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3A87BA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19CF75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CA4CA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3F97EE89" w14:textId="77777777" w:rsidTr="00F57E7E">
        <w:trPr>
          <w:trHeight w:hRule="exact" w:val="283"/>
        </w:trPr>
        <w:tc>
          <w:tcPr>
            <w:tcW w:w="0" w:type="auto"/>
            <w:tcBorders>
              <w:top w:val="nil"/>
              <w:left w:val="nil"/>
              <w:bottom w:val="nil"/>
              <w:right w:val="nil"/>
            </w:tcBorders>
            <w:hideMark/>
          </w:tcPr>
          <w:p w14:paraId="69A9DDC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Negative</w:t>
            </w:r>
          </w:p>
        </w:tc>
        <w:tc>
          <w:tcPr>
            <w:tcW w:w="0" w:type="auto"/>
            <w:tcBorders>
              <w:top w:val="nil"/>
              <w:left w:val="nil"/>
              <w:bottom w:val="nil"/>
              <w:right w:val="nil"/>
            </w:tcBorders>
            <w:hideMark/>
          </w:tcPr>
          <w:p w14:paraId="34AE573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304 (40)</w:t>
            </w:r>
          </w:p>
        </w:tc>
        <w:tc>
          <w:tcPr>
            <w:tcW w:w="0" w:type="auto"/>
            <w:tcBorders>
              <w:top w:val="nil"/>
              <w:left w:val="nil"/>
              <w:bottom w:val="nil"/>
              <w:right w:val="nil"/>
            </w:tcBorders>
            <w:hideMark/>
          </w:tcPr>
          <w:p w14:paraId="1F54A1B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601 (51)</w:t>
            </w:r>
          </w:p>
        </w:tc>
        <w:tc>
          <w:tcPr>
            <w:tcW w:w="0" w:type="auto"/>
            <w:tcBorders>
              <w:top w:val="nil"/>
              <w:left w:val="nil"/>
              <w:bottom w:val="nil"/>
              <w:right w:val="nil"/>
            </w:tcBorders>
            <w:hideMark/>
          </w:tcPr>
          <w:p w14:paraId="0CCD917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551AEA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9A75B7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46CFA0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3C022B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D01FB8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1BA43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F78A07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51B0A2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05F03D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58236C9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20A48C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2E0C2080" w14:textId="77777777" w:rsidTr="00F57E7E">
        <w:trPr>
          <w:trHeight w:hRule="exact" w:val="283"/>
        </w:trPr>
        <w:tc>
          <w:tcPr>
            <w:tcW w:w="0" w:type="auto"/>
            <w:tcBorders>
              <w:top w:val="nil"/>
              <w:left w:val="nil"/>
              <w:bottom w:val="nil"/>
              <w:right w:val="nil"/>
            </w:tcBorders>
            <w:hideMark/>
          </w:tcPr>
          <w:p w14:paraId="42A6E69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Positive</w:t>
            </w:r>
          </w:p>
        </w:tc>
        <w:tc>
          <w:tcPr>
            <w:tcW w:w="0" w:type="auto"/>
            <w:tcBorders>
              <w:top w:val="nil"/>
              <w:left w:val="nil"/>
              <w:bottom w:val="nil"/>
              <w:right w:val="nil"/>
            </w:tcBorders>
            <w:hideMark/>
          </w:tcPr>
          <w:p w14:paraId="17E9337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234 (31)</w:t>
            </w:r>
          </w:p>
        </w:tc>
        <w:tc>
          <w:tcPr>
            <w:tcW w:w="0" w:type="auto"/>
            <w:tcBorders>
              <w:top w:val="nil"/>
              <w:left w:val="nil"/>
              <w:bottom w:val="nil"/>
              <w:right w:val="nil"/>
            </w:tcBorders>
            <w:hideMark/>
          </w:tcPr>
          <w:p w14:paraId="6868BC7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194 (16)</w:t>
            </w:r>
          </w:p>
        </w:tc>
        <w:tc>
          <w:tcPr>
            <w:tcW w:w="0" w:type="auto"/>
            <w:tcBorders>
              <w:top w:val="nil"/>
              <w:left w:val="nil"/>
              <w:bottom w:val="nil"/>
              <w:right w:val="nil"/>
            </w:tcBorders>
            <w:hideMark/>
          </w:tcPr>
          <w:p w14:paraId="1513FA3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3A725AD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01465B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98EF55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C6819D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0B3851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205FAE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1.89</w:t>
            </w:r>
          </w:p>
        </w:tc>
        <w:tc>
          <w:tcPr>
            <w:tcW w:w="1017" w:type="dxa"/>
            <w:tcBorders>
              <w:top w:val="nil"/>
              <w:left w:val="nil"/>
              <w:bottom w:val="nil"/>
              <w:right w:val="nil"/>
            </w:tcBorders>
            <w:hideMark/>
          </w:tcPr>
          <w:p w14:paraId="3A7857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1.44, 2.48</w:t>
            </w:r>
          </w:p>
        </w:tc>
        <w:tc>
          <w:tcPr>
            <w:tcW w:w="0" w:type="auto"/>
            <w:tcBorders>
              <w:top w:val="nil"/>
              <w:left w:val="nil"/>
              <w:bottom w:val="nil"/>
              <w:right w:val="nil"/>
            </w:tcBorders>
            <w:hideMark/>
          </w:tcPr>
          <w:p w14:paraId="35B063D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c>
          <w:tcPr>
            <w:tcW w:w="0" w:type="auto"/>
            <w:tcBorders>
              <w:top w:val="nil"/>
              <w:left w:val="nil"/>
              <w:bottom w:val="nil"/>
              <w:right w:val="nil"/>
            </w:tcBorders>
            <w:hideMark/>
          </w:tcPr>
          <w:p w14:paraId="4AF370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1.88</w:t>
            </w:r>
          </w:p>
        </w:tc>
        <w:tc>
          <w:tcPr>
            <w:tcW w:w="1010" w:type="dxa"/>
            <w:tcBorders>
              <w:top w:val="nil"/>
              <w:left w:val="nil"/>
              <w:bottom w:val="nil"/>
              <w:right w:val="nil"/>
            </w:tcBorders>
            <w:hideMark/>
          </w:tcPr>
          <w:p w14:paraId="782CAAF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1.43, 2.49</w:t>
            </w:r>
          </w:p>
        </w:tc>
        <w:tc>
          <w:tcPr>
            <w:tcW w:w="0" w:type="auto"/>
            <w:tcBorders>
              <w:top w:val="nil"/>
              <w:left w:val="nil"/>
              <w:bottom w:val="nil"/>
              <w:right w:val="nil"/>
            </w:tcBorders>
            <w:hideMark/>
          </w:tcPr>
          <w:p w14:paraId="64A877E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r>
      <w:tr w:rsidR="00F57E7E" w:rsidRPr="007030D1" w14:paraId="1B538E24" w14:textId="77777777" w:rsidTr="00F57E7E">
        <w:trPr>
          <w:trHeight w:hRule="exact" w:val="283"/>
        </w:trPr>
        <w:tc>
          <w:tcPr>
            <w:tcW w:w="0" w:type="auto"/>
            <w:tcBorders>
              <w:top w:val="nil"/>
              <w:left w:val="nil"/>
              <w:bottom w:val="nil"/>
              <w:right w:val="nil"/>
            </w:tcBorders>
            <w:hideMark/>
          </w:tcPr>
          <w:p w14:paraId="22478A9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2D9CB69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217 (29)</w:t>
            </w:r>
          </w:p>
        </w:tc>
        <w:tc>
          <w:tcPr>
            <w:tcW w:w="0" w:type="auto"/>
            <w:tcBorders>
              <w:top w:val="nil"/>
              <w:left w:val="nil"/>
              <w:bottom w:val="nil"/>
              <w:right w:val="nil"/>
            </w:tcBorders>
            <w:hideMark/>
          </w:tcPr>
          <w:p w14:paraId="7016BD9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390 (33)</w:t>
            </w:r>
          </w:p>
        </w:tc>
        <w:tc>
          <w:tcPr>
            <w:tcW w:w="0" w:type="auto"/>
            <w:tcBorders>
              <w:top w:val="nil"/>
              <w:left w:val="nil"/>
              <w:bottom w:val="nil"/>
              <w:right w:val="nil"/>
            </w:tcBorders>
            <w:hideMark/>
          </w:tcPr>
          <w:p w14:paraId="33741CC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0881C15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4E1CF8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5E4955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D40FB5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0F764A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DDCC33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939F47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F63566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F6DF4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9E148B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2AE7F3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32BEC8C9" w14:textId="77777777" w:rsidTr="00F57E7E">
        <w:trPr>
          <w:trHeight w:hRule="exact" w:val="283"/>
        </w:trPr>
        <w:tc>
          <w:tcPr>
            <w:tcW w:w="0" w:type="auto"/>
            <w:tcBorders>
              <w:top w:val="nil"/>
              <w:left w:val="nil"/>
              <w:bottom w:val="nil"/>
              <w:right w:val="nil"/>
            </w:tcBorders>
            <w:hideMark/>
          </w:tcPr>
          <w:p w14:paraId="6F80CC26"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Tumour size (mm)</w:t>
            </w:r>
          </w:p>
        </w:tc>
        <w:tc>
          <w:tcPr>
            <w:tcW w:w="0" w:type="auto"/>
            <w:tcBorders>
              <w:top w:val="nil"/>
              <w:left w:val="nil"/>
              <w:bottom w:val="nil"/>
              <w:right w:val="nil"/>
            </w:tcBorders>
            <w:hideMark/>
          </w:tcPr>
          <w:p w14:paraId="3B24BC2D"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0B53D34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9DC345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FD0AB4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34762B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4A2C8A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3F8245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19698C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971256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4B5938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4EA509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C230F9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581AFAE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E18A6A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20846E7A" w14:textId="77777777" w:rsidTr="00F57E7E">
        <w:trPr>
          <w:trHeight w:hRule="exact" w:val="283"/>
        </w:trPr>
        <w:tc>
          <w:tcPr>
            <w:tcW w:w="0" w:type="auto"/>
            <w:tcBorders>
              <w:top w:val="nil"/>
              <w:left w:val="nil"/>
              <w:bottom w:val="nil"/>
              <w:right w:val="nil"/>
            </w:tcBorders>
            <w:hideMark/>
          </w:tcPr>
          <w:p w14:paraId="5C29989D"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&lt;21</w:t>
            </w:r>
          </w:p>
        </w:tc>
        <w:tc>
          <w:tcPr>
            <w:tcW w:w="0" w:type="auto"/>
            <w:tcBorders>
              <w:top w:val="nil"/>
              <w:left w:val="nil"/>
              <w:bottom w:val="nil"/>
              <w:right w:val="nil"/>
            </w:tcBorders>
            <w:hideMark/>
          </w:tcPr>
          <w:p w14:paraId="42D0B7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336 (45)</w:t>
            </w:r>
          </w:p>
        </w:tc>
        <w:tc>
          <w:tcPr>
            <w:tcW w:w="0" w:type="auto"/>
            <w:tcBorders>
              <w:top w:val="nil"/>
              <w:left w:val="nil"/>
              <w:bottom w:val="nil"/>
              <w:right w:val="nil"/>
            </w:tcBorders>
            <w:hideMark/>
          </w:tcPr>
          <w:p w14:paraId="5C28C5A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656 (55)</w:t>
            </w:r>
          </w:p>
        </w:tc>
        <w:tc>
          <w:tcPr>
            <w:tcW w:w="0" w:type="auto"/>
            <w:tcBorders>
              <w:top w:val="nil"/>
              <w:left w:val="nil"/>
              <w:bottom w:val="nil"/>
              <w:right w:val="nil"/>
            </w:tcBorders>
            <w:hideMark/>
          </w:tcPr>
          <w:p w14:paraId="2332C99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6E6C9BB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79EB0F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DF7ECB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B41F5E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C83D12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7FC638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883AE2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EBDD6A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3E0AA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5CF99E4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F3A095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2BF5CD14" w14:textId="77777777" w:rsidTr="00F57E7E">
        <w:trPr>
          <w:trHeight w:hRule="exact" w:val="283"/>
        </w:trPr>
        <w:tc>
          <w:tcPr>
            <w:tcW w:w="0" w:type="auto"/>
            <w:tcBorders>
              <w:top w:val="nil"/>
              <w:left w:val="nil"/>
              <w:bottom w:val="nil"/>
              <w:right w:val="nil"/>
            </w:tcBorders>
            <w:hideMark/>
          </w:tcPr>
          <w:p w14:paraId="138EF02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21-50</w:t>
            </w:r>
          </w:p>
        </w:tc>
        <w:tc>
          <w:tcPr>
            <w:tcW w:w="0" w:type="auto"/>
            <w:tcBorders>
              <w:top w:val="nil"/>
              <w:left w:val="nil"/>
              <w:bottom w:val="nil"/>
              <w:right w:val="nil"/>
            </w:tcBorders>
            <w:hideMark/>
          </w:tcPr>
          <w:p w14:paraId="6D9FB3A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225 (30)</w:t>
            </w:r>
          </w:p>
        </w:tc>
        <w:tc>
          <w:tcPr>
            <w:tcW w:w="0" w:type="auto"/>
            <w:tcBorders>
              <w:top w:val="nil"/>
              <w:left w:val="nil"/>
              <w:bottom w:val="nil"/>
              <w:right w:val="nil"/>
            </w:tcBorders>
            <w:hideMark/>
          </w:tcPr>
          <w:p w14:paraId="22BAE87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162 (14)</w:t>
            </w:r>
          </w:p>
        </w:tc>
        <w:tc>
          <w:tcPr>
            <w:tcW w:w="0" w:type="auto"/>
            <w:tcBorders>
              <w:top w:val="nil"/>
              <w:left w:val="nil"/>
              <w:bottom w:val="nil"/>
              <w:right w:val="nil"/>
            </w:tcBorders>
            <w:hideMark/>
          </w:tcPr>
          <w:p w14:paraId="7774703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90127F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C6848F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7C3F1B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31CC5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1E4197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B261B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2.01</w:t>
            </w:r>
          </w:p>
        </w:tc>
        <w:tc>
          <w:tcPr>
            <w:tcW w:w="1017" w:type="dxa"/>
            <w:tcBorders>
              <w:top w:val="nil"/>
              <w:left w:val="nil"/>
              <w:bottom w:val="nil"/>
              <w:right w:val="nil"/>
            </w:tcBorders>
            <w:hideMark/>
          </w:tcPr>
          <w:p w14:paraId="745BA81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1.52, 2.65</w:t>
            </w:r>
          </w:p>
        </w:tc>
        <w:tc>
          <w:tcPr>
            <w:tcW w:w="0" w:type="auto"/>
            <w:tcBorders>
              <w:top w:val="nil"/>
              <w:left w:val="nil"/>
              <w:bottom w:val="nil"/>
              <w:right w:val="nil"/>
            </w:tcBorders>
            <w:hideMark/>
          </w:tcPr>
          <w:p w14:paraId="7B4D12F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c>
          <w:tcPr>
            <w:tcW w:w="0" w:type="auto"/>
            <w:tcBorders>
              <w:top w:val="nil"/>
              <w:left w:val="nil"/>
              <w:bottom w:val="nil"/>
              <w:right w:val="nil"/>
            </w:tcBorders>
            <w:hideMark/>
          </w:tcPr>
          <w:p w14:paraId="56DD4AA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2.03</w:t>
            </w:r>
          </w:p>
        </w:tc>
        <w:tc>
          <w:tcPr>
            <w:tcW w:w="1010" w:type="dxa"/>
            <w:tcBorders>
              <w:top w:val="nil"/>
              <w:left w:val="nil"/>
              <w:bottom w:val="nil"/>
              <w:right w:val="nil"/>
            </w:tcBorders>
            <w:hideMark/>
          </w:tcPr>
          <w:p w14:paraId="02858FB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1.53, 2.70</w:t>
            </w:r>
          </w:p>
        </w:tc>
        <w:tc>
          <w:tcPr>
            <w:tcW w:w="0" w:type="auto"/>
            <w:tcBorders>
              <w:top w:val="nil"/>
              <w:left w:val="nil"/>
              <w:bottom w:val="nil"/>
              <w:right w:val="nil"/>
            </w:tcBorders>
            <w:hideMark/>
          </w:tcPr>
          <w:p w14:paraId="58E6DE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&lt;0.001</w:t>
            </w:r>
          </w:p>
        </w:tc>
      </w:tr>
      <w:tr w:rsidR="00F57E7E" w:rsidRPr="007030D1" w14:paraId="26886E9C" w14:textId="77777777" w:rsidTr="00F57E7E">
        <w:trPr>
          <w:trHeight w:hRule="exact" w:val="283"/>
        </w:trPr>
        <w:tc>
          <w:tcPr>
            <w:tcW w:w="0" w:type="auto"/>
            <w:tcBorders>
              <w:top w:val="nil"/>
              <w:left w:val="nil"/>
              <w:bottom w:val="nil"/>
              <w:right w:val="nil"/>
            </w:tcBorders>
            <w:hideMark/>
          </w:tcPr>
          <w:p w14:paraId="0FC945AB"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50+</w:t>
            </w:r>
          </w:p>
        </w:tc>
        <w:tc>
          <w:tcPr>
            <w:tcW w:w="0" w:type="auto"/>
            <w:tcBorders>
              <w:top w:val="nil"/>
              <w:left w:val="nil"/>
              <w:bottom w:val="nil"/>
              <w:right w:val="nil"/>
            </w:tcBorders>
            <w:hideMark/>
          </w:tcPr>
          <w:p w14:paraId="37827CF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31 (4.1)</w:t>
            </w:r>
          </w:p>
        </w:tc>
        <w:tc>
          <w:tcPr>
            <w:tcW w:w="0" w:type="auto"/>
            <w:tcBorders>
              <w:top w:val="nil"/>
              <w:left w:val="nil"/>
              <w:bottom w:val="nil"/>
              <w:right w:val="nil"/>
            </w:tcBorders>
            <w:hideMark/>
          </w:tcPr>
          <w:p w14:paraId="2400493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 (1.3)</w:t>
            </w:r>
          </w:p>
        </w:tc>
        <w:tc>
          <w:tcPr>
            <w:tcW w:w="0" w:type="auto"/>
            <w:tcBorders>
              <w:top w:val="nil"/>
              <w:left w:val="nil"/>
              <w:bottom w:val="nil"/>
              <w:right w:val="nil"/>
            </w:tcBorders>
            <w:hideMark/>
          </w:tcPr>
          <w:p w14:paraId="3A05EC7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104D8C7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A13698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5C4633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A201D6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D142CF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A0DDD0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2.79</w:t>
            </w:r>
          </w:p>
        </w:tc>
        <w:tc>
          <w:tcPr>
            <w:tcW w:w="1017" w:type="dxa"/>
            <w:tcBorders>
              <w:top w:val="nil"/>
              <w:left w:val="nil"/>
              <w:bottom w:val="nil"/>
              <w:right w:val="nil"/>
            </w:tcBorders>
            <w:hideMark/>
          </w:tcPr>
          <w:p w14:paraId="10E4C1C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1.37, 5.85</w:t>
            </w:r>
          </w:p>
        </w:tc>
        <w:tc>
          <w:tcPr>
            <w:tcW w:w="0" w:type="auto"/>
            <w:tcBorders>
              <w:top w:val="nil"/>
              <w:left w:val="nil"/>
              <w:bottom w:val="nil"/>
              <w:right w:val="nil"/>
            </w:tcBorders>
            <w:hideMark/>
          </w:tcPr>
          <w:p w14:paraId="32EA317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0.005</w:t>
            </w:r>
          </w:p>
        </w:tc>
        <w:tc>
          <w:tcPr>
            <w:tcW w:w="0" w:type="auto"/>
            <w:tcBorders>
              <w:top w:val="nil"/>
              <w:left w:val="nil"/>
              <w:bottom w:val="nil"/>
              <w:right w:val="nil"/>
            </w:tcBorders>
            <w:hideMark/>
          </w:tcPr>
          <w:p w14:paraId="5D78F4C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2.64</w:t>
            </w:r>
          </w:p>
        </w:tc>
        <w:tc>
          <w:tcPr>
            <w:tcW w:w="1010" w:type="dxa"/>
            <w:tcBorders>
              <w:top w:val="nil"/>
              <w:left w:val="nil"/>
              <w:bottom w:val="nil"/>
              <w:right w:val="nil"/>
            </w:tcBorders>
            <w:hideMark/>
          </w:tcPr>
          <w:p w14:paraId="04535FD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1.29, 5.61</w:t>
            </w:r>
          </w:p>
        </w:tc>
        <w:tc>
          <w:tcPr>
            <w:tcW w:w="0" w:type="auto"/>
            <w:tcBorders>
              <w:top w:val="nil"/>
              <w:left w:val="nil"/>
              <w:bottom w:val="nil"/>
              <w:right w:val="nil"/>
            </w:tcBorders>
            <w:hideMark/>
          </w:tcPr>
          <w:p w14:paraId="0D919ED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0.009</w:t>
            </w:r>
          </w:p>
        </w:tc>
      </w:tr>
      <w:tr w:rsidR="00F57E7E" w:rsidRPr="007030D1" w14:paraId="14BB2BB8" w14:textId="77777777" w:rsidTr="00F57E7E">
        <w:trPr>
          <w:trHeight w:hRule="exact" w:val="283"/>
        </w:trPr>
        <w:tc>
          <w:tcPr>
            <w:tcW w:w="0" w:type="auto"/>
            <w:tcBorders>
              <w:top w:val="nil"/>
              <w:left w:val="nil"/>
              <w:bottom w:val="nil"/>
              <w:right w:val="nil"/>
            </w:tcBorders>
            <w:hideMark/>
          </w:tcPr>
          <w:p w14:paraId="5B0826D8"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62C713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163 (22)</w:t>
            </w:r>
          </w:p>
        </w:tc>
        <w:tc>
          <w:tcPr>
            <w:tcW w:w="0" w:type="auto"/>
            <w:tcBorders>
              <w:top w:val="nil"/>
              <w:left w:val="nil"/>
              <w:bottom w:val="nil"/>
              <w:right w:val="nil"/>
            </w:tcBorders>
            <w:hideMark/>
          </w:tcPr>
          <w:p w14:paraId="0A54FE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352 (30)</w:t>
            </w:r>
          </w:p>
        </w:tc>
        <w:tc>
          <w:tcPr>
            <w:tcW w:w="0" w:type="auto"/>
            <w:tcBorders>
              <w:top w:val="nil"/>
              <w:left w:val="nil"/>
              <w:bottom w:val="nil"/>
              <w:right w:val="nil"/>
            </w:tcBorders>
            <w:hideMark/>
          </w:tcPr>
          <w:p w14:paraId="79C11C0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005C180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8135B8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AA20D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EBB543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39B8A7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11BDD0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34FC5C8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0762C8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096816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08EED77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DCB8BB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4F8FE5A1" w14:textId="77777777" w:rsidTr="00F57E7E">
        <w:trPr>
          <w:trHeight w:hRule="exact" w:val="283"/>
        </w:trPr>
        <w:tc>
          <w:tcPr>
            <w:tcW w:w="0" w:type="auto"/>
            <w:tcBorders>
              <w:top w:val="nil"/>
              <w:left w:val="nil"/>
              <w:bottom w:val="nil"/>
              <w:right w:val="nil"/>
            </w:tcBorders>
            <w:hideMark/>
          </w:tcPr>
          <w:p w14:paraId="6B88F594"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ER status</w:t>
            </w:r>
          </w:p>
        </w:tc>
        <w:tc>
          <w:tcPr>
            <w:tcW w:w="0" w:type="auto"/>
            <w:tcBorders>
              <w:top w:val="nil"/>
              <w:left w:val="nil"/>
              <w:bottom w:val="nil"/>
              <w:right w:val="nil"/>
            </w:tcBorders>
            <w:hideMark/>
          </w:tcPr>
          <w:p w14:paraId="00421067"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017BE69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94AA21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F388BF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75EE98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F310B7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79111D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36667D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AAB150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0535B0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8D8FEE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B8B80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14785D3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89C4F0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6645B88D" w14:textId="77777777" w:rsidTr="00F57E7E">
        <w:trPr>
          <w:trHeight w:hRule="exact" w:val="283"/>
        </w:trPr>
        <w:tc>
          <w:tcPr>
            <w:tcW w:w="0" w:type="auto"/>
            <w:tcBorders>
              <w:top w:val="nil"/>
              <w:left w:val="nil"/>
              <w:bottom w:val="nil"/>
              <w:right w:val="nil"/>
            </w:tcBorders>
            <w:hideMark/>
          </w:tcPr>
          <w:p w14:paraId="5E692C86"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Positive</w:t>
            </w:r>
          </w:p>
        </w:tc>
        <w:tc>
          <w:tcPr>
            <w:tcW w:w="0" w:type="auto"/>
            <w:tcBorders>
              <w:top w:val="nil"/>
              <w:left w:val="nil"/>
              <w:bottom w:val="nil"/>
              <w:right w:val="nil"/>
            </w:tcBorders>
            <w:hideMark/>
          </w:tcPr>
          <w:p w14:paraId="03DE051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525 (70)</w:t>
            </w:r>
          </w:p>
        </w:tc>
        <w:tc>
          <w:tcPr>
            <w:tcW w:w="0" w:type="auto"/>
            <w:tcBorders>
              <w:top w:val="nil"/>
              <w:left w:val="nil"/>
              <w:bottom w:val="nil"/>
              <w:right w:val="nil"/>
            </w:tcBorders>
            <w:hideMark/>
          </w:tcPr>
          <w:p w14:paraId="7777341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791 (67)</w:t>
            </w:r>
          </w:p>
        </w:tc>
        <w:tc>
          <w:tcPr>
            <w:tcW w:w="0" w:type="auto"/>
            <w:tcBorders>
              <w:top w:val="nil"/>
              <w:left w:val="nil"/>
              <w:bottom w:val="nil"/>
              <w:right w:val="nil"/>
            </w:tcBorders>
            <w:hideMark/>
          </w:tcPr>
          <w:p w14:paraId="3315B77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632CF02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E06F04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B3C85E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BEA761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CC04104"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68B244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22FC5C6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671279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7E07CB3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0C0B6874"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2CB2E69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309A5680" w14:textId="77777777" w:rsidTr="00F57E7E">
        <w:trPr>
          <w:trHeight w:hRule="exact" w:val="283"/>
        </w:trPr>
        <w:tc>
          <w:tcPr>
            <w:tcW w:w="0" w:type="auto"/>
            <w:tcBorders>
              <w:top w:val="nil"/>
              <w:left w:val="nil"/>
              <w:bottom w:val="nil"/>
              <w:right w:val="nil"/>
            </w:tcBorders>
            <w:hideMark/>
          </w:tcPr>
          <w:p w14:paraId="1BC5D6D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Negative</w:t>
            </w:r>
          </w:p>
        </w:tc>
        <w:tc>
          <w:tcPr>
            <w:tcW w:w="0" w:type="auto"/>
            <w:tcBorders>
              <w:top w:val="nil"/>
              <w:left w:val="nil"/>
              <w:bottom w:val="nil"/>
              <w:right w:val="nil"/>
            </w:tcBorders>
            <w:hideMark/>
          </w:tcPr>
          <w:p w14:paraId="0FCE980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137 (18)</w:t>
            </w:r>
          </w:p>
        </w:tc>
        <w:tc>
          <w:tcPr>
            <w:tcW w:w="0" w:type="auto"/>
            <w:tcBorders>
              <w:top w:val="nil"/>
              <w:left w:val="nil"/>
              <w:bottom w:val="nil"/>
              <w:right w:val="nil"/>
            </w:tcBorders>
            <w:hideMark/>
          </w:tcPr>
          <w:p w14:paraId="03AAC2F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87 (7.3)</w:t>
            </w:r>
          </w:p>
        </w:tc>
        <w:tc>
          <w:tcPr>
            <w:tcW w:w="0" w:type="auto"/>
            <w:tcBorders>
              <w:top w:val="nil"/>
              <w:left w:val="nil"/>
              <w:bottom w:val="nil"/>
              <w:right w:val="nil"/>
            </w:tcBorders>
            <w:hideMark/>
          </w:tcPr>
          <w:p w14:paraId="490685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1A2B1F3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3592C2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EFF2C8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E5C33D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23EE36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1A5D35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1.79</w:t>
            </w:r>
          </w:p>
        </w:tc>
        <w:tc>
          <w:tcPr>
            <w:tcW w:w="1017" w:type="dxa"/>
            <w:tcBorders>
              <w:top w:val="nil"/>
              <w:left w:val="nil"/>
              <w:bottom w:val="nil"/>
              <w:right w:val="nil"/>
            </w:tcBorders>
            <w:hideMark/>
          </w:tcPr>
          <w:p w14:paraId="71A94E9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1.19, 2.70</w:t>
            </w:r>
          </w:p>
        </w:tc>
        <w:tc>
          <w:tcPr>
            <w:tcW w:w="0" w:type="auto"/>
            <w:tcBorders>
              <w:top w:val="nil"/>
              <w:left w:val="nil"/>
              <w:bottom w:val="nil"/>
              <w:right w:val="nil"/>
            </w:tcBorders>
            <w:hideMark/>
          </w:tcPr>
          <w:p w14:paraId="0738506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0.005</w:t>
            </w:r>
          </w:p>
        </w:tc>
        <w:tc>
          <w:tcPr>
            <w:tcW w:w="0" w:type="auto"/>
            <w:tcBorders>
              <w:top w:val="nil"/>
              <w:left w:val="nil"/>
              <w:bottom w:val="nil"/>
              <w:right w:val="nil"/>
            </w:tcBorders>
            <w:hideMark/>
          </w:tcPr>
          <w:p w14:paraId="1671EBD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1.78</w:t>
            </w:r>
          </w:p>
        </w:tc>
        <w:tc>
          <w:tcPr>
            <w:tcW w:w="1010" w:type="dxa"/>
            <w:tcBorders>
              <w:top w:val="nil"/>
              <w:left w:val="nil"/>
              <w:bottom w:val="nil"/>
              <w:right w:val="nil"/>
            </w:tcBorders>
            <w:hideMark/>
          </w:tcPr>
          <w:p w14:paraId="2B708DB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1.17, 2.72</w:t>
            </w:r>
          </w:p>
        </w:tc>
        <w:tc>
          <w:tcPr>
            <w:tcW w:w="0" w:type="auto"/>
            <w:tcBorders>
              <w:top w:val="nil"/>
              <w:left w:val="nil"/>
              <w:bottom w:val="nil"/>
              <w:right w:val="nil"/>
            </w:tcBorders>
            <w:hideMark/>
          </w:tcPr>
          <w:p w14:paraId="17F86DD6"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0.007</w:t>
            </w:r>
          </w:p>
        </w:tc>
      </w:tr>
      <w:tr w:rsidR="00F57E7E" w:rsidRPr="007030D1" w14:paraId="46B41F78" w14:textId="77777777" w:rsidTr="00F57E7E">
        <w:trPr>
          <w:trHeight w:hRule="exact" w:val="283"/>
        </w:trPr>
        <w:tc>
          <w:tcPr>
            <w:tcW w:w="0" w:type="auto"/>
            <w:tcBorders>
              <w:top w:val="nil"/>
              <w:left w:val="nil"/>
              <w:bottom w:val="nil"/>
              <w:right w:val="nil"/>
            </w:tcBorders>
            <w:hideMark/>
          </w:tcPr>
          <w:p w14:paraId="2BF54956"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7C0B441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93 (12)</w:t>
            </w:r>
          </w:p>
        </w:tc>
        <w:tc>
          <w:tcPr>
            <w:tcW w:w="0" w:type="auto"/>
            <w:tcBorders>
              <w:top w:val="nil"/>
              <w:left w:val="nil"/>
              <w:bottom w:val="nil"/>
              <w:right w:val="nil"/>
            </w:tcBorders>
            <w:hideMark/>
          </w:tcPr>
          <w:p w14:paraId="57408DC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307 (26)</w:t>
            </w:r>
          </w:p>
        </w:tc>
        <w:tc>
          <w:tcPr>
            <w:tcW w:w="0" w:type="auto"/>
            <w:tcBorders>
              <w:top w:val="nil"/>
              <w:left w:val="nil"/>
              <w:bottom w:val="nil"/>
              <w:right w:val="nil"/>
            </w:tcBorders>
            <w:hideMark/>
          </w:tcPr>
          <w:p w14:paraId="628D1B7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5A64435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378D5B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DAAED1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157A7D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ACE93F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20F085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5BF5A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8F3D99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DEE54A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B3232A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FCF170C"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039C9664" w14:textId="77777777" w:rsidTr="00F57E7E">
        <w:trPr>
          <w:trHeight w:hRule="exact" w:val="283"/>
        </w:trPr>
        <w:tc>
          <w:tcPr>
            <w:tcW w:w="0" w:type="auto"/>
            <w:tcBorders>
              <w:top w:val="nil"/>
              <w:left w:val="nil"/>
              <w:bottom w:val="nil"/>
              <w:right w:val="nil"/>
            </w:tcBorders>
            <w:hideMark/>
          </w:tcPr>
          <w:p w14:paraId="07281F08"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PR status</w:t>
            </w:r>
          </w:p>
        </w:tc>
        <w:tc>
          <w:tcPr>
            <w:tcW w:w="0" w:type="auto"/>
            <w:tcBorders>
              <w:top w:val="nil"/>
              <w:left w:val="nil"/>
              <w:bottom w:val="nil"/>
              <w:right w:val="nil"/>
            </w:tcBorders>
            <w:hideMark/>
          </w:tcPr>
          <w:p w14:paraId="293B209E"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5C5F156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6C4FF9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0E8EF2C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D05178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764A8AD"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BA7E0B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265C87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5C774B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FD545E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3E79C5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7648A6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371E1CA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93E3C5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455A94BE" w14:textId="77777777" w:rsidTr="00F57E7E">
        <w:trPr>
          <w:trHeight w:hRule="exact" w:val="283"/>
        </w:trPr>
        <w:tc>
          <w:tcPr>
            <w:tcW w:w="0" w:type="auto"/>
            <w:tcBorders>
              <w:top w:val="nil"/>
              <w:left w:val="nil"/>
              <w:bottom w:val="nil"/>
              <w:right w:val="nil"/>
            </w:tcBorders>
            <w:hideMark/>
          </w:tcPr>
          <w:p w14:paraId="29423F3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Positive</w:t>
            </w:r>
          </w:p>
        </w:tc>
        <w:tc>
          <w:tcPr>
            <w:tcW w:w="0" w:type="auto"/>
            <w:tcBorders>
              <w:top w:val="nil"/>
              <w:left w:val="nil"/>
              <w:bottom w:val="nil"/>
              <w:right w:val="nil"/>
            </w:tcBorders>
            <w:hideMark/>
          </w:tcPr>
          <w:p w14:paraId="6D7EEB8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283 (37)</w:t>
            </w:r>
          </w:p>
        </w:tc>
        <w:tc>
          <w:tcPr>
            <w:tcW w:w="0" w:type="auto"/>
            <w:tcBorders>
              <w:top w:val="nil"/>
              <w:left w:val="nil"/>
              <w:bottom w:val="nil"/>
              <w:right w:val="nil"/>
            </w:tcBorders>
            <w:hideMark/>
          </w:tcPr>
          <w:p w14:paraId="391D904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375 (32)</w:t>
            </w:r>
          </w:p>
        </w:tc>
        <w:tc>
          <w:tcPr>
            <w:tcW w:w="0" w:type="auto"/>
            <w:tcBorders>
              <w:top w:val="nil"/>
              <w:left w:val="nil"/>
              <w:bottom w:val="nil"/>
              <w:right w:val="nil"/>
            </w:tcBorders>
            <w:hideMark/>
          </w:tcPr>
          <w:p w14:paraId="3E33BFB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624FA35A"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43AB0E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AA1556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A560ED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283E70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943F09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4E715E9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6E45C3B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572BBB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1D98532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77BA68F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753921CD" w14:textId="77777777" w:rsidTr="00F57E7E">
        <w:trPr>
          <w:trHeight w:hRule="exact" w:val="283"/>
        </w:trPr>
        <w:tc>
          <w:tcPr>
            <w:tcW w:w="0" w:type="auto"/>
            <w:tcBorders>
              <w:top w:val="nil"/>
              <w:left w:val="nil"/>
              <w:bottom w:val="nil"/>
              <w:right w:val="nil"/>
            </w:tcBorders>
            <w:hideMark/>
          </w:tcPr>
          <w:p w14:paraId="3F0906F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Negative</w:t>
            </w:r>
          </w:p>
        </w:tc>
        <w:tc>
          <w:tcPr>
            <w:tcW w:w="0" w:type="auto"/>
            <w:tcBorders>
              <w:top w:val="nil"/>
              <w:left w:val="nil"/>
              <w:bottom w:val="nil"/>
              <w:right w:val="nil"/>
            </w:tcBorders>
            <w:hideMark/>
          </w:tcPr>
          <w:p w14:paraId="585D895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175 (23)</w:t>
            </w:r>
          </w:p>
        </w:tc>
        <w:tc>
          <w:tcPr>
            <w:tcW w:w="0" w:type="auto"/>
            <w:tcBorders>
              <w:top w:val="nil"/>
              <w:left w:val="nil"/>
              <w:bottom w:val="nil"/>
              <w:right w:val="nil"/>
            </w:tcBorders>
            <w:hideMark/>
          </w:tcPr>
          <w:p w14:paraId="176BF89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154 (13)</w:t>
            </w:r>
          </w:p>
        </w:tc>
        <w:tc>
          <w:tcPr>
            <w:tcW w:w="0" w:type="auto"/>
            <w:tcBorders>
              <w:top w:val="nil"/>
              <w:left w:val="nil"/>
              <w:bottom w:val="nil"/>
              <w:right w:val="nil"/>
            </w:tcBorders>
            <w:hideMark/>
          </w:tcPr>
          <w:p w14:paraId="242BEAE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3E089E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817037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5EBB31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7E420CD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6F3504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F5B61D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0.83</w:t>
            </w:r>
          </w:p>
        </w:tc>
        <w:tc>
          <w:tcPr>
            <w:tcW w:w="1017" w:type="dxa"/>
            <w:tcBorders>
              <w:top w:val="nil"/>
              <w:left w:val="nil"/>
              <w:bottom w:val="nil"/>
              <w:right w:val="nil"/>
            </w:tcBorders>
            <w:hideMark/>
          </w:tcPr>
          <w:p w14:paraId="6FC69D0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0.58, 1.19</w:t>
            </w:r>
          </w:p>
        </w:tc>
        <w:tc>
          <w:tcPr>
            <w:tcW w:w="0" w:type="auto"/>
            <w:tcBorders>
              <w:top w:val="nil"/>
              <w:left w:val="nil"/>
              <w:bottom w:val="nil"/>
              <w:right w:val="nil"/>
            </w:tcBorders>
            <w:hideMark/>
          </w:tcPr>
          <w:p w14:paraId="3183CB1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0.313</w:t>
            </w:r>
          </w:p>
        </w:tc>
        <w:tc>
          <w:tcPr>
            <w:tcW w:w="0" w:type="auto"/>
            <w:tcBorders>
              <w:top w:val="nil"/>
              <w:left w:val="nil"/>
              <w:bottom w:val="nil"/>
              <w:right w:val="nil"/>
            </w:tcBorders>
            <w:hideMark/>
          </w:tcPr>
          <w:p w14:paraId="2812592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0.80</w:t>
            </w:r>
          </w:p>
        </w:tc>
        <w:tc>
          <w:tcPr>
            <w:tcW w:w="1010" w:type="dxa"/>
            <w:tcBorders>
              <w:top w:val="nil"/>
              <w:left w:val="nil"/>
              <w:bottom w:val="nil"/>
              <w:right w:val="nil"/>
            </w:tcBorders>
            <w:hideMark/>
          </w:tcPr>
          <w:p w14:paraId="62F3821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0.55, 1.15</w:t>
            </w:r>
          </w:p>
        </w:tc>
        <w:tc>
          <w:tcPr>
            <w:tcW w:w="0" w:type="auto"/>
            <w:tcBorders>
              <w:top w:val="nil"/>
              <w:left w:val="nil"/>
              <w:bottom w:val="nil"/>
              <w:right w:val="nil"/>
            </w:tcBorders>
            <w:hideMark/>
          </w:tcPr>
          <w:p w14:paraId="32D374E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0.226</w:t>
            </w:r>
          </w:p>
        </w:tc>
      </w:tr>
      <w:tr w:rsidR="00F57E7E" w:rsidRPr="007030D1" w14:paraId="6ECFB377" w14:textId="77777777" w:rsidTr="00F57E7E">
        <w:trPr>
          <w:trHeight w:hRule="exact" w:val="283"/>
        </w:trPr>
        <w:tc>
          <w:tcPr>
            <w:tcW w:w="0" w:type="auto"/>
            <w:tcBorders>
              <w:top w:val="nil"/>
              <w:left w:val="nil"/>
              <w:bottom w:val="nil"/>
              <w:right w:val="nil"/>
            </w:tcBorders>
            <w:hideMark/>
          </w:tcPr>
          <w:p w14:paraId="2BD2ABC9"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nil"/>
              <w:right w:val="nil"/>
            </w:tcBorders>
            <w:hideMark/>
          </w:tcPr>
          <w:p w14:paraId="4C1510A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297 (39)</w:t>
            </w:r>
          </w:p>
        </w:tc>
        <w:tc>
          <w:tcPr>
            <w:tcW w:w="0" w:type="auto"/>
            <w:tcBorders>
              <w:top w:val="nil"/>
              <w:left w:val="nil"/>
              <w:bottom w:val="nil"/>
              <w:right w:val="nil"/>
            </w:tcBorders>
            <w:hideMark/>
          </w:tcPr>
          <w:p w14:paraId="5F2D3102"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656 (55)</w:t>
            </w:r>
          </w:p>
        </w:tc>
        <w:tc>
          <w:tcPr>
            <w:tcW w:w="0" w:type="auto"/>
            <w:tcBorders>
              <w:top w:val="nil"/>
              <w:left w:val="nil"/>
              <w:bottom w:val="nil"/>
              <w:right w:val="nil"/>
            </w:tcBorders>
            <w:hideMark/>
          </w:tcPr>
          <w:p w14:paraId="63BDFF1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0AF07F6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5589E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79784A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AC90DE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E272DD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016393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F9CED7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24E877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9B05BB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DBA5F4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21E5252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104A13C5" w14:textId="77777777" w:rsidTr="00F57E7E">
        <w:trPr>
          <w:trHeight w:hRule="exact" w:val="283"/>
        </w:trPr>
        <w:tc>
          <w:tcPr>
            <w:tcW w:w="0" w:type="auto"/>
            <w:tcBorders>
              <w:top w:val="nil"/>
              <w:left w:val="nil"/>
              <w:bottom w:val="nil"/>
              <w:right w:val="nil"/>
            </w:tcBorders>
            <w:hideMark/>
          </w:tcPr>
          <w:p w14:paraId="3124DC0F"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r w:rsidRPr="007030D1">
              <w:rPr>
                <w:rFonts w:ascii="Aptos Narrow" w:eastAsia="Times New Roman" w:hAnsi="Aptos Narrow" w:cs="Arial"/>
                <w:b/>
                <w:bCs/>
                <w:kern w:val="0"/>
                <w:sz w:val="22"/>
                <w:lang w:eastAsia="en-GB"/>
                <w14:ligatures w14:val="none"/>
              </w:rPr>
              <w:t>HER2 status</w:t>
            </w:r>
          </w:p>
        </w:tc>
        <w:tc>
          <w:tcPr>
            <w:tcW w:w="0" w:type="auto"/>
            <w:tcBorders>
              <w:top w:val="nil"/>
              <w:left w:val="nil"/>
              <w:bottom w:val="nil"/>
              <w:right w:val="nil"/>
            </w:tcBorders>
            <w:hideMark/>
          </w:tcPr>
          <w:p w14:paraId="6E1B00CA" w14:textId="77777777" w:rsidR="007030D1" w:rsidRPr="007030D1" w:rsidRDefault="007030D1" w:rsidP="007030D1">
            <w:pPr>
              <w:widowControl w:val="0"/>
              <w:spacing w:after="0" w:line="240" w:lineRule="auto"/>
              <w:rPr>
                <w:rFonts w:eastAsia="Times New Roman" w:cs="Arial"/>
                <w:b/>
                <w:bCs/>
                <w:color w:val="000000"/>
                <w:kern w:val="0"/>
                <w:sz w:val="16"/>
                <w:szCs w:val="16"/>
                <w:lang w:eastAsia="en-GB"/>
                <w14:ligatures w14:val="none"/>
              </w:rPr>
            </w:pPr>
          </w:p>
        </w:tc>
        <w:tc>
          <w:tcPr>
            <w:tcW w:w="0" w:type="auto"/>
            <w:tcBorders>
              <w:top w:val="nil"/>
              <w:left w:val="nil"/>
              <w:bottom w:val="nil"/>
              <w:right w:val="nil"/>
            </w:tcBorders>
            <w:hideMark/>
          </w:tcPr>
          <w:p w14:paraId="1CFA415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7A884A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26F7199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09EBFC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52F2489"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4C9951F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0E970E7"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69D2C6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56BD4721"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5EA36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67AFFEF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0" w:type="dxa"/>
            <w:tcBorders>
              <w:top w:val="nil"/>
              <w:left w:val="nil"/>
              <w:bottom w:val="nil"/>
              <w:right w:val="nil"/>
            </w:tcBorders>
            <w:hideMark/>
          </w:tcPr>
          <w:p w14:paraId="65D4FAF5"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6AC6FC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r>
      <w:tr w:rsidR="00F57E7E" w:rsidRPr="007030D1" w14:paraId="0193511D" w14:textId="77777777" w:rsidTr="00F57E7E">
        <w:trPr>
          <w:trHeight w:hRule="exact" w:val="283"/>
        </w:trPr>
        <w:tc>
          <w:tcPr>
            <w:tcW w:w="0" w:type="auto"/>
            <w:tcBorders>
              <w:top w:val="nil"/>
              <w:left w:val="nil"/>
              <w:bottom w:val="nil"/>
              <w:right w:val="nil"/>
            </w:tcBorders>
            <w:hideMark/>
          </w:tcPr>
          <w:p w14:paraId="04E52F8E"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Positive</w:t>
            </w:r>
          </w:p>
        </w:tc>
        <w:tc>
          <w:tcPr>
            <w:tcW w:w="0" w:type="auto"/>
            <w:tcBorders>
              <w:top w:val="nil"/>
              <w:left w:val="nil"/>
              <w:bottom w:val="nil"/>
              <w:right w:val="nil"/>
            </w:tcBorders>
            <w:hideMark/>
          </w:tcPr>
          <w:p w14:paraId="675E1CE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102 (14)</w:t>
            </w:r>
          </w:p>
        </w:tc>
        <w:tc>
          <w:tcPr>
            <w:tcW w:w="0" w:type="auto"/>
            <w:tcBorders>
              <w:top w:val="nil"/>
              <w:left w:val="nil"/>
              <w:bottom w:val="nil"/>
              <w:right w:val="nil"/>
            </w:tcBorders>
            <w:hideMark/>
          </w:tcPr>
          <w:p w14:paraId="208773E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92 (7.8)</w:t>
            </w:r>
          </w:p>
        </w:tc>
        <w:tc>
          <w:tcPr>
            <w:tcW w:w="0" w:type="auto"/>
            <w:tcBorders>
              <w:top w:val="nil"/>
              <w:left w:val="nil"/>
              <w:bottom w:val="nil"/>
              <w:right w:val="nil"/>
            </w:tcBorders>
            <w:hideMark/>
          </w:tcPr>
          <w:p w14:paraId="07754DC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3A360A1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462CCCD2"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FBA794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6FCC0663"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011E037F"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7778D89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7" w:type="dxa"/>
            <w:tcBorders>
              <w:top w:val="nil"/>
              <w:left w:val="nil"/>
              <w:bottom w:val="nil"/>
              <w:right w:val="nil"/>
            </w:tcBorders>
            <w:hideMark/>
          </w:tcPr>
          <w:p w14:paraId="721A985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0153F5F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0" w:type="auto"/>
            <w:tcBorders>
              <w:top w:val="nil"/>
              <w:left w:val="nil"/>
              <w:bottom w:val="nil"/>
              <w:right w:val="nil"/>
            </w:tcBorders>
            <w:hideMark/>
          </w:tcPr>
          <w:p w14:paraId="0D0EBD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1010" w:type="dxa"/>
            <w:tcBorders>
              <w:top w:val="nil"/>
              <w:left w:val="nil"/>
              <w:bottom w:val="nil"/>
              <w:right w:val="nil"/>
            </w:tcBorders>
            <w:hideMark/>
          </w:tcPr>
          <w:p w14:paraId="09774C6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w:t>
            </w:r>
          </w:p>
        </w:tc>
        <w:tc>
          <w:tcPr>
            <w:tcW w:w="0" w:type="auto"/>
            <w:tcBorders>
              <w:top w:val="nil"/>
              <w:left w:val="nil"/>
              <w:bottom w:val="nil"/>
              <w:right w:val="nil"/>
            </w:tcBorders>
            <w:hideMark/>
          </w:tcPr>
          <w:p w14:paraId="40BBD97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r>
      <w:tr w:rsidR="00F57E7E" w:rsidRPr="007030D1" w14:paraId="74FFE9BA" w14:textId="77777777" w:rsidTr="00F57E7E">
        <w:trPr>
          <w:trHeight w:hRule="exact" w:val="283"/>
        </w:trPr>
        <w:tc>
          <w:tcPr>
            <w:tcW w:w="0" w:type="auto"/>
            <w:tcBorders>
              <w:top w:val="nil"/>
              <w:left w:val="nil"/>
              <w:bottom w:val="nil"/>
              <w:right w:val="nil"/>
            </w:tcBorders>
            <w:hideMark/>
          </w:tcPr>
          <w:p w14:paraId="0B9B864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lastRenderedPageBreak/>
              <w:t>Negative</w:t>
            </w:r>
          </w:p>
        </w:tc>
        <w:tc>
          <w:tcPr>
            <w:tcW w:w="0" w:type="auto"/>
            <w:tcBorders>
              <w:top w:val="nil"/>
              <w:left w:val="nil"/>
              <w:bottom w:val="nil"/>
              <w:right w:val="nil"/>
            </w:tcBorders>
            <w:hideMark/>
          </w:tcPr>
          <w:p w14:paraId="687B02D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524 (69)</w:t>
            </w:r>
          </w:p>
        </w:tc>
        <w:tc>
          <w:tcPr>
            <w:tcW w:w="0" w:type="auto"/>
            <w:tcBorders>
              <w:top w:val="nil"/>
              <w:left w:val="nil"/>
              <w:bottom w:val="nil"/>
              <w:right w:val="nil"/>
            </w:tcBorders>
            <w:hideMark/>
          </w:tcPr>
          <w:p w14:paraId="522A096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725 (61)</w:t>
            </w:r>
          </w:p>
        </w:tc>
        <w:tc>
          <w:tcPr>
            <w:tcW w:w="0" w:type="auto"/>
            <w:tcBorders>
              <w:top w:val="nil"/>
              <w:left w:val="nil"/>
              <w:bottom w:val="nil"/>
              <w:right w:val="nil"/>
            </w:tcBorders>
            <w:hideMark/>
          </w:tcPr>
          <w:p w14:paraId="31B6A0A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p>
        </w:tc>
        <w:tc>
          <w:tcPr>
            <w:tcW w:w="1017" w:type="dxa"/>
            <w:tcBorders>
              <w:top w:val="nil"/>
              <w:left w:val="nil"/>
              <w:bottom w:val="nil"/>
              <w:right w:val="nil"/>
            </w:tcBorders>
            <w:hideMark/>
          </w:tcPr>
          <w:p w14:paraId="463E45BE"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E065566"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34071FEB"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1017" w:type="dxa"/>
            <w:tcBorders>
              <w:top w:val="nil"/>
              <w:left w:val="nil"/>
              <w:bottom w:val="nil"/>
              <w:right w:val="nil"/>
            </w:tcBorders>
            <w:hideMark/>
          </w:tcPr>
          <w:p w14:paraId="10604980"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58F05FC8" w14:textId="77777777" w:rsidR="007030D1" w:rsidRPr="007030D1" w:rsidRDefault="007030D1" w:rsidP="007030D1">
            <w:pPr>
              <w:widowControl w:val="0"/>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hideMark/>
          </w:tcPr>
          <w:p w14:paraId="189762E9"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1.18</w:t>
            </w:r>
          </w:p>
        </w:tc>
        <w:tc>
          <w:tcPr>
            <w:tcW w:w="1017" w:type="dxa"/>
            <w:tcBorders>
              <w:top w:val="nil"/>
              <w:left w:val="nil"/>
              <w:bottom w:val="nil"/>
              <w:right w:val="nil"/>
            </w:tcBorders>
            <w:hideMark/>
          </w:tcPr>
          <w:p w14:paraId="02BA43A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0.82, 1.70</w:t>
            </w:r>
          </w:p>
        </w:tc>
        <w:tc>
          <w:tcPr>
            <w:tcW w:w="0" w:type="auto"/>
            <w:tcBorders>
              <w:top w:val="nil"/>
              <w:left w:val="nil"/>
              <w:bottom w:val="nil"/>
              <w:right w:val="nil"/>
            </w:tcBorders>
            <w:hideMark/>
          </w:tcPr>
          <w:p w14:paraId="3EC27B05"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0.381</w:t>
            </w:r>
          </w:p>
        </w:tc>
        <w:tc>
          <w:tcPr>
            <w:tcW w:w="0" w:type="auto"/>
            <w:tcBorders>
              <w:top w:val="nil"/>
              <w:left w:val="nil"/>
              <w:bottom w:val="nil"/>
              <w:right w:val="nil"/>
            </w:tcBorders>
            <w:hideMark/>
          </w:tcPr>
          <w:p w14:paraId="45F6336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1.11</w:t>
            </w:r>
          </w:p>
        </w:tc>
        <w:tc>
          <w:tcPr>
            <w:tcW w:w="1010" w:type="dxa"/>
            <w:tcBorders>
              <w:top w:val="nil"/>
              <w:left w:val="nil"/>
              <w:bottom w:val="nil"/>
              <w:right w:val="nil"/>
            </w:tcBorders>
            <w:hideMark/>
          </w:tcPr>
          <w:p w14:paraId="111DE27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0.76, 1.61</w:t>
            </w:r>
          </w:p>
        </w:tc>
        <w:tc>
          <w:tcPr>
            <w:tcW w:w="0" w:type="auto"/>
            <w:tcBorders>
              <w:top w:val="nil"/>
              <w:left w:val="nil"/>
              <w:bottom w:val="nil"/>
              <w:right w:val="nil"/>
            </w:tcBorders>
            <w:hideMark/>
          </w:tcPr>
          <w:p w14:paraId="4284A021"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0.596</w:t>
            </w:r>
          </w:p>
        </w:tc>
      </w:tr>
      <w:tr w:rsidR="00F57E7E" w:rsidRPr="007030D1" w14:paraId="33C2BC7E" w14:textId="77777777" w:rsidTr="00F57E7E">
        <w:trPr>
          <w:trHeight w:hRule="exact" w:val="283"/>
        </w:trPr>
        <w:tc>
          <w:tcPr>
            <w:tcW w:w="0" w:type="auto"/>
            <w:tcBorders>
              <w:top w:val="nil"/>
              <w:left w:val="nil"/>
              <w:bottom w:val="single" w:sz="8" w:space="0" w:color="000000"/>
              <w:right w:val="nil"/>
            </w:tcBorders>
            <w:hideMark/>
          </w:tcPr>
          <w:p w14:paraId="18B6795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Missing</w:t>
            </w:r>
          </w:p>
        </w:tc>
        <w:tc>
          <w:tcPr>
            <w:tcW w:w="0" w:type="auto"/>
            <w:tcBorders>
              <w:top w:val="nil"/>
              <w:left w:val="nil"/>
              <w:bottom w:val="single" w:sz="8" w:space="0" w:color="000000"/>
              <w:right w:val="nil"/>
            </w:tcBorders>
            <w:hideMark/>
          </w:tcPr>
          <w:p w14:paraId="2B58A58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129 (17)</w:t>
            </w:r>
          </w:p>
        </w:tc>
        <w:tc>
          <w:tcPr>
            <w:tcW w:w="0" w:type="auto"/>
            <w:tcBorders>
              <w:top w:val="nil"/>
              <w:left w:val="nil"/>
              <w:bottom w:val="single" w:sz="8" w:space="0" w:color="000000"/>
              <w:right w:val="nil"/>
            </w:tcBorders>
            <w:hideMark/>
          </w:tcPr>
          <w:p w14:paraId="02D370C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368 (31)</w:t>
            </w:r>
          </w:p>
        </w:tc>
        <w:tc>
          <w:tcPr>
            <w:tcW w:w="0" w:type="auto"/>
            <w:tcBorders>
              <w:top w:val="nil"/>
              <w:left w:val="nil"/>
              <w:bottom w:val="single" w:sz="8" w:space="0" w:color="000000"/>
              <w:right w:val="nil"/>
            </w:tcBorders>
            <w:hideMark/>
          </w:tcPr>
          <w:p w14:paraId="049B683B"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1017" w:type="dxa"/>
            <w:tcBorders>
              <w:top w:val="nil"/>
              <w:left w:val="nil"/>
              <w:bottom w:val="single" w:sz="8" w:space="0" w:color="000000"/>
              <w:right w:val="nil"/>
            </w:tcBorders>
            <w:hideMark/>
          </w:tcPr>
          <w:p w14:paraId="58FA474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148E115C"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293CAA0D"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1017" w:type="dxa"/>
            <w:tcBorders>
              <w:top w:val="nil"/>
              <w:left w:val="nil"/>
              <w:bottom w:val="single" w:sz="8" w:space="0" w:color="000000"/>
              <w:right w:val="nil"/>
            </w:tcBorders>
            <w:hideMark/>
          </w:tcPr>
          <w:p w14:paraId="17546DF8"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1D0B943E"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6042DD7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1017" w:type="dxa"/>
            <w:tcBorders>
              <w:top w:val="nil"/>
              <w:left w:val="nil"/>
              <w:bottom w:val="single" w:sz="8" w:space="0" w:color="000000"/>
              <w:right w:val="nil"/>
            </w:tcBorders>
            <w:hideMark/>
          </w:tcPr>
          <w:p w14:paraId="00383C37"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086AACC0"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7F720003"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1010" w:type="dxa"/>
            <w:tcBorders>
              <w:top w:val="nil"/>
              <w:left w:val="nil"/>
              <w:bottom w:val="single" w:sz="8" w:space="0" w:color="000000"/>
              <w:right w:val="nil"/>
            </w:tcBorders>
            <w:hideMark/>
          </w:tcPr>
          <w:p w14:paraId="53777F7F"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c>
          <w:tcPr>
            <w:tcW w:w="0" w:type="auto"/>
            <w:tcBorders>
              <w:top w:val="nil"/>
              <w:left w:val="nil"/>
              <w:bottom w:val="single" w:sz="8" w:space="0" w:color="000000"/>
              <w:right w:val="nil"/>
            </w:tcBorders>
            <w:hideMark/>
          </w:tcPr>
          <w:p w14:paraId="2A6304FA" w14:textId="77777777" w:rsidR="007030D1" w:rsidRPr="007030D1" w:rsidRDefault="007030D1" w:rsidP="007030D1">
            <w:pPr>
              <w:widowControl w:val="0"/>
              <w:spacing w:after="0" w:line="240" w:lineRule="auto"/>
              <w:jc w:val="center"/>
              <w:rPr>
                <w:rFonts w:eastAsia="Times New Roman" w:cs="Arial"/>
                <w:color w:val="000000"/>
                <w:kern w:val="0"/>
                <w:sz w:val="16"/>
                <w:szCs w:val="16"/>
                <w:lang w:eastAsia="en-GB"/>
                <w14:ligatures w14:val="none"/>
              </w:rPr>
            </w:pPr>
            <w:r w:rsidRPr="007030D1">
              <w:rPr>
                <w:rFonts w:eastAsia="Times New Roman" w:cs="Arial"/>
                <w:color w:val="000000"/>
                <w:kern w:val="0"/>
                <w:sz w:val="16"/>
                <w:szCs w:val="16"/>
                <w:lang w:eastAsia="en-GB"/>
                <w14:ligatures w14:val="none"/>
              </w:rPr>
              <w:t> </w:t>
            </w:r>
          </w:p>
        </w:tc>
      </w:tr>
      <w:tr w:rsidR="00105CAC" w:rsidRPr="007030D1" w14:paraId="580DA47B" w14:textId="77777777" w:rsidTr="00837878">
        <w:trPr>
          <w:trHeight w:val="300"/>
        </w:trPr>
        <w:tc>
          <w:tcPr>
            <w:tcW w:w="14906" w:type="dxa"/>
            <w:gridSpan w:val="15"/>
            <w:tcBorders>
              <w:top w:val="nil"/>
              <w:left w:val="nil"/>
              <w:bottom w:val="nil"/>
              <w:right w:val="nil"/>
            </w:tcBorders>
            <w:vAlign w:val="center"/>
            <w:hideMark/>
          </w:tcPr>
          <w:p w14:paraId="50C6072A"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ascii="Aptos Narrow" w:eastAsia="Times New Roman" w:hAnsi="Aptos Narrow" w:cs="Arial"/>
                <w:kern w:val="0"/>
                <w:sz w:val="22"/>
                <w:vertAlign w:val="superscript"/>
                <w:lang w:eastAsia="en-GB"/>
                <w14:ligatures w14:val="none"/>
              </w:rPr>
              <w:t>1</w:t>
            </w:r>
            <w:r w:rsidRPr="007030D1">
              <w:rPr>
                <w:rFonts w:ascii="Aptos Narrow" w:eastAsia="Times New Roman" w:hAnsi="Aptos Narrow" w:cs="Arial"/>
                <w:color w:val="000000"/>
                <w:kern w:val="0"/>
                <w:sz w:val="22"/>
                <w:lang w:eastAsia="en-GB"/>
                <w14:ligatures w14:val="none"/>
              </w:rPr>
              <w:t>n (%)</w:t>
            </w:r>
          </w:p>
        </w:tc>
      </w:tr>
      <w:tr w:rsidR="00105CAC" w:rsidRPr="007030D1" w14:paraId="2E9B2874" w14:textId="77777777" w:rsidTr="00837878">
        <w:trPr>
          <w:trHeight w:val="300"/>
        </w:trPr>
        <w:tc>
          <w:tcPr>
            <w:tcW w:w="14906" w:type="dxa"/>
            <w:gridSpan w:val="15"/>
            <w:tcBorders>
              <w:top w:val="nil"/>
              <w:left w:val="nil"/>
              <w:bottom w:val="nil"/>
              <w:right w:val="nil"/>
            </w:tcBorders>
            <w:vAlign w:val="center"/>
            <w:hideMark/>
          </w:tcPr>
          <w:p w14:paraId="1E6BF4CD" w14:textId="5B128EB0" w:rsidR="007030D1" w:rsidRPr="007030D1" w:rsidRDefault="00F57E7E" w:rsidP="007030D1">
            <w:pPr>
              <w:widowControl w:val="0"/>
              <w:spacing w:after="0" w:line="240" w:lineRule="auto"/>
              <w:rPr>
                <w:rFonts w:eastAsia="Times New Roman" w:cs="Arial"/>
                <w:color w:val="000000"/>
                <w:kern w:val="0"/>
                <w:sz w:val="16"/>
                <w:szCs w:val="16"/>
                <w:lang w:eastAsia="en-GB"/>
                <w14:ligatures w14:val="none"/>
              </w:rPr>
            </w:pPr>
            <w:r>
              <w:rPr>
                <w:rFonts w:ascii="Aptos Narrow" w:eastAsia="Times New Roman" w:hAnsi="Aptos Narrow" w:cs="Arial"/>
                <w:color w:val="000000"/>
                <w:kern w:val="0"/>
                <w:sz w:val="22"/>
                <w:vertAlign w:val="superscript"/>
                <w:lang w:eastAsia="en-GB"/>
                <w14:ligatures w14:val="none"/>
              </w:rPr>
              <w:t>2</w:t>
            </w:r>
            <w:r w:rsidRPr="00F57E7E">
              <w:rPr>
                <w:rFonts w:ascii="Aptos Narrow" w:eastAsia="Times New Roman" w:hAnsi="Aptos Narrow" w:cs="Arial"/>
                <w:color w:val="000000"/>
                <w:kern w:val="0"/>
                <w:sz w:val="22"/>
                <w:lang w:eastAsia="en-GB"/>
                <w14:ligatures w14:val="none"/>
              </w:rPr>
              <w:t>OR = Odds Ratio, CI = Confidence Interval</w:t>
            </w:r>
          </w:p>
        </w:tc>
      </w:tr>
      <w:tr w:rsidR="00105CAC" w:rsidRPr="007030D1" w14:paraId="6998BBE9" w14:textId="77777777" w:rsidTr="00837878">
        <w:trPr>
          <w:trHeight w:val="300"/>
        </w:trPr>
        <w:tc>
          <w:tcPr>
            <w:tcW w:w="14906" w:type="dxa"/>
            <w:gridSpan w:val="15"/>
            <w:tcBorders>
              <w:top w:val="nil"/>
              <w:left w:val="nil"/>
              <w:bottom w:val="nil"/>
              <w:right w:val="nil"/>
            </w:tcBorders>
            <w:vAlign w:val="center"/>
            <w:hideMark/>
          </w:tcPr>
          <w:p w14:paraId="116BA4AA" w14:textId="47A486AD"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ascii="Aptos Narrow" w:eastAsia="Times New Roman" w:hAnsi="Aptos Narrow" w:cs="Arial"/>
                <w:kern w:val="0"/>
                <w:sz w:val="22"/>
                <w:vertAlign w:val="superscript"/>
                <w:lang w:eastAsia="en-GB"/>
                <w14:ligatures w14:val="none"/>
              </w:rPr>
              <w:t>3</w:t>
            </w:r>
            <w:r w:rsidR="00F57E7E" w:rsidRPr="007030D1">
              <w:rPr>
                <w:rFonts w:ascii="Aptos Narrow" w:eastAsia="Times New Roman" w:hAnsi="Aptos Narrow" w:cs="Arial"/>
                <w:color w:val="000000"/>
                <w:kern w:val="0"/>
                <w:sz w:val="22"/>
                <w:lang w:eastAsia="en-GB"/>
                <w14:ligatures w14:val="none"/>
              </w:rPr>
              <w:t>Model 1: Age at menarche, Menopause, Age at menopause, MHT status, Oral contraceptive use, Parity, Age at first birth, Breast feeding duration (</w:t>
            </w:r>
            <w:proofErr w:type="spellStart"/>
            <w:r w:rsidR="00F57E7E" w:rsidRPr="007030D1">
              <w:rPr>
                <w:rFonts w:ascii="Aptos Narrow" w:eastAsia="Times New Roman" w:hAnsi="Aptos Narrow" w:cs="Arial"/>
                <w:color w:val="000000"/>
                <w:kern w:val="0"/>
                <w:sz w:val="22"/>
                <w:lang w:eastAsia="en-GB"/>
                <w14:ligatures w14:val="none"/>
              </w:rPr>
              <w:t>mths</w:t>
            </w:r>
            <w:proofErr w:type="spellEnd"/>
            <w:r w:rsidR="00F57E7E" w:rsidRPr="007030D1">
              <w:rPr>
                <w:rFonts w:ascii="Aptos Narrow" w:eastAsia="Times New Roman" w:hAnsi="Aptos Narrow" w:cs="Arial"/>
                <w:color w:val="000000"/>
                <w:kern w:val="0"/>
                <w:sz w:val="22"/>
                <w:lang w:eastAsia="en-GB"/>
                <w14:ligatures w14:val="none"/>
              </w:rPr>
              <w:t>), Benign breast disease, Family history of breast cancer, BMI at recruitment (kg/m²), BMI at age 20 (kg/m²), Physical activity (MET h/</w:t>
            </w:r>
            <w:proofErr w:type="spellStart"/>
            <w:r w:rsidR="00F57E7E" w:rsidRPr="007030D1">
              <w:rPr>
                <w:rFonts w:ascii="Aptos Narrow" w:eastAsia="Times New Roman" w:hAnsi="Aptos Narrow" w:cs="Arial"/>
                <w:color w:val="000000"/>
                <w:kern w:val="0"/>
                <w:sz w:val="22"/>
                <w:lang w:eastAsia="en-GB"/>
                <w14:ligatures w14:val="none"/>
              </w:rPr>
              <w:t>wk</w:t>
            </w:r>
            <w:proofErr w:type="spellEnd"/>
            <w:r w:rsidR="00F57E7E" w:rsidRPr="007030D1">
              <w:rPr>
                <w:rFonts w:ascii="Aptos Narrow" w:eastAsia="Times New Roman" w:hAnsi="Aptos Narrow" w:cs="Arial"/>
                <w:color w:val="000000"/>
                <w:kern w:val="0"/>
                <w:sz w:val="22"/>
                <w:lang w:eastAsia="en-GB"/>
                <w14:ligatures w14:val="none"/>
              </w:rPr>
              <w:t>), Alcohol units per week, Smoking status, Age at Diagnosis, Time from Recruitment to BC diagnosis, Year of diagnosis</w:t>
            </w:r>
          </w:p>
        </w:tc>
      </w:tr>
      <w:tr w:rsidR="00105CAC" w:rsidRPr="007030D1" w14:paraId="47AA32BF" w14:textId="77777777" w:rsidTr="00837878">
        <w:trPr>
          <w:trHeight w:val="300"/>
        </w:trPr>
        <w:tc>
          <w:tcPr>
            <w:tcW w:w="14906" w:type="dxa"/>
            <w:gridSpan w:val="15"/>
            <w:tcBorders>
              <w:top w:val="nil"/>
              <w:left w:val="nil"/>
              <w:bottom w:val="nil"/>
              <w:right w:val="nil"/>
            </w:tcBorders>
            <w:vAlign w:val="center"/>
            <w:hideMark/>
          </w:tcPr>
          <w:p w14:paraId="236DD5A7"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ascii="Aptos Narrow" w:eastAsia="Times New Roman" w:hAnsi="Aptos Narrow" w:cs="Arial"/>
                <w:kern w:val="0"/>
                <w:sz w:val="22"/>
                <w:vertAlign w:val="superscript"/>
                <w:lang w:eastAsia="en-GB"/>
                <w14:ligatures w14:val="none"/>
              </w:rPr>
              <w:t>4</w:t>
            </w:r>
            <w:r w:rsidRPr="007030D1">
              <w:rPr>
                <w:rFonts w:ascii="Aptos Narrow" w:eastAsia="Times New Roman" w:hAnsi="Aptos Narrow" w:cs="Arial"/>
                <w:color w:val="000000"/>
                <w:kern w:val="0"/>
                <w:sz w:val="22"/>
                <w:lang w:eastAsia="en-GB"/>
                <w14:ligatures w14:val="none"/>
              </w:rPr>
              <w:t>Model 2: Age at menarche, Menopause, Age at menopause, MHT status, Oral contraceptive use, Parity, Age at first birth, Breast feeding duration (</w:t>
            </w:r>
            <w:proofErr w:type="spellStart"/>
            <w:r w:rsidRPr="007030D1">
              <w:rPr>
                <w:rFonts w:ascii="Aptos Narrow" w:eastAsia="Times New Roman" w:hAnsi="Aptos Narrow" w:cs="Arial"/>
                <w:color w:val="000000"/>
                <w:kern w:val="0"/>
                <w:sz w:val="22"/>
                <w:lang w:eastAsia="en-GB"/>
                <w14:ligatures w14:val="none"/>
              </w:rPr>
              <w:t>mths</w:t>
            </w:r>
            <w:proofErr w:type="spellEnd"/>
            <w:r w:rsidRPr="007030D1">
              <w:rPr>
                <w:rFonts w:ascii="Aptos Narrow" w:eastAsia="Times New Roman" w:hAnsi="Aptos Narrow" w:cs="Arial"/>
                <w:color w:val="000000"/>
                <w:kern w:val="0"/>
                <w:sz w:val="22"/>
                <w:lang w:eastAsia="en-GB"/>
                <w14:ligatures w14:val="none"/>
              </w:rPr>
              <w:t>), Benign breast disease, Family history of breast cancer, BMI at recruitment (kg/m²), BMI at age 20 (kg/m²), Physical activity (MET h/</w:t>
            </w:r>
            <w:proofErr w:type="spellStart"/>
            <w:r w:rsidRPr="007030D1">
              <w:rPr>
                <w:rFonts w:ascii="Aptos Narrow" w:eastAsia="Times New Roman" w:hAnsi="Aptos Narrow" w:cs="Arial"/>
                <w:color w:val="000000"/>
                <w:kern w:val="0"/>
                <w:sz w:val="22"/>
                <w:lang w:eastAsia="en-GB"/>
                <w14:ligatures w14:val="none"/>
              </w:rPr>
              <w:t>wk</w:t>
            </w:r>
            <w:proofErr w:type="spellEnd"/>
            <w:r w:rsidRPr="007030D1">
              <w:rPr>
                <w:rFonts w:ascii="Aptos Narrow" w:eastAsia="Times New Roman" w:hAnsi="Aptos Narrow" w:cs="Arial"/>
                <w:color w:val="000000"/>
                <w:kern w:val="0"/>
                <w:sz w:val="22"/>
                <w:lang w:eastAsia="en-GB"/>
                <w14:ligatures w14:val="none"/>
              </w:rPr>
              <w:t>), Alcohol units per week, Smoking status, Age at diagnosis, Time from recruitment to BC diagnosis, Year of diagnosis, Percent mammographic density (quartiles), Time from mammographic density measurement to BRCA diagnosis</w:t>
            </w:r>
          </w:p>
        </w:tc>
      </w:tr>
      <w:tr w:rsidR="00105CAC" w:rsidRPr="007030D1" w14:paraId="5AAD797B" w14:textId="77777777" w:rsidTr="00837878">
        <w:trPr>
          <w:trHeight w:val="300"/>
        </w:trPr>
        <w:tc>
          <w:tcPr>
            <w:tcW w:w="14906" w:type="dxa"/>
            <w:gridSpan w:val="15"/>
            <w:tcBorders>
              <w:top w:val="nil"/>
              <w:left w:val="nil"/>
              <w:bottom w:val="nil"/>
              <w:right w:val="nil"/>
            </w:tcBorders>
            <w:vAlign w:val="center"/>
            <w:hideMark/>
          </w:tcPr>
          <w:p w14:paraId="6769A360"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ascii="Aptos Narrow" w:eastAsia="Times New Roman" w:hAnsi="Aptos Narrow" w:cs="Arial"/>
                <w:kern w:val="0"/>
                <w:sz w:val="22"/>
                <w:vertAlign w:val="superscript"/>
                <w:lang w:eastAsia="en-GB"/>
                <w14:ligatures w14:val="none"/>
              </w:rPr>
              <w:t>5</w:t>
            </w:r>
            <w:r w:rsidRPr="007030D1">
              <w:rPr>
                <w:rFonts w:ascii="Aptos Narrow" w:eastAsia="Times New Roman" w:hAnsi="Aptos Narrow" w:cs="Arial"/>
                <w:color w:val="000000"/>
                <w:kern w:val="0"/>
                <w:sz w:val="22"/>
                <w:lang w:eastAsia="en-GB"/>
                <w14:ligatures w14:val="none"/>
              </w:rPr>
              <w:t>Model 3: Age at menarche, Menopause, Age at menopause, MHT status, Oral contraceptive use, Parity, Age at first birth, Breast feeding duration (</w:t>
            </w:r>
            <w:proofErr w:type="spellStart"/>
            <w:r w:rsidRPr="007030D1">
              <w:rPr>
                <w:rFonts w:ascii="Aptos Narrow" w:eastAsia="Times New Roman" w:hAnsi="Aptos Narrow" w:cs="Arial"/>
                <w:color w:val="000000"/>
                <w:kern w:val="0"/>
                <w:sz w:val="22"/>
                <w:lang w:eastAsia="en-GB"/>
                <w14:ligatures w14:val="none"/>
              </w:rPr>
              <w:t>mths</w:t>
            </w:r>
            <w:proofErr w:type="spellEnd"/>
            <w:r w:rsidRPr="007030D1">
              <w:rPr>
                <w:rFonts w:ascii="Aptos Narrow" w:eastAsia="Times New Roman" w:hAnsi="Aptos Narrow" w:cs="Arial"/>
                <w:color w:val="000000"/>
                <w:kern w:val="0"/>
                <w:sz w:val="22"/>
                <w:lang w:eastAsia="en-GB"/>
                <w14:ligatures w14:val="none"/>
              </w:rPr>
              <w:t>), Benign breast disease, Family history of breast cancer, BMI at recruitment (kg/m²), BMI at age 20 (kg/m²), Physical activity (MET h/</w:t>
            </w:r>
            <w:proofErr w:type="spellStart"/>
            <w:r w:rsidRPr="007030D1">
              <w:rPr>
                <w:rFonts w:ascii="Aptos Narrow" w:eastAsia="Times New Roman" w:hAnsi="Aptos Narrow" w:cs="Arial"/>
                <w:color w:val="000000"/>
                <w:kern w:val="0"/>
                <w:sz w:val="22"/>
                <w:lang w:eastAsia="en-GB"/>
                <w14:ligatures w14:val="none"/>
              </w:rPr>
              <w:t>wk</w:t>
            </w:r>
            <w:proofErr w:type="spellEnd"/>
            <w:r w:rsidRPr="007030D1">
              <w:rPr>
                <w:rFonts w:ascii="Aptos Narrow" w:eastAsia="Times New Roman" w:hAnsi="Aptos Narrow" w:cs="Arial"/>
                <w:color w:val="000000"/>
                <w:kern w:val="0"/>
                <w:sz w:val="22"/>
                <w:lang w:eastAsia="en-GB"/>
                <w14:ligatures w14:val="none"/>
              </w:rPr>
              <w:t>), Alcohol units per week, Smoking status, Age at diagnosis, Time from recruitment to BC diagnosis, Year of diagnosis, Invasive status, Morphology, Node status, Tumour size, ER status, PR status, HER2 status</w:t>
            </w:r>
          </w:p>
        </w:tc>
      </w:tr>
      <w:tr w:rsidR="00105CAC" w:rsidRPr="007030D1" w14:paraId="2A295C24" w14:textId="77777777" w:rsidTr="00837878">
        <w:trPr>
          <w:trHeight w:val="300"/>
        </w:trPr>
        <w:tc>
          <w:tcPr>
            <w:tcW w:w="14906" w:type="dxa"/>
            <w:gridSpan w:val="15"/>
            <w:tcBorders>
              <w:top w:val="nil"/>
              <w:left w:val="nil"/>
              <w:bottom w:val="nil"/>
              <w:right w:val="nil"/>
            </w:tcBorders>
            <w:vAlign w:val="center"/>
            <w:hideMark/>
          </w:tcPr>
          <w:p w14:paraId="4C1A5B32" w14:textId="77777777" w:rsidR="007030D1" w:rsidRPr="007030D1" w:rsidRDefault="007030D1" w:rsidP="007030D1">
            <w:pPr>
              <w:widowControl w:val="0"/>
              <w:spacing w:after="0" w:line="240" w:lineRule="auto"/>
              <w:rPr>
                <w:rFonts w:eastAsia="Times New Roman" w:cs="Arial"/>
                <w:color w:val="000000"/>
                <w:kern w:val="0"/>
                <w:sz w:val="16"/>
                <w:szCs w:val="16"/>
                <w:lang w:eastAsia="en-GB"/>
                <w14:ligatures w14:val="none"/>
              </w:rPr>
            </w:pPr>
            <w:r w:rsidRPr="007030D1">
              <w:rPr>
                <w:rFonts w:ascii="Aptos Narrow" w:eastAsia="Times New Roman" w:hAnsi="Aptos Narrow" w:cs="Arial"/>
                <w:kern w:val="0"/>
                <w:sz w:val="22"/>
                <w:vertAlign w:val="superscript"/>
                <w:lang w:eastAsia="en-GB"/>
                <w14:ligatures w14:val="none"/>
              </w:rPr>
              <w:t>6</w:t>
            </w:r>
            <w:r w:rsidRPr="007030D1">
              <w:rPr>
                <w:rFonts w:ascii="Aptos Narrow" w:eastAsia="Times New Roman" w:hAnsi="Aptos Narrow" w:cs="Arial"/>
                <w:color w:val="000000"/>
                <w:kern w:val="0"/>
                <w:sz w:val="22"/>
                <w:lang w:eastAsia="en-GB"/>
                <w14:ligatures w14:val="none"/>
              </w:rPr>
              <w:t>Model 4: Age at menarche, Menopause, Age at menopause, MHT status, Oral contraceptive use, Parity, Age at first birth, Breast feeding duration (</w:t>
            </w:r>
            <w:proofErr w:type="spellStart"/>
            <w:r w:rsidRPr="007030D1">
              <w:rPr>
                <w:rFonts w:ascii="Aptos Narrow" w:eastAsia="Times New Roman" w:hAnsi="Aptos Narrow" w:cs="Arial"/>
                <w:color w:val="000000"/>
                <w:kern w:val="0"/>
                <w:sz w:val="22"/>
                <w:lang w:eastAsia="en-GB"/>
                <w14:ligatures w14:val="none"/>
              </w:rPr>
              <w:t>mths</w:t>
            </w:r>
            <w:proofErr w:type="spellEnd"/>
            <w:r w:rsidRPr="007030D1">
              <w:rPr>
                <w:rFonts w:ascii="Aptos Narrow" w:eastAsia="Times New Roman" w:hAnsi="Aptos Narrow" w:cs="Arial"/>
                <w:color w:val="000000"/>
                <w:kern w:val="0"/>
                <w:sz w:val="22"/>
                <w:lang w:eastAsia="en-GB"/>
                <w14:ligatures w14:val="none"/>
              </w:rPr>
              <w:t>), Benign breast disease, Family history of breast cancer, BMI at recruitment (kg/m²), BMI at age 20 (kg/m²), Physical activity (MET h/</w:t>
            </w:r>
            <w:proofErr w:type="spellStart"/>
            <w:r w:rsidRPr="007030D1">
              <w:rPr>
                <w:rFonts w:ascii="Aptos Narrow" w:eastAsia="Times New Roman" w:hAnsi="Aptos Narrow" w:cs="Arial"/>
                <w:color w:val="000000"/>
                <w:kern w:val="0"/>
                <w:sz w:val="22"/>
                <w:lang w:eastAsia="en-GB"/>
                <w14:ligatures w14:val="none"/>
              </w:rPr>
              <w:t>wk</w:t>
            </w:r>
            <w:proofErr w:type="spellEnd"/>
            <w:r w:rsidRPr="007030D1">
              <w:rPr>
                <w:rFonts w:ascii="Aptos Narrow" w:eastAsia="Times New Roman" w:hAnsi="Aptos Narrow" w:cs="Arial"/>
                <w:color w:val="000000"/>
                <w:kern w:val="0"/>
                <w:sz w:val="22"/>
                <w:lang w:eastAsia="en-GB"/>
                <w14:ligatures w14:val="none"/>
              </w:rPr>
              <w:t>), Alcohol units per week, Smoking status, Age at diagnosis, Time from recruitment to BC diagnosis, Year of diagnosis, Percent mammographic density (quartiles), Time from mammographic density measurement to BRCA diagnosis, Invasive status, Morphology, Node status, Tumour size, ER status, PR status, HER2 status</w:t>
            </w:r>
          </w:p>
        </w:tc>
      </w:tr>
    </w:tbl>
    <w:p w14:paraId="7649999C" w14:textId="77777777" w:rsidR="00675543" w:rsidRPr="00595B55" w:rsidRDefault="00675543" w:rsidP="00595B55">
      <w:pPr>
        <w:rPr>
          <w:rFonts w:cs="Arial"/>
          <w:sz w:val="22"/>
        </w:rPr>
      </w:pPr>
    </w:p>
    <w:sectPr w:rsidR="00675543" w:rsidRPr="00595B55" w:rsidSect="00CA5F6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FC66" w14:textId="77777777" w:rsidR="00576C33" w:rsidRDefault="00576C33" w:rsidP="00E24041">
      <w:pPr>
        <w:spacing w:after="0" w:line="240" w:lineRule="auto"/>
      </w:pPr>
      <w:r>
        <w:separator/>
      </w:r>
    </w:p>
  </w:endnote>
  <w:endnote w:type="continuationSeparator" w:id="0">
    <w:p w14:paraId="66784C55" w14:textId="77777777" w:rsidR="00576C33" w:rsidRDefault="00576C33" w:rsidP="00E2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00FC" w14:textId="77777777" w:rsidR="00576C33" w:rsidRDefault="00576C33" w:rsidP="00E24041">
      <w:pPr>
        <w:spacing w:after="0" w:line="240" w:lineRule="auto"/>
      </w:pPr>
      <w:r>
        <w:separator/>
      </w:r>
    </w:p>
  </w:footnote>
  <w:footnote w:type="continuationSeparator" w:id="0">
    <w:p w14:paraId="62A7F71A" w14:textId="77777777" w:rsidR="00576C33" w:rsidRDefault="00576C33" w:rsidP="00E24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C03"/>
    <w:multiLevelType w:val="hybridMultilevel"/>
    <w:tmpl w:val="4614B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E6741"/>
    <w:multiLevelType w:val="hybridMultilevel"/>
    <w:tmpl w:val="CC48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93349"/>
    <w:multiLevelType w:val="hybridMultilevel"/>
    <w:tmpl w:val="85DE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461153">
    <w:abstractNumId w:val="0"/>
  </w:num>
  <w:num w:numId="2" w16cid:durableId="1918250181">
    <w:abstractNumId w:val="1"/>
  </w:num>
  <w:num w:numId="3" w16cid:durableId="2067024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48"/>
    <w:rsid w:val="0000006F"/>
    <w:rsid w:val="00001BE3"/>
    <w:rsid w:val="000027CE"/>
    <w:rsid w:val="00006B75"/>
    <w:rsid w:val="00006FBE"/>
    <w:rsid w:val="000135DC"/>
    <w:rsid w:val="00013CF3"/>
    <w:rsid w:val="0001644C"/>
    <w:rsid w:val="000208A0"/>
    <w:rsid w:val="0002312B"/>
    <w:rsid w:val="00027F21"/>
    <w:rsid w:val="00034729"/>
    <w:rsid w:val="00034ADF"/>
    <w:rsid w:val="00037158"/>
    <w:rsid w:val="000455E4"/>
    <w:rsid w:val="00045D4B"/>
    <w:rsid w:val="0005161C"/>
    <w:rsid w:val="00052E8F"/>
    <w:rsid w:val="00067282"/>
    <w:rsid w:val="00067644"/>
    <w:rsid w:val="00072A94"/>
    <w:rsid w:val="000763E7"/>
    <w:rsid w:val="00080230"/>
    <w:rsid w:val="000810C1"/>
    <w:rsid w:val="00082D11"/>
    <w:rsid w:val="000849F0"/>
    <w:rsid w:val="00096233"/>
    <w:rsid w:val="000A0AF7"/>
    <w:rsid w:val="000A2518"/>
    <w:rsid w:val="000A321D"/>
    <w:rsid w:val="000B4540"/>
    <w:rsid w:val="000C0A9F"/>
    <w:rsid w:val="000C26F5"/>
    <w:rsid w:val="000C36BE"/>
    <w:rsid w:val="000C3A9C"/>
    <w:rsid w:val="000C4860"/>
    <w:rsid w:val="000D549C"/>
    <w:rsid w:val="000E196D"/>
    <w:rsid w:val="000E2E2C"/>
    <w:rsid w:val="000E5AEB"/>
    <w:rsid w:val="000F0A98"/>
    <w:rsid w:val="001011BE"/>
    <w:rsid w:val="00104ACF"/>
    <w:rsid w:val="00105CAC"/>
    <w:rsid w:val="00117F22"/>
    <w:rsid w:val="00120717"/>
    <w:rsid w:val="00122597"/>
    <w:rsid w:val="001258EC"/>
    <w:rsid w:val="00131C04"/>
    <w:rsid w:val="00140E51"/>
    <w:rsid w:val="001433F0"/>
    <w:rsid w:val="00147EA3"/>
    <w:rsid w:val="00155854"/>
    <w:rsid w:val="001560FC"/>
    <w:rsid w:val="00157F01"/>
    <w:rsid w:val="00164E6B"/>
    <w:rsid w:val="00166B7B"/>
    <w:rsid w:val="00166BF5"/>
    <w:rsid w:val="00170953"/>
    <w:rsid w:val="00171E6B"/>
    <w:rsid w:val="001821AF"/>
    <w:rsid w:val="00183F66"/>
    <w:rsid w:val="00185C51"/>
    <w:rsid w:val="0018702C"/>
    <w:rsid w:val="00190F8F"/>
    <w:rsid w:val="00193329"/>
    <w:rsid w:val="001938EC"/>
    <w:rsid w:val="001A0354"/>
    <w:rsid w:val="001B1591"/>
    <w:rsid w:val="001B4284"/>
    <w:rsid w:val="001C3175"/>
    <w:rsid w:val="001C3E98"/>
    <w:rsid w:val="001C4C2B"/>
    <w:rsid w:val="001C569B"/>
    <w:rsid w:val="001C58B7"/>
    <w:rsid w:val="001C6966"/>
    <w:rsid w:val="001E1D81"/>
    <w:rsid w:val="001E24AC"/>
    <w:rsid w:val="001E3DB9"/>
    <w:rsid w:val="001F4B37"/>
    <w:rsid w:val="001F7B04"/>
    <w:rsid w:val="001F7DA7"/>
    <w:rsid w:val="00206E77"/>
    <w:rsid w:val="00217B34"/>
    <w:rsid w:val="00220300"/>
    <w:rsid w:val="002209DB"/>
    <w:rsid w:val="00220DEA"/>
    <w:rsid w:val="00227A50"/>
    <w:rsid w:val="0023065C"/>
    <w:rsid w:val="00231FBB"/>
    <w:rsid w:val="002331A9"/>
    <w:rsid w:val="00241B6D"/>
    <w:rsid w:val="00242791"/>
    <w:rsid w:val="00256942"/>
    <w:rsid w:val="00257D18"/>
    <w:rsid w:val="00263180"/>
    <w:rsid w:val="00267CA2"/>
    <w:rsid w:val="002767D7"/>
    <w:rsid w:val="00285DED"/>
    <w:rsid w:val="0028675B"/>
    <w:rsid w:val="00287950"/>
    <w:rsid w:val="00292D20"/>
    <w:rsid w:val="002936D6"/>
    <w:rsid w:val="00296825"/>
    <w:rsid w:val="002B2B12"/>
    <w:rsid w:val="002B432E"/>
    <w:rsid w:val="002C044A"/>
    <w:rsid w:val="002C29DE"/>
    <w:rsid w:val="002C36CA"/>
    <w:rsid w:val="002C36FB"/>
    <w:rsid w:val="002C53C0"/>
    <w:rsid w:val="002D268C"/>
    <w:rsid w:val="002D3FC5"/>
    <w:rsid w:val="002D4025"/>
    <w:rsid w:val="002E0D9F"/>
    <w:rsid w:val="002E42B5"/>
    <w:rsid w:val="002E434E"/>
    <w:rsid w:val="002E7BAE"/>
    <w:rsid w:val="002F224C"/>
    <w:rsid w:val="002F7E86"/>
    <w:rsid w:val="00301079"/>
    <w:rsid w:val="0030716F"/>
    <w:rsid w:val="003144DD"/>
    <w:rsid w:val="0031561B"/>
    <w:rsid w:val="00322FFB"/>
    <w:rsid w:val="003266CF"/>
    <w:rsid w:val="00330E31"/>
    <w:rsid w:val="00334978"/>
    <w:rsid w:val="003378A9"/>
    <w:rsid w:val="0034202B"/>
    <w:rsid w:val="00343085"/>
    <w:rsid w:val="003433BC"/>
    <w:rsid w:val="00344577"/>
    <w:rsid w:val="00347F8C"/>
    <w:rsid w:val="00351D7D"/>
    <w:rsid w:val="0035408B"/>
    <w:rsid w:val="00355FC2"/>
    <w:rsid w:val="003604D3"/>
    <w:rsid w:val="003635E8"/>
    <w:rsid w:val="003657E2"/>
    <w:rsid w:val="00367457"/>
    <w:rsid w:val="00374873"/>
    <w:rsid w:val="003756BC"/>
    <w:rsid w:val="00375A5E"/>
    <w:rsid w:val="0038036A"/>
    <w:rsid w:val="00380E2A"/>
    <w:rsid w:val="00396BFB"/>
    <w:rsid w:val="00397515"/>
    <w:rsid w:val="003A19C6"/>
    <w:rsid w:val="003A1F68"/>
    <w:rsid w:val="003A5F50"/>
    <w:rsid w:val="003B30A9"/>
    <w:rsid w:val="003B4E97"/>
    <w:rsid w:val="003C058B"/>
    <w:rsid w:val="003C2324"/>
    <w:rsid w:val="003C5ED5"/>
    <w:rsid w:val="003E0168"/>
    <w:rsid w:val="003E4716"/>
    <w:rsid w:val="003E48D4"/>
    <w:rsid w:val="003F09D3"/>
    <w:rsid w:val="003F0DD2"/>
    <w:rsid w:val="003F3103"/>
    <w:rsid w:val="003F5325"/>
    <w:rsid w:val="003F543E"/>
    <w:rsid w:val="003F5C58"/>
    <w:rsid w:val="004003A0"/>
    <w:rsid w:val="004011EF"/>
    <w:rsid w:val="004017E7"/>
    <w:rsid w:val="00402057"/>
    <w:rsid w:val="00405059"/>
    <w:rsid w:val="0041121F"/>
    <w:rsid w:val="00411825"/>
    <w:rsid w:val="004137A6"/>
    <w:rsid w:val="00414878"/>
    <w:rsid w:val="00414EF5"/>
    <w:rsid w:val="0041503A"/>
    <w:rsid w:val="00415246"/>
    <w:rsid w:val="0042128C"/>
    <w:rsid w:val="0042173C"/>
    <w:rsid w:val="00426D31"/>
    <w:rsid w:val="004274D2"/>
    <w:rsid w:val="00432216"/>
    <w:rsid w:val="00440ABA"/>
    <w:rsid w:val="00441D63"/>
    <w:rsid w:val="004464CF"/>
    <w:rsid w:val="00452A33"/>
    <w:rsid w:val="0046148D"/>
    <w:rsid w:val="004632A6"/>
    <w:rsid w:val="00464210"/>
    <w:rsid w:val="00465318"/>
    <w:rsid w:val="004703FE"/>
    <w:rsid w:val="004810C9"/>
    <w:rsid w:val="00483DB6"/>
    <w:rsid w:val="00484D16"/>
    <w:rsid w:val="00486778"/>
    <w:rsid w:val="004902D0"/>
    <w:rsid w:val="0049228C"/>
    <w:rsid w:val="00496424"/>
    <w:rsid w:val="004A2857"/>
    <w:rsid w:val="004A3CE1"/>
    <w:rsid w:val="004B0CF2"/>
    <w:rsid w:val="004B3F6E"/>
    <w:rsid w:val="004B4AA0"/>
    <w:rsid w:val="004B4AAD"/>
    <w:rsid w:val="004C3DDE"/>
    <w:rsid w:val="004C6201"/>
    <w:rsid w:val="004C7344"/>
    <w:rsid w:val="004D408F"/>
    <w:rsid w:val="004E1559"/>
    <w:rsid w:val="004E2335"/>
    <w:rsid w:val="004E2DEB"/>
    <w:rsid w:val="004E368F"/>
    <w:rsid w:val="004F62A4"/>
    <w:rsid w:val="004F6819"/>
    <w:rsid w:val="004F7A11"/>
    <w:rsid w:val="005002B3"/>
    <w:rsid w:val="00514035"/>
    <w:rsid w:val="00515CF7"/>
    <w:rsid w:val="0051751E"/>
    <w:rsid w:val="005301B7"/>
    <w:rsid w:val="00533C66"/>
    <w:rsid w:val="005361F4"/>
    <w:rsid w:val="00542EF4"/>
    <w:rsid w:val="00550B1E"/>
    <w:rsid w:val="00553CC4"/>
    <w:rsid w:val="005565AA"/>
    <w:rsid w:val="00556B68"/>
    <w:rsid w:val="005570D3"/>
    <w:rsid w:val="0056545A"/>
    <w:rsid w:val="00565A49"/>
    <w:rsid w:val="005661C0"/>
    <w:rsid w:val="0056708B"/>
    <w:rsid w:val="0057163B"/>
    <w:rsid w:val="0057490E"/>
    <w:rsid w:val="00576247"/>
    <w:rsid w:val="00576C33"/>
    <w:rsid w:val="00580315"/>
    <w:rsid w:val="00580F13"/>
    <w:rsid w:val="005832E5"/>
    <w:rsid w:val="00583875"/>
    <w:rsid w:val="00587889"/>
    <w:rsid w:val="00595B55"/>
    <w:rsid w:val="005979ED"/>
    <w:rsid w:val="00597CD9"/>
    <w:rsid w:val="005A1A77"/>
    <w:rsid w:val="005A4542"/>
    <w:rsid w:val="005A58B1"/>
    <w:rsid w:val="005B63E8"/>
    <w:rsid w:val="005B6A6D"/>
    <w:rsid w:val="005C4D38"/>
    <w:rsid w:val="005C5178"/>
    <w:rsid w:val="005C52BB"/>
    <w:rsid w:val="005D29E4"/>
    <w:rsid w:val="005E1F20"/>
    <w:rsid w:val="005F09A0"/>
    <w:rsid w:val="005F7EF0"/>
    <w:rsid w:val="006052A2"/>
    <w:rsid w:val="00605D3A"/>
    <w:rsid w:val="0061092F"/>
    <w:rsid w:val="006153AD"/>
    <w:rsid w:val="00616386"/>
    <w:rsid w:val="00616389"/>
    <w:rsid w:val="00623271"/>
    <w:rsid w:val="0062589E"/>
    <w:rsid w:val="00625D77"/>
    <w:rsid w:val="0063645B"/>
    <w:rsid w:val="00636CB1"/>
    <w:rsid w:val="00640203"/>
    <w:rsid w:val="00640D3D"/>
    <w:rsid w:val="00650866"/>
    <w:rsid w:val="00651547"/>
    <w:rsid w:val="00652447"/>
    <w:rsid w:val="00652EBD"/>
    <w:rsid w:val="0065532E"/>
    <w:rsid w:val="00675543"/>
    <w:rsid w:val="006777A9"/>
    <w:rsid w:val="0068050B"/>
    <w:rsid w:val="006829AD"/>
    <w:rsid w:val="00683C37"/>
    <w:rsid w:val="00685588"/>
    <w:rsid w:val="006871DA"/>
    <w:rsid w:val="0069086E"/>
    <w:rsid w:val="00691E74"/>
    <w:rsid w:val="006930A7"/>
    <w:rsid w:val="006A16A0"/>
    <w:rsid w:val="006A26C8"/>
    <w:rsid w:val="006A37E6"/>
    <w:rsid w:val="006A4E32"/>
    <w:rsid w:val="006B4280"/>
    <w:rsid w:val="006B6FE4"/>
    <w:rsid w:val="006C1ACE"/>
    <w:rsid w:val="006C344D"/>
    <w:rsid w:val="006D0FDD"/>
    <w:rsid w:val="006D26DF"/>
    <w:rsid w:val="006D5D96"/>
    <w:rsid w:val="006D765F"/>
    <w:rsid w:val="006D7EB6"/>
    <w:rsid w:val="006E1791"/>
    <w:rsid w:val="006F2651"/>
    <w:rsid w:val="006F3A9C"/>
    <w:rsid w:val="006F4151"/>
    <w:rsid w:val="007022C7"/>
    <w:rsid w:val="007030D1"/>
    <w:rsid w:val="00703843"/>
    <w:rsid w:val="00703A99"/>
    <w:rsid w:val="00703B0D"/>
    <w:rsid w:val="00707A64"/>
    <w:rsid w:val="00720D18"/>
    <w:rsid w:val="00721489"/>
    <w:rsid w:val="00721C19"/>
    <w:rsid w:val="0073376C"/>
    <w:rsid w:val="00733F60"/>
    <w:rsid w:val="00734C13"/>
    <w:rsid w:val="00736787"/>
    <w:rsid w:val="0074113B"/>
    <w:rsid w:val="007504D9"/>
    <w:rsid w:val="00756AB1"/>
    <w:rsid w:val="007650FC"/>
    <w:rsid w:val="00766CA6"/>
    <w:rsid w:val="00773F51"/>
    <w:rsid w:val="007857B6"/>
    <w:rsid w:val="0078682D"/>
    <w:rsid w:val="0079040F"/>
    <w:rsid w:val="0079145E"/>
    <w:rsid w:val="0079218D"/>
    <w:rsid w:val="00792312"/>
    <w:rsid w:val="00793B99"/>
    <w:rsid w:val="0079759D"/>
    <w:rsid w:val="007A26A8"/>
    <w:rsid w:val="007A3A41"/>
    <w:rsid w:val="007A5081"/>
    <w:rsid w:val="007A6D6E"/>
    <w:rsid w:val="007B1832"/>
    <w:rsid w:val="007B2ACA"/>
    <w:rsid w:val="007B7A30"/>
    <w:rsid w:val="007C4E06"/>
    <w:rsid w:val="007C5BF8"/>
    <w:rsid w:val="007C7613"/>
    <w:rsid w:val="007D1959"/>
    <w:rsid w:val="007D33E0"/>
    <w:rsid w:val="007D3EFE"/>
    <w:rsid w:val="007E01D1"/>
    <w:rsid w:val="007E0FD1"/>
    <w:rsid w:val="007E7CA1"/>
    <w:rsid w:val="007F2928"/>
    <w:rsid w:val="00807921"/>
    <w:rsid w:val="0081126A"/>
    <w:rsid w:val="00811834"/>
    <w:rsid w:val="008156C0"/>
    <w:rsid w:val="0082047E"/>
    <w:rsid w:val="008260F6"/>
    <w:rsid w:val="00830562"/>
    <w:rsid w:val="00833AA0"/>
    <w:rsid w:val="00834700"/>
    <w:rsid w:val="00837878"/>
    <w:rsid w:val="00853BB5"/>
    <w:rsid w:val="00855E00"/>
    <w:rsid w:val="00860BE3"/>
    <w:rsid w:val="00861721"/>
    <w:rsid w:val="0086258A"/>
    <w:rsid w:val="0086706B"/>
    <w:rsid w:val="0087030D"/>
    <w:rsid w:val="00870788"/>
    <w:rsid w:val="00881289"/>
    <w:rsid w:val="00892872"/>
    <w:rsid w:val="008A28DC"/>
    <w:rsid w:val="008A2A70"/>
    <w:rsid w:val="008A2C42"/>
    <w:rsid w:val="008A6972"/>
    <w:rsid w:val="008A6CD9"/>
    <w:rsid w:val="008A7246"/>
    <w:rsid w:val="008B02FD"/>
    <w:rsid w:val="008B0CF2"/>
    <w:rsid w:val="008B63A4"/>
    <w:rsid w:val="008B68CE"/>
    <w:rsid w:val="008B7C45"/>
    <w:rsid w:val="008C3ACA"/>
    <w:rsid w:val="008C61A8"/>
    <w:rsid w:val="008D2309"/>
    <w:rsid w:val="008D3777"/>
    <w:rsid w:val="008D4FBF"/>
    <w:rsid w:val="008D74CA"/>
    <w:rsid w:val="008E20D4"/>
    <w:rsid w:val="008E5738"/>
    <w:rsid w:val="008F3304"/>
    <w:rsid w:val="008F53CD"/>
    <w:rsid w:val="008F61C1"/>
    <w:rsid w:val="0090183F"/>
    <w:rsid w:val="00905D43"/>
    <w:rsid w:val="009077C6"/>
    <w:rsid w:val="0092134C"/>
    <w:rsid w:val="0092436C"/>
    <w:rsid w:val="00924ABA"/>
    <w:rsid w:val="009309C1"/>
    <w:rsid w:val="0094231F"/>
    <w:rsid w:val="0094245C"/>
    <w:rsid w:val="00942929"/>
    <w:rsid w:val="00944846"/>
    <w:rsid w:val="00950D25"/>
    <w:rsid w:val="00953E59"/>
    <w:rsid w:val="0097023A"/>
    <w:rsid w:val="009746AB"/>
    <w:rsid w:val="00974B11"/>
    <w:rsid w:val="00983685"/>
    <w:rsid w:val="009A3D78"/>
    <w:rsid w:val="009A4AE5"/>
    <w:rsid w:val="009A5DA0"/>
    <w:rsid w:val="009A76F1"/>
    <w:rsid w:val="009B39D3"/>
    <w:rsid w:val="009B7348"/>
    <w:rsid w:val="009C2487"/>
    <w:rsid w:val="009C66A0"/>
    <w:rsid w:val="009C74FC"/>
    <w:rsid w:val="009D0B4C"/>
    <w:rsid w:val="009D5A3B"/>
    <w:rsid w:val="009D7BFA"/>
    <w:rsid w:val="009E1B95"/>
    <w:rsid w:val="009E3131"/>
    <w:rsid w:val="009E43E8"/>
    <w:rsid w:val="009E7467"/>
    <w:rsid w:val="009F2E8F"/>
    <w:rsid w:val="009F6635"/>
    <w:rsid w:val="009F69DE"/>
    <w:rsid w:val="00A12DEE"/>
    <w:rsid w:val="00A1346C"/>
    <w:rsid w:val="00A1639F"/>
    <w:rsid w:val="00A17CB2"/>
    <w:rsid w:val="00A214C2"/>
    <w:rsid w:val="00A30EA9"/>
    <w:rsid w:val="00A42306"/>
    <w:rsid w:val="00A47D42"/>
    <w:rsid w:val="00A52D3C"/>
    <w:rsid w:val="00A53D19"/>
    <w:rsid w:val="00A62A30"/>
    <w:rsid w:val="00A710C5"/>
    <w:rsid w:val="00A835BB"/>
    <w:rsid w:val="00A8694D"/>
    <w:rsid w:val="00A870C8"/>
    <w:rsid w:val="00A90A06"/>
    <w:rsid w:val="00A9149D"/>
    <w:rsid w:val="00A93BAC"/>
    <w:rsid w:val="00A963F6"/>
    <w:rsid w:val="00AA62F0"/>
    <w:rsid w:val="00AB2624"/>
    <w:rsid w:val="00AB2983"/>
    <w:rsid w:val="00AC07CB"/>
    <w:rsid w:val="00AC122B"/>
    <w:rsid w:val="00AC1B05"/>
    <w:rsid w:val="00AC7E9F"/>
    <w:rsid w:val="00AD09C2"/>
    <w:rsid w:val="00AD53B6"/>
    <w:rsid w:val="00AD77B5"/>
    <w:rsid w:val="00AE3399"/>
    <w:rsid w:val="00AF3B88"/>
    <w:rsid w:val="00AF5A0A"/>
    <w:rsid w:val="00B007A9"/>
    <w:rsid w:val="00B02432"/>
    <w:rsid w:val="00B0291D"/>
    <w:rsid w:val="00B149B7"/>
    <w:rsid w:val="00B17AF7"/>
    <w:rsid w:val="00B20432"/>
    <w:rsid w:val="00B25317"/>
    <w:rsid w:val="00B337D9"/>
    <w:rsid w:val="00B341A0"/>
    <w:rsid w:val="00B35C75"/>
    <w:rsid w:val="00B46068"/>
    <w:rsid w:val="00B47654"/>
    <w:rsid w:val="00B5562F"/>
    <w:rsid w:val="00B55640"/>
    <w:rsid w:val="00B60595"/>
    <w:rsid w:val="00B62AC1"/>
    <w:rsid w:val="00B668DC"/>
    <w:rsid w:val="00B669C3"/>
    <w:rsid w:val="00B703C6"/>
    <w:rsid w:val="00B75D5A"/>
    <w:rsid w:val="00B774E5"/>
    <w:rsid w:val="00B86AA2"/>
    <w:rsid w:val="00B86F39"/>
    <w:rsid w:val="00B95135"/>
    <w:rsid w:val="00B95BA3"/>
    <w:rsid w:val="00B95EC6"/>
    <w:rsid w:val="00B974F7"/>
    <w:rsid w:val="00BA43FF"/>
    <w:rsid w:val="00BB0484"/>
    <w:rsid w:val="00BB051C"/>
    <w:rsid w:val="00BB1870"/>
    <w:rsid w:val="00BB2121"/>
    <w:rsid w:val="00BB4669"/>
    <w:rsid w:val="00BB7DD1"/>
    <w:rsid w:val="00BB7F30"/>
    <w:rsid w:val="00BC52FF"/>
    <w:rsid w:val="00BC7848"/>
    <w:rsid w:val="00BD5B03"/>
    <w:rsid w:val="00BD74FF"/>
    <w:rsid w:val="00BE1BF9"/>
    <w:rsid w:val="00BF2130"/>
    <w:rsid w:val="00BF22DA"/>
    <w:rsid w:val="00BF26E8"/>
    <w:rsid w:val="00BF3D7F"/>
    <w:rsid w:val="00BF543A"/>
    <w:rsid w:val="00C01DA7"/>
    <w:rsid w:val="00C03B4F"/>
    <w:rsid w:val="00C055BA"/>
    <w:rsid w:val="00C0584A"/>
    <w:rsid w:val="00C06F17"/>
    <w:rsid w:val="00C10A0D"/>
    <w:rsid w:val="00C121F6"/>
    <w:rsid w:val="00C230D6"/>
    <w:rsid w:val="00C33394"/>
    <w:rsid w:val="00C3476E"/>
    <w:rsid w:val="00C44CF6"/>
    <w:rsid w:val="00C46598"/>
    <w:rsid w:val="00C521B2"/>
    <w:rsid w:val="00C52A9D"/>
    <w:rsid w:val="00C54C04"/>
    <w:rsid w:val="00C627C5"/>
    <w:rsid w:val="00C708AC"/>
    <w:rsid w:val="00C74577"/>
    <w:rsid w:val="00C74FAA"/>
    <w:rsid w:val="00C82EB1"/>
    <w:rsid w:val="00C86D5F"/>
    <w:rsid w:val="00C94C19"/>
    <w:rsid w:val="00C9756C"/>
    <w:rsid w:val="00CA0E99"/>
    <w:rsid w:val="00CA16D4"/>
    <w:rsid w:val="00CA46CC"/>
    <w:rsid w:val="00CA5F69"/>
    <w:rsid w:val="00CA7FA2"/>
    <w:rsid w:val="00CB0265"/>
    <w:rsid w:val="00CB0964"/>
    <w:rsid w:val="00CC57EF"/>
    <w:rsid w:val="00CD505D"/>
    <w:rsid w:val="00CE58C0"/>
    <w:rsid w:val="00CF7178"/>
    <w:rsid w:val="00D050B5"/>
    <w:rsid w:val="00D07C48"/>
    <w:rsid w:val="00D11320"/>
    <w:rsid w:val="00D14531"/>
    <w:rsid w:val="00D23769"/>
    <w:rsid w:val="00D36926"/>
    <w:rsid w:val="00D41FD3"/>
    <w:rsid w:val="00D421C1"/>
    <w:rsid w:val="00D42E33"/>
    <w:rsid w:val="00D43421"/>
    <w:rsid w:val="00D4609F"/>
    <w:rsid w:val="00D468C5"/>
    <w:rsid w:val="00D50E23"/>
    <w:rsid w:val="00D64B06"/>
    <w:rsid w:val="00D653FA"/>
    <w:rsid w:val="00D67E58"/>
    <w:rsid w:val="00D73851"/>
    <w:rsid w:val="00D804B4"/>
    <w:rsid w:val="00D839CF"/>
    <w:rsid w:val="00D83A9B"/>
    <w:rsid w:val="00D83E15"/>
    <w:rsid w:val="00D84983"/>
    <w:rsid w:val="00D902DE"/>
    <w:rsid w:val="00D91C84"/>
    <w:rsid w:val="00D957CC"/>
    <w:rsid w:val="00DA7780"/>
    <w:rsid w:val="00DC27D0"/>
    <w:rsid w:val="00DC6168"/>
    <w:rsid w:val="00DD2022"/>
    <w:rsid w:val="00DE26F7"/>
    <w:rsid w:val="00DF2DA2"/>
    <w:rsid w:val="00DF4CED"/>
    <w:rsid w:val="00DF7D15"/>
    <w:rsid w:val="00E0534F"/>
    <w:rsid w:val="00E16AAA"/>
    <w:rsid w:val="00E24041"/>
    <w:rsid w:val="00E2529D"/>
    <w:rsid w:val="00E37409"/>
    <w:rsid w:val="00E4167E"/>
    <w:rsid w:val="00E45E57"/>
    <w:rsid w:val="00E50EDB"/>
    <w:rsid w:val="00E52A28"/>
    <w:rsid w:val="00E53B0E"/>
    <w:rsid w:val="00E564BA"/>
    <w:rsid w:val="00E57D9D"/>
    <w:rsid w:val="00E61DC0"/>
    <w:rsid w:val="00E67468"/>
    <w:rsid w:val="00E73185"/>
    <w:rsid w:val="00E73CE6"/>
    <w:rsid w:val="00E741D5"/>
    <w:rsid w:val="00E754AE"/>
    <w:rsid w:val="00E80C60"/>
    <w:rsid w:val="00E81568"/>
    <w:rsid w:val="00E8198E"/>
    <w:rsid w:val="00E85723"/>
    <w:rsid w:val="00E87820"/>
    <w:rsid w:val="00E87AFC"/>
    <w:rsid w:val="00E97306"/>
    <w:rsid w:val="00E97E51"/>
    <w:rsid w:val="00EB09EC"/>
    <w:rsid w:val="00EB6FCA"/>
    <w:rsid w:val="00EB79DD"/>
    <w:rsid w:val="00ED6BD0"/>
    <w:rsid w:val="00ED6D03"/>
    <w:rsid w:val="00EE2AE5"/>
    <w:rsid w:val="00EE5B3B"/>
    <w:rsid w:val="00EF1EB1"/>
    <w:rsid w:val="00EF2F5E"/>
    <w:rsid w:val="00EF39F2"/>
    <w:rsid w:val="00EF62DE"/>
    <w:rsid w:val="00F02DBC"/>
    <w:rsid w:val="00F06D40"/>
    <w:rsid w:val="00F161D0"/>
    <w:rsid w:val="00F2273A"/>
    <w:rsid w:val="00F25960"/>
    <w:rsid w:val="00F25AF5"/>
    <w:rsid w:val="00F26ECD"/>
    <w:rsid w:val="00F3146D"/>
    <w:rsid w:val="00F37D00"/>
    <w:rsid w:val="00F42709"/>
    <w:rsid w:val="00F43DF2"/>
    <w:rsid w:val="00F47516"/>
    <w:rsid w:val="00F5578A"/>
    <w:rsid w:val="00F57E7E"/>
    <w:rsid w:val="00F63C7A"/>
    <w:rsid w:val="00F647EB"/>
    <w:rsid w:val="00F664A6"/>
    <w:rsid w:val="00F676F5"/>
    <w:rsid w:val="00F804CD"/>
    <w:rsid w:val="00F878CA"/>
    <w:rsid w:val="00F9033B"/>
    <w:rsid w:val="00F90646"/>
    <w:rsid w:val="00F91284"/>
    <w:rsid w:val="00F93C69"/>
    <w:rsid w:val="00F93FFE"/>
    <w:rsid w:val="00F96F4B"/>
    <w:rsid w:val="00FA13FE"/>
    <w:rsid w:val="00FA3503"/>
    <w:rsid w:val="00FA3517"/>
    <w:rsid w:val="00FA5C6E"/>
    <w:rsid w:val="00FA74F3"/>
    <w:rsid w:val="00FB0797"/>
    <w:rsid w:val="00FB65E3"/>
    <w:rsid w:val="00FB6B50"/>
    <w:rsid w:val="00FC0A73"/>
    <w:rsid w:val="00FC3121"/>
    <w:rsid w:val="00FC5526"/>
    <w:rsid w:val="00FD357D"/>
    <w:rsid w:val="00FD7C06"/>
    <w:rsid w:val="00FE01DF"/>
    <w:rsid w:val="00FE4A3C"/>
    <w:rsid w:val="00FE61C5"/>
    <w:rsid w:val="00FE77B1"/>
    <w:rsid w:val="00FF231F"/>
    <w:rsid w:val="00FF2D54"/>
    <w:rsid w:val="02FA1ACB"/>
    <w:rsid w:val="046A94FE"/>
    <w:rsid w:val="09503622"/>
    <w:rsid w:val="1134250A"/>
    <w:rsid w:val="15059049"/>
    <w:rsid w:val="15209BCD"/>
    <w:rsid w:val="16342F08"/>
    <w:rsid w:val="172D1167"/>
    <w:rsid w:val="18C8E1C8"/>
    <w:rsid w:val="19E8734D"/>
    <w:rsid w:val="1A64B229"/>
    <w:rsid w:val="1E12A812"/>
    <w:rsid w:val="22A3A944"/>
    <w:rsid w:val="2481E996"/>
    <w:rsid w:val="249A68C3"/>
    <w:rsid w:val="2559DEE1"/>
    <w:rsid w:val="26540A0B"/>
    <w:rsid w:val="296A230A"/>
    <w:rsid w:val="2E8D114B"/>
    <w:rsid w:val="309F36D3"/>
    <w:rsid w:val="343BB4E0"/>
    <w:rsid w:val="3BE9D700"/>
    <w:rsid w:val="3D85A761"/>
    <w:rsid w:val="40BD4823"/>
    <w:rsid w:val="42591884"/>
    <w:rsid w:val="435136AB"/>
    <w:rsid w:val="43F4E8E5"/>
    <w:rsid w:val="46076C48"/>
    <w:rsid w:val="4A17B071"/>
    <w:rsid w:val="4A642A69"/>
    <w:rsid w:val="4B637054"/>
    <w:rsid w:val="4D97F8E6"/>
    <w:rsid w:val="4D9BCB2B"/>
    <w:rsid w:val="4FC7AF8D"/>
    <w:rsid w:val="50D36BED"/>
    <w:rsid w:val="51637FEE"/>
    <w:rsid w:val="549B20B0"/>
    <w:rsid w:val="5636F111"/>
    <w:rsid w:val="57CCFFF6"/>
    <w:rsid w:val="57D2C172"/>
    <w:rsid w:val="5D4819E0"/>
    <w:rsid w:val="5E9258D8"/>
    <w:rsid w:val="616E5D2E"/>
    <w:rsid w:val="63FEC412"/>
    <w:rsid w:val="6A0D748B"/>
    <w:rsid w:val="6B51E436"/>
    <w:rsid w:val="6BD73E8D"/>
    <w:rsid w:val="6CEDB497"/>
    <w:rsid w:val="70A7A21A"/>
    <w:rsid w:val="726A6218"/>
    <w:rsid w:val="735CF61B"/>
    <w:rsid w:val="77B4F2AB"/>
    <w:rsid w:val="7830673E"/>
    <w:rsid w:val="7AEC936D"/>
    <w:rsid w:val="7F03EE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F2766"/>
  <w15:chartTrackingRefBased/>
  <w15:docId w15:val="{2ED8DA8E-8677-4E9D-86DC-8DB78B18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07C48"/>
  </w:style>
  <w:style w:type="character" w:customStyle="1" w:styleId="eop">
    <w:name w:val="eop"/>
    <w:basedOn w:val="DefaultParagraphFont"/>
    <w:rsid w:val="00D07C48"/>
  </w:style>
  <w:style w:type="paragraph" w:customStyle="1" w:styleId="paragraph">
    <w:name w:val="paragraph"/>
    <w:basedOn w:val="Normal"/>
    <w:rsid w:val="00D07C4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ListParagraph">
    <w:name w:val="List Paragraph"/>
    <w:basedOn w:val="Normal"/>
    <w:uiPriority w:val="34"/>
    <w:qFormat/>
    <w:rsid w:val="00CB0964"/>
    <w:pPr>
      <w:spacing w:after="0" w:line="240" w:lineRule="auto"/>
      <w:ind w:left="720"/>
      <w:contextualSpacing/>
    </w:pPr>
    <w:rPr>
      <w:rFonts w:ascii="Times New Roman" w:eastAsia="Times New Roman" w:hAnsi="Times New Roman" w:cs="Times New Roman"/>
      <w:kern w:val="0"/>
      <w:szCs w:val="24"/>
      <w:lang w:eastAsia="en-GB"/>
      <w14:ligatures w14:val="none"/>
    </w:rPr>
  </w:style>
  <w:style w:type="paragraph" w:styleId="Revision">
    <w:name w:val="Revision"/>
    <w:hidden/>
    <w:uiPriority w:val="99"/>
    <w:semiHidden/>
    <w:rsid w:val="003F09D3"/>
    <w:pPr>
      <w:spacing w:after="0" w:line="240" w:lineRule="auto"/>
    </w:pPr>
  </w:style>
  <w:style w:type="character" w:styleId="CommentReference">
    <w:name w:val="annotation reference"/>
    <w:basedOn w:val="DefaultParagraphFont"/>
    <w:uiPriority w:val="99"/>
    <w:semiHidden/>
    <w:unhideWhenUsed/>
    <w:rsid w:val="003F09D3"/>
    <w:rPr>
      <w:sz w:val="16"/>
      <w:szCs w:val="16"/>
    </w:rPr>
  </w:style>
  <w:style w:type="paragraph" w:styleId="CommentText">
    <w:name w:val="annotation text"/>
    <w:basedOn w:val="Normal"/>
    <w:link w:val="CommentTextChar"/>
    <w:uiPriority w:val="99"/>
    <w:unhideWhenUsed/>
    <w:rsid w:val="003F09D3"/>
    <w:pPr>
      <w:spacing w:line="240" w:lineRule="auto"/>
    </w:pPr>
    <w:rPr>
      <w:sz w:val="20"/>
      <w:szCs w:val="20"/>
    </w:rPr>
  </w:style>
  <w:style w:type="character" w:customStyle="1" w:styleId="CommentTextChar">
    <w:name w:val="Comment Text Char"/>
    <w:basedOn w:val="DefaultParagraphFont"/>
    <w:link w:val="CommentText"/>
    <w:uiPriority w:val="99"/>
    <w:rsid w:val="003F09D3"/>
    <w:rPr>
      <w:sz w:val="20"/>
      <w:szCs w:val="20"/>
    </w:rPr>
  </w:style>
  <w:style w:type="paragraph" w:styleId="CommentSubject">
    <w:name w:val="annotation subject"/>
    <w:basedOn w:val="CommentText"/>
    <w:next w:val="CommentText"/>
    <w:link w:val="CommentSubjectChar"/>
    <w:uiPriority w:val="99"/>
    <w:semiHidden/>
    <w:unhideWhenUsed/>
    <w:rsid w:val="003F09D3"/>
    <w:rPr>
      <w:b/>
      <w:bCs/>
    </w:rPr>
  </w:style>
  <w:style w:type="character" w:customStyle="1" w:styleId="CommentSubjectChar">
    <w:name w:val="Comment Subject Char"/>
    <w:basedOn w:val="CommentTextChar"/>
    <w:link w:val="CommentSubject"/>
    <w:uiPriority w:val="99"/>
    <w:semiHidden/>
    <w:rsid w:val="003F09D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55FC2"/>
    <w:rPr>
      <w:color w:val="2B579A"/>
      <w:shd w:val="clear" w:color="auto" w:fill="E1DFDD"/>
    </w:rPr>
  </w:style>
  <w:style w:type="character" w:styleId="PlaceholderText">
    <w:name w:val="Placeholder Text"/>
    <w:basedOn w:val="DefaultParagraphFont"/>
    <w:uiPriority w:val="99"/>
    <w:semiHidden/>
    <w:rsid w:val="00411825"/>
    <w:rPr>
      <w:color w:val="666666"/>
    </w:rPr>
  </w:style>
  <w:style w:type="character" w:styleId="Hyperlink">
    <w:name w:val="Hyperlink"/>
    <w:basedOn w:val="DefaultParagraphFont"/>
    <w:uiPriority w:val="99"/>
    <w:unhideWhenUsed/>
    <w:rsid w:val="00131C04"/>
    <w:rPr>
      <w:color w:val="0000FF" w:themeColor="hyperlink"/>
      <w:u w:val="single"/>
    </w:rPr>
  </w:style>
  <w:style w:type="character" w:styleId="UnresolvedMention">
    <w:name w:val="Unresolved Mention"/>
    <w:basedOn w:val="DefaultParagraphFont"/>
    <w:uiPriority w:val="99"/>
    <w:semiHidden/>
    <w:unhideWhenUsed/>
    <w:rsid w:val="00131C04"/>
    <w:rPr>
      <w:color w:val="605E5C"/>
      <w:shd w:val="clear" w:color="auto" w:fill="E1DFDD"/>
    </w:rPr>
  </w:style>
  <w:style w:type="character" w:styleId="Strong">
    <w:name w:val="Strong"/>
    <w:basedOn w:val="DefaultParagraphFont"/>
    <w:uiPriority w:val="22"/>
    <w:qFormat/>
    <w:rsid w:val="00565A49"/>
    <w:rPr>
      <w:b/>
      <w:bCs/>
    </w:rPr>
  </w:style>
  <w:style w:type="character" w:styleId="FollowedHyperlink">
    <w:name w:val="FollowedHyperlink"/>
    <w:basedOn w:val="DefaultParagraphFont"/>
    <w:uiPriority w:val="99"/>
    <w:semiHidden/>
    <w:unhideWhenUsed/>
    <w:rsid w:val="00483DB6"/>
    <w:rPr>
      <w:color w:val="800080" w:themeColor="followedHyperlink"/>
      <w:u w:val="single"/>
    </w:rPr>
  </w:style>
  <w:style w:type="paragraph" w:styleId="Header">
    <w:name w:val="header"/>
    <w:basedOn w:val="Normal"/>
    <w:link w:val="HeaderChar"/>
    <w:uiPriority w:val="99"/>
    <w:unhideWhenUsed/>
    <w:rsid w:val="00E24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041"/>
  </w:style>
  <w:style w:type="paragraph" w:styleId="Footer">
    <w:name w:val="footer"/>
    <w:basedOn w:val="Normal"/>
    <w:link w:val="FooterChar"/>
    <w:uiPriority w:val="99"/>
    <w:unhideWhenUsed/>
    <w:rsid w:val="00E24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238">
      <w:bodyDiv w:val="1"/>
      <w:marLeft w:val="0"/>
      <w:marRight w:val="0"/>
      <w:marTop w:val="0"/>
      <w:marBottom w:val="0"/>
      <w:divBdr>
        <w:top w:val="none" w:sz="0" w:space="0" w:color="auto"/>
        <w:left w:val="none" w:sz="0" w:space="0" w:color="auto"/>
        <w:bottom w:val="none" w:sz="0" w:space="0" w:color="auto"/>
        <w:right w:val="none" w:sz="0" w:space="0" w:color="auto"/>
      </w:divBdr>
    </w:div>
    <w:div w:id="38672341">
      <w:bodyDiv w:val="1"/>
      <w:marLeft w:val="0"/>
      <w:marRight w:val="0"/>
      <w:marTop w:val="0"/>
      <w:marBottom w:val="0"/>
      <w:divBdr>
        <w:top w:val="none" w:sz="0" w:space="0" w:color="auto"/>
        <w:left w:val="none" w:sz="0" w:space="0" w:color="auto"/>
        <w:bottom w:val="none" w:sz="0" w:space="0" w:color="auto"/>
        <w:right w:val="none" w:sz="0" w:space="0" w:color="auto"/>
      </w:divBdr>
    </w:div>
    <w:div w:id="250360652">
      <w:bodyDiv w:val="1"/>
      <w:marLeft w:val="0"/>
      <w:marRight w:val="0"/>
      <w:marTop w:val="0"/>
      <w:marBottom w:val="0"/>
      <w:divBdr>
        <w:top w:val="none" w:sz="0" w:space="0" w:color="auto"/>
        <w:left w:val="none" w:sz="0" w:space="0" w:color="auto"/>
        <w:bottom w:val="none" w:sz="0" w:space="0" w:color="auto"/>
        <w:right w:val="none" w:sz="0" w:space="0" w:color="auto"/>
      </w:divBdr>
    </w:div>
    <w:div w:id="262568237">
      <w:bodyDiv w:val="1"/>
      <w:marLeft w:val="0"/>
      <w:marRight w:val="0"/>
      <w:marTop w:val="0"/>
      <w:marBottom w:val="0"/>
      <w:divBdr>
        <w:top w:val="none" w:sz="0" w:space="0" w:color="auto"/>
        <w:left w:val="none" w:sz="0" w:space="0" w:color="auto"/>
        <w:bottom w:val="none" w:sz="0" w:space="0" w:color="auto"/>
        <w:right w:val="none" w:sz="0" w:space="0" w:color="auto"/>
      </w:divBdr>
    </w:div>
    <w:div w:id="272251183">
      <w:bodyDiv w:val="1"/>
      <w:marLeft w:val="0"/>
      <w:marRight w:val="0"/>
      <w:marTop w:val="0"/>
      <w:marBottom w:val="0"/>
      <w:divBdr>
        <w:top w:val="none" w:sz="0" w:space="0" w:color="auto"/>
        <w:left w:val="none" w:sz="0" w:space="0" w:color="auto"/>
        <w:bottom w:val="none" w:sz="0" w:space="0" w:color="auto"/>
        <w:right w:val="none" w:sz="0" w:space="0" w:color="auto"/>
      </w:divBdr>
    </w:div>
    <w:div w:id="315955119">
      <w:bodyDiv w:val="1"/>
      <w:marLeft w:val="0"/>
      <w:marRight w:val="0"/>
      <w:marTop w:val="0"/>
      <w:marBottom w:val="0"/>
      <w:divBdr>
        <w:top w:val="none" w:sz="0" w:space="0" w:color="auto"/>
        <w:left w:val="none" w:sz="0" w:space="0" w:color="auto"/>
        <w:bottom w:val="none" w:sz="0" w:space="0" w:color="auto"/>
        <w:right w:val="none" w:sz="0" w:space="0" w:color="auto"/>
      </w:divBdr>
    </w:div>
    <w:div w:id="467087800">
      <w:bodyDiv w:val="1"/>
      <w:marLeft w:val="0"/>
      <w:marRight w:val="0"/>
      <w:marTop w:val="0"/>
      <w:marBottom w:val="0"/>
      <w:divBdr>
        <w:top w:val="none" w:sz="0" w:space="0" w:color="auto"/>
        <w:left w:val="none" w:sz="0" w:space="0" w:color="auto"/>
        <w:bottom w:val="none" w:sz="0" w:space="0" w:color="auto"/>
        <w:right w:val="none" w:sz="0" w:space="0" w:color="auto"/>
      </w:divBdr>
    </w:div>
    <w:div w:id="473987087">
      <w:bodyDiv w:val="1"/>
      <w:marLeft w:val="0"/>
      <w:marRight w:val="0"/>
      <w:marTop w:val="0"/>
      <w:marBottom w:val="0"/>
      <w:divBdr>
        <w:top w:val="none" w:sz="0" w:space="0" w:color="auto"/>
        <w:left w:val="none" w:sz="0" w:space="0" w:color="auto"/>
        <w:bottom w:val="none" w:sz="0" w:space="0" w:color="auto"/>
        <w:right w:val="none" w:sz="0" w:space="0" w:color="auto"/>
      </w:divBdr>
    </w:div>
    <w:div w:id="771709022">
      <w:bodyDiv w:val="1"/>
      <w:marLeft w:val="0"/>
      <w:marRight w:val="0"/>
      <w:marTop w:val="0"/>
      <w:marBottom w:val="0"/>
      <w:divBdr>
        <w:top w:val="none" w:sz="0" w:space="0" w:color="auto"/>
        <w:left w:val="none" w:sz="0" w:space="0" w:color="auto"/>
        <w:bottom w:val="none" w:sz="0" w:space="0" w:color="auto"/>
        <w:right w:val="none" w:sz="0" w:space="0" w:color="auto"/>
      </w:divBdr>
    </w:div>
    <w:div w:id="1028290404">
      <w:bodyDiv w:val="1"/>
      <w:marLeft w:val="0"/>
      <w:marRight w:val="0"/>
      <w:marTop w:val="0"/>
      <w:marBottom w:val="0"/>
      <w:divBdr>
        <w:top w:val="none" w:sz="0" w:space="0" w:color="auto"/>
        <w:left w:val="none" w:sz="0" w:space="0" w:color="auto"/>
        <w:bottom w:val="none" w:sz="0" w:space="0" w:color="auto"/>
        <w:right w:val="none" w:sz="0" w:space="0" w:color="auto"/>
      </w:divBdr>
    </w:div>
    <w:div w:id="1038705319">
      <w:bodyDiv w:val="1"/>
      <w:marLeft w:val="0"/>
      <w:marRight w:val="0"/>
      <w:marTop w:val="0"/>
      <w:marBottom w:val="0"/>
      <w:divBdr>
        <w:top w:val="none" w:sz="0" w:space="0" w:color="auto"/>
        <w:left w:val="none" w:sz="0" w:space="0" w:color="auto"/>
        <w:bottom w:val="none" w:sz="0" w:space="0" w:color="auto"/>
        <w:right w:val="none" w:sz="0" w:space="0" w:color="auto"/>
      </w:divBdr>
    </w:div>
    <w:div w:id="1051609346">
      <w:bodyDiv w:val="1"/>
      <w:marLeft w:val="0"/>
      <w:marRight w:val="0"/>
      <w:marTop w:val="0"/>
      <w:marBottom w:val="0"/>
      <w:divBdr>
        <w:top w:val="none" w:sz="0" w:space="0" w:color="auto"/>
        <w:left w:val="none" w:sz="0" w:space="0" w:color="auto"/>
        <w:bottom w:val="none" w:sz="0" w:space="0" w:color="auto"/>
        <w:right w:val="none" w:sz="0" w:space="0" w:color="auto"/>
      </w:divBdr>
    </w:div>
    <w:div w:id="1111701605">
      <w:bodyDiv w:val="1"/>
      <w:marLeft w:val="0"/>
      <w:marRight w:val="0"/>
      <w:marTop w:val="0"/>
      <w:marBottom w:val="0"/>
      <w:divBdr>
        <w:top w:val="none" w:sz="0" w:space="0" w:color="auto"/>
        <w:left w:val="none" w:sz="0" w:space="0" w:color="auto"/>
        <w:bottom w:val="none" w:sz="0" w:space="0" w:color="auto"/>
        <w:right w:val="none" w:sz="0" w:space="0" w:color="auto"/>
      </w:divBdr>
    </w:div>
    <w:div w:id="1143542362">
      <w:bodyDiv w:val="1"/>
      <w:marLeft w:val="0"/>
      <w:marRight w:val="0"/>
      <w:marTop w:val="0"/>
      <w:marBottom w:val="0"/>
      <w:divBdr>
        <w:top w:val="none" w:sz="0" w:space="0" w:color="auto"/>
        <w:left w:val="none" w:sz="0" w:space="0" w:color="auto"/>
        <w:bottom w:val="none" w:sz="0" w:space="0" w:color="auto"/>
        <w:right w:val="none" w:sz="0" w:space="0" w:color="auto"/>
      </w:divBdr>
    </w:div>
    <w:div w:id="1220746623">
      <w:bodyDiv w:val="1"/>
      <w:marLeft w:val="0"/>
      <w:marRight w:val="0"/>
      <w:marTop w:val="0"/>
      <w:marBottom w:val="0"/>
      <w:divBdr>
        <w:top w:val="none" w:sz="0" w:space="0" w:color="auto"/>
        <w:left w:val="none" w:sz="0" w:space="0" w:color="auto"/>
        <w:bottom w:val="none" w:sz="0" w:space="0" w:color="auto"/>
        <w:right w:val="none" w:sz="0" w:space="0" w:color="auto"/>
      </w:divBdr>
    </w:div>
    <w:div w:id="1250233935">
      <w:bodyDiv w:val="1"/>
      <w:marLeft w:val="0"/>
      <w:marRight w:val="0"/>
      <w:marTop w:val="0"/>
      <w:marBottom w:val="0"/>
      <w:divBdr>
        <w:top w:val="none" w:sz="0" w:space="0" w:color="auto"/>
        <w:left w:val="none" w:sz="0" w:space="0" w:color="auto"/>
        <w:bottom w:val="none" w:sz="0" w:space="0" w:color="auto"/>
        <w:right w:val="none" w:sz="0" w:space="0" w:color="auto"/>
      </w:divBdr>
    </w:div>
    <w:div w:id="1266887793">
      <w:bodyDiv w:val="1"/>
      <w:marLeft w:val="0"/>
      <w:marRight w:val="0"/>
      <w:marTop w:val="0"/>
      <w:marBottom w:val="0"/>
      <w:divBdr>
        <w:top w:val="none" w:sz="0" w:space="0" w:color="auto"/>
        <w:left w:val="none" w:sz="0" w:space="0" w:color="auto"/>
        <w:bottom w:val="none" w:sz="0" w:space="0" w:color="auto"/>
        <w:right w:val="none" w:sz="0" w:space="0" w:color="auto"/>
      </w:divBdr>
    </w:div>
    <w:div w:id="1618247306">
      <w:bodyDiv w:val="1"/>
      <w:marLeft w:val="0"/>
      <w:marRight w:val="0"/>
      <w:marTop w:val="0"/>
      <w:marBottom w:val="0"/>
      <w:divBdr>
        <w:top w:val="none" w:sz="0" w:space="0" w:color="auto"/>
        <w:left w:val="none" w:sz="0" w:space="0" w:color="auto"/>
        <w:bottom w:val="none" w:sz="0" w:space="0" w:color="auto"/>
        <w:right w:val="none" w:sz="0" w:space="0" w:color="auto"/>
      </w:divBdr>
    </w:div>
    <w:div w:id="1792547792">
      <w:bodyDiv w:val="1"/>
      <w:marLeft w:val="0"/>
      <w:marRight w:val="0"/>
      <w:marTop w:val="0"/>
      <w:marBottom w:val="0"/>
      <w:divBdr>
        <w:top w:val="none" w:sz="0" w:space="0" w:color="auto"/>
        <w:left w:val="none" w:sz="0" w:space="0" w:color="auto"/>
        <w:bottom w:val="none" w:sz="0" w:space="0" w:color="auto"/>
        <w:right w:val="none" w:sz="0" w:space="0" w:color="auto"/>
      </w:divBdr>
    </w:div>
    <w:div w:id="1900823656">
      <w:bodyDiv w:val="1"/>
      <w:marLeft w:val="0"/>
      <w:marRight w:val="0"/>
      <w:marTop w:val="0"/>
      <w:marBottom w:val="0"/>
      <w:divBdr>
        <w:top w:val="none" w:sz="0" w:space="0" w:color="auto"/>
        <w:left w:val="none" w:sz="0" w:space="0" w:color="auto"/>
        <w:bottom w:val="none" w:sz="0" w:space="0" w:color="auto"/>
        <w:right w:val="none" w:sz="0" w:space="0" w:color="auto"/>
      </w:divBdr>
    </w:div>
    <w:div w:id="1904749686">
      <w:bodyDiv w:val="1"/>
      <w:marLeft w:val="0"/>
      <w:marRight w:val="0"/>
      <w:marTop w:val="0"/>
      <w:marBottom w:val="0"/>
      <w:divBdr>
        <w:top w:val="none" w:sz="0" w:space="0" w:color="auto"/>
        <w:left w:val="none" w:sz="0" w:space="0" w:color="auto"/>
        <w:bottom w:val="none" w:sz="0" w:space="0" w:color="auto"/>
        <w:right w:val="none" w:sz="0" w:space="0" w:color="auto"/>
      </w:divBdr>
    </w:div>
    <w:div w:id="20795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researchuk.org/about-cancer/find-a-clinical-trial/a-study-to-evaluate-an-age-extension-of-the-nhs-breast-screening-program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9D9651F6E7E74288BF1323170B17D2"/>
        <w:category>
          <w:name w:val="General"/>
          <w:gallery w:val="placeholder"/>
        </w:category>
        <w:types>
          <w:type w:val="bbPlcHdr"/>
        </w:types>
        <w:behaviors>
          <w:behavior w:val="content"/>
        </w:behaviors>
        <w:guid w:val="{E259AB93-4687-7F44-8AE7-BF284EF572DE}"/>
      </w:docPartPr>
      <w:docPartBody>
        <w:p w:rsidR="00456653" w:rsidRDefault="00A042B5" w:rsidP="00A042B5">
          <w:pPr>
            <w:pStyle w:val="1A9D9651F6E7E74288BF1323170B17D2"/>
          </w:pPr>
          <w:r w:rsidRPr="00191F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B5"/>
    <w:rsid w:val="001C3175"/>
    <w:rsid w:val="002532CA"/>
    <w:rsid w:val="00456653"/>
    <w:rsid w:val="00640203"/>
    <w:rsid w:val="009D1433"/>
    <w:rsid w:val="00A042B5"/>
    <w:rsid w:val="00B5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2B5"/>
    <w:rPr>
      <w:color w:val="666666"/>
    </w:rPr>
  </w:style>
  <w:style w:type="paragraph" w:customStyle="1" w:styleId="1A9D9651F6E7E74288BF1323170B17D2">
    <w:name w:val="1A9D9651F6E7E74288BF1323170B17D2"/>
    <w:rsid w:val="00A04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889B32-BAE5-1148-84E6-F25F0D02C4F1}">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fd0e47-0020-4de5-b97e-8930a9a0d8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2D6F1FEF5F84D9AEA907924B4298B" ma:contentTypeVersion="12" ma:contentTypeDescription="Create a new document." ma:contentTypeScope="" ma:versionID="373d599be2c70e3822ae34d9c450a331">
  <xsd:schema xmlns:xsd="http://www.w3.org/2001/XMLSchema" xmlns:xs="http://www.w3.org/2001/XMLSchema" xmlns:p="http://schemas.microsoft.com/office/2006/metadata/properties" xmlns:ns2="91fd0e47-0020-4de5-b97e-8930a9a0d803" xmlns:ns3="1536f72e-ff69-4638-8df0-8b280ff6f30d" targetNamespace="http://schemas.microsoft.com/office/2006/metadata/properties" ma:root="true" ma:fieldsID="d14740118c6c047fe40c167cbc8f19e5" ns2:_="" ns3:_="">
    <xsd:import namespace="91fd0e47-0020-4de5-b97e-8930a9a0d803"/>
    <xsd:import namespace="1536f72e-ff69-4638-8df0-8b280ff6f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d0e47-0020-4de5-b97e-8930a9a0d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fd8df-27a2-471a-8ee0-8381213365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36f72e-ff69-4638-8df0-8b280ff6f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35B5-EB58-48A3-8861-39E127B13C71}">
  <ds:schemaRefs>
    <ds:schemaRef ds:uri="http://schemas.microsoft.com/office/2006/metadata/properties"/>
    <ds:schemaRef ds:uri="http://schemas.microsoft.com/office/infopath/2007/PartnerControls"/>
    <ds:schemaRef ds:uri="91fd0e47-0020-4de5-b97e-8930a9a0d803"/>
  </ds:schemaRefs>
</ds:datastoreItem>
</file>

<file path=customXml/itemProps2.xml><?xml version="1.0" encoding="utf-8"?>
<ds:datastoreItem xmlns:ds="http://schemas.openxmlformats.org/officeDocument/2006/customXml" ds:itemID="{715BD4E2-4269-4815-BFC0-D55289E0DD30}">
  <ds:schemaRefs>
    <ds:schemaRef ds:uri="http://schemas.microsoft.com/sharepoint/v3/contenttype/forms"/>
  </ds:schemaRefs>
</ds:datastoreItem>
</file>

<file path=customXml/itemProps3.xml><?xml version="1.0" encoding="utf-8"?>
<ds:datastoreItem xmlns:ds="http://schemas.openxmlformats.org/officeDocument/2006/customXml" ds:itemID="{3788C6E1-5F25-40F8-96A8-24AA5AC97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d0e47-0020-4de5-b97e-8930a9a0d803"/>
    <ds:schemaRef ds:uri="1536f72e-ff69-4638-8df0-8b280ff6f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2F3DD-0E82-9D45-82C3-5C153B37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The Institute of Cancer Research</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dc:creator>
  <cp:keywords/>
  <dc:description/>
  <cp:lastModifiedBy>Montse Garcia-Closas</cp:lastModifiedBy>
  <cp:revision>2</cp:revision>
  <dcterms:created xsi:type="dcterms:W3CDTF">2025-10-24T11:18:00Z</dcterms:created>
  <dcterms:modified xsi:type="dcterms:W3CDTF">2025-10-24T11:18:00Z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0x0101006692D6F1FEF5F84D9AEA907924B4298B</vt:lpwstr>
  </property>
  <property fmtid="{D5CDD505-2E9C-101B-9397-08002B2CF9AE}" pid="3" name="MediaServiceImageTags">
    <vt:lpwstr/>
  </property>
  <property fmtid="{D5CDD505-2E9C-101B-9397-08002B2CF9AE}" pid="4" name="GrammarlyDocumentId">
    <vt:lpwstr>da1bb968-0859-4bc2-b25d-90ede7d19c01</vt:lpwstr>
  </property>
  <property fmtid="{D5CDD505-2E9C-101B-9397-08002B2CF9AE}" pid="5" name="docLang">
    <vt:lpwstr>en</vt:lpwstr>
  </property>
</Properties>
</file>