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B62599" w14:textId="7B7290D1" w:rsidR="00A53B7E" w:rsidRPr="00177EF3" w:rsidRDefault="00EF7ACD" w:rsidP="0098730F">
      <w:pPr>
        <w:spacing w:line="480" w:lineRule="auto"/>
        <w:rPr>
          <w:lang w:val="en-US"/>
        </w:rPr>
      </w:pPr>
      <w:r>
        <w:rPr>
          <w:b/>
          <w:bCs/>
          <w:lang w:val="en-US"/>
        </w:rPr>
        <w:t>Additional file</w:t>
      </w:r>
      <w:bookmarkStart w:id="0" w:name="_GoBack"/>
      <w:bookmarkEnd w:id="0"/>
      <w:r w:rsidR="00A53B7E" w:rsidRPr="00856E65">
        <w:rPr>
          <w:b/>
          <w:bCs/>
          <w:lang w:val="en-US"/>
        </w:rPr>
        <w:t xml:space="preserve"> 2. Key definitions adopted in the review. </w:t>
      </w:r>
    </w:p>
    <w:p w14:paraId="54CD489B" w14:textId="77777777" w:rsidR="00A53B7E" w:rsidRPr="00856E65" w:rsidRDefault="00A53B7E" w:rsidP="0098730F">
      <w:pPr>
        <w:spacing w:after="0" w:line="480" w:lineRule="auto"/>
        <w:contextualSpacing/>
        <w:rPr>
          <w:b/>
          <w:bCs/>
          <w:lang w:val="en-US"/>
        </w:rPr>
      </w:pPr>
    </w:p>
    <w:p w14:paraId="62673CF8" w14:textId="77777777" w:rsidR="00A53B7E" w:rsidRPr="00856E65" w:rsidRDefault="00A53B7E" w:rsidP="0098730F">
      <w:pPr>
        <w:spacing w:after="0" w:line="480" w:lineRule="auto"/>
        <w:contextualSpacing/>
        <w:rPr>
          <w:b/>
          <w:bCs/>
          <w:lang w:val="en-US"/>
        </w:rPr>
      </w:pPr>
      <w:r w:rsidRPr="00856E65">
        <w:rPr>
          <w:b/>
          <w:bCs/>
          <w:lang w:val="en-US"/>
        </w:rPr>
        <w:t>Our definition of health care consumer</w:t>
      </w:r>
    </w:p>
    <w:p w14:paraId="2D9AEE0E" w14:textId="182E69EB" w:rsidR="00A53B7E" w:rsidRDefault="00A53B7E" w:rsidP="0098730F">
      <w:pPr>
        <w:spacing w:after="0" w:line="480" w:lineRule="auto"/>
        <w:contextualSpacing/>
        <w:rPr>
          <w:lang w:val="en-US"/>
        </w:rPr>
      </w:pPr>
      <w:r w:rsidRPr="00856E65">
        <w:rPr>
          <w:lang w:val="en-US"/>
        </w:rPr>
        <w:t>We used the following definition of health care consumer: patients and potential patients, carers, and people who use health care services. Collectively, ‘consumers’ and ‘community members’ may be referred to as ‘the public’</w:t>
      </w:r>
      <w:r w:rsidR="004E6491">
        <w:rPr>
          <w:lang w:val="en-US"/>
        </w:rPr>
        <w:t xml:space="preserve"> [</w:t>
      </w:r>
      <w:r w:rsidRPr="004E6491">
        <w:rPr>
          <w:lang w:val="en-US"/>
        </w:rPr>
        <w:t>1</w:t>
      </w:r>
      <w:r w:rsidR="004E6491" w:rsidRPr="004E6491">
        <w:rPr>
          <w:lang w:val="en-US"/>
        </w:rPr>
        <w:t>].</w:t>
      </w:r>
      <w:r w:rsidRPr="00856E65">
        <w:rPr>
          <w:lang w:val="en-US"/>
        </w:rPr>
        <w:t xml:space="preserve"> However, given the variations in terminology within different contexts, we included any of the following terms for health care consumers: patients; unpaid carers (current or former); parents/ guardians/family; users and potential users of health care services; people with lived experience; peer workforce; people with disability; members of the public who are the potential recipients of health promotion/public health programmes; groups asking for research because they believe they have been exposed to potentially harmful circumstances, products or services; groups asking for research because they believe they have been denied products or services from which they believe they could have benefited; and organisations that represent service users and carers</w:t>
      </w:r>
      <w:r w:rsidR="004E6491">
        <w:rPr>
          <w:lang w:val="en-US"/>
        </w:rPr>
        <w:t xml:space="preserve"> [</w:t>
      </w:r>
      <w:r w:rsidRPr="004E6491">
        <w:rPr>
          <w:lang w:val="en-US"/>
        </w:rPr>
        <w:t>2</w:t>
      </w:r>
      <w:r w:rsidR="004E6491" w:rsidRPr="004E6491">
        <w:rPr>
          <w:lang w:val="en-US"/>
        </w:rPr>
        <w:t>].</w:t>
      </w:r>
      <w:r w:rsidRPr="00856E65">
        <w:rPr>
          <w:lang w:val="en-US"/>
        </w:rPr>
        <w:t xml:space="preserve"> Depending on the context, they could be described with any of the following terms: 'lay’, 'service user’, 'survivor’, ‘patient and public involvement’ or ’member of the general public’</w:t>
      </w:r>
      <w:r w:rsidR="004E6491">
        <w:rPr>
          <w:lang w:val="en-US"/>
        </w:rPr>
        <w:t xml:space="preserve"> [</w:t>
      </w:r>
      <w:r w:rsidRPr="004E6491">
        <w:rPr>
          <w:lang w:val="en-US"/>
        </w:rPr>
        <w:t>2</w:t>
      </w:r>
      <w:r w:rsidR="004E6491" w:rsidRPr="004E6491">
        <w:rPr>
          <w:lang w:val="en-US"/>
        </w:rPr>
        <w:t>].</w:t>
      </w:r>
      <w:r w:rsidRPr="00856E65">
        <w:rPr>
          <w:lang w:val="en-US"/>
        </w:rPr>
        <w:t xml:space="preserve"> We acknowledge that our broad definition means that every individual would be included as a health care consumer. As such, we focused on the role played; that is, only included participants as health care consumers when they had been engaged in health care services, policy or research with the identifiable purpose of bringing a consumer perspective.</w:t>
      </w:r>
    </w:p>
    <w:p w14:paraId="2BAB6182" w14:textId="77777777" w:rsidR="00A53B7E" w:rsidRPr="00856E65" w:rsidRDefault="00A53B7E" w:rsidP="0098730F">
      <w:pPr>
        <w:spacing w:after="0" w:line="480" w:lineRule="auto"/>
        <w:contextualSpacing/>
        <w:rPr>
          <w:lang w:val="en-US"/>
        </w:rPr>
      </w:pPr>
    </w:p>
    <w:p w14:paraId="68C88A92" w14:textId="77777777" w:rsidR="00A53B7E" w:rsidRPr="00856E65" w:rsidRDefault="00A53B7E" w:rsidP="0098730F">
      <w:pPr>
        <w:spacing w:after="0" w:line="480" w:lineRule="auto"/>
        <w:contextualSpacing/>
        <w:rPr>
          <w:b/>
          <w:bCs/>
          <w:lang w:val="en-US"/>
        </w:rPr>
      </w:pPr>
      <w:r w:rsidRPr="00856E65">
        <w:rPr>
          <w:b/>
          <w:bCs/>
          <w:lang w:val="en-US"/>
        </w:rPr>
        <w:t>Our definition of health care professional, researcher or policy maker</w:t>
      </w:r>
    </w:p>
    <w:p w14:paraId="7078F4C7" w14:textId="674A2F06" w:rsidR="00A53B7E" w:rsidRPr="00C77FCF" w:rsidRDefault="00A53B7E" w:rsidP="0098730F">
      <w:pPr>
        <w:spacing w:after="0" w:line="480" w:lineRule="auto"/>
        <w:contextualSpacing/>
        <w:rPr>
          <w:lang w:val="en-US"/>
        </w:rPr>
      </w:pPr>
      <w:r w:rsidRPr="00856E65">
        <w:rPr>
          <w:lang w:val="en-US"/>
        </w:rPr>
        <w:t>We used the following definition of a health care professional, researcher or policy maker: people who are employed in health care services, research institutions or government health departments or related agencies as health care professionals (in any professional discipline), health care service managers, researchers, and policy-makers who participate in the included study according to one (or more) of these roles</w:t>
      </w:r>
      <w:r w:rsidR="004E6491">
        <w:rPr>
          <w:lang w:val="en-US"/>
        </w:rPr>
        <w:t xml:space="preserve"> </w:t>
      </w:r>
      <w:r w:rsidR="004E6491" w:rsidRPr="004E6491">
        <w:rPr>
          <w:lang w:val="en-US"/>
        </w:rPr>
        <w:t>[</w:t>
      </w:r>
      <w:r w:rsidRPr="004E6491">
        <w:rPr>
          <w:lang w:val="en-US"/>
        </w:rPr>
        <w:t>2</w:t>
      </w:r>
      <w:r w:rsidR="004E6491" w:rsidRPr="004E6491">
        <w:rPr>
          <w:lang w:val="en-US"/>
        </w:rPr>
        <w:t>].</w:t>
      </w:r>
    </w:p>
    <w:p w14:paraId="6B536C27" w14:textId="77777777" w:rsidR="00A53B7E" w:rsidRPr="00856E65" w:rsidRDefault="00A53B7E" w:rsidP="0098730F">
      <w:pPr>
        <w:spacing w:after="0" w:line="480" w:lineRule="auto"/>
        <w:contextualSpacing/>
        <w:rPr>
          <w:lang w:val="en-US"/>
        </w:rPr>
      </w:pPr>
    </w:p>
    <w:p w14:paraId="7A6909BA" w14:textId="77777777" w:rsidR="00A53B7E" w:rsidRPr="00856E65" w:rsidRDefault="00A53B7E" w:rsidP="0098730F">
      <w:pPr>
        <w:spacing w:after="0" w:line="480" w:lineRule="auto"/>
        <w:contextualSpacing/>
        <w:rPr>
          <w:b/>
          <w:bCs/>
          <w:lang w:val="en-US"/>
        </w:rPr>
      </w:pPr>
      <w:r w:rsidRPr="00856E65">
        <w:rPr>
          <w:b/>
          <w:bCs/>
          <w:lang w:val="en-US"/>
        </w:rPr>
        <w:t>Our definition of 'consumer engagement'</w:t>
      </w:r>
    </w:p>
    <w:p w14:paraId="2AA724A0" w14:textId="2FCB1527" w:rsidR="00A53B7E" w:rsidRDefault="00A53B7E" w:rsidP="0098730F">
      <w:pPr>
        <w:spacing w:after="0" w:line="480" w:lineRule="auto"/>
        <w:contextualSpacing/>
        <w:rPr>
          <w:lang w:val="en-US"/>
        </w:rPr>
      </w:pPr>
      <w:bookmarkStart w:id="1" w:name="_Hlk36989125"/>
      <w:r w:rsidRPr="00856E65">
        <w:rPr>
          <w:lang w:val="en-US"/>
        </w:rPr>
        <w:t>We used the following definition of consumer engagement: “an informed dialogue between an organisation and consumers, carers and the community which encourages participants to share ideas or options and undertake collaborative decision making, sometimes as partners"</w:t>
      </w:r>
      <w:r w:rsidR="004E6491">
        <w:rPr>
          <w:lang w:val="en-US"/>
        </w:rPr>
        <w:t xml:space="preserve"> </w:t>
      </w:r>
      <w:r w:rsidR="004E6491" w:rsidRPr="004E6491">
        <w:rPr>
          <w:lang w:val="en-US"/>
        </w:rPr>
        <w:t>[</w:t>
      </w:r>
      <w:r w:rsidRPr="004E6491">
        <w:rPr>
          <w:lang w:val="en-US"/>
        </w:rPr>
        <w:t>3</w:t>
      </w:r>
      <w:r w:rsidR="004E6491" w:rsidRPr="004E6491">
        <w:rPr>
          <w:lang w:val="en-US"/>
        </w:rPr>
        <w:t>].</w:t>
      </w:r>
    </w:p>
    <w:p w14:paraId="6934D1EF" w14:textId="77777777" w:rsidR="00A53B7E" w:rsidRPr="00856E65" w:rsidRDefault="00A53B7E" w:rsidP="0098730F">
      <w:pPr>
        <w:spacing w:after="0" w:line="480" w:lineRule="auto"/>
        <w:contextualSpacing/>
        <w:rPr>
          <w:lang w:val="en-US"/>
        </w:rPr>
      </w:pPr>
    </w:p>
    <w:p w14:paraId="2A66A66D" w14:textId="53BDAF61" w:rsidR="00A53B7E" w:rsidRDefault="00A53B7E" w:rsidP="0098730F">
      <w:pPr>
        <w:spacing w:after="0" w:line="480" w:lineRule="auto"/>
        <w:contextualSpacing/>
        <w:rPr>
          <w:lang w:val="en-US"/>
        </w:rPr>
      </w:pPr>
      <w:r w:rsidRPr="00856E65">
        <w:rPr>
          <w:lang w:val="en-US"/>
        </w:rPr>
        <w:t>As discussed, we have chosen to use the IAP2 Public Participation Spectrum to help us determine what should be included as a consumer engagement study</w:t>
      </w:r>
      <w:r w:rsidR="004E6491">
        <w:rPr>
          <w:lang w:val="en-US"/>
        </w:rPr>
        <w:t xml:space="preserve"> [</w:t>
      </w:r>
      <w:r w:rsidRPr="004E6491">
        <w:rPr>
          <w:lang w:val="en-US"/>
        </w:rPr>
        <w:t>4</w:t>
      </w:r>
      <w:r w:rsidR="004E6491" w:rsidRPr="004E6491">
        <w:rPr>
          <w:lang w:val="en-US"/>
        </w:rPr>
        <w:t>].</w:t>
      </w:r>
      <w:r w:rsidRPr="004E6491">
        <w:rPr>
          <w:lang w:val="en-US"/>
        </w:rPr>
        <w:t xml:space="preserve"> </w:t>
      </w:r>
      <w:r w:rsidRPr="00856E65">
        <w:rPr>
          <w:lang w:val="en-US"/>
        </w:rPr>
        <w:t xml:space="preserve">Examples of methods of engagement (for each IAP2 participation level) </w:t>
      </w:r>
      <w:proofErr w:type="gramStart"/>
      <w:r w:rsidRPr="00856E65">
        <w:rPr>
          <w:lang w:val="en-US"/>
        </w:rPr>
        <w:t>include:</w:t>
      </w:r>
      <w:proofErr w:type="gramEnd"/>
      <w:r w:rsidRPr="00856E65">
        <w:rPr>
          <w:lang w:val="en-US"/>
        </w:rPr>
        <w:t xml:space="preserve"> mass media and fact sheets (inform), focus groups and patient surveys (consult), patient advisory committees and Delphi processes (collaborate), and citizen panels or consumer managed projects and services (empower)</w:t>
      </w:r>
      <w:r w:rsidR="004E6491">
        <w:rPr>
          <w:lang w:val="en-US"/>
        </w:rPr>
        <w:t xml:space="preserve"> [</w:t>
      </w:r>
      <w:r w:rsidRPr="004E6491">
        <w:rPr>
          <w:lang w:val="en-US"/>
        </w:rPr>
        <w:t>5</w:t>
      </w:r>
      <w:r w:rsidR="004E6491" w:rsidRPr="004E6491">
        <w:rPr>
          <w:lang w:val="en-US"/>
        </w:rPr>
        <w:t>].</w:t>
      </w:r>
      <w:r w:rsidRPr="00856E65">
        <w:rPr>
          <w:lang w:val="en-US"/>
        </w:rPr>
        <w:t xml:space="preserve"> As such, we included studies that described a consumer engagement activity that met the criteria for consult, involve, collaborate or empower (i.e. all items with the exception of ‘inform’ as it does not fit with our definition of consumer engagement being a two-way 'informed dialogue'). This is also consistent with the way in which the UK’s NIHR INVOLVE</w:t>
      </w:r>
      <w:r w:rsidR="004E6491">
        <w:rPr>
          <w:lang w:val="en-US"/>
        </w:rPr>
        <w:t xml:space="preserve"> [</w:t>
      </w:r>
      <w:r w:rsidRPr="004E6491">
        <w:rPr>
          <w:lang w:val="en-US"/>
        </w:rPr>
        <w:t>6</w:t>
      </w:r>
      <w:r w:rsidR="004E6491" w:rsidRPr="004E6491">
        <w:rPr>
          <w:lang w:val="en-US"/>
        </w:rPr>
        <w:t>]</w:t>
      </w:r>
      <w:r w:rsidRPr="00856E65">
        <w:rPr>
          <w:lang w:val="en-US"/>
        </w:rPr>
        <w:t xml:space="preserve"> defines what they term ‘public involvement’ in research, clarifying it does not include ‘researchers raising awareness of research, sharing knowledge or engaging and creating a dialogue with the public’.</w:t>
      </w:r>
      <w:bookmarkEnd w:id="1"/>
    </w:p>
    <w:p w14:paraId="3F0B6CF4" w14:textId="77777777" w:rsidR="00A53B7E" w:rsidRPr="00856E65" w:rsidRDefault="00A53B7E" w:rsidP="0098730F">
      <w:pPr>
        <w:spacing w:after="0" w:line="480" w:lineRule="auto"/>
        <w:contextualSpacing/>
        <w:rPr>
          <w:lang w:val="en-US"/>
        </w:rPr>
      </w:pPr>
    </w:p>
    <w:p w14:paraId="345F9FD0" w14:textId="77777777" w:rsidR="00A53B7E" w:rsidRDefault="00A53B7E" w:rsidP="0098730F">
      <w:pPr>
        <w:spacing w:after="0" w:line="480" w:lineRule="auto"/>
        <w:contextualSpacing/>
        <w:rPr>
          <w:lang w:val="en-US"/>
        </w:rPr>
      </w:pPr>
      <w:r w:rsidRPr="00856E65">
        <w:rPr>
          <w:lang w:val="en-US"/>
        </w:rPr>
        <w:t>Given the different terminology used to describe consumer engagement, we accepted any terminology used in the studies (i.e. participation, involvement, co-production, co-design)</w:t>
      </w:r>
      <w:r>
        <w:rPr>
          <w:lang w:val="en-US"/>
        </w:rPr>
        <w:t>,</w:t>
      </w:r>
      <w:r w:rsidRPr="00856E65">
        <w:rPr>
          <w:lang w:val="en-US"/>
        </w:rPr>
        <w:t xml:space="preserve"> </w:t>
      </w:r>
      <w:proofErr w:type="gramStart"/>
      <w:r w:rsidRPr="00856E65">
        <w:rPr>
          <w:lang w:val="en-US"/>
        </w:rPr>
        <w:t>as long as</w:t>
      </w:r>
      <w:proofErr w:type="gramEnd"/>
      <w:r w:rsidRPr="00856E65">
        <w:rPr>
          <w:lang w:val="en-US"/>
        </w:rPr>
        <w:t xml:space="preserve"> the description about what was involved met our criteria for engagement.</w:t>
      </w:r>
    </w:p>
    <w:p w14:paraId="5382B9DD" w14:textId="77777777" w:rsidR="00A53B7E" w:rsidRPr="00856E65" w:rsidRDefault="00A53B7E" w:rsidP="0098730F">
      <w:pPr>
        <w:spacing w:after="0" w:line="480" w:lineRule="auto"/>
        <w:contextualSpacing/>
        <w:rPr>
          <w:lang w:val="en-US"/>
        </w:rPr>
      </w:pPr>
    </w:p>
    <w:p w14:paraId="5921422E" w14:textId="77777777" w:rsidR="00A53B7E" w:rsidRPr="00856E65" w:rsidRDefault="00A53B7E" w:rsidP="0098730F">
      <w:pPr>
        <w:spacing w:after="0" w:line="480" w:lineRule="auto"/>
        <w:contextualSpacing/>
        <w:rPr>
          <w:b/>
          <w:bCs/>
          <w:lang w:val="en-US"/>
        </w:rPr>
      </w:pPr>
      <w:r w:rsidRPr="00856E65">
        <w:rPr>
          <w:b/>
          <w:bCs/>
          <w:lang w:val="en-US"/>
        </w:rPr>
        <w:t>Our definition of health care policy</w:t>
      </w:r>
    </w:p>
    <w:p w14:paraId="6BF4B1F4" w14:textId="61D022D7" w:rsidR="00A53B7E" w:rsidRDefault="00A53B7E" w:rsidP="0098730F">
      <w:pPr>
        <w:spacing w:after="0" w:line="480" w:lineRule="auto"/>
        <w:contextualSpacing/>
        <w:rPr>
          <w:lang w:val="en-US"/>
        </w:rPr>
      </w:pPr>
      <w:r w:rsidRPr="00856E65">
        <w:rPr>
          <w:lang w:val="en-US"/>
        </w:rPr>
        <w:t xml:space="preserve">We defined health care policy as "decisions, plans, and actions that are undertaken to achieve specific health care goals within a society. An explicit health policy can achieve several things: it defines a vision for the future which in turn helps to establish targets and points of reference for the </w:t>
      </w:r>
      <w:r w:rsidRPr="00856E65">
        <w:rPr>
          <w:lang w:val="en-US"/>
        </w:rPr>
        <w:lastRenderedPageBreak/>
        <w:t>short and medium term. It outlines priorities and the expected roles of different groups; and it builds consensus and informs people"</w:t>
      </w:r>
      <w:r w:rsidR="004E6491">
        <w:rPr>
          <w:lang w:val="en-US"/>
        </w:rPr>
        <w:t xml:space="preserve"> [</w:t>
      </w:r>
      <w:r w:rsidRPr="004E6491">
        <w:rPr>
          <w:lang w:val="en-US"/>
        </w:rPr>
        <w:t>7</w:t>
      </w:r>
      <w:r w:rsidR="004E6491" w:rsidRPr="004E6491">
        <w:rPr>
          <w:lang w:val="en-US"/>
        </w:rPr>
        <w:t>].</w:t>
      </w:r>
      <w:r w:rsidRPr="00856E65">
        <w:rPr>
          <w:lang w:val="en-US"/>
        </w:rPr>
        <w:t xml:space="preserve"> Common outputs of health care policy include standards, practice guidelines or position statements. We included studies in health care policy undertaken by any health care organisations, e.g. national, state and local governments, non-government organisations, health care services, private organisations or consumer groups, and at any stage of the policy-making cycle (commonly described as agenda setting, formulation, adoption, implementation, and evaluation).</w:t>
      </w:r>
    </w:p>
    <w:p w14:paraId="255BD647" w14:textId="77777777" w:rsidR="00A53B7E" w:rsidRPr="00856E65" w:rsidRDefault="00A53B7E" w:rsidP="0098730F">
      <w:pPr>
        <w:spacing w:after="0" w:line="480" w:lineRule="auto"/>
        <w:contextualSpacing/>
        <w:rPr>
          <w:lang w:val="en-US"/>
        </w:rPr>
      </w:pPr>
    </w:p>
    <w:p w14:paraId="4F38265A" w14:textId="77777777" w:rsidR="00A53B7E" w:rsidRPr="00856E65" w:rsidRDefault="00A53B7E" w:rsidP="0098730F">
      <w:pPr>
        <w:spacing w:after="0" w:line="480" w:lineRule="auto"/>
        <w:contextualSpacing/>
        <w:rPr>
          <w:lang w:val="en-US"/>
        </w:rPr>
      </w:pPr>
      <w:r w:rsidRPr="00856E65">
        <w:rPr>
          <w:b/>
          <w:bCs/>
          <w:lang w:val="en-US"/>
        </w:rPr>
        <w:t>Our definition of health care services</w:t>
      </w:r>
    </w:p>
    <w:p w14:paraId="38242C41" w14:textId="6F52463E" w:rsidR="00A53B7E" w:rsidRDefault="00A53B7E" w:rsidP="0098730F">
      <w:pPr>
        <w:spacing w:after="0" w:line="480" w:lineRule="auto"/>
        <w:contextualSpacing/>
        <w:rPr>
          <w:lang w:val="en-US"/>
        </w:rPr>
      </w:pPr>
      <w:r w:rsidRPr="00856E65">
        <w:rPr>
          <w:lang w:val="en-US"/>
        </w:rPr>
        <w:t>We defined health care as “services provided to individuals or communities by health service providers for the purpose of promoting, maintaining, monitoring or restoring health”</w:t>
      </w:r>
      <w:r w:rsidR="004E6491">
        <w:rPr>
          <w:lang w:val="en-US"/>
        </w:rPr>
        <w:t xml:space="preserve"> [</w:t>
      </w:r>
      <w:r w:rsidRPr="004E6491">
        <w:rPr>
          <w:lang w:val="en-US"/>
        </w:rPr>
        <w:t>8</w:t>
      </w:r>
      <w:r w:rsidR="004E6491" w:rsidRPr="004E6491">
        <w:rPr>
          <w:lang w:val="en-US"/>
        </w:rPr>
        <w:t>].</w:t>
      </w:r>
      <w:r w:rsidRPr="00856E65">
        <w:rPr>
          <w:lang w:val="en-US"/>
        </w:rPr>
        <w:t xml:space="preserve"> Health care services providing direct care to patients in primary, secondary or tertiary settings were included in this review. Within this context, consumers might be involved in activities like health care service governance, health care service redesign, developing patient information for informed decision-making/consent, among others. An important distinction is that we did not include studies where the aim was to engage consumers in their own individual care, but rather they are involved in broader activities of the health care service.</w:t>
      </w:r>
    </w:p>
    <w:p w14:paraId="5EC2801F" w14:textId="77777777" w:rsidR="00A53B7E" w:rsidRPr="00856E65" w:rsidRDefault="00A53B7E" w:rsidP="0098730F">
      <w:pPr>
        <w:spacing w:after="0" w:line="480" w:lineRule="auto"/>
        <w:contextualSpacing/>
        <w:rPr>
          <w:lang w:val="en-US"/>
        </w:rPr>
      </w:pPr>
    </w:p>
    <w:p w14:paraId="66B9FC2D" w14:textId="77777777" w:rsidR="00A53B7E" w:rsidRPr="00856E65" w:rsidRDefault="00A53B7E" w:rsidP="0098730F">
      <w:pPr>
        <w:spacing w:after="0" w:line="480" w:lineRule="auto"/>
        <w:contextualSpacing/>
        <w:rPr>
          <w:lang w:val="en-US"/>
        </w:rPr>
      </w:pPr>
      <w:r w:rsidRPr="00856E65">
        <w:rPr>
          <w:b/>
          <w:bCs/>
          <w:lang w:val="en-US"/>
        </w:rPr>
        <w:t>Our definition of health care research</w:t>
      </w:r>
    </w:p>
    <w:p w14:paraId="080C3F2A" w14:textId="2B5FF20A" w:rsidR="00A53B7E" w:rsidRPr="00856E65" w:rsidRDefault="00A53B7E" w:rsidP="0098730F">
      <w:pPr>
        <w:spacing w:after="0" w:line="480" w:lineRule="auto"/>
        <w:contextualSpacing/>
        <w:rPr>
          <w:lang w:val="en-US"/>
        </w:rPr>
      </w:pPr>
      <w:r w:rsidRPr="00856E65">
        <w:rPr>
          <w:lang w:val="en-US"/>
        </w:rPr>
        <w:t>We defined health care research as clinical research, epidemiological research and health care services research (investigating need, demand, supply, use, and outcome of health care services)</w:t>
      </w:r>
      <w:r w:rsidR="004E6491">
        <w:rPr>
          <w:lang w:val="en-US"/>
        </w:rPr>
        <w:t xml:space="preserve"> [</w:t>
      </w:r>
      <w:r w:rsidRPr="004E6491">
        <w:rPr>
          <w:lang w:val="en-US"/>
        </w:rPr>
        <w:t>9</w:t>
      </w:r>
      <w:r w:rsidR="004E6491" w:rsidRPr="004E6491">
        <w:rPr>
          <w:lang w:val="en-US"/>
        </w:rPr>
        <w:t>].</w:t>
      </w:r>
      <w:r w:rsidRPr="00856E65">
        <w:rPr>
          <w:lang w:val="en-US"/>
        </w:rPr>
        <w:t xml:space="preserve"> This also included public health and health promotion research. Within this context, consumers might be involved in research funding decisions, setting research priorities, and planning, undertaking or disseminating research, among others. This does not include studies where the only role consumers have is as a participant of the study.</w:t>
      </w:r>
    </w:p>
    <w:p w14:paraId="58DFE88D" w14:textId="77777777" w:rsidR="00A53B7E" w:rsidRPr="00856E65" w:rsidRDefault="00A53B7E" w:rsidP="0098730F">
      <w:pPr>
        <w:spacing w:after="0" w:line="480" w:lineRule="auto"/>
        <w:contextualSpacing/>
        <w:rPr>
          <w:lang w:val="en-US"/>
        </w:rPr>
      </w:pPr>
    </w:p>
    <w:p w14:paraId="20E94F34" w14:textId="77777777" w:rsidR="00A53B7E" w:rsidRPr="00856E65" w:rsidRDefault="00A53B7E" w:rsidP="0098730F">
      <w:pPr>
        <w:spacing w:after="0" w:line="480" w:lineRule="auto"/>
        <w:contextualSpacing/>
        <w:rPr>
          <w:b/>
          <w:bCs/>
          <w:lang w:val="en-US"/>
        </w:rPr>
      </w:pPr>
      <w:r w:rsidRPr="00856E65">
        <w:rPr>
          <w:b/>
          <w:bCs/>
          <w:lang w:val="en-US"/>
        </w:rPr>
        <w:lastRenderedPageBreak/>
        <w:t>Further descriptors for potential outcomes  </w:t>
      </w:r>
    </w:p>
    <w:p w14:paraId="31903989" w14:textId="77777777" w:rsidR="00A53B7E" w:rsidRPr="00856E65" w:rsidRDefault="00A53B7E" w:rsidP="0098730F">
      <w:pPr>
        <w:spacing w:after="0" w:line="480" w:lineRule="auto"/>
        <w:contextualSpacing/>
        <w:rPr>
          <w:b/>
          <w:bCs/>
          <w:lang w:val="en-US"/>
        </w:rPr>
      </w:pPr>
      <w:r w:rsidRPr="00856E65">
        <w:rPr>
          <w:b/>
          <w:bCs/>
          <w:lang w:val="en-US"/>
        </w:rPr>
        <w:t>1. Effects on people</w:t>
      </w:r>
    </w:p>
    <w:p w14:paraId="04FC06BA" w14:textId="77777777" w:rsidR="00A53B7E" w:rsidRPr="00856E65" w:rsidRDefault="00A53B7E" w:rsidP="0098730F">
      <w:pPr>
        <w:spacing w:after="0" w:line="480" w:lineRule="auto"/>
        <w:contextualSpacing/>
        <w:rPr>
          <w:lang w:val="en-US"/>
        </w:rPr>
      </w:pPr>
      <w:r w:rsidRPr="00856E65">
        <w:rPr>
          <w:lang w:val="en-US"/>
        </w:rPr>
        <w:t>(A) The 'intended recipient participants' of the health care policy, research or services that have been developed, implemented, monitored, or and/or evaluated using the consumer engagement strategy (on whom outcome data may or may not be collected) (i.e. future trial participants, health care service patients, or the wider community)</w:t>
      </w:r>
    </w:p>
    <w:p w14:paraId="539ACBC3" w14:textId="77777777" w:rsidR="00A53B7E" w:rsidRPr="00856E65" w:rsidRDefault="00A53B7E" w:rsidP="0098730F">
      <w:pPr>
        <w:numPr>
          <w:ilvl w:val="0"/>
          <w:numId w:val="1"/>
        </w:numPr>
        <w:spacing w:after="0" w:line="480" w:lineRule="auto"/>
        <w:contextualSpacing/>
        <w:rPr>
          <w:lang w:val="en-US"/>
        </w:rPr>
      </w:pPr>
      <w:r w:rsidRPr="00856E65">
        <w:rPr>
          <w:lang w:val="en-US"/>
        </w:rPr>
        <w:t xml:space="preserve">Health behaviours (e.g. adherence, compliance, health enhancing </w:t>
      </w:r>
      <w:proofErr w:type="gramStart"/>
      <w:r w:rsidRPr="00856E65">
        <w:rPr>
          <w:lang w:val="en-US"/>
        </w:rPr>
        <w:t>life-style</w:t>
      </w:r>
      <w:proofErr w:type="gramEnd"/>
      <w:r w:rsidRPr="00856E65">
        <w:rPr>
          <w:lang w:val="en-US"/>
        </w:rPr>
        <w:t xml:space="preserve"> or behaviour outcomes, use of interventions or services; and attitudes - added after data extraction)</w:t>
      </w:r>
    </w:p>
    <w:p w14:paraId="7487C889" w14:textId="77777777" w:rsidR="00A53B7E" w:rsidRPr="00856E65" w:rsidRDefault="00A53B7E" w:rsidP="0098730F">
      <w:pPr>
        <w:numPr>
          <w:ilvl w:val="0"/>
          <w:numId w:val="2"/>
        </w:numPr>
        <w:spacing w:after="0" w:line="480" w:lineRule="auto"/>
        <w:contextualSpacing/>
        <w:rPr>
          <w:lang w:val="en-US"/>
        </w:rPr>
      </w:pPr>
      <w:r w:rsidRPr="00856E65">
        <w:rPr>
          <w:lang w:val="en-US"/>
        </w:rPr>
        <w:t>Health outcomes (e.g. clinical and physiological measures)</w:t>
      </w:r>
    </w:p>
    <w:p w14:paraId="182521AA" w14:textId="77777777" w:rsidR="00A53B7E" w:rsidRPr="00856E65" w:rsidRDefault="00A53B7E" w:rsidP="0098730F">
      <w:pPr>
        <w:numPr>
          <w:ilvl w:val="0"/>
          <w:numId w:val="3"/>
        </w:numPr>
        <w:spacing w:after="0" w:line="480" w:lineRule="auto"/>
        <w:contextualSpacing/>
        <w:rPr>
          <w:lang w:val="en-US"/>
        </w:rPr>
      </w:pPr>
      <w:r w:rsidRPr="00856E65">
        <w:rPr>
          <w:lang w:val="en-US"/>
        </w:rPr>
        <w:t>Knowledge about the resulting products or activities (e.g. participants’ self-rated understanding of a research study from a consent form, or better understanding of health services)</w:t>
      </w:r>
    </w:p>
    <w:p w14:paraId="63892DD4" w14:textId="77777777" w:rsidR="00A53B7E" w:rsidRPr="00856E65" w:rsidRDefault="00A53B7E" w:rsidP="0098730F">
      <w:pPr>
        <w:numPr>
          <w:ilvl w:val="0"/>
          <w:numId w:val="4"/>
        </w:numPr>
        <w:spacing w:after="0" w:line="480" w:lineRule="auto"/>
        <w:contextualSpacing/>
        <w:rPr>
          <w:lang w:val="en-US"/>
        </w:rPr>
      </w:pPr>
      <w:r w:rsidRPr="00856E65">
        <w:rPr>
          <w:lang w:val="en-US"/>
        </w:rPr>
        <w:t>Satisfaction with the resulting products or activities (e.g. patient feedback ratings on health care services or the use of specific patient feedback in individual staff development)</w:t>
      </w:r>
    </w:p>
    <w:p w14:paraId="20B00B43" w14:textId="77777777" w:rsidR="00A53B7E" w:rsidRPr="00856E65" w:rsidRDefault="00A53B7E" w:rsidP="0098730F">
      <w:pPr>
        <w:numPr>
          <w:ilvl w:val="0"/>
          <w:numId w:val="5"/>
        </w:numPr>
        <w:spacing w:after="0" w:line="480" w:lineRule="auto"/>
        <w:contextualSpacing/>
        <w:rPr>
          <w:lang w:val="en-US"/>
        </w:rPr>
      </w:pPr>
      <w:r w:rsidRPr="00856E65">
        <w:rPr>
          <w:lang w:val="en-US"/>
        </w:rPr>
        <w:t>Harms or other negative impacts (e.g. complications, morbidity/mortality, relapse, side effects)</w:t>
      </w:r>
    </w:p>
    <w:p w14:paraId="1CACDCBD" w14:textId="77777777" w:rsidR="00A53B7E" w:rsidRPr="00856E65" w:rsidRDefault="00A53B7E" w:rsidP="0098730F">
      <w:pPr>
        <w:numPr>
          <w:ilvl w:val="0"/>
          <w:numId w:val="6"/>
        </w:numPr>
        <w:spacing w:after="0" w:line="480" w:lineRule="auto"/>
        <w:contextualSpacing/>
        <w:rPr>
          <w:lang w:val="en-US"/>
        </w:rPr>
      </w:pPr>
      <w:r w:rsidRPr="00856E65">
        <w:rPr>
          <w:lang w:val="en-US"/>
        </w:rPr>
        <w:t>Use or participation (i.e. health care resource utilisation or clinical trial participation)</w:t>
      </w:r>
      <w:r>
        <w:rPr>
          <w:lang w:val="en-US"/>
        </w:rPr>
        <w:t>.</w:t>
      </w:r>
    </w:p>
    <w:p w14:paraId="2E9CF882" w14:textId="77777777" w:rsidR="00A53B7E" w:rsidRPr="00856E65" w:rsidRDefault="00A53B7E" w:rsidP="0098730F">
      <w:pPr>
        <w:spacing w:after="0" w:line="480" w:lineRule="auto"/>
        <w:contextualSpacing/>
        <w:rPr>
          <w:lang w:val="en-US"/>
        </w:rPr>
      </w:pPr>
      <w:r w:rsidRPr="00856E65">
        <w:rPr>
          <w:lang w:val="en-US"/>
        </w:rPr>
        <w:t>(B) The 'engagement participants' who are involved in the engagement process (e.g. consumers and/or professionals)</w:t>
      </w:r>
    </w:p>
    <w:p w14:paraId="56F64F65" w14:textId="77777777" w:rsidR="00A53B7E" w:rsidRPr="00856E65" w:rsidRDefault="00A53B7E" w:rsidP="0098730F">
      <w:pPr>
        <w:numPr>
          <w:ilvl w:val="0"/>
          <w:numId w:val="7"/>
        </w:numPr>
        <w:spacing w:after="0" w:line="480" w:lineRule="auto"/>
        <w:contextualSpacing/>
        <w:rPr>
          <w:lang w:val="en-US"/>
        </w:rPr>
      </w:pPr>
      <w:r w:rsidRPr="00856E65">
        <w:rPr>
          <w:lang w:val="en-US"/>
        </w:rPr>
        <w:t>Satisfaction with the engagement process (e.g. felt valued for expertise and skills)</w:t>
      </w:r>
    </w:p>
    <w:p w14:paraId="4250AA10" w14:textId="77777777" w:rsidR="00A53B7E" w:rsidRPr="00856E65" w:rsidRDefault="00A53B7E" w:rsidP="0098730F">
      <w:pPr>
        <w:numPr>
          <w:ilvl w:val="0"/>
          <w:numId w:val="8"/>
        </w:numPr>
        <w:spacing w:after="0" w:line="480" w:lineRule="auto"/>
        <w:contextualSpacing/>
        <w:rPr>
          <w:lang w:val="en-US"/>
        </w:rPr>
      </w:pPr>
      <w:r w:rsidRPr="00856E65">
        <w:rPr>
          <w:lang w:val="en-US"/>
        </w:rPr>
        <w:t>Satisfaction with resulting products or activities (e.g. accessibility and responsiveness of health services based on local experience and need)</w:t>
      </w:r>
    </w:p>
    <w:p w14:paraId="2B98EF85" w14:textId="77777777" w:rsidR="00A53B7E" w:rsidRPr="00856E65" w:rsidRDefault="00A53B7E" w:rsidP="0098730F">
      <w:pPr>
        <w:numPr>
          <w:ilvl w:val="0"/>
          <w:numId w:val="9"/>
        </w:numPr>
        <w:spacing w:after="0" w:line="480" w:lineRule="auto"/>
        <w:contextualSpacing/>
        <w:rPr>
          <w:lang w:val="en-US"/>
        </w:rPr>
      </w:pPr>
      <w:r w:rsidRPr="00856E65">
        <w:rPr>
          <w:lang w:val="en-US"/>
        </w:rPr>
        <w:t>Harms or other negative impacts (e.g. feeling threatened by possible reduction of traditional medical-model influence, ‘involvement fatigue’)</w:t>
      </w:r>
    </w:p>
    <w:p w14:paraId="252994A3" w14:textId="77777777" w:rsidR="00A53B7E" w:rsidRDefault="00A53B7E" w:rsidP="0098730F">
      <w:pPr>
        <w:numPr>
          <w:ilvl w:val="0"/>
          <w:numId w:val="10"/>
        </w:numPr>
        <w:spacing w:after="0" w:line="480" w:lineRule="auto"/>
        <w:contextualSpacing/>
        <w:rPr>
          <w:lang w:val="en-US"/>
        </w:rPr>
      </w:pPr>
      <w:r w:rsidRPr="00856E65">
        <w:rPr>
          <w:lang w:val="en-US"/>
        </w:rPr>
        <w:t>Participation and refusal rates</w:t>
      </w:r>
      <w:r>
        <w:rPr>
          <w:lang w:val="en-US"/>
        </w:rPr>
        <w:t>.</w:t>
      </w:r>
    </w:p>
    <w:p w14:paraId="47380A74" w14:textId="77777777" w:rsidR="00A53B7E" w:rsidRPr="00856E65" w:rsidRDefault="00A53B7E" w:rsidP="0098730F">
      <w:pPr>
        <w:spacing w:after="0" w:line="480" w:lineRule="auto"/>
        <w:ind w:left="720"/>
        <w:contextualSpacing/>
        <w:rPr>
          <w:lang w:val="en-US"/>
        </w:rPr>
      </w:pPr>
    </w:p>
    <w:p w14:paraId="4BF5EACB" w14:textId="4D7464D1" w:rsidR="00A53B7E" w:rsidRDefault="00A53B7E" w:rsidP="0098730F">
      <w:pPr>
        <w:spacing w:after="0" w:line="480" w:lineRule="auto"/>
        <w:contextualSpacing/>
        <w:rPr>
          <w:lang w:val="en-US"/>
        </w:rPr>
      </w:pPr>
      <w:r w:rsidRPr="00856E65">
        <w:rPr>
          <w:lang w:val="en-US"/>
        </w:rPr>
        <w:lastRenderedPageBreak/>
        <w:t>We considered assessing outcomes for each of the different types of 'engagement participants' (i.e. health professionals and consumers) to be especially important as there is evidence that health consumers and professionals have different perspectives and experiences of consumer engagement, such as when and how much engagement should occur, its validity, and the challenges of operationalising consumer engagement in practice</w:t>
      </w:r>
      <w:r w:rsidR="004E6491">
        <w:rPr>
          <w:lang w:val="en-US"/>
        </w:rPr>
        <w:t xml:space="preserve"> [</w:t>
      </w:r>
      <w:r w:rsidRPr="004E6491">
        <w:rPr>
          <w:lang w:val="en-US"/>
        </w:rPr>
        <w:t>5,10</w:t>
      </w:r>
      <w:r w:rsidR="004E6491" w:rsidRPr="004E6491">
        <w:rPr>
          <w:lang w:val="en-US"/>
        </w:rPr>
        <w:t>],</w:t>
      </w:r>
      <w:r w:rsidRPr="00856E65">
        <w:rPr>
          <w:lang w:val="en-US"/>
        </w:rPr>
        <w:t xml:space="preserve"> which may impact on one of more of our outcomes of interest.</w:t>
      </w:r>
    </w:p>
    <w:p w14:paraId="343D41BE" w14:textId="77777777" w:rsidR="00A53B7E" w:rsidRPr="00856E65" w:rsidRDefault="00A53B7E" w:rsidP="0098730F">
      <w:pPr>
        <w:spacing w:after="0" w:line="480" w:lineRule="auto"/>
        <w:contextualSpacing/>
        <w:rPr>
          <w:lang w:val="en-US"/>
        </w:rPr>
      </w:pPr>
    </w:p>
    <w:p w14:paraId="2D0FE141" w14:textId="77777777" w:rsidR="00A53B7E" w:rsidRPr="00856E65" w:rsidRDefault="00A53B7E" w:rsidP="0098730F">
      <w:pPr>
        <w:spacing w:after="0" w:line="480" w:lineRule="auto"/>
        <w:contextualSpacing/>
        <w:rPr>
          <w:b/>
          <w:bCs/>
          <w:lang w:val="en-US"/>
        </w:rPr>
      </w:pPr>
      <w:r w:rsidRPr="00856E65">
        <w:rPr>
          <w:b/>
          <w:bCs/>
          <w:lang w:val="en-US"/>
        </w:rPr>
        <w:t>2. Effects on the research/policy/health care service</w:t>
      </w:r>
    </w:p>
    <w:p w14:paraId="55413C2D" w14:textId="77777777" w:rsidR="00A53B7E" w:rsidRPr="00856E65" w:rsidRDefault="00A53B7E" w:rsidP="0098730F">
      <w:pPr>
        <w:numPr>
          <w:ilvl w:val="0"/>
          <w:numId w:val="11"/>
        </w:numPr>
        <w:spacing w:after="0" w:line="480" w:lineRule="auto"/>
        <w:contextualSpacing/>
        <w:rPr>
          <w:lang w:val="en-US"/>
        </w:rPr>
      </w:pPr>
      <w:r w:rsidRPr="00856E65">
        <w:rPr>
          <w:lang w:val="en-US"/>
        </w:rPr>
        <w:t>Quality of the resulting product or activities (</w:t>
      </w:r>
      <w:r>
        <w:rPr>
          <w:lang w:val="en-US"/>
        </w:rPr>
        <w:t>e</w:t>
      </w:r>
      <w:r w:rsidRPr="00856E65">
        <w:rPr>
          <w:lang w:val="en-US"/>
        </w:rPr>
        <w:t>xamples</w:t>
      </w:r>
      <w:r>
        <w:rPr>
          <w:lang w:val="en-US"/>
        </w:rPr>
        <w:t>,</w:t>
      </w:r>
      <w:r w:rsidRPr="00856E65">
        <w:rPr>
          <w:lang w:val="en-US"/>
        </w:rPr>
        <w:t xml:space="preserve"> </w:t>
      </w:r>
      <w:r>
        <w:rPr>
          <w:lang w:val="en-US"/>
        </w:rPr>
        <w:t>c</w:t>
      </w:r>
      <w:r w:rsidRPr="00856E65">
        <w:rPr>
          <w:lang w:val="en-US"/>
        </w:rPr>
        <w:t>ompliance of the product or activities with national or international standards</w:t>
      </w:r>
    </w:p>
    <w:p w14:paraId="42AE61B7" w14:textId="77777777" w:rsidR="00A53B7E" w:rsidRPr="00856E65" w:rsidRDefault="00A53B7E" w:rsidP="0098730F">
      <w:pPr>
        <w:numPr>
          <w:ilvl w:val="0"/>
          <w:numId w:val="12"/>
        </w:numPr>
        <w:spacing w:after="0" w:line="480" w:lineRule="auto"/>
        <w:contextualSpacing/>
        <w:rPr>
          <w:lang w:val="en-US"/>
        </w:rPr>
      </w:pPr>
      <w:r w:rsidRPr="00856E65">
        <w:rPr>
          <w:lang w:val="en-US"/>
        </w:rPr>
        <w:t>Relevance of the resulting product or activities (</w:t>
      </w:r>
      <w:r>
        <w:rPr>
          <w:lang w:val="en-US"/>
        </w:rPr>
        <w:t>e</w:t>
      </w:r>
      <w:r w:rsidRPr="00856E65">
        <w:rPr>
          <w:lang w:val="en-US"/>
        </w:rPr>
        <w:t>xamples</w:t>
      </w:r>
      <w:r>
        <w:rPr>
          <w:lang w:val="en-US"/>
        </w:rPr>
        <w:t>, t</w:t>
      </w:r>
      <w:r w:rsidRPr="00856E65">
        <w:rPr>
          <w:lang w:val="en-US"/>
        </w:rPr>
        <w:t>he degree to which subsequently funded research matches patient priorities)</w:t>
      </w:r>
    </w:p>
    <w:p w14:paraId="36E77B61" w14:textId="77777777" w:rsidR="00A53B7E" w:rsidRDefault="00A53B7E" w:rsidP="0098730F">
      <w:pPr>
        <w:numPr>
          <w:ilvl w:val="0"/>
          <w:numId w:val="13"/>
        </w:numPr>
        <w:spacing w:after="0" w:line="480" w:lineRule="auto"/>
        <w:contextualSpacing/>
        <w:rPr>
          <w:lang w:val="en-US"/>
        </w:rPr>
      </w:pPr>
      <w:r w:rsidRPr="00856E65">
        <w:rPr>
          <w:lang w:val="en-US"/>
        </w:rPr>
        <w:t>Uptake of the resulting product or activities (</w:t>
      </w:r>
      <w:r>
        <w:rPr>
          <w:lang w:val="en-US"/>
        </w:rPr>
        <w:t>e</w:t>
      </w:r>
      <w:r w:rsidRPr="00856E65">
        <w:rPr>
          <w:lang w:val="en-US"/>
        </w:rPr>
        <w:t>xamples</w:t>
      </w:r>
      <w:r>
        <w:rPr>
          <w:lang w:val="en-US"/>
        </w:rPr>
        <w:t>, s</w:t>
      </w:r>
      <w:r w:rsidRPr="00856E65">
        <w:rPr>
          <w:lang w:val="en-US"/>
        </w:rPr>
        <w:t>ubsequent uptake of product or activity into hospital ward activities)</w:t>
      </w:r>
      <w:r>
        <w:rPr>
          <w:lang w:val="en-US"/>
        </w:rPr>
        <w:t>.</w:t>
      </w:r>
    </w:p>
    <w:p w14:paraId="6975002B" w14:textId="77777777" w:rsidR="00A53B7E" w:rsidRPr="00856E65" w:rsidRDefault="00A53B7E" w:rsidP="0098730F">
      <w:pPr>
        <w:spacing w:after="0" w:line="480" w:lineRule="auto"/>
        <w:ind w:left="720"/>
        <w:contextualSpacing/>
        <w:rPr>
          <w:lang w:val="en-US"/>
        </w:rPr>
      </w:pPr>
    </w:p>
    <w:p w14:paraId="489459D9" w14:textId="77777777" w:rsidR="00A53B7E" w:rsidRPr="00856E65" w:rsidRDefault="00A53B7E" w:rsidP="0098730F">
      <w:pPr>
        <w:spacing w:after="0" w:line="480" w:lineRule="auto"/>
        <w:contextualSpacing/>
        <w:rPr>
          <w:b/>
          <w:bCs/>
          <w:lang w:val="en-US"/>
        </w:rPr>
      </w:pPr>
      <w:r w:rsidRPr="00856E65">
        <w:rPr>
          <w:b/>
          <w:bCs/>
          <w:lang w:val="en-US"/>
        </w:rPr>
        <w:t>3. Process outcomes</w:t>
      </w:r>
    </w:p>
    <w:p w14:paraId="7E47A6B4" w14:textId="77777777" w:rsidR="00A53B7E" w:rsidRPr="00856E65" w:rsidRDefault="00A53B7E" w:rsidP="0098730F">
      <w:pPr>
        <w:numPr>
          <w:ilvl w:val="0"/>
          <w:numId w:val="14"/>
        </w:numPr>
        <w:spacing w:after="0" w:line="480" w:lineRule="auto"/>
        <w:contextualSpacing/>
        <w:rPr>
          <w:lang w:val="en-US"/>
        </w:rPr>
      </w:pPr>
      <w:r w:rsidRPr="00856E65">
        <w:rPr>
          <w:lang w:val="en-US"/>
        </w:rPr>
        <w:t>Consumer perspectives elicited</w:t>
      </w:r>
    </w:p>
    <w:p w14:paraId="1DD35588" w14:textId="77777777" w:rsidR="00A53B7E" w:rsidRPr="00856E65" w:rsidRDefault="00A53B7E" w:rsidP="0098730F">
      <w:pPr>
        <w:numPr>
          <w:ilvl w:val="0"/>
          <w:numId w:val="15"/>
        </w:numPr>
        <w:spacing w:after="0" w:line="480" w:lineRule="auto"/>
        <w:contextualSpacing/>
        <w:rPr>
          <w:lang w:val="en-US"/>
        </w:rPr>
      </w:pPr>
      <w:r w:rsidRPr="00856E65">
        <w:rPr>
          <w:lang w:val="en-US"/>
        </w:rPr>
        <w:t>Consumer influence on decisions</w:t>
      </w:r>
    </w:p>
    <w:p w14:paraId="4F850BE9" w14:textId="77777777" w:rsidR="00A53B7E" w:rsidRPr="00856E65" w:rsidRDefault="00A53B7E" w:rsidP="0098730F">
      <w:pPr>
        <w:numPr>
          <w:ilvl w:val="0"/>
          <w:numId w:val="16"/>
        </w:numPr>
        <w:spacing w:after="0" w:line="480" w:lineRule="auto"/>
        <w:contextualSpacing/>
        <w:rPr>
          <w:lang w:val="en-US"/>
        </w:rPr>
      </w:pPr>
      <w:r w:rsidRPr="00856E65">
        <w:rPr>
          <w:lang w:val="en-US"/>
        </w:rPr>
        <w:t>Costs and time of the engagement process</w:t>
      </w:r>
      <w:r>
        <w:rPr>
          <w:lang w:val="en-US"/>
        </w:rPr>
        <w:t>.</w:t>
      </w:r>
    </w:p>
    <w:p w14:paraId="3E26CAC1" w14:textId="77777777" w:rsidR="00A53B7E" w:rsidRDefault="00A53B7E" w:rsidP="0098730F">
      <w:pPr>
        <w:spacing w:after="0" w:line="480" w:lineRule="auto"/>
        <w:contextualSpacing/>
        <w:rPr>
          <w:lang w:val="en-US"/>
        </w:rPr>
      </w:pPr>
      <w:r w:rsidRPr="00856E65">
        <w:rPr>
          <w:lang w:val="en-US"/>
        </w:rPr>
        <w:t>Due to the review topic, we anticipated a range of reported outcomes (and outcome categories) across studies</w:t>
      </w:r>
      <w:r>
        <w:rPr>
          <w:lang w:val="en-US"/>
        </w:rPr>
        <w:t>,</w:t>
      </w:r>
      <w:r w:rsidRPr="00856E65">
        <w:rPr>
          <w:lang w:val="en-US"/>
        </w:rPr>
        <w:t xml:space="preserve"> therefore we did not exclude otherwise eligible studies if they did not report any of these identified outcomes.</w:t>
      </w:r>
    </w:p>
    <w:p w14:paraId="713D112C" w14:textId="77777777" w:rsidR="00A53B7E" w:rsidRDefault="00A53B7E" w:rsidP="0098730F">
      <w:pPr>
        <w:spacing w:after="0" w:line="480" w:lineRule="auto"/>
        <w:contextualSpacing/>
        <w:rPr>
          <w:lang w:val="en-US"/>
        </w:rPr>
      </w:pPr>
    </w:p>
    <w:p w14:paraId="4EC8B4A1" w14:textId="77777777" w:rsidR="00A53B7E" w:rsidRPr="00C77FCF" w:rsidRDefault="00A53B7E" w:rsidP="0098730F">
      <w:pPr>
        <w:spacing w:after="0" w:line="480" w:lineRule="auto"/>
        <w:contextualSpacing/>
        <w:rPr>
          <w:i/>
          <w:iCs/>
          <w:sz w:val="20"/>
          <w:szCs w:val="20"/>
          <w:u w:val="single"/>
          <w:lang w:val="en-US"/>
        </w:rPr>
      </w:pPr>
      <w:r w:rsidRPr="00C77FCF">
        <w:rPr>
          <w:i/>
          <w:iCs/>
          <w:sz w:val="20"/>
          <w:szCs w:val="20"/>
          <w:u w:val="single"/>
          <w:lang w:val="en-US"/>
        </w:rPr>
        <w:t>References:</w:t>
      </w:r>
    </w:p>
    <w:p w14:paraId="04C650D8" w14:textId="77777777" w:rsidR="00A53B7E" w:rsidRPr="00C77FCF" w:rsidRDefault="00A53B7E" w:rsidP="0098730F">
      <w:pPr>
        <w:pStyle w:val="ListParagraph"/>
        <w:numPr>
          <w:ilvl w:val="0"/>
          <w:numId w:val="19"/>
        </w:numPr>
        <w:spacing w:after="0" w:line="480" w:lineRule="auto"/>
        <w:rPr>
          <w:sz w:val="20"/>
          <w:szCs w:val="20"/>
          <w:lang w:val="en-US"/>
        </w:rPr>
      </w:pPr>
      <w:r w:rsidRPr="00FC1996">
        <w:rPr>
          <w:sz w:val="20"/>
          <w:szCs w:val="20"/>
          <w:lang w:val="en-US"/>
        </w:rPr>
        <w:lastRenderedPageBreak/>
        <w:t xml:space="preserve">National Health and Medical Research Council, Consumers Health Forum of Australia. Statement on consumer and community involvement in health and medical research. Canberra: National Health and Medical Research Centre; 2016, p. 6. </w:t>
      </w:r>
    </w:p>
    <w:p w14:paraId="47182577" w14:textId="77777777" w:rsidR="00A53B7E" w:rsidRDefault="00A53B7E" w:rsidP="0098730F">
      <w:pPr>
        <w:pStyle w:val="ListParagraph"/>
        <w:numPr>
          <w:ilvl w:val="0"/>
          <w:numId w:val="19"/>
        </w:numPr>
        <w:spacing w:after="0" w:line="480" w:lineRule="auto"/>
        <w:rPr>
          <w:sz w:val="20"/>
          <w:szCs w:val="20"/>
          <w:lang w:val="en-US"/>
        </w:rPr>
      </w:pPr>
      <w:r w:rsidRPr="00E56D89">
        <w:rPr>
          <w:sz w:val="20"/>
          <w:szCs w:val="20"/>
          <w:lang w:val="en-US"/>
        </w:rPr>
        <w:t>Nilsen ES, Myrhaug HT, Johansen M, Oliver S</w:t>
      </w:r>
      <w:r>
        <w:rPr>
          <w:sz w:val="20"/>
          <w:szCs w:val="20"/>
          <w:lang w:val="en-US"/>
        </w:rPr>
        <w:t xml:space="preserve">, </w:t>
      </w:r>
      <w:r w:rsidRPr="00E56D89">
        <w:rPr>
          <w:sz w:val="20"/>
          <w:szCs w:val="20"/>
          <w:lang w:val="en-US"/>
        </w:rPr>
        <w:t>Oxman AD</w:t>
      </w:r>
      <w:r>
        <w:rPr>
          <w:sz w:val="20"/>
          <w:szCs w:val="20"/>
          <w:lang w:val="en-US"/>
        </w:rPr>
        <w:t>.</w:t>
      </w:r>
      <w:r w:rsidRPr="00E56D89">
        <w:rPr>
          <w:sz w:val="20"/>
          <w:szCs w:val="20"/>
          <w:lang w:val="en-US"/>
        </w:rPr>
        <w:t xml:space="preserve"> Methods of consumer involvement in developing healthcare policy and research, clinical practice guidelines and patient information material. Cochrane </w:t>
      </w:r>
      <w:r>
        <w:rPr>
          <w:sz w:val="20"/>
          <w:szCs w:val="20"/>
          <w:lang w:val="en-US"/>
        </w:rPr>
        <w:t>D</w:t>
      </w:r>
      <w:r w:rsidRPr="00E56D89">
        <w:rPr>
          <w:sz w:val="20"/>
          <w:szCs w:val="20"/>
          <w:lang w:val="en-US"/>
        </w:rPr>
        <w:t xml:space="preserve">atabase of </w:t>
      </w:r>
      <w:r>
        <w:rPr>
          <w:sz w:val="20"/>
          <w:szCs w:val="20"/>
          <w:lang w:val="en-US"/>
        </w:rPr>
        <w:t>S</w:t>
      </w:r>
      <w:r w:rsidRPr="00E56D89">
        <w:rPr>
          <w:sz w:val="20"/>
          <w:szCs w:val="20"/>
          <w:lang w:val="en-US"/>
        </w:rPr>
        <w:t xml:space="preserve">ystematic </w:t>
      </w:r>
      <w:r>
        <w:rPr>
          <w:sz w:val="20"/>
          <w:szCs w:val="20"/>
          <w:lang w:val="en-US"/>
        </w:rPr>
        <w:t>R</w:t>
      </w:r>
      <w:r w:rsidRPr="00E56D89">
        <w:rPr>
          <w:sz w:val="20"/>
          <w:szCs w:val="20"/>
          <w:lang w:val="en-US"/>
        </w:rPr>
        <w:t>eviews</w:t>
      </w:r>
      <w:r>
        <w:rPr>
          <w:sz w:val="20"/>
          <w:szCs w:val="20"/>
          <w:lang w:val="en-US"/>
        </w:rPr>
        <w:t>.</w:t>
      </w:r>
      <w:r w:rsidRPr="00E56D89">
        <w:rPr>
          <w:sz w:val="20"/>
          <w:szCs w:val="20"/>
          <w:lang w:val="en-US"/>
        </w:rPr>
        <w:t xml:space="preserve"> </w:t>
      </w:r>
      <w:r w:rsidRPr="00FC1996">
        <w:rPr>
          <w:sz w:val="20"/>
          <w:szCs w:val="20"/>
          <w:lang w:val="en-US"/>
        </w:rPr>
        <w:t>2006(3):CD004563.</w:t>
      </w:r>
    </w:p>
    <w:p w14:paraId="04622C83" w14:textId="77777777" w:rsidR="00A53B7E" w:rsidRPr="00FC1996" w:rsidRDefault="00A53B7E" w:rsidP="0098730F">
      <w:pPr>
        <w:pStyle w:val="ListParagraph"/>
        <w:numPr>
          <w:ilvl w:val="0"/>
          <w:numId w:val="19"/>
        </w:numPr>
        <w:spacing w:after="0" w:line="480" w:lineRule="auto"/>
        <w:rPr>
          <w:sz w:val="20"/>
          <w:szCs w:val="20"/>
          <w:lang w:val="en-US"/>
        </w:rPr>
      </w:pPr>
      <w:r w:rsidRPr="00FC1996">
        <w:rPr>
          <w:sz w:val="20"/>
          <w:szCs w:val="20"/>
          <w:lang w:val="en-US"/>
        </w:rPr>
        <w:t>Australian Commission on Safety and Quality in Health Care. Consumer Engagement by the Commission. Sydney: Australian Commission on Safety and Quality in Health Care; 2009.</w:t>
      </w:r>
    </w:p>
    <w:p w14:paraId="45524EBE" w14:textId="77777777" w:rsidR="00A53B7E" w:rsidRPr="001176FC" w:rsidRDefault="00A53B7E" w:rsidP="0098730F">
      <w:pPr>
        <w:pStyle w:val="ListParagraph"/>
        <w:numPr>
          <w:ilvl w:val="0"/>
          <w:numId w:val="19"/>
        </w:numPr>
        <w:spacing w:after="0" w:line="480" w:lineRule="auto"/>
        <w:rPr>
          <w:sz w:val="20"/>
          <w:szCs w:val="20"/>
          <w:lang w:val="en-US"/>
        </w:rPr>
      </w:pPr>
      <w:r w:rsidRPr="00FC1996">
        <w:rPr>
          <w:sz w:val="20"/>
          <w:szCs w:val="20"/>
          <w:lang w:val="en-US"/>
        </w:rPr>
        <w:t>International Association for Public Participation Australasia (IAP2). Quality assurance standard for community and stakeholder engagement. Wollongong, New South Wales: International Association for Public Participation Australasia; 2015.</w:t>
      </w:r>
    </w:p>
    <w:p w14:paraId="01A3AEDC" w14:textId="77777777" w:rsidR="00A53B7E" w:rsidRDefault="00A53B7E" w:rsidP="0098730F">
      <w:pPr>
        <w:pStyle w:val="ListParagraph"/>
        <w:numPr>
          <w:ilvl w:val="0"/>
          <w:numId w:val="19"/>
        </w:numPr>
        <w:spacing w:after="0" w:line="480" w:lineRule="auto"/>
        <w:rPr>
          <w:sz w:val="20"/>
          <w:szCs w:val="20"/>
          <w:lang w:val="en-US"/>
        </w:rPr>
      </w:pPr>
      <w:r w:rsidRPr="00FC1996">
        <w:rPr>
          <w:sz w:val="20"/>
          <w:szCs w:val="20"/>
          <w:lang w:val="en-US"/>
        </w:rPr>
        <w:t>Burns KK, Bellows M, Eigenseher C, Gallivan J. ‘Practical’resources to support patient and family engagement in healthcare decisions: a scoping review. BMC Health Serv Res. 2014;14(1):175.</w:t>
      </w:r>
    </w:p>
    <w:p w14:paraId="7F77ED9B" w14:textId="77777777" w:rsidR="00A53B7E" w:rsidRPr="00FC1996" w:rsidRDefault="00A53B7E" w:rsidP="0098730F">
      <w:pPr>
        <w:pStyle w:val="ListParagraph"/>
        <w:numPr>
          <w:ilvl w:val="0"/>
          <w:numId w:val="19"/>
        </w:numPr>
        <w:spacing w:after="0" w:line="480" w:lineRule="auto"/>
        <w:rPr>
          <w:sz w:val="20"/>
          <w:szCs w:val="20"/>
          <w:lang w:val="en-US"/>
        </w:rPr>
      </w:pPr>
      <w:r w:rsidRPr="00FC1996">
        <w:rPr>
          <w:sz w:val="20"/>
          <w:szCs w:val="20"/>
          <w:lang w:val="en-US"/>
        </w:rPr>
        <w:t>Hickey G, Brearley S, Coldham T, Denegri S, Green G, Staniszewska S, et al. Guidance on co-producing a research project. Southampton: INVOLVE; 2018.</w:t>
      </w:r>
    </w:p>
    <w:p w14:paraId="36E362A6" w14:textId="77777777" w:rsidR="00A53B7E" w:rsidRDefault="00A53B7E" w:rsidP="0098730F">
      <w:pPr>
        <w:pStyle w:val="ListParagraph"/>
        <w:numPr>
          <w:ilvl w:val="0"/>
          <w:numId w:val="19"/>
        </w:numPr>
        <w:spacing w:after="0" w:line="480" w:lineRule="auto"/>
        <w:rPr>
          <w:sz w:val="20"/>
          <w:szCs w:val="20"/>
          <w:lang w:val="en-US"/>
        </w:rPr>
      </w:pPr>
      <w:r w:rsidRPr="00013DE8">
        <w:rPr>
          <w:sz w:val="20"/>
          <w:szCs w:val="20"/>
          <w:lang w:val="en-US"/>
        </w:rPr>
        <w:t>World Health Organisation</w:t>
      </w:r>
      <w:r>
        <w:rPr>
          <w:sz w:val="20"/>
          <w:szCs w:val="20"/>
          <w:lang w:val="en-US"/>
        </w:rPr>
        <w:t xml:space="preserve"> [Internet]. Health Policy. 2020 [</w:t>
      </w:r>
      <w:r w:rsidRPr="008F2672">
        <w:rPr>
          <w:sz w:val="20"/>
          <w:szCs w:val="20"/>
          <w:lang w:val="en-US"/>
        </w:rPr>
        <w:t xml:space="preserve">cited </w:t>
      </w:r>
      <w:r>
        <w:rPr>
          <w:sz w:val="20"/>
          <w:szCs w:val="20"/>
          <w:lang w:val="en-US"/>
        </w:rPr>
        <w:t xml:space="preserve">8th June 2020]. Available at: </w:t>
      </w:r>
      <w:hyperlink r:id="rId8" w:history="1">
        <w:r w:rsidRPr="00725717">
          <w:rPr>
            <w:rStyle w:val="Hyperlink"/>
            <w:sz w:val="20"/>
            <w:szCs w:val="20"/>
            <w:lang w:val="en-US"/>
          </w:rPr>
          <w:t>https://www.who.int/topics/health_policy/en/</w:t>
        </w:r>
      </w:hyperlink>
      <w:r>
        <w:rPr>
          <w:sz w:val="20"/>
          <w:szCs w:val="20"/>
          <w:lang w:val="en-US"/>
        </w:rPr>
        <w:t xml:space="preserve">. </w:t>
      </w:r>
    </w:p>
    <w:p w14:paraId="4C4C4BC0" w14:textId="77777777" w:rsidR="00A53B7E" w:rsidRDefault="00A53B7E" w:rsidP="0098730F">
      <w:pPr>
        <w:pStyle w:val="ListParagraph"/>
        <w:numPr>
          <w:ilvl w:val="0"/>
          <w:numId w:val="19"/>
        </w:numPr>
        <w:spacing w:after="0" w:line="480" w:lineRule="auto"/>
        <w:rPr>
          <w:sz w:val="20"/>
          <w:szCs w:val="20"/>
          <w:lang w:val="en-US"/>
        </w:rPr>
      </w:pPr>
      <w:r>
        <w:rPr>
          <w:sz w:val="20"/>
          <w:szCs w:val="20"/>
          <w:lang w:val="en-US"/>
        </w:rPr>
        <w:t>World Health Organisation [Internet]. Health Systems Strengthening Glossary. 2020 [</w:t>
      </w:r>
      <w:r w:rsidRPr="00443CB7">
        <w:rPr>
          <w:sz w:val="20"/>
          <w:szCs w:val="20"/>
          <w:lang w:val="en-US"/>
        </w:rPr>
        <w:t xml:space="preserve">cited </w:t>
      </w:r>
      <w:r>
        <w:rPr>
          <w:sz w:val="20"/>
          <w:szCs w:val="20"/>
          <w:lang w:val="en-US"/>
        </w:rPr>
        <w:t xml:space="preserve">8th June 2020]. Available at: </w:t>
      </w:r>
      <w:hyperlink r:id="rId9" w:history="1">
        <w:r w:rsidRPr="00725717">
          <w:rPr>
            <w:rStyle w:val="Hyperlink"/>
            <w:sz w:val="20"/>
            <w:szCs w:val="20"/>
            <w:lang w:val="en-US"/>
          </w:rPr>
          <w:t>https://www.who.int/healthsystems/hss_glossary/en/index5.html</w:t>
        </w:r>
      </w:hyperlink>
      <w:r>
        <w:rPr>
          <w:sz w:val="20"/>
          <w:szCs w:val="20"/>
          <w:lang w:val="en-US"/>
        </w:rPr>
        <w:t xml:space="preserve">. </w:t>
      </w:r>
    </w:p>
    <w:p w14:paraId="2602EF9A" w14:textId="77777777" w:rsidR="00A53B7E" w:rsidRDefault="00A53B7E" w:rsidP="0098730F">
      <w:pPr>
        <w:pStyle w:val="ListParagraph"/>
        <w:numPr>
          <w:ilvl w:val="0"/>
          <w:numId w:val="19"/>
        </w:numPr>
        <w:spacing w:after="0" w:line="480" w:lineRule="auto"/>
        <w:rPr>
          <w:sz w:val="20"/>
          <w:szCs w:val="20"/>
          <w:lang w:val="en-US"/>
        </w:rPr>
      </w:pPr>
      <w:r w:rsidRPr="00013DE8">
        <w:rPr>
          <w:sz w:val="20"/>
          <w:szCs w:val="20"/>
          <w:lang w:val="en-US"/>
        </w:rPr>
        <w:t>Röhrig B, du Prel JB, Wachtlin D, Blettner M. Types of study in medical research: part 3 of a series on evaluation of scientific publications. D</w:t>
      </w:r>
      <w:r>
        <w:rPr>
          <w:sz w:val="20"/>
          <w:szCs w:val="20"/>
          <w:lang w:val="en-US"/>
        </w:rPr>
        <w:t>tsch A</w:t>
      </w:r>
      <w:r w:rsidRPr="00013DE8">
        <w:rPr>
          <w:sz w:val="20"/>
          <w:szCs w:val="20"/>
          <w:lang w:val="en-US"/>
        </w:rPr>
        <w:t>r</w:t>
      </w:r>
      <w:r>
        <w:rPr>
          <w:sz w:val="20"/>
          <w:szCs w:val="20"/>
          <w:lang w:val="en-US"/>
        </w:rPr>
        <w:t>ztebl I</w:t>
      </w:r>
      <w:r w:rsidRPr="00013DE8">
        <w:rPr>
          <w:sz w:val="20"/>
          <w:szCs w:val="20"/>
          <w:lang w:val="en-US"/>
        </w:rPr>
        <w:t>nt</w:t>
      </w:r>
      <w:r>
        <w:rPr>
          <w:sz w:val="20"/>
          <w:szCs w:val="20"/>
          <w:lang w:val="en-US"/>
        </w:rPr>
        <w:t>. 2</w:t>
      </w:r>
      <w:r w:rsidRPr="00013DE8">
        <w:rPr>
          <w:sz w:val="20"/>
          <w:szCs w:val="20"/>
          <w:lang w:val="en-US"/>
        </w:rPr>
        <w:t>009;106(15):262.</w:t>
      </w:r>
    </w:p>
    <w:p w14:paraId="59AE9B2B" w14:textId="77777777" w:rsidR="00A53B7E" w:rsidRPr="00C77FCF" w:rsidRDefault="00A53B7E" w:rsidP="0098730F">
      <w:pPr>
        <w:pStyle w:val="ListParagraph"/>
        <w:numPr>
          <w:ilvl w:val="0"/>
          <w:numId w:val="19"/>
        </w:numPr>
        <w:spacing w:after="0" w:line="480" w:lineRule="auto"/>
        <w:rPr>
          <w:sz w:val="20"/>
          <w:szCs w:val="20"/>
          <w:lang w:val="en-US"/>
        </w:rPr>
      </w:pPr>
      <w:r w:rsidRPr="00240094">
        <w:rPr>
          <w:sz w:val="20"/>
          <w:szCs w:val="20"/>
          <w:lang w:val="en-US"/>
        </w:rPr>
        <w:t xml:space="preserve">Ward PR, Thompson J, Barber R, Armitage CJ, Boote JD, Cooper CL, </w:t>
      </w:r>
      <w:r>
        <w:rPr>
          <w:sz w:val="20"/>
          <w:szCs w:val="20"/>
          <w:lang w:val="en-US"/>
        </w:rPr>
        <w:t>et al.</w:t>
      </w:r>
      <w:r w:rsidRPr="00240094">
        <w:rPr>
          <w:sz w:val="20"/>
          <w:szCs w:val="20"/>
          <w:lang w:val="en-US"/>
        </w:rPr>
        <w:t xml:space="preserve"> Critical perspectives on ‘consumer involvement’ in health research: epistemological dissonance and the know-do gap. </w:t>
      </w:r>
      <w:r w:rsidRPr="00FC1996">
        <w:rPr>
          <w:sz w:val="20"/>
          <w:szCs w:val="20"/>
          <w:lang w:val="en-US"/>
        </w:rPr>
        <w:t>Int J Sociol</w:t>
      </w:r>
      <w:r>
        <w:rPr>
          <w:sz w:val="20"/>
          <w:szCs w:val="20"/>
          <w:lang w:val="en-US"/>
        </w:rPr>
        <w:t>.</w:t>
      </w:r>
      <w:r w:rsidRPr="00240094">
        <w:rPr>
          <w:sz w:val="20"/>
          <w:szCs w:val="20"/>
          <w:lang w:val="en-US"/>
        </w:rPr>
        <w:t xml:space="preserve"> 2010;46(1):63-82.</w:t>
      </w:r>
    </w:p>
    <w:p w14:paraId="00ACBBAE" w14:textId="136930AA" w:rsidR="00A53B7E" w:rsidRPr="00CA1317" w:rsidRDefault="001E3E2D" w:rsidP="0098730F">
      <w:pPr>
        <w:spacing w:line="480" w:lineRule="auto"/>
        <w:rPr>
          <w:rFonts w:cstheme="minorHAnsi"/>
        </w:rPr>
      </w:pPr>
      <w:r w:rsidRPr="00CA1317">
        <w:rPr>
          <w:rFonts w:cstheme="minorHAnsi"/>
        </w:rPr>
        <w:t xml:space="preserve"> </w:t>
      </w:r>
    </w:p>
    <w:p w14:paraId="2165D211" w14:textId="77777777" w:rsidR="0003139C" w:rsidRDefault="0003139C" w:rsidP="0098730F">
      <w:pPr>
        <w:spacing w:line="480" w:lineRule="auto"/>
      </w:pPr>
    </w:p>
    <w:sectPr w:rsidR="0003139C" w:rsidSect="0098730F">
      <w:headerReference w:type="even" r:id="rId10"/>
      <w:headerReference w:type="default" r:id="rId11"/>
      <w:footerReference w:type="even" r:id="rId12"/>
      <w:footerReference w:type="default" r:id="rId13"/>
      <w:headerReference w:type="first" r:id="rId14"/>
      <w:footerReference w:type="first" r:id="rId15"/>
      <w:pgSz w:w="11906" w:h="16838" w:code="9"/>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6DDAA3" w14:textId="77777777" w:rsidR="001B6B37" w:rsidRDefault="001B6B37" w:rsidP="00F814BC">
      <w:pPr>
        <w:spacing w:after="0" w:line="240" w:lineRule="auto"/>
      </w:pPr>
      <w:r>
        <w:separator/>
      </w:r>
    </w:p>
  </w:endnote>
  <w:endnote w:type="continuationSeparator" w:id="0">
    <w:p w14:paraId="0CAA1590" w14:textId="77777777" w:rsidR="001B6B37" w:rsidRDefault="001B6B37" w:rsidP="00F814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779F2" w14:textId="77777777" w:rsidR="00F814BC" w:rsidRDefault="00F814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8967708"/>
      <w:docPartObj>
        <w:docPartGallery w:val="Page Numbers (Bottom of Page)"/>
        <w:docPartUnique/>
      </w:docPartObj>
    </w:sdtPr>
    <w:sdtEndPr>
      <w:rPr>
        <w:noProof/>
      </w:rPr>
    </w:sdtEndPr>
    <w:sdtContent>
      <w:p w14:paraId="538C0D90" w14:textId="43B45DA2" w:rsidR="00F814BC" w:rsidRDefault="00F814B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D161A56" w14:textId="77777777" w:rsidR="00F814BC" w:rsidRDefault="00F814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C3E41E" w14:textId="77777777" w:rsidR="00F814BC" w:rsidRDefault="00F81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05B9CE" w14:textId="77777777" w:rsidR="001B6B37" w:rsidRDefault="001B6B37" w:rsidP="00F814BC">
      <w:pPr>
        <w:spacing w:after="0" w:line="240" w:lineRule="auto"/>
      </w:pPr>
      <w:r>
        <w:separator/>
      </w:r>
    </w:p>
  </w:footnote>
  <w:footnote w:type="continuationSeparator" w:id="0">
    <w:p w14:paraId="1E744BA0" w14:textId="77777777" w:rsidR="001B6B37" w:rsidRDefault="001B6B37" w:rsidP="00F814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83A341" w14:textId="77777777" w:rsidR="00F814BC" w:rsidRDefault="00F814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3BCEAB" w14:textId="77777777" w:rsidR="00F814BC" w:rsidRDefault="00F814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1212A3" w14:textId="77777777" w:rsidR="00F814BC" w:rsidRDefault="00F814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35953"/>
    <w:multiLevelType w:val="multilevel"/>
    <w:tmpl w:val="F7F89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351DB8"/>
    <w:multiLevelType w:val="multilevel"/>
    <w:tmpl w:val="B6C06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7E4766"/>
    <w:multiLevelType w:val="hybridMultilevel"/>
    <w:tmpl w:val="8AF8CBA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CAF460B"/>
    <w:multiLevelType w:val="hybridMultilevel"/>
    <w:tmpl w:val="B26ED2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DA34579"/>
    <w:multiLevelType w:val="multilevel"/>
    <w:tmpl w:val="CABE6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A47E2B"/>
    <w:multiLevelType w:val="multilevel"/>
    <w:tmpl w:val="3BCA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6441CB"/>
    <w:multiLevelType w:val="multilevel"/>
    <w:tmpl w:val="97C61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8F5E7B"/>
    <w:multiLevelType w:val="multilevel"/>
    <w:tmpl w:val="B9B02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554E18"/>
    <w:multiLevelType w:val="multilevel"/>
    <w:tmpl w:val="8D94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495C5F"/>
    <w:multiLevelType w:val="multilevel"/>
    <w:tmpl w:val="C68A4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DA60CC"/>
    <w:multiLevelType w:val="multilevel"/>
    <w:tmpl w:val="5B368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CD4F19"/>
    <w:multiLevelType w:val="hybridMultilevel"/>
    <w:tmpl w:val="7B88757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26A3AB7"/>
    <w:multiLevelType w:val="multilevel"/>
    <w:tmpl w:val="A290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021058"/>
    <w:multiLevelType w:val="multilevel"/>
    <w:tmpl w:val="62E4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486619"/>
    <w:multiLevelType w:val="multilevel"/>
    <w:tmpl w:val="33EE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2C3A99"/>
    <w:multiLevelType w:val="multilevel"/>
    <w:tmpl w:val="6468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9C6A25"/>
    <w:multiLevelType w:val="multilevel"/>
    <w:tmpl w:val="B5E8F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383494"/>
    <w:multiLevelType w:val="multilevel"/>
    <w:tmpl w:val="9E06B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2D5352"/>
    <w:multiLevelType w:val="multilevel"/>
    <w:tmpl w:val="5F408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7"/>
  </w:num>
  <w:num w:numId="3">
    <w:abstractNumId w:val="4"/>
  </w:num>
  <w:num w:numId="4">
    <w:abstractNumId w:val="10"/>
  </w:num>
  <w:num w:numId="5">
    <w:abstractNumId w:val="0"/>
  </w:num>
  <w:num w:numId="6">
    <w:abstractNumId w:val="1"/>
  </w:num>
  <w:num w:numId="7">
    <w:abstractNumId w:val="6"/>
  </w:num>
  <w:num w:numId="8">
    <w:abstractNumId w:val="9"/>
  </w:num>
  <w:num w:numId="9">
    <w:abstractNumId w:val="13"/>
  </w:num>
  <w:num w:numId="10">
    <w:abstractNumId w:val="12"/>
  </w:num>
  <w:num w:numId="11">
    <w:abstractNumId w:val="18"/>
  </w:num>
  <w:num w:numId="12">
    <w:abstractNumId w:val="5"/>
  </w:num>
  <w:num w:numId="13">
    <w:abstractNumId w:val="15"/>
  </w:num>
  <w:num w:numId="14">
    <w:abstractNumId w:val="16"/>
  </w:num>
  <w:num w:numId="15">
    <w:abstractNumId w:val="7"/>
  </w:num>
  <w:num w:numId="16">
    <w:abstractNumId w:val="14"/>
  </w:num>
  <w:num w:numId="17">
    <w:abstractNumId w:val="3"/>
  </w:num>
  <w:num w:numId="18">
    <w:abstractNumId w:val="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B7E"/>
    <w:rsid w:val="0003139C"/>
    <w:rsid w:val="000B50CF"/>
    <w:rsid w:val="001B6B37"/>
    <w:rsid w:val="001E3E2D"/>
    <w:rsid w:val="004E6491"/>
    <w:rsid w:val="00830AC8"/>
    <w:rsid w:val="0098730F"/>
    <w:rsid w:val="00A42CE9"/>
    <w:rsid w:val="00A53B7E"/>
    <w:rsid w:val="00BE2216"/>
    <w:rsid w:val="00BF4600"/>
    <w:rsid w:val="00EA55DE"/>
    <w:rsid w:val="00EF7ACD"/>
    <w:rsid w:val="00F814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5CD1A"/>
  <w15:chartTrackingRefBased/>
  <w15:docId w15:val="{0B43CAD2-937F-4621-AAEF-C5D87813C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B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3B7E"/>
    <w:rPr>
      <w:color w:val="0563C1" w:themeColor="hyperlink"/>
      <w:u w:val="single"/>
    </w:rPr>
  </w:style>
  <w:style w:type="paragraph" w:styleId="ListParagraph">
    <w:name w:val="List Paragraph"/>
    <w:basedOn w:val="Normal"/>
    <w:uiPriority w:val="34"/>
    <w:qFormat/>
    <w:rsid w:val="00A53B7E"/>
    <w:pPr>
      <w:ind w:left="720"/>
      <w:contextualSpacing/>
    </w:pPr>
  </w:style>
  <w:style w:type="character" w:customStyle="1" w:styleId="cit">
    <w:name w:val="cit"/>
    <w:basedOn w:val="DefaultParagraphFont"/>
    <w:rsid w:val="00A53B7E"/>
  </w:style>
  <w:style w:type="character" w:styleId="LineNumber">
    <w:name w:val="line number"/>
    <w:basedOn w:val="DefaultParagraphFont"/>
    <w:uiPriority w:val="99"/>
    <w:semiHidden/>
    <w:unhideWhenUsed/>
    <w:rsid w:val="0098730F"/>
  </w:style>
  <w:style w:type="paragraph" w:styleId="Header">
    <w:name w:val="header"/>
    <w:basedOn w:val="Normal"/>
    <w:link w:val="HeaderChar"/>
    <w:uiPriority w:val="99"/>
    <w:unhideWhenUsed/>
    <w:rsid w:val="00F814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14BC"/>
  </w:style>
  <w:style w:type="paragraph" w:styleId="Footer">
    <w:name w:val="footer"/>
    <w:basedOn w:val="Normal"/>
    <w:link w:val="FooterChar"/>
    <w:uiPriority w:val="99"/>
    <w:unhideWhenUsed/>
    <w:rsid w:val="00F814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1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topics/health_policy/en/"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who.int/healthsystems/hss_glossary/en/index5.html"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E40360-9DAD-4939-80AF-FE89BB7E8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1666</Words>
  <Characters>9500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Wiles</dc:creator>
  <cp:keywords/>
  <dc:description/>
  <cp:lastModifiedBy>anthea worley</cp:lastModifiedBy>
  <cp:revision>5</cp:revision>
  <dcterms:created xsi:type="dcterms:W3CDTF">2020-09-19T08:04:00Z</dcterms:created>
  <dcterms:modified xsi:type="dcterms:W3CDTF">2020-09-19T11:18:00Z</dcterms:modified>
</cp:coreProperties>
</file>