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269230" cy="3577590"/>
            <wp:effectExtent l="0" t="0" r="7620" b="3810"/>
            <wp:docPr id="8" name="图片 8" descr="Fig.3 1W行为-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.3 1W行为-xi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1.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One-week social isolation does not induce depressive-like behaviors both in male and female mice.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</w:t>
      </w:r>
      <w:r>
        <w:rPr>
          <w:rFonts w:hint="eastAsia" w:ascii="Arial" w:hAnsi="Arial" w:cs="Arial"/>
          <w:color w:val="auto"/>
          <w:sz w:val="24"/>
          <w:szCs w:val="24"/>
        </w:rPr>
        <w:t xml:space="preserve">) </w:t>
      </w:r>
      <w:r>
        <w:rPr>
          <w:rFonts w:ascii="Arial" w:hAnsi="Arial" w:cs="Arial"/>
          <w:color w:val="auto"/>
          <w:sz w:val="24"/>
          <w:szCs w:val="24"/>
        </w:rPr>
        <w:t xml:space="preserve">Schematic of the </w:t>
      </w:r>
      <w:r>
        <w:rPr>
          <w:rFonts w:hint="eastAsia" w:ascii="Arial" w:hAnsi="Arial" w:cs="Arial"/>
          <w:color w:val="auto"/>
          <w:sz w:val="24"/>
          <w:szCs w:val="24"/>
        </w:rPr>
        <w:t>depressive</w:t>
      </w:r>
      <w:r>
        <w:rPr>
          <w:rFonts w:ascii="Arial" w:hAnsi="Arial" w:cs="Arial"/>
          <w:color w:val="auto"/>
          <w:sz w:val="24"/>
          <w:szCs w:val="24"/>
        </w:rPr>
        <w:t xml:space="preserve">- and </w:t>
      </w:r>
      <w:r>
        <w:rPr>
          <w:rFonts w:hint="eastAsia" w:ascii="Arial" w:hAnsi="Arial" w:cs="Arial"/>
          <w:color w:val="auto"/>
          <w:sz w:val="24"/>
          <w:szCs w:val="24"/>
        </w:rPr>
        <w:t>anxiety-related</w:t>
      </w:r>
      <w:r>
        <w:rPr>
          <w:rFonts w:ascii="Arial" w:hAnsi="Arial" w:cs="Arial"/>
          <w:color w:val="auto"/>
          <w:sz w:val="24"/>
          <w:szCs w:val="24"/>
        </w:rPr>
        <w:t xml:space="preserve"> behavior test</w:t>
      </w:r>
      <w:r>
        <w:rPr>
          <w:rFonts w:hint="eastAsia" w:ascii="Arial" w:hAnsi="Arial" w:cs="Arial"/>
          <w:color w:val="auto"/>
          <w:sz w:val="24"/>
          <w:szCs w:val="24"/>
        </w:rPr>
        <w:t>s</w:t>
      </w:r>
      <w:r>
        <w:rPr>
          <w:rFonts w:ascii="Arial" w:hAnsi="Arial" w:cs="Arial"/>
          <w:color w:val="auto"/>
          <w:sz w:val="24"/>
          <w:szCs w:val="24"/>
        </w:rPr>
        <w:t xml:space="preserve"> after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social isolation during adolescence.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B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No difference was found in the sucrose preference in male and female mice suffering from one-week social isolation during adolescence </w:t>
      </w:r>
      <w:r>
        <w:rPr>
          <w:rFonts w:hint="eastAsia" w:ascii="Arial" w:hAnsi="Arial" w:cs="Arial"/>
          <w:color w:val="auto"/>
          <w:sz w:val="24"/>
          <w:szCs w:val="24"/>
        </w:rPr>
        <w:t>(n=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8-10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091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=0.342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C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One-week social isolation did not affect immobile time in the FST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8-10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568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=0.513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D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Social ability was not affected by one-week social isolation begun at P21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8-10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003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=0.267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E, F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In the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EPM</w:t>
      </w:r>
      <w:r>
        <w:rPr>
          <w:rFonts w:ascii="Arial" w:hAnsi="Arial" w:cs="Arial"/>
          <w:color w:val="auto"/>
          <w:sz w:val="24"/>
          <w:szCs w:val="24"/>
        </w:rPr>
        <w:t xml:space="preserve"> test,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i</w:t>
      </w:r>
      <w:r>
        <w:rPr>
          <w:rFonts w:hint="eastAsia" w:ascii="Arial" w:hAnsi="Arial" w:cs="Arial"/>
          <w:color w:val="auto"/>
          <w:sz w:val="24"/>
          <w:szCs w:val="24"/>
        </w:rPr>
        <w:t>solated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</w:rPr>
        <w:t>mice</w:t>
      </w:r>
      <w:r>
        <w:rPr>
          <w:rFonts w:ascii="Arial" w:hAnsi="Arial" w:cs="Arial"/>
          <w:color w:val="auto"/>
          <w:sz w:val="24"/>
          <w:szCs w:val="24"/>
        </w:rPr>
        <w:t xml:space="preserve"> spent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similar</w:t>
      </w:r>
      <w:r>
        <w:rPr>
          <w:rFonts w:ascii="Arial" w:hAnsi="Arial" w:cs="Arial"/>
          <w:color w:val="auto"/>
          <w:sz w:val="24"/>
          <w:szCs w:val="24"/>
        </w:rPr>
        <w:t xml:space="preserve"> time in the open and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closed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arms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compared with control mice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8-10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E,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625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=0.502; for F,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325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=0.457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G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In the </w:t>
      </w:r>
      <w:r>
        <w:rPr>
          <w:rFonts w:hint="eastAsia" w:ascii="Arial" w:hAnsi="Arial" w:cs="Arial"/>
          <w:color w:val="auto"/>
          <w:sz w:val="24"/>
          <w:szCs w:val="24"/>
        </w:rPr>
        <w:t>NSF</w:t>
      </w:r>
      <w:r>
        <w:rPr>
          <w:rFonts w:ascii="Arial" w:hAnsi="Arial" w:cs="Arial"/>
          <w:color w:val="auto"/>
          <w:sz w:val="24"/>
          <w:szCs w:val="24"/>
        </w:rPr>
        <w:t xml:space="preserve"> test, the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latency to explore and bite the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food was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similar among groups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8-10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428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=0.403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H, I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bookmarkStart w:id="7" w:name="_GoBack"/>
      <w:bookmarkEnd w:id="7"/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One</w:t>
      </w:r>
      <w:r>
        <w:rPr>
          <w:rFonts w:hint="eastAsia" w:ascii="Arial" w:hAnsi="Arial" w:cs="Arial"/>
          <w:color w:val="auto"/>
          <w:sz w:val="24"/>
          <w:szCs w:val="24"/>
        </w:rPr>
        <w:t>-week social isolat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ion did not affect behavioral performance</w:t>
      </w:r>
      <w:r>
        <w:rPr>
          <w:rFonts w:ascii="Arial" w:hAnsi="Arial" w:cs="Arial"/>
          <w:color w:val="auto"/>
          <w:sz w:val="24"/>
          <w:szCs w:val="24"/>
        </w:rPr>
        <w:t xml:space="preserve"> in the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OFT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8-10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H,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547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=0.635; for I,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221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=0.546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J-L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The cognitive ability was not affected by one-week social isolation among groups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8-10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K: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417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=0.402; for L: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713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=0.356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ascii="Arial" w:hAnsi="Arial" w:cs="Arial"/>
          <w:color w:val="auto"/>
          <w:sz w:val="24"/>
          <w:szCs w:val="24"/>
        </w:rPr>
        <w:t>Data were presented as mean ± s.e.m.</w:t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eastAsia" w:ascii="Arial" w:hAnsi="Arial" w:cs="Arial" w:eastAsiaTheme="minorEastAsia"/>
          <w:color w:val="auto"/>
          <w:sz w:val="24"/>
          <w:szCs w:val="24"/>
          <w:lang w:eastAsia="zh-CN"/>
        </w:rPr>
      </w:pPr>
      <w:r>
        <w:rPr>
          <w:rFonts w:hint="eastAsia" w:ascii="Arial" w:hAnsi="Arial" w:cs="Arial" w:eastAsia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71770" cy="4257675"/>
            <wp:effectExtent l="0" t="0" r="5080" b="9525"/>
            <wp:docPr id="11" name="图片 11" descr="Fig.1 3W行为-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.1 3W行为-xi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S2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.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Three-week social isolation induces more seriously</w:t>
      </w:r>
      <w:r>
        <w:rPr>
          <w:rFonts w:hint="eastAsia" w:ascii="Arial" w:hAnsi="Arial" w:cs="Arial"/>
          <w:color w:val="auto"/>
          <w:sz w:val="30"/>
          <w:szCs w:val="30"/>
          <w:lang w:val="en-US" w:eastAsia="zh-CN"/>
        </w:rPr>
        <w:t xml:space="preserve">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behavioral changes in female than male mice.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</w:t>
      </w:r>
      <w:r>
        <w:rPr>
          <w:rFonts w:hint="eastAsia" w:ascii="Arial" w:hAnsi="Arial" w:cs="Arial"/>
          <w:color w:val="auto"/>
          <w:sz w:val="24"/>
          <w:szCs w:val="24"/>
        </w:rPr>
        <w:t xml:space="preserve">) </w:t>
      </w:r>
      <w:r>
        <w:rPr>
          <w:rFonts w:ascii="Arial" w:hAnsi="Arial" w:cs="Arial"/>
          <w:color w:val="auto"/>
          <w:sz w:val="24"/>
          <w:szCs w:val="24"/>
        </w:rPr>
        <w:t xml:space="preserve">Schematic of the </w:t>
      </w:r>
      <w:r>
        <w:rPr>
          <w:rFonts w:hint="eastAsia" w:ascii="Arial" w:hAnsi="Arial" w:cs="Arial"/>
          <w:color w:val="auto"/>
          <w:sz w:val="24"/>
          <w:szCs w:val="24"/>
        </w:rPr>
        <w:t>depressive</w:t>
      </w:r>
      <w:r>
        <w:rPr>
          <w:rFonts w:ascii="Arial" w:hAnsi="Arial" w:cs="Arial"/>
          <w:color w:val="auto"/>
          <w:sz w:val="24"/>
          <w:szCs w:val="24"/>
        </w:rPr>
        <w:t xml:space="preserve">- and </w:t>
      </w:r>
      <w:r>
        <w:rPr>
          <w:rFonts w:hint="eastAsia" w:ascii="Arial" w:hAnsi="Arial" w:cs="Arial"/>
          <w:color w:val="auto"/>
          <w:sz w:val="24"/>
          <w:szCs w:val="24"/>
        </w:rPr>
        <w:t>anxiety-related</w:t>
      </w:r>
      <w:r>
        <w:rPr>
          <w:rFonts w:ascii="Arial" w:hAnsi="Arial" w:cs="Arial"/>
          <w:color w:val="auto"/>
          <w:sz w:val="24"/>
          <w:szCs w:val="24"/>
        </w:rPr>
        <w:t xml:space="preserve"> behavior test</w:t>
      </w:r>
      <w:r>
        <w:rPr>
          <w:rFonts w:hint="eastAsia" w:ascii="Arial" w:hAnsi="Arial" w:cs="Arial"/>
          <w:color w:val="auto"/>
          <w:sz w:val="24"/>
          <w:szCs w:val="24"/>
        </w:rPr>
        <w:t>s</w:t>
      </w:r>
      <w:r>
        <w:rPr>
          <w:rFonts w:ascii="Arial" w:hAnsi="Arial" w:cs="Arial"/>
          <w:color w:val="auto"/>
          <w:sz w:val="24"/>
          <w:szCs w:val="24"/>
        </w:rPr>
        <w:t xml:space="preserve"> after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social isolation during adolescence.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B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Three-week social isolation caused decreased sucrose preference both in male and female mice </w:t>
      </w:r>
      <w:r>
        <w:rPr>
          <w:rFonts w:hint="eastAsia" w:ascii="Arial" w:hAnsi="Arial" w:cs="Arial"/>
          <w:color w:val="auto"/>
          <w:sz w:val="24"/>
          <w:szCs w:val="24"/>
        </w:rPr>
        <w:t>(n=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9-10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146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=0.021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C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Three-week social isolation induced more increased immobile time in female than male mice in the FST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9-10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735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=0.019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D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Social ability was more seriously disturbed by three-week social isolation begun at P21 in female than male mice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9-10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354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=0.017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E-I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Three-week social isolation induced more seriously anxiety-like behaviors in female than male mice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9-10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E,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674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=0.024; for F,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358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=0.016; for G,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008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=0.028; for H,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145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=0.014; for I,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035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=0.462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bookmarkStart w:id="0" w:name="OLE_LINK1"/>
      <w:r>
        <w:rPr>
          <w:rFonts w:ascii="Arial" w:hAnsi="Arial" w:cs="Arial"/>
          <w:color w:val="auto"/>
          <w:sz w:val="24"/>
          <w:szCs w:val="24"/>
        </w:rPr>
        <w:t>Data were presented as mean ± s.e.m</w:t>
      </w:r>
      <w:bookmarkEnd w:id="0"/>
      <w:r>
        <w:rPr>
          <w:rFonts w:ascii="Arial" w:hAnsi="Arial" w:cs="Arial"/>
          <w:color w:val="auto"/>
          <w:sz w:val="24"/>
          <w:szCs w:val="24"/>
        </w:rPr>
        <w:t xml:space="preserve">; *,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P</w:t>
      </w:r>
      <w:r>
        <w:rPr>
          <w:rFonts w:ascii="Arial" w:hAnsi="Arial" w:cs="Arial"/>
          <w:color w:val="auto"/>
          <w:sz w:val="24"/>
          <w:szCs w:val="24"/>
        </w:rPr>
        <w:t xml:space="preserve"> &lt; 0.0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5, **, P&lt;0.01</w:t>
      </w:r>
      <w:r>
        <w:rPr>
          <w:rFonts w:ascii="Arial" w:hAnsi="Arial" w:cs="Arial"/>
          <w:color w:val="auto"/>
          <w:sz w:val="24"/>
          <w:szCs w:val="24"/>
        </w:rPr>
        <w:t>.</w:t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eastAsia" w:ascii="Arial" w:hAnsi="Arial" w:cs="Arial" w:eastAsiaTheme="minorEastAsia"/>
          <w:color w:val="auto"/>
          <w:sz w:val="24"/>
          <w:szCs w:val="24"/>
          <w:lang w:eastAsia="zh-CN"/>
        </w:rPr>
      </w:pPr>
      <w:r>
        <w:rPr>
          <w:rFonts w:hint="eastAsia" w:ascii="Arial" w:hAnsi="Arial" w:cs="Arial" w:eastAsia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68595" cy="2792730"/>
            <wp:effectExtent l="0" t="0" r="8255" b="7620"/>
            <wp:docPr id="4" name="图片 4" descr="Fig.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.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S3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.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Two-week social isolation does not affect weight of the peripheral organs.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A-E</w:t>
      </w:r>
      <w:r>
        <w:rPr>
          <w:rFonts w:hint="eastAsia" w:ascii="Arial" w:hAnsi="Arial" w:cs="Arial"/>
          <w:color w:val="auto"/>
          <w:sz w:val="24"/>
          <w:szCs w:val="24"/>
        </w:rPr>
        <w:t xml:space="preserve">)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Weight of the heart, liver, spleen, lung and kidney in mice subjected from social isolation treatment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A: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578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=0.632; for B: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879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=0.725; for C: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154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=0.523; for D: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008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=0.556; for E: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045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=0.261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F, G</w:t>
      </w:r>
      <w:r>
        <w:rPr>
          <w:rFonts w:hint="eastAsia" w:ascii="Arial" w:hAnsi="Arial" w:cs="Arial"/>
          <w:color w:val="auto"/>
          <w:sz w:val="24"/>
          <w:szCs w:val="24"/>
        </w:rPr>
        <w:t xml:space="preserve">)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Fat and lean mass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in mice subjected from social isolation treatment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F: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235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=0.532; for G: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092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=0.597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ascii="Arial" w:hAnsi="Arial" w:cs="Arial"/>
          <w:color w:val="auto"/>
          <w:sz w:val="24"/>
          <w:szCs w:val="24"/>
        </w:rPr>
        <w:t>Data were presented as mean ± s.e.m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.</w:t>
      </w: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</w:p>
    <w:p>
      <w:pPr>
        <w:rPr>
          <w:rFonts w:hint="eastAsia" w:ascii="Arial" w:hAnsi="Arial" w:cs="Arial"/>
          <w:color w:val="auto"/>
          <w:sz w:val="24"/>
          <w:szCs w:val="24"/>
          <w:lang w:val="en-US" w:eastAsia="zh-CN"/>
        </w:rPr>
      </w:pP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7960" cy="2613660"/>
            <wp:effectExtent l="0" t="0" r="8890" b="15240"/>
            <wp:docPr id="5" name="图片 5" descr="Fig.S4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.S4 AL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S4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. 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>Serum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>levels of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>hepatic parameters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 after two-week social isolation.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A-H</w:t>
      </w:r>
      <w:r>
        <w:rPr>
          <w:rFonts w:hint="eastAsia" w:ascii="Arial" w:hAnsi="Arial" w:cs="Arial"/>
          <w:color w:val="auto"/>
          <w:sz w:val="24"/>
          <w:szCs w:val="24"/>
        </w:rPr>
        <w:t xml:space="preserve">)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Social isolation stress increase ALT and AST levels without affecting the levels of others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A: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9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246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=0.023; for B: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9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985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=0.049; for C: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9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546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=0.887; for D: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9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564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=0.465; for E: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9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681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=0.424; for F: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9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556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=0.446; for G: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9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321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=0.487; for H: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9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347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=0.536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ascii="Arial" w:hAnsi="Arial" w:cs="Arial"/>
          <w:color w:val="auto"/>
          <w:sz w:val="24"/>
          <w:szCs w:val="24"/>
        </w:rPr>
        <w:t>Data were presented as mean ± s.e.m; *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*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P</w:t>
      </w:r>
      <w:r>
        <w:rPr>
          <w:rFonts w:ascii="Arial" w:hAnsi="Arial" w:cs="Arial"/>
          <w:color w:val="auto"/>
          <w:sz w:val="24"/>
          <w:szCs w:val="24"/>
        </w:rPr>
        <w:t xml:space="preserve"> &lt; 0.0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1, ***, P&lt;0.001</w:t>
      </w:r>
      <w:r>
        <w:rPr>
          <w:rFonts w:ascii="Arial" w:hAnsi="Arial" w:cs="Arial"/>
          <w:color w:val="auto"/>
          <w:sz w:val="24"/>
          <w:szCs w:val="24"/>
        </w:rPr>
        <w:t>.</w:t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eastAsia" w:ascii="Arial" w:hAnsi="Arial" w:cs="Arial" w:eastAsiaTheme="minorEastAsia"/>
          <w:color w:val="auto"/>
          <w:sz w:val="24"/>
          <w:szCs w:val="24"/>
          <w:lang w:eastAsia="zh-CN"/>
        </w:rPr>
      </w:pPr>
      <w:r>
        <w:rPr>
          <w:rFonts w:hint="eastAsia" w:ascii="Arial" w:hAnsi="Arial" w:cs="Arial" w:eastAsia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67960" cy="5198745"/>
            <wp:effectExtent l="0" t="0" r="8890" b="1905"/>
            <wp:docPr id="12" name="图片 12" descr="Fig.4-1 10%行为-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.4-1 10%行为-xi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Arial" w:hAnsi="Arial" w:cs="Arial" w:eastAsiaTheme="minorEastAsia"/>
          <w:color w:val="auto"/>
          <w:sz w:val="24"/>
          <w:szCs w:val="24"/>
          <w:lang w:eastAsia="zh-CN"/>
        </w:rPr>
      </w:pPr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S5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.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Two-week 10% CR does not affect body weight and depressive-like behaviors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 both </w:t>
      </w:r>
      <w:r>
        <w:rPr>
          <w:rFonts w:ascii="Arial" w:hAnsi="Arial" w:cs="Arial"/>
          <w:b/>
          <w:color w:val="auto"/>
          <w:sz w:val="24"/>
          <w:szCs w:val="24"/>
        </w:rPr>
        <w:t>in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hAnsi="Arial" w:cs="Arial"/>
          <w:b/>
          <w:color w:val="auto"/>
          <w:sz w:val="24"/>
          <w:szCs w:val="24"/>
        </w:rPr>
        <w:t xml:space="preserve">male </w:t>
      </w:r>
      <w:r>
        <w:rPr>
          <w:rFonts w:hint="eastAsia" w:ascii="Arial" w:hAnsi="Arial" w:cs="Arial"/>
          <w:b/>
          <w:color w:val="auto"/>
          <w:sz w:val="24"/>
          <w:szCs w:val="24"/>
        </w:rPr>
        <w:t>and</w:t>
      </w:r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fe</w:t>
      </w:r>
      <w:r>
        <w:rPr>
          <w:rFonts w:ascii="Arial" w:hAnsi="Arial" w:cs="Arial"/>
          <w:b/>
          <w:color w:val="auto"/>
          <w:sz w:val="24"/>
          <w:szCs w:val="24"/>
        </w:rPr>
        <w:t>male mice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</w:t>
      </w:r>
      <w:r>
        <w:rPr>
          <w:rFonts w:hint="eastAsia" w:ascii="Arial" w:hAnsi="Arial" w:cs="Arial"/>
          <w:color w:val="auto"/>
          <w:sz w:val="24"/>
          <w:szCs w:val="24"/>
        </w:rPr>
        <w:t xml:space="preserve">) </w:t>
      </w:r>
      <w:r>
        <w:rPr>
          <w:rFonts w:ascii="Arial" w:hAnsi="Arial" w:cs="Arial"/>
          <w:color w:val="auto"/>
          <w:sz w:val="24"/>
          <w:szCs w:val="24"/>
        </w:rPr>
        <w:t xml:space="preserve">Schematic of the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experiments</w:t>
      </w:r>
      <w:r>
        <w:rPr>
          <w:rFonts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B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</w:rPr>
        <w:t xml:space="preserve">Body weight of mice under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calorie restriction </w:t>
      </w:r>
      <w:r>
        <w:rPr>
          <w:rFonts w:hint="eastAsia" w:ascii="Arial" w:hAnsi="Arial" w:cs="Arial"/>
          <w:color w:val="auto"/>
          <w:sz w:val="24"/>
          <w:szCs w:val="24"/>
        </w:rPr>
        <w:t>paradigm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r</w:t>
      </w:r>
      <w:r>
        <w:rPr>
          <w:rFonts w:ascii="Arial" w:hAnsi="Arial" w:cs="Arial"/>
          <w:color w:val="auto"/>
          <w:sz w:val="24"/>
          <w:szCs w:val="24"/>
        </w:rPr>
        <w:t>epeated measures two-way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108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873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=0.481).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C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Calorie restricted both male and female mice exhibited no weight change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r</w:t>
      </w:r>
      <w:r>
        <w:rPr>
          <w:rFonts w:ascii="Arial" w:hAnsi="Arial" w:cs="Arial"/>
          <w:color w:val="auto"/>
          <w:sz w:val="24"/>
          <w:szCs w:val="24"/>
        </w:rPr>
        <w:t>epeated measures two-way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72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814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=0.411).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D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10% calorie restriction treatment did not affect food intake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r</w:t>
      </w:r>
      <w:r>
        <w:rPr>
          <w:rFonts w:ascii="Arial" w:hAnsi="Arial" w:cs="Arial"/>
          <w:color w:val="auto"/>
          <w:sz w:val="24"/>
          <w:szCs w:val="24"/>
        </w:rPr>
        <w:t>epeated measures two-way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72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384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=0.128).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E, F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The freezing time was similar among groups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004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=0.357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G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Two-week calorie restricted mice showed normal alteration in the Y-maze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134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=0.762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H-O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b w:val="0"/>
          <w:bCs/>
          <w:color w:val="auto"/>
          <w:sz w:val="24"/>
          <w:szCs w:val="24"/>
          <w:lang w:val="en-US" w:eastAsia="zh-CN"/>
        </w:rPr>
        <w:t>Two-week 10% CR had no effects on depressive-like behaviors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</w:rPr>
        <w:t>(n=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H: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523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=0.665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I: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478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=0.623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J: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765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=0.587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K,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686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=0.724; for L,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536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=0.613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M: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458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=0.478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N,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346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=0.613; for O,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342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=0.576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ascii="Arial" w:hAnsi="Arial" w:cs="Arial"/>
          <w:color w:val="auto"/>
          <w:sz w:val="24"/>
          <w:szCs w:val="24"/>
        </w:rPr>
        <w:t>Data were presented as mean ± s.e.m.</w:t>
      </w:r>
    </w:p>
    <w:p>
      <w:pPr>
        <w:jc w:val="both"/>
        <w:rPr>
          <w:rFonts w:hint="eastAsia" w:ascii="Arial" w:hAnsi="Arial" w:cs="Arial" w:eastAsiaTheme="minorEastAsia"/>
          <w:color w:val="auto"/>
          <w:sz w:val="24"/>
          <w:szCs w:val="24"/>
          <w:lang w:eastAsia="zh-CN"/>
        </w:rPr>
      </w:pPr>
      <w:r>
        <w:rPr>
          <w:rFonts w:hint="eastAsia" w:ascii="Arial" w:hAnsi="Arial" w:cs="Arial" w:eastAsia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71770" cy="5267960"/>
            <wp:effectExtent l="0" t="0" r="5080" b="8890"/>
            <wp:docPr id="13" name="图片 13" descr="Fig.4-1 40%行为-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.4-1 40%行为-xi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  <w:bookmarkStart w:id="1" w:name="OLE_LINK2"/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S6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.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Two-week 40% CR leads to a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 xml:space="preserve">ntidepressant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e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>ffect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 both </w:t>
      </w:r>
      <w:r>
        <w:rPr>
          <w:rFonts w:ascii="Arial" w:hAnsi="Arial" w:cs="Arial"/>
          <w:b/>
          <w:color w:val="auto"/>
          <w:sz w:val="24"/>
          <w:szCs w:val="24"/>
        </w:rPr>
        <w:t>in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hAnsi="Arial" w:cs="Arial"/>
          <w:b/>
          <w:color w:val="auto"/>
          <w:sz w:val="24"/>
          <w:szCs w:val="24"/>
        </w:rPr>
        <w:t xml:space="preserve">female </w:t>
      </w:r>
      <w:r>
        <w:rPr>
          <w:rFonts w:hint="eastAsia" w:ascii="Arial" w:hAnsi="Arial" w:cs="Arial"/>
          <w:b/>
          <w:color w:val="auto"/>
          <w:sz w:val="24"/>
          <w:szCs w:val="24"/>
        </w:rPr>
        <w:t>and</w:t>
      </w:r>
      <w:r>
        <w:rPr>
          <w:rFonts w:ascii="Arial" w:hAnsi="Arial" w:cs="Arial"/>
          <w:b/>
          <w:color w:val="auto"/>
          <w:sz w:val="24"/>
          <w:szCs w:val="24"/>
        </w:rPr>
        <w:t xml:space="preserve"> male mice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</w:t>
      </w:r>
      <w:r>
        <w:rPr>
          <w:rFonts w:hint="eastAsia" w:ascii="Arial" w:hAnsi="Arial" w:cs="Arial"/>
          <w:color w:val="auto"/>
          <w:sz w:val="24"/>
          <w:szCs w:val="24"/>
        </w:rPr>
        <w:t xml:space="preserve">) </w:t>
      </w:r>
      <w:r>
        <w:rPr>
          <w:rFonts w:ascii="Arial" w:hAnsi="Arial" w:cs="Arial"/>
          <w:color w:val="auto"/>
          <w:sz w:val="24"/>
          <w:szCs w:val="24"/>
        </w:rPr>
        <w:t>Schematic</w:t>
      </w:r>
      <w:bookmarkEnd w:id="1"/>
      <w:r>
        <w:rPr>
          <w:rFonts w:ascii="Arial" w:hAnsi="Arial" w:cs="Arial"/>
          <w:color w:val="auto"/>
          <w:sz w:val="24"/>
          <w:szCs w:val="24"/>
        </w:rPr>
        <w:t xml:space="preserve"> of the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experiments</w:t>
      </w:r>
      <w:r>
        <w:rPr>
          <w:rFonts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B-D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40% calorie restriction treatment led to abnormal weight gain and decreased food intake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r</w:t>
      </w:r>
      <w:r>
        <w:rPr>
          <w:rFonts w:ascii="Arial" w:hAnsi="Arial" w:cs="Arial"/>
          <w:color w:val="auto"/>
          <w:sz w:val="24"/>
          <w:szCs w:val="24"/>
        </w:rPr>
        <w:t>epeated measures two-way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B: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108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16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474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=0.018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C: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72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814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=0.032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D: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72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17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537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=0.008).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E-O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b w:val="0"/>
          <w:bCs/>
          <w:color w:val="auto"/>
          <w:sz w:val="24"/>
          <w:szCs w:val="24"/>
          <w:lang w:val="en-US" w:eastAsia="zh-CN"/>
        </w:rPr>
        <w:t>Two-week 40% CR led to a</w:t>
      </w:r>
      <w:r>
        <w:rPr>
          <w:rFonts w:hint="default" w:ascii="Arial" w:hAnsi="Arial" w:cs="Arial"/>
          <w:b w:val="0"/>
          <w:bCs/>
          <w:color w:val="auto"/>
          <w:sz w:val="24"/>
          <w:szCs w:val="24"/>
          <w:lang w:val="en-US" w:eastAsia="zh-CN"/>
        </w:rPr>
        <w:t xml:space="preserve">ntidepressant </w:t>
      </w:r>
      <w:r>
        <w:rPr>
          <w:rFonts w:hint="eastAsia" w:ascii="Arial" w:hAnsi="Arial" w:cs="Arial"/>
          <w:b w:val="0"/>
          <w:bCs/>
          <w:color w:val="auto"/>
          <w:sz w:val="24"/>
          <w:szCs w:val="24"/>
          <w:lang w:val="en-US" w:eastAsia="zh-CN"/>
        </w:rPr>
        <w:t>e</w:t>
      </w:r>
      <w:r>
        <w:rPr>
          <w:rFonts w:hint="default" w:ascii="Arial" w:hAnsi="Arial" w:cs="Arial"/>
          <w:b w:val="0"/>
          <w:bCs/>
          <w:color w:val="auto"/>
          <w:sz w:val="24"/>
          <w:szCs w:val="24"/>
          <w:lang w:val="en-US" w:eastAsia="zh-CN"/>
        </w:rPr>
        <w:t>ffect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F: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176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=0.425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G: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732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=0.378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H: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368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=0.048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I: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315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=0.037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J: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658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=0.026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K,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687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=0.041; for L,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576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=0.027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M: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431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=0.028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N,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215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=0.043; for O,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245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=0.547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ascii="Arial" w:hAnsi="Arial" w:cs="Arial"/>
          <w:color w:val="auto"/>
          <w:sz w:val="24"/>
          <w:szCs w:val="24"/>
        </w:rPr>
        <w:t xml:space="preserve">Data were presented as mean ± s.e.m;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*, P&lt;0.05, </w:t>
      </w:r>
      <w:r>
        <w:rPr>
          <w:rFonts w:ascii="Arial" w:hAnsi="Arial" w:cs="Arial"/>
          <w:color w:val="auto"/>
          <w:sz w:val="24"/>
          <w:szCs w:val="24"/>
        </w:rPr>
        <w:t>*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*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P</w:t>
      </w:r>
      <w:r>
        <w:rPr>
          <w:rFonts w:ascii="Arial" w:hAnsi="Arial" w:cs="Arial"/>
          <w:color w:val="auto"/>
          <w:sz w:val="24"/>
          <w:szCs w:val="24"/>
        </w:rPr>
        <w:t xml:space="preserve"> &lt; 0.0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1, ***, P&lt;0.001</w:t>
      </w:r>
      <w:r>
        <w:rPr>
          <w:rFonts w:ascii="Arial" w:hAnsi="Arial" w:cs="Arial"/>
          <w:color w:val="auto"/>
          <w:sz w:val="24"/>
          <w:szCs w:val="24"/>
        </w:rPr>
        <w:t>.</w:t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  <w:r>
        <w:rPr>
          <w:rFonts w:hint="eastAsia" w:ascii="Arial" w:hAnsi="Arial" w:eastAsia="宋体" w:cs="Arial"/>
          <w:color w:val="auto"/>
          <w:sz w:val="24"/>
          <w:szCs w:val="24"/>
          <w:lang w:eastAsia="zh-CN"/>
        </w:rPr>
        <w:drawing>
          <wp:inline distT="0" distB="0" distL="114300" distR="114300">
            <wp:extent cx="5271135" cy="3731895"/>
            <wp:effectExtent l="0" t="0" r="5715" b="1905"/>
            <wp:docPr id="7" name="图片 7" descr="Fig.4-1 40%+ISO行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.4-1 40%+ISO行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S7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.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40% CR does not improve depressive-like behaviors in two-week isolated female mice.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</w:t>
      </w:r>
      <w:r>
        <w:rPr>
          <w:rFonts w:hint="eastAsia" w:ascii="Arial" w:hAnsi="Arial" w:cs="Arial"/>
          <w:color w:val="auto"/>
          <w:sz w:val="24"/>
          <w:szCs w:val="24"/>
        </w:rPr>
        <w:t xml:space="preserve">) </w:t>
      </w:r>
      <w:r>
        <w:rPr>
          <w:rFonts w:ascii="Arial" w:hAnsi="Arial" w:cs="Arial"/>
          <w:color w:val="auto"/>
          <w:sz w:val="24"/>
          <w:szCs w:val="24"/>
        </w:rPr>
        <w:t xml:space="preserve">Schematic of the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experiments</w:t>
      </w:r>
      <w:r>
        <w:rPr>
          <w:rFonts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B-D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40% calorie restriction treatment led to abnormal weight gain and decreased food intake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r</w:t>
      </w:r>
      <w:r>
        <w:rPr>
          <w:rFonts w:ascii="Arial" w:hAnsi="Arial" w:cs="Arial"/>
          <w:color w:val="auto"/>
          <w:sz w:val="24"/>
          <w:szCs w:val="24"/>
        </w:rPr>
        <w:t>epeated measures two-way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B: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108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14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658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=0.031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C: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72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14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265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=0.027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D: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72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17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265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=0.009).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E-L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b w:val="0"/>
          <w:bCs/>
          <w:color w:val="auto"/>
          <w:sz w:val="24"/>
          <w:szCs w:val="24"/>
          <w:lang w:val="en-US" w:eastAsia="zh-CN"/>
        </w:rPr>
        <w:t>40% CR had no effects on two-week isolation-induced depressive-like behaviors in female mice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E: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854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=0.024; for F: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147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=0.021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G: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587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=0.019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H: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768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=0.026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I: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315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=0.039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J: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109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=0.041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K,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984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=0.023; for L,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478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=0.523). </w:t>
      </w:r>
      <w:r>
        <w:rPr>
          <w:rFonts w:ascii="Arial" w:hAnsi="Arial" w:cs="Arial"/>
          <w:color w:val="auto"/>
          <w:sz w:val="24"/>
          <w:szCs w:val="24"/>
        </w:rPr>
        <w:t xml:space="preserve">Data were presented as mean ± s.e.m;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*, P&lt;0.05, </w:t>
      </w:r>
      <w:r>
        <w:rPr>
          <w:rFonts w:ascii="Arial" w:hAnsi="Arial" w:cs="Arial"/>
          <w:color w:val="auto"/>
          <w:sz w:val="24"/>
          <w:szCs w:val="24"/>
        </w:rPr>
        <w:t>*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*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P</w:t>
      </w:r>
      <w:r>
        <w:rPr>
          <w:rFonts w:ascii="Arial" w:hAnsi="Arial" w:cs="Arial"/>
          <w:color w:val="auto"/>
          <w:sz w:val="24"/>
          <w:szCs w:val="24"/>
        </w:rPr>
        <w:t xml:space="preserve"> &lt; 0.0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</w:t>
      </w:r>
      <w:r>
        <w:rPr>
          <w:rFonts w:ascii="Arial" w:hAnsi="Arial" w:cs="Arial"/>
          <w:color w:val="auto"/>
          <w:sz w:val="24"/>
          <w:szCs w:val="24"/>
        </w:rPr>
        <w:t>.</w:t>
      </w: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eastAsia" w:ascii="Arial" w:hAnsi="Arial" w:cs="Arial" w:eastAsiaTheme="minorEastAsia"/>
          <w:color w:val="auto"/>
          <w:sz w:val="24"/>
          <w:szCs w:val="24"/>
          <w:lang w:eastAsia="zh-CN"/>
        </w:rPr>
      </w:pPr>
      <w:r>
        <w:rPr>
          <w:rFonts w:hint="eastAsia" w:ascii="Arial" w:hAnsi="Arial" w:cs="Arial" w:eastAsia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273040" cy="2963545"/>
            <wp:effectExtent l="0" t="0" r="3810" b="8255"/>
            <wp:docPr id="9" name="图片 9" descr="Fig.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.S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S8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.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Two</w:t>
      </w:r>
      <w:r>
        <w:rPr>
          <w:rFonts w:hint="eastAsia" w:ascii="Arial" w:hAnsi="Arial" w:cs="Arial"/>
          <w:b/>
          <w:color w:val="auto"/>
          <w:sz w:val="24"/>
          <w:szCs w:val="24"/>
        </w:rPr>
        <w:t>-week s</w:t>
      </w:r>
      <w:r>
        <w:rPr>
          <w:rFonts w:ascii="Arial" w:hAnsi="Arial" w:cs="Arial"/>
          <w:b/>
          <w:color w:val="auto"/>
          <w:sz w:val="24"/>
          <w:szCs w:val="24"/>
        </w:rPr>
        <w:t>ocial isolation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b/>
          <w:color w:val="auto"/>
          <w:sz w:val="24"/>
          <w:szCs w:val="24"/>
        </w:rPr>
        <w:t>d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oes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 not affect the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level</w:t>
      </w:r>
      <w:r>
        <w:rPr>
          <w:rFonts w:ascii="Arial" w:hAnsi="Arial" w:cs="Arial"/>
          <w:b/>
          <w:color w:val="auto"/>
          <w:sz w:val="24"/>
          <w:szCs w:val="24"/>
        </w:rPr>
        <w:t xml:space="preserve"> of </w:t>
      </w:r>
      <w:r>
        <w:rPr>
          <w:rFonts w:hint="default" w:ascii="Arial" w:hAnsi="Arial" w:cs="Arial"/>
          <w:b/>
          <w:color w:val="auto"/>
          <w:sz w:val="24"/>
          <w:szCs w:val="24"/>
        </w:rPr>
        <w:t>amino acids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, </w:t>
      </w:r>
      <w:r>
        <w:rPr>
          <w:rFonts w:hint="default" w:ascii="Arial" w:hAnsi="Arial" w:cs="Arial"/>
          <w:b/>
          <w:color w:val="auto"/>
          <w:sz w:val="24"/>
          <w:szCs w:val="24"/>
        </w:rPr>
        <w:t>monoamines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, </w:t>
      </w:r>
      <w:r>
        <w:rPr>
          <w:rFonts w:ascii="Arial" w:hAnsi="Arial" w:cs="Arial"/>
          <w:b/>
          <w:color w:val="auto"/>
          <w:sz w:val="24"/>
          <w:szCs w:val="24"/>
        </w:rPr>
        <w:t>trophic factors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 or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Tac2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 in other brain regions. </w:t>
      </w:r>
      <w:bookmarkStart w:id="2" w:name="OLE_LINK75"/>
      <w:bookmarkStart w:id="3" w:name="OLE_LINK77"/>
      <w:bookmarkStart w:id="4" w:name="OLE_LINK76"/>
      <w:r>
        <w:rPr>
          <w:rFonts w:hint="default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</w:t>
      </w:r>
      <w:r>
        <w:rPr>
          <w:rFonts w:hint="default" w:ascii="Arial" w:hAnsi="Arial" w:cs="Arial"/>
          <w:color w:val="auto"/>
          <w:sz w:val="24"/>
          <w:szCs w:val="24"/>
        </w:rPr>
        <w:t xml:space="preserve">) Microdialysis measurements of amino acids concentration in the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MeA</w:t>
      </w:r>
      <w:r>
        <w:rPr>
          <w:rFonts w:hint="default" w:ascii="Arial" w:hAnsi="Arial" w:cs="Arial"/>
          <w:color w:val="auto"/>
          <w:sz w:val="24"/>
          <w:szCs w:val="24"/>
        </w:rPr>
        <w:t xml:space="preserve"> region from control and socially isolated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male and female </w:t>
      </w:r>
      <w:r>
        <w:rPr>
          <w:rFonts w:hint="default" w:ascii="Arial" w:hAnsi="Arial" w:cs="Arial"/>
          <w:color w:val="auto"/>
          <w:sz w:val="24"/>
          <w:szCs w:val="24"/>
        </w:rPr>
        <w:t xml:space="preserve">mice (n =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 mice/</w:t>
      </w:r>
      <w:r>
        <w:rPr>
          <w:rFonts w:hint="default" w:ascii="Arial" w:hAnsi="Arial" w:cs="Arial"/>
          <w:color w:val="auto"/>
          <w:sz w:val="24"/>
          <w:szCs w:val="24"/>
        </w:rPr>
        <w:t xml:space="preserve">group;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default" w:ascii="Arial" w:hAnsi="Arial" w:cs="Arial"/>
          <w:color w:val="auto"/>
          <w:sz w:val="24"/>
          <w:szCs w:val="24"/>
        </w:rPr>
        <w:t xml:space="preserve">; Asp: aspartic acid,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108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=0.547</w:t>
      </w:r>
      <w:r>
        <w:rPr>
          <w:rFonts w:hint="default" w:ascii="Arial" w:hAnsi="Arial" w:cs="Arial"/>
          <w:color w:val="auto"/>
          <w:sz w:val="24"/>
          <w:szCs w:val="24"/>
        </w:rPr>
        <w:t xml:space="preserve">; </w:t>
      </w:r>
      <w:bookmarkEnd w:id="2"/>
      <w:r>
        <w:rPr>
          <w:rFonts w:hint="default" w:ascii="Arial" w:hAnsi="Arial" w:cs="Arial"/>
          <w:color w:val="auto"/>
          <w:sz w:val="24"/>
          <w:szCs w:val="24"/>
        </w:rPr>
        <w:t xml:space="preserve">Glu: glutamate,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367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=0.487</w:t>
      </w:r>
      <w:r>
        <w:rPr>
          <w:rFonts w:hint="default" w:ascii="Arial" w:hAnsi="Arial" w:cs="Arial"/>
          <w:color w:val="auto"/>
          <w:sz w:val="24"/>
          <w:szCs w:val="24"/>
        </w:rPr>
        <w:t xml:space="preserve">; Ser: serine,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356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=0.42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</w:t>
      </w:r>
      <w:r>
        <w:rPr>
          <w:rFonts w:hint="default" w:ascii="Arial" w:hAnsi="Arial" w:cs="Arial"/>
          <w:color w:val="auto"/>
          <w:sz w:val="24"/>
          <w:szCs w:val="24"/>
        </w:rPr>
        <w:t xml:space="preserve">; Gly: glycine,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002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=0.587</w:t>
      </w:r>
      <w:r>
        <w:rPr>
          <w:rFonts w:hint="default" w:ascii="Arial" w:hAnsi="Arial" w:cs="Arial"/>
          <w:color w:val="auto"/>
          <w:sz w:val="24"/>
          <w:szCs w:val="24"/>
        </w:rPr>
        <w:t xml:space="preserve">; Tau: taurine,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011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=0.577</w:t>
      </w:r>
      <w:r>
        <w:rPr>
          <w:rFonts w:hint="default" w:ascii="Arial" w:hAnsi="Arial" w:cs="Arial"/>
          <w:color w:val="auto"/>
          <w:sz w:val="24"/>
          <w:szCs w:val="24"/>
        </w:rPr>
        <w:t xml:space="preserve">; GABA: γ-aminobutyric acid,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524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=0.298</w:t>
      </w:r>
      <w:r>
        <w:rPr>
          <w:rFonts w:hint="default" w:ascii="Arial" w:hAnsi="Arial" w:cs="Arial"/>
          <w:color w:val="auto"/>
          <w:sz w:val="24"/>
          <w:szCs w:val="24"/>
        </w:rPr>
        <w:t>). 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B</w:t>
      </w:r>
      <w:r>
        <w:rPr>
          <w:rFonts w:hint="default" w:ascii="Arial" w:hAnsi="Arial" w:cs="Arial"/>
          <w:color w:val="auto"/>
          <w:sz w:val="24"/>
          <w:szCs w:val="24"/>
        </w:rPr>
        <w:t xml:space="preserve">) Microdialysis measurements of monoamines concentration in the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MeA</w:t>
      </w:r>
      <w:r>
        <w:rPr>
          <w:rFonts w:hint="default" w:ascii="Arial" w:hAnsi="Arial" w:cs="Arial"/>
          <w:color w:val="auto"/>
          <w:sz w:val="24"/>
          <w:szCs w:val="24"/>
        </w:rPr>
        <w:t xml:space="preserve"> region from control and socially isolated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male and female </w:t>
      </w:r>
      <w:r>
        <w:rPr>
          <w:rFonts w:hint="default" w:ascii="Arial" w:hAnsi="Arial" w:cs="Arial"/>
          <w:color w:val="auto"/>
          <w:sz w:val="24"/>
          <w:szCs w:val="24"/>
        </w:rPr>
        <w:t xml:space="preserve">mice (n =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 mice/</w:t>
      </w:r>
      <w:r>
        <w:rPr>
          <w:rFonts w:hint="default" w:ascii="Arial" w:hAnsi="Arial" w:cs="Arial"/>
          <w:color w:val="auto"/>
          <w:sz w:val="24"/>
          <w:szCs w:val="24"/>
        </w:rPr>
        <w:t xml:space="preserve">group;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default" w:ascii="Arial" w:hAnsi="Arial" w:cs="Arial"/>
          <w:color w:val="auto"/>
          <w:sz w:val="24"/>
          <w:szCs w:val="24"/>
        </w:rPr>
        <w:t xml:space="preserve">; NE: norepinephrine,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034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=0.568</w:t>
      </w:r>
      <w:r>
        <w:rPr>
          <w:rFonts w:hint="default" w:ascii="Arial" w:hAnsi="Arial" w:cs="Arial"/>
          <w:color w:val="auto"/>
          <w:sz w:val="24"/>
          <w:szCs w:val="24"/>
        </w:rPr>
        <w:t xml:space="preserve">; DA: dopamine,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347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=0.745</w:t>
      </w:r>
      <w:r>
        <w:rPr>
          <w:rFonts w:hint="default" w:ascii="Arial" w:hAnsi="Arial" w:cs="Arial"/>
          <w:color w:val="auto"/>
          <w:sz w:val="24"/>
          <w:szCs w:val="24"/>
        </w:rPr>
        <w:t xml:space="preserve">; DAPOC: 3,4-Dihydroxybenzoic acid, a metabolin of DA,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786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=0.651</w:t>
      </w:r>
      <w:r>
        <w:rPr>
          <w:rFonts w:hint="default" w:ascii="Arial" w:hAnsi="Arial" w:cs="Arial"/>
          <w:color w:val="auto"/>
          <w:sz w:val="24"/>
          <w:szCs w:val="24"/>
        </w:rPr>
        <w:t xml:space="preserve">; HVA: 4-hydroxy-3-methoxyphenylacetic, another metabolin of DA,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231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=0.479</w:t>
      </w:r>
      <w:r>
        <w:rPr>
          <w:rFonts w:hint="default" w:ascii="Arial" w:hAnsi="Arial" w:cs="Arial"/>
          <w:color w:val="auto"/>
          <w:sz w:val="24"/>
          <w:szCs w:val="24"/>
        </w:rPr>
        <w:t xml:space="preserve">; 5-HT: serotonin,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463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=0.341</w:t>
      </w:r>
      <w:r>
        <w:rPr>
          <w:rFonts w:hint="default" w:ascii="Arial" w:hAnsi="Arial" w:cs="Arial"/>
          <w:color w:val="auto"/>
          <w:sz w:val="24"/>
          <w:szCs w:val="24"/>
        </w:rPr>
        <w:t>).</w:t>
      </w:r>
      <w:r>
        <w:rPr>
          <w:rFonts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C</w:t>
      </w:r>
      <w:r>
        <w:rPr>
          <w:rFonts w:ascii="Arial" w:hAnsi="Arial" w:cs="Arial"/>
          <w:color w:val="auto"/>
          <w:sz w:val="24"/>
          <w:szCs w:val="24"/>
        </w:rPr>
        <w:t>)</w:t>
      </w:r>
      <w:bookmarkEnd w:id="3"/>
      <w:bookmarkEnd w:id="4"/>
      <w:r>
        <w:rPr>
          <w:rFonts w:ascii="Arial" w:hAnsi="Arial" w:cs="Arial"/>
          <w:color w:val="auto"/>
          <w:sz w:val="24"/>
          <w:szCs w:val="24"/>
        </w:rPr>
        <w:t xml:space="preserve"> Q-PCR measurements of trophic factors level in the </w:t>
      </w:r>
      <w:r>
        <w:rPr>
          <w:rFonts w:hint="eastAsia" w:ascii="Arial" w:hAnsi="Arial" w:cs="Arial"/>
          <w:color w:val="auto"/>
          <w:sz w:val="24"/>
          <w:szCs w:val="24"/>
        </w:rPr>
        <w:t>MeA</w:t>
      </w:r>
      <w:r>
        <w:rPr>
          <w:rFonts w:ascii="Arial" w:hAnsi="Arial" w:cs="Arial"/>
          <w:color w:val="auto"/>
          <w:sz w:val="24"/>
          <w:szCs w:val="24"/>
        </w:rPr>
        <w:t xml:space="preserve"> region from control and socially isolated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male and female </w:t>
      </w:r>
      <w:r>
        <w:rPr>
          <w:rFonts w:ascii="Arial" w:hAnsi="Arial" w:cs="Arial"/>
          <w:color w:val="auto"/>
          <w:sz w:val="24"/>
          <w:szCs w:val="24"/>
        </w:rPr>
        <w:t>mice (n 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 mice/</w:t>
      </w:r>
      <w:r>
        <w:rPr>
          <w:rFonts w:hint="default" w:ascii="Arial" w:hAnsi="Arial" w:cs="Arial"/>
          <w:color w:val="auto"/>
          <w:sz w:val="24"/>
          <w:szCs w:val="24"/>
        </w:rPr>
        <w:t xml:space="preserve">group;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ascii="Arial" w:hAnsi="Arial" w:cs="Arial"/>
          <w:color w:val="auto"/>
          <w:sz w:val="24"/>
          <w:szCs w:val="24"/>
        </w:rPr>
        <w:t xml:space="preserve">; IGF-1: insulin-like growth factor 1,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216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=0.498</w:t>
      </w:r>
      <w:r>
        <w:rPr>
          <w:rFonts w:ascii="Arial" w:hAnsi="Arial" w:cs="Arial"/>
          <w:color w:val="auto"/>
          <w:sz w:val="24"/>
          <w:szCs w:val="24"/>
        </w:rPr>
        <w:t xml:space="preserve">; </w:t>
      </w:r>
      <w:bookmarkStart w:id="5" w:name="OLE_LINK74"/>
      <w:r>
        <w:rPr>
          <w:rFonts w:ascii="Arial" w:hAnsi="Arial" w:cs="Arial"/>
          <w:color w:val="auto"/>
          <w:sz w:val="24"/>
          <w:szCs w:val="24"/>
        </w:rPr>
        <w:t>VEGF: vascular endothelial growth factor</w:t>
      </w:r>
      <w:bookmarkEnd w:id="5"/>
      <w:r>
        <w:rPr>
          <w:rFonts w:ascii="Arial" w:hAnsi="Arial" w:cs="Arial"/>
          <w:color w:val="auto"/>
          <w:sz w:val="24"/>
          <w:szCs w:val="24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326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=0.455</w:t>
      </w:r>
      <w:r>
        <w:rPr>
          <w:rFonts w:ascii="Arial" w:hAnsi="Arial" w:cs="Arial"/>
          <w:color w:val="auto"/>
          <w:sz w:val="24"/>
          <w:szCs w:val="24"/>
        </w:rPr>
        <w:t xml:space="preserve">; BDNF: brain-derived neurotrophic factor,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467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=0.399</w:t>
      </w:r>
      <w:r>
        <w:rPr>
          <w:rFonts w:ascii="Arial" w:hAnsi="Arial" w:cs="Arial"/>
          <w:color w:val="auto"/>
          <w:sz w:val="24"/>
          <w:szCs w:val="24"/>
        </w:rPr>
        <w:t xml:space="preserve">; GDNF: glial cell line-derived neurotrophic factor,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536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=0.397</w:t>
      </w:r>
      <w:r>
        <w:rPr>
          <w:rFonts w:ascii="Arial" w:hAnsi="Arial" w:cs="Arial"/>
          <w:color w:val="auto"/>
          <w:sz w:val="24"/>
          <w:szCs w:val="24"/>
        </w:rPr>
        <w:t xml:space="preserve">; FGF-2: fibroblast growth factor 2,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687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=0.365</w:t>
      </w:r>
      <w:r>
        <w:rPr>
          <w:rFonts w:ascii="Arial" w:hAnsi="Arial" w:cs="Arial"/>
          <w:color w:val="auto"/>
          <w:sz w:val="24"/>
          <w:szCs w:val="24"/>
        </w:rPr>
        <w:t>).</w:t>
      </w:r>
      <w:bookmarkStart w:id="6" w:name="OLE_LINK79"/>
      <w:r>
        <w:rPr>
          <w:rFonts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D</w:t>
      </w:r>
      <w:r>
        <w:rPr>
          <w:rFonts w:ascii="Arial" w:hAnsi="Arial" w:cs="Arial"/>
          <w:color w:val="auto"/>
          <w:sz w:val="24"/>
          <w:szCs w:val="24"/>
        </w:rPr>
        <w:t xml:space="preserve">)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 xml:space="preserve">-week social Isolation from P21 did not change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Tac2</w:t>
      </w:r>
      <w:r>
        <w:rPr>
          <w:rFonts w:ascii="Arial" w:hAnsi="Arial" w:cs="Arial"/>
          <w:color w:val="auto"/>
          <w:sz w:val="24"/>
          <w:szCs w:val="24"/>
        </w:rPr>
        <w:t xml:space="preserve"> mRNA levels in </w:t>
      </w:r>
      <w:r>
        <w:rPr>
          <w:rFonts w:hint="eastAsia" w:ascii="Arial" w:hAnsi="Arial" w:cs="Arial"/>
          <w:color w:val="auto"/>
          <w:sz w:val="24"/>
          <w:szCs w:val="24"/>
        </w:rPr>
        <w:t>th</w:t>
      </w:r>
      <w:r>
        <w:rPr>
          <w:rFonts w:hint="default" w:ascii="Arial" w:hAnsi="Arial" w:cs="Arial"/>
          <w:color w:val="auto"/>
          <w:sz w:val="24"/>
          <w:szCs w:val="24"/>
        </w:rPr>
        <w:t xml:space="preserve">e </w:t>
      </w:r>
      <w:r>
        <w:rPr>
          <w:rFonts w:hint="default" w:ascii="Arial" w:hAnsi="Arial" w:eastAsia="Segoe UI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medial prefrontal cortex</w:t>
      </w:r>
      <w:r>
        <w:rPr>
          <w:rFonts w:hint="default" w:ascii="Arial" w:hAnsi="Arial" w:cs="Arial"/>
          <w:color w:val="auto"/>
          <w:sz w:val="24"/>
          <w:szCs w:val="24"/>
        </w:rPr>
        <w:t xml:space="preserve"> (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mPFC</w:t>
      </w:r>
      <w:r>
        <w:rPr>
          <w:rFonts w:hint="default" w:ascii="Arial" w:hAnsi="Arial" w:cs="Arial"/>
          <w:color w:val="auto"/>
          <w:sz w:val="24"/>
          <w:szCs w:val="24"/>
        </w:rPr>
        <w:t xml:space="preserve">),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hippocampus</w:t>
      </w:r>
      <w:r>
        <w:rPr>
          <w:rFonts w:hint="default" w:ascii="Arial" w:hAnsi="Arial" w:cs="Arial"/>
          <w:color w:val="auto"/>
          <w:sz w:val="24"/>
          <w:szCs w:val="24"/>
        </w:rPr>
        <w:t xml:space="preserve"> (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Hip.</w:t>
      </w:r>
      <w:r>
        <w:rPr>
          <w:rFonts w:hint="default" w:ascii="Arial" w:hAnsi="Arial" w:cs="Arial"/>
          <w:color w:val="auto"/>
          <w:sz w:val="24"/>
          <w:szCs w:val="24"/>
        </w:rPr>
        <w:t xml:space="preserve">), </w:t>
      </w:r>
      <w:r>
        <w:rPr>
          <w:rFonts w:hint="default" w:ascii="Arial" w:hAnsi="Arial" w:eastAsia="Segoe UI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nucleus accumbens</w:t>
      </w:r>
      <w:r>
        <w:rPr>
          <w:rFonts w:hint="default" w:ascii="Arial" w:hAnsi="Arial" w:cs="Arial"/>
          <w:color w:val="auto"/>
          <w:sz w:val="24"/>
          <w:szCs w:val="24"/>
        </w:rPr>
        <w:t xml:space="preserve"> (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NAc</w:t>
      </w:r>
      <w:r>
        <w:rPr>
          <w:rFonts w:hint="default" w:ascii="Arial" w:hAnsi="Arial" w:cs="Arial"/>
          <w:color w:val="auto"/>
          <w:sz w:val="24"/>
          <w:szCs w:val="24"/>
        </w:rPr>
        <w:t>)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,</w:t>
      </w:r>
      <w:r>
        <w:rPr>
          <w:rFonts w:hint="default" w:ascii="Arial" w:hAnsi="Arial" w:cs="Arial"/>
          <w:color w:val="auto"/>
          <w:sz w:val="24"/>
          <w:szCs w:val="24"/>
        </w:rPr>
        <w:t xml:space="preserve"> </w:t>
      </w:r>
      <w:r>
        <w:rPr>
          <w:rFonts w:hint="default" w:ascii="Arial" w:hAnsi="Arial" w:eastAsia="Segoe UI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ventral tegmental area</w:t>
      </w:r>
      <w:r>
        <w:rPr>
          <w:rFonts w:hint="default" w:ascii="Arial" w:hAnsi="Arial" w:cs="Arial"/>
          <w:color w:val="auto"/>
          <w:sz w:val="24"/>
          <w:szCs w:val="24"/>
        </w:rPr>
        <w:t xml:space="preserve"> (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VTA</w:t>
      </w:r>
      <w:r>
        <w:rPr>
          <w:rFonts w:hint="default" w:ascii="Arial" w:hAnsi="Arial" w:cs="Arial"/>
          <w:color w:val="auto"/>
          <w:sz w:val="24"/>
          <w:szCs w:val="24"/>
        </w:rPr>
        <w:t>) and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eastAsia="Segoe UI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dorsal raphe nucleus</w:t>
      </w:r>
      <w:r>
        <w:rPr>
          <w:rFonts w:hint="default" w:ascii="Arial" w:hAnsi="Arial" w:cs="Arial"/>
          <w:color w:val="auto"/>
          <w:sz w:val="24"/>
          <w:szCs w:val="24"/>
        </w:rPr>
        <w:t xml:space="preserve"> (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D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RN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region (n =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 mice/</w:t>
      </w:r>
      <w:r>
        <w:rPr>
          <w:rFonts w:hint="default" w:ascii="Arial" w:hAnsi="Arial" w:cs="Arial"/>
          <w:color w:val="auto"/>
          <w:sz w:val="24"/>
          <w:szCs w:val="24"/>
        </w:rPr>
        <w:t xml:space="preserve">group;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 xml:space="preserve">-way ANOVA;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mPFC</w:t>
      </w:r>
      <w:r>
        <w:rPr>
          <w:rFonts w:hint="eastAsia" w:ascii="Arial" w:hAnsi="Arial" w:cs="Arial"/>
          <w:color w:val="auto"/>
          <w:sz w:val="24"/>
          <w:szCs w:val="24"/>
        </w:rPr>
        <w:t>: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235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=0.468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Hip.</w:t>
      </w:r>
      <w:r>
        <w:rPr>
          <w:rFonts w:hint="eastAsia" w:ascii="Arial" w:hAnsi="Arial" w:cs="Arial"/>
          <w:color w:val="auto"/>
          <w:sz w:val="24"/>
          <w:szCs w:val="24"/>
        </w:rPr>
        <w:t>: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512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=0.465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NAc</w:t>
      </w:r>
      <w:r>
        <w:rPr>
          <w:rFonts w:hint="eastAsia" w:ascii="Arial" w:hAnsi="Arial" w:cs="Arial"/>
          <w:color w:val="auto"/>
          <w:sz w:val="24"/>
          <w:szCs w:val="24"/>
        </w:rPr>
        <w:t>: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098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=0.576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VTA</w:t>
      </w:r>
      <w:r>
        <w:rPr>
          <w:rFonts w:hint="eastAsia" w:ascii="Arial" w:hAnsi="Arial" w:cs="Arial"/>
          <w:color w:val="auto"/>
          <w:sz w:val="24"/>
          <w:szCs w:val="24"/>
        </w:rPr>
        <w:t>: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623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=0.414; DRN: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20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578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=0.473</w:t>
      </w:r>
      <w:r>
        <w:rPr>
          <w:rFonts w:ascii="Arial" w:hAnsi="Arial" w:cs="Arial"/>
          <w:color w:val="auto"/>
          <w:sz w:val="24"/>
          <w:szCs w:val="24"/>
        </w:rPr>
        <w:t xml:space="preserve">). </w:t>
      </w:r>
      <w:bookmarkEnd w:id="6"/>
      <w:r>
        <w:rPr>
          <w:rFonts w:ascii="Arial" w:hAnsi="Arial" w:cs="Arial"/>
          <w:color w:val="auto"/>
          <w:sz w:val="24"/>
          <w:szCs w:val="24"/>
        </w:rPr>
        <w:t>Data were presented as mean ± s.e.m.</w:t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</w:p>
    <w:p>
      <w:pPr>
        <w:jc w:val="center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  <w:r>
        <w:rPr>
          <w:rFonts w:hint="eastAsia" w:ascii="Arial" w:hAnsi="Arial" w:eastAsia="宋体" w:cs="Arial"/>
          <w:color w:val="auto"/>
          <w:sz w:val="24"/>
          <w:szCs w:val="24"/>
          <w:lang w:eastAsia="zh-CN"/>
        </w:rPr>
        <w:drawing>
          <wp:inline distT="0" distB="0" distL="114300" distR="114300">
            <wp:extent cx="4669790" cy="1481455"/>
            <wp:effectExtent l="0" t="0" r="16510" b="4445"/>
            <wp:docPr id="18" name="图片 18" descr="Fig.S10 MeA cF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ig.S10 MeA cFo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S9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.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Two</w:t>
      </w:r>
      <w:r>
        <w:rPr>
          <w:rFonts w:hint="eastAsia" w:ascii="Arial" w:hAnsi="Arial" w:cs="Arial"/>
          <w:b/>
          <w:color w:val="auto"/>
          <w:sz w:val="24"/>
          <w:szCs w:val="24"/>
        </w:rPr>
        <w:t>-week s</w:t>
      </w:r>
      <w:r>
        <w:rPr>
          <w:rFonts w:ascii="Arial" w:hAnsi="Arial" w:cs="Arial"/>
          <w:b/>
          <w:color w:val="auto"/>
          <w:sz w:val="24"/>
          <w:szCs w:val="24"/>
        </w:rPr>
        <w:t>ocial isolation</w:t>
      </w:r>
      <w:r>
        <w:rPr>
          <w:rFonts w:hint="default" w:ascii="Arial" w:hAnsi="Arial" w:eastAsia="Calibri,Bold" w:cs="Arial"/>
          <w:b/>
          <w:bCs/>
          <w:color w:val="auto"/>
          <w:kern w:val="0"/>
          <w:sz w:val="24"/>
          <w:szCs w:val="24"/>
          <w:lang w:val="en-US" w:eastAsia="zh-CN"/>
        </w:rPr>
        <w:t xml:space="preserve"> induced a decrease in the number of cFos</w:t>
      </w:r>
      <w:r>
        <w:rPr>
          <w:rFonts w:hint="default" w:ascii="Arial" w:hAnsi="Arial" w:eastAsia="Calibri,Bold" w:cs="Arial"/>
          <w:b/>
          <w:bCs/>
          <w:color w:val="auto"/>
          <w:kern w:val="0"/>
          <w:sz w:val="24"/>
          <w:szCs w:val="24"/>
          <w:vertAlign w:val="superscript"/>
          <w:lang w:val="en-US" w:eastAsia="zh-CN"/>
        </w:rPr>
        <w:t>+</w:t>
      </w:r>
      <w:r>
        <w:rPr>
          <w:rFonts w:hint="default" w:ascii="Arial" w:hAnsi="Arial" w:eastAsia="Calibri,Bold" w:cs="Arial"/>
          <w:b/>
          <w:bCs/>
          <w:color w:val="auto"/>
          <w:kern w:val="0"/>
          <w:sz w:val="24"/>
          <w:szCs w:val="24"/>
          <w:lang w:val="en-US" w:eastAsia="zh-CN"/>
        </w:rPr>
        <w:t xml:space="preserve"> cells in the MeA</w:t>
      </w:r>
      <w:r>
        <w:rPr>
          <w:rFonts w:hint="eastAsia" w:ascii="Arial" w:hAnsi="Arial" w:eastAsia="Calibri,Bold" w:cs="Arial"/>
          <w:b/>
          <w:bCs/>
          <w:color w:val="auto"/>
          <w:kern w:val="0"/>
          <w:sz w:val="24"/>
          <w:szCs w:val="24"/>
          <w:lang w:val="en-US" w:eastAsia="zh-CN"/>
        </w:rPr>
        <w:t xml:space="preserve"> among female mice</w:t>
      </w:r>
      <w:r>
        <w:rPr>
          <w:rFonts w:hint="default" w:ascii="Arial" w:hAnsi="Arial" w:cs="Arial"/>
          <w:b/>
          <w:color w:val="auto"/>
          <w:sz w:val="24"/>
          <w:szCs w:val="24"/>
        </w:rPr>
        <w:t>.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hAnsi="Arial" w:cs="Arial"/>
          <w:b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</w:t>
      </w:r>
      <w:r>
        <w:rPr>
          <w:rFonts w:ascii="Arial" w:hAnsi="Arial" w:cs="Arial"/>
          <w:b/>
          <w:color w:val="auto"/>
          <w:sz w:val="24"/>
          <w:szCs w:val="24"/>
        </w:rPr>
        <w:t xml:space="preserve">,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B</w:t>
      </w:r>
      <w:r>
        <w:rPr>
          <w:rFonts w:ascii="Arial" w:hAnsi="Arial" w:cs="Arial"/>
          <w:b/>
          <w:color w:val="auto"/>
          <w:sz w:val="24"/>
          <w:szCs w:val="24"/>
        </w:rPr>
        <w:t>)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hint="eastAsia" w:ascii="Arial" w:hAnsi="Arial" w:cs="Arial"/>
          <w:color w:val="auto"/>
          <w:sz w:val="24"/>
          <w:szCs w:val="24"/>
        </w:rPr>
        <w:t>-week social isolation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</w:rPr>
        <w:t>de</w:t>
      </w:r>
      <w:r>
        <w:rPr>
          <w:rFonts w:ascii="Arial" w:hAnsi="Arial" w:cs="Arial"/>
          <w:color w:val="auto"/>
          <w:sz w:val="24"/>
          <w:szCs w:val="24"/>
        </w:rPr>
        <w:t xml:space="preserve">creased neural activity in </w:t>
      </w:r>
      <w:r>
        <w:rPr>
          <w:rFonts w:hint="eastAsia" w:ascii="Arial" w:hAnsi="Arial" w:cs="Arial"/>
          <w:color w:val="auto"/>
          <w:sz w:val="24"/>
          <w:szCs w:val="24"/>
        </w:rPr>
        <w:t>the MeA</w:t>
      </w:r>
      <w:r>
        <w:rPr>
          <w:rFonts w:ascii="Arial" w:hAnsi="Arial" w:cs="Arial"/>
          <w:color w:val="auto"/>
          <w:sz w:val="24"/>
          <w:szCs w:val="24"/>
        </w:rPr>
        <w:t xml:space="preserve">, shown by a </w:t>
      </w:r>
      <w:r>
        <w:rPr>
          <w:rFonts w:hint="eastAsia" w:ascii="Arial" w:hAnsi="Arial" w:cs="Arial"/>
          <w:color w:val="auto"/>
          <w:sz w:val="24"/>
          <w:szCs w:val="24"/>
        </w:rPr>
        <w:t>de</w:t>
      </w:r>
      <w:r>
        <w:rPr>
          <w:rFonts w:ascii="Arial" w:hAnsi="Arial" w:cs="Arial"/>
          <w:color w:val="auto"/>
          <w:sz w:val="24"/>
          <w:szCs w:val="24"/>
        </w:rPr>
        <w:t>creased c-fos</w:t>
      </w:r>
      <w:r>
        <w:rPr>
          <w:rFonts w:hint="eastAsia" w:ascii="Arial" w:hAnsi="Arial" w:cs="Arial"/>
          <w:color w:val="auto"/>
          <w:sz w:val="24"/>
          <w:szCs w:val="24"/>
          <w:vertAlign w:val="superscript"/>
          <w:lang w:val="en-US" w:eastAsia="zh-CN"/>
        </w:rPr>
        <w:t>+</w:t>
      </w:r>
      <w:r>
        <w:rPr>
          <w:rFonts w:ascii="Arial" w:hAnsi="Arial" w:cs="Arial"/>
          <w:color w:val="auto"/>
          <w:sz w:val="24"/>
          <w:szCs w:val="24"/>
        </w:rPr>
        <w:t xml:space="preserve"> neuron number measured by immunofluorescent staining (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A</w:t>
      </w:r>
      <w:r>
        <w:rPr>
          <w:rFonts w:ascii="Arial" w:hAnsi="Arial" w:cs="Arial"/>
          <w:color w:val="auto"/>
          <w:sz w:val="24"/>
          <w:szCs w:val="24"/>
        </w:rPr>
        <w:t>) and quantitative analysis (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B</w:t>
      </w:r>
      <w:r>
        <w:rPr>
          <w:rFonts w:ascii="Arial" w:hAnsi="Arial" w:cs="Arial"/>
          <w:color w:val="auto"/>
          <w:sz w:val="24"/>
          <w:szCs w:val="24"/>
        </w:rPr>
        <w:t>, n = </w:t>
      </w:r>
      <w:r>
        <w:rPr>
          <w:rFonts w:hint="eastAsia" w:ascii="Arial" w:hAnsi="Arial" w:cs="Arial"/>
          <w:color w:val="auto"/>
          <w:sz w:val="24"/>
          <w:szCs w:val="24"/>
        </w:rPr>
        <w:t>8</w:t>
      </w:r>
      <w:r>
        <w:rPr>
          <w:rFonts w:ascii="Arial" w:hAnsi="Arial" w:cs="Arial"/>
          <w:color w:val="auto"/>
          <w:sz w:val="24"/>
          <w:szCs w:val="24"/>
        </w:rPr>
        <w:t xml:space="preserve"> slices from </w:t>
      </w:r>
      <w:r>
        <w:rPr>
          <w:rFonts w:hint="eastAsia" w:ascii="Arial" w:hAnsi="Arial" w:cs="Arial"/>
          <w:color w:val="auto"/>
          <w:sz w:val="24"/>
          <w:szCs w:val="24"/>
        </w:rPr>
        <w:t>4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</w:t>
      </w:r>
      <w:r>
        <w:rPr>
          <w:rFonts w:ascii="Arial" w:hAnsi="Arial" w:cs="Arial"/>
          <w:color w:val="auto"/>
          <w:sz w:val="24"/>
          <w:szCs w:val="24"/>
        </w:rPr>
        <w:t>group</w:t>
      </w:r>
      <w:r>
        <w:rPr>
          <w:rFonts w:hint="eastAsia" w:ascii="Arial" w:hAnsi="Arial" w:cs="Arial"/>
          <w:color w:val="auto"/>
          <w:sz w:val="24"/>
          <w:szCs w:val="24"/>
        </w:rPr>
        <w:t>;</w:t>
      </w:r>
      <w:r>
        <w:rPr>
          <w:rFonts w:ascii="Arial" w:hAnsi="Arial" w:cs="Arial"/>
          <w:color w:val="auto"/>
          <w:sz w:val="24"/>
          <w:szCs w:val="24"/>
        </w:rPr>
        <w:t xml:space="preserve"> one-way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21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47</w:t>
      </w:r>
      <w:r>
        <w:rPr>
          <w:rFonts w:hint="eastAsia" w:ascii="Arial" w:hAnsi="Arial" w:cs="Arial"/>
          <w:color w:val="auto"/>
          <w:sz w:val="24"/>
          <w:szCs w:val="24"/>
        </w:rPr>
        <w:t>, P=0.04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</w:t>
      </w:r>
      <w:r>
        <w:rPr>
          <w:rFonts w:ascii="Arial" w:hAnsi="Arial" w:cs="Arial"/>
          <w:color w:val="auto"/>
          <w:sz w:val="24"/>
          <w:szCs w:val="24"/>
        </w:rPr>
        <w:t>).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Scale bar: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1</w:t>
      </w:r>
      <w:r>
        <w:rPr>
          <w:rFonts w:ascii="Arial" w:hAnsi="Arial" w:cs="Arial"/>
          <w:color w:val="auto"/>
          <w:sz w:val="24"/>
          <w:szCs w:val="24"/>
        </w:rPr>
        <w:t>00 µm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. </w:t>
      </w:r>
      <w:r>
        <w:rPr>
          <w:rFonts w:hint="default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C</w:t>
      </w:r>
      <w:r>
        <w:rPr>
          <w:rFonts w:hint="default" w:ascii="Arial" w:hAnsi="Arial" w:cs="Arial"/>
          <w:color w:val="auto"/>
          <w:sz w:val="24"/>
          <w:szCs w:val="24"/>
        </w:rPr>
        <w:t xml:space="preserve">) </w:t>
      </w:r>
      <w:r>
        <w:rPr>
          <w:rFonts w:hint="eastAsia" w:ascii="Arial" w:hAnsi="Arial" w:cs="Arial"/>
          <w:b w:val="0"/>
          <w:bCs/>
          <w:color w:val="auto"/>
          <w:sz w:val="24"/>
          <w:szCs w:val="24"/>
          <w:lang w:val="en-US" w:eastAsia="zh-CN"/>
        </w:rPr>
        <w:t>Two</w:t>
      </w:r>
      <w:r>
        <w:rPr>
          <w:rFonts w:hint="eastAsia" w:ascii="Arial" w:hAnsi="Arial" w:cs="Arial"/>
          <w:b w:val="0"/>
          <w:bCs/>
          <w:color w:val="auto"/>
          <w:sz w:val="24"/>
          <w:szCs w:val="24"/>
        </w:rPr>
        <w:t>-week s</w:t>
      </w:r>
      <w:r>
        <w:rPr>
          <w:rFonts w:ascii="Arial" w:hAnsi="Arial" w:cs="Arial"/>
          <w:b w:val="0"/>
          <w:bCs/>
          <w:color w:val="auto"/>
          <w:sz w:val="24"/>
          <w:szCs w:val="24"/>
        </w:rPr>
        <w:t>ocial isolation</w:t>
      </w:r>
      <w:r>
        <w:rPr>
          <w:rFonts w:hint="default" w:ascii="Arial" w:hAnsi="Arial" w:eastAsia="Calibri,Bold" w:cs="Arial"/>
          <w:b w:val="0"/>
          <w:bCs/>
          <w:color w:val="auto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eastAsia="Calibri,Bold" w:cs="Arial"/>
          <w:b w:val="0"/>
          <w:bCs/>
          <w:color w:val="auto"/>
          <w:kern w:val="0"/>
          <w:sz w:val="24"/>
          <w:szCs w:val="24"/>
          <w:lang w:val="en-US" w:eastAsia="zh-CN"/>
        </w:rPr>
        <w:t>did not affect</w:t>
      </w:r>
      <w:r>
        <w:rPr>
          <w:rFonts w:hint="default" w:ascii="Arial" w:hAnsi="Arial" w:eastAsia="Calibri,Bold" w:cs="Arial"/>
          <w:b w:val="0"/>
          <w:bCs/>
          <w:color w:val="auto"/>
          <w:kern w:val="0"/>
          <w:sz w:val="24"/>
          <w:szCs w:val="24"/>
          <w:lang w:val="en-US" w:eastAsia="zh-CN"/>
        </w:rPr>
        <w:t xml:space="preserve"> the number of cFos</w:t>
      </w:r>
      <w:r>
        <w:rPr>
          <w:rFonts w:hint="default" w:ascii="Arial" w:hAnsi="Arial" w:eastAsia="Calibri,Bold" w:cs="Arial"/>
          <w:b w:val="0"/>
          <w:bCs/>
          <w:color w:val="auto"/>
          <w:kern w:val="0"/>
          <w:sz w:val="24"/>
          <w:szCs w:val="24"/>
          <w:vertAlign w:val="superscript"/>
          <w:lang w:val="en-US" w:eastAsia="zh-CN"/>
        </w:rPr>
        <w:t>+</w:t>
      </w:r>
      <w:r>
        <w:rPr>
          <w:rFonts w:hint="default" w:ascii="Arial" w:hAnsi="Arial" w:eastAsia="Calibri,Bold" w:cs="Arial"/>
          <w:b w:val="0"/>
          <w:bCs/>
          <w:color w:val="auto"/>
          <w:kern w:val="0"/>
          <w:sz w:val="24"/>
          <w:szCs w:val="24"/>
          <w:lang w:val="en-US" w:eastAsia="zh-CN"/>
        </w:rPr>
        <w:t xml:space="preserve"> cells in the MeA</w:t>
      </w:r>
      <w:r>
        <w:rPr>
          <w:rFonts w:hint="eastAsia" w:ascii="Arial" w:hAnsi="Arial" w:eastAsia="Calibri,Bold" w:cs="Arial"/>
          <w:b w:val="0"/>
          <w:bCs/>
          <w:color w:val="auto"/>
          <w:kern w:val="0"/>
          <w:sz w:val="24"/>
          <w:szCs w:val="24"/>
          <w:lang w:val="en-US" w:eastAsia="zh-CN"/>
        </w:rPr>
        <w:t xml:space="preserve"> among male mice </w:t>
      </w:r>
      <w:r>
        <w:rPr>
          <w:rFonts w:ascii="Arial" w:hAnsi="Arial" w:cs="Arial"/>
          <w:color w:val="auto"/>
          <w:sz w:val="24"/>
          <w:szCs w:val="24"/>
        </w:rPr>
        <w:t>(n = </w:t>
      </w:r>
      <w:r>
        <w:rPr>
          <w:rFonts w:hint="eastAsia" w:ascii="Arial" w:hAnsi="Arial" w:cs="Arial"/>
          <w:color w:val="auto"/>
          <w:sz w:val="24"/>
          <w:szCs w:val="24"/>
        </w:rPr>
        <w:t>8</w:t>
      </w:r>
      <w:r>
        <w:rPr>
          <w:rFonts w:ascii="Arial" w:hAnsi="Arial" w:cs="Arial"/>
          <w:color w:val="auto"/>
          <w:sz w:val="24"/>
          <w:szCs w:val="24"/>
        </w:rPr>
        <w:t xml:space="preserve"> slices from </w:t>
      </w:r>
      <w:r>
        <w:rPr>
          <w:rFonts w:hint="eastAsia" w:ascii="Arial" w:hAnsi="Arial" w:cs="Arial"/>
          <w:color w:val="auto"/>
          <w:sz w:val="24"/>
          <w:szCs w:val="24"/>
        </w:rPr>
        <w:t>4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</w:t>
      </w:r>
      <w:r>
        <w:rPr>
          <w:rFonts w:ascii="Arial" w:hAnsi="Arial" w:cs="Arial"/>
          <w:color w:val="auto"/>
          <w:sz w:val="24"/>
          <w:szCs w:val="24"/>
        </w:rPr>
        <w:t>group</w:t>
      </w:r>
      <w:r>
        <w:rPr>
          <w:rFonts w:hint="eastAsia" w:ascii="Arial" w:hAnsi="Arial" w:cs="Arial"/>
          <w:color w:val="auto"/>
          <w:sz w:val="24"/>
          <w:szCs w:val="24"/>
        </w:rPr>
        <w:t>;</w:t>
      </w:r>
      <w:r>
        <w:rPr>
          <w:rFonts w:ascii="Arial" w:hAnsi="Arial" w:cs="Arial"/>
          <w:color w:val="auto"/>
          <w:sz w:val="24"/>
          <w:szCs w:val="24"/>
        </w:rPr>
        <w:t xml:space="preserve"> one-way ANOVA</w:t>
      </w:r>
      <w:r>
        <w:rPr>
          <w:rFonts w:hint="eastAsia" w:ascii="Arial" w:hAnsi="Arial" w:cs="Arial"/>
          <w:color w:val="auto"/>
          <w:sz w:val="24"/>
          <w:szCs w:val="24"/>
        </w:rPr>
        <w:t>; 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21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37</w:t>
      </w:r>
      <w:r>
        <w:rPr>
          <w:rFonts w:hint="eastAsia" w:ascii="Arial" w:hAnsi="Arial" w:cs="Arial"/>
          <w:color w:val="auto"/>
          <w:sz w:val="24"/>
          <w:szCs w:val="24"/>
        </w:rPr>
        <w:t>, P=0.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317</w:t>
      </w:r>
      <w:r>
        <w:rPr>
          <w:rFonts w:ascii="Arial" w:hAnsi="Arial" w:cs="Arial"/>
          <w:color w:val="auto"/>
          <w:sz w:val="24"/>
          <w:szCs w:val="24"/>
        </w:rPr>
        <w:t>).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Data were presented as mean ± s.e.m; *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*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P</w:t>
      </w:r>
      <w:r>
        <w:rPr>
          <w:rFonts w:ascii="Arial" w:hAnsi="Arial" w:cs="Arial"/>
          <w:color w:val="auto"/>
          <w:sz w:val="24"/>
          <w:szCs w:val="24"/>
        </w:rPr>
        <w:t xml:space="preserve"> &lt; 0.0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</w:t>
      </w:r>
      <w:r>
        <w:rPr>
          <w:rFonts w:ascii="Arial" w:hAnsi="Arial" w:cs="Arial"/>
          <w:color w:val="auto"/>
          <w:sz w:val="24"/>
          <w:szCs w:val="24"/>
        </w:rPr>
        <w:t>.</w:t>
      </w:r>
    </w:p>
    <w:p>
      <w:pPr>
        <w:jc w:val="both"/>
        <w:rPr>
          <w:rFonts w:hint="eastAsia" w:ascii="Arial" w:hAnsi="Arial" w:eastAsia="宋体" w:cs="Arial"/>
          <w:b w:val="0"/>
          <w:bCs/>
          <w:color w:val="auto"/>
          <w:sz w:val="24"/>
          <w:szCs w:val="24"/>
          <w:lang w:val="en-US" w:eastAsia="zh-CN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center"/>
        <w:rPr>
          <w:rFonts w:hint="eastAsia" w:ascii="Arial" w:hAnsi="Arial" w:cs="Arial"/>
          <w:color w:val="auto"/>
          <w:sz w:val="24"/>
          <w:szCs w:val="24"/>
          <w:lang w:eastAsia="zh-CN"/>
        </w:rPr>
      </w:pPr>
      <w:r>
        <w:rPr>
          <w:rFonts w:hint="eastAsia" w:ascii="Arial" w:hAnsi="Arial" w:cs="Arial"/>
          <w:color w:val="auto"/>
          <w:sz w:val="24"/>
          <w:szCs w:val="24"/>
          <w:lang w:eastAsia="zh-CN"/>
        </w:rPr>
        <w:drawing>
          <wp:inline distT="0" distB="0" distL="114300" distR="114300">
            <wp:extent cx="3432175" cy="2319655"/>
            <wp:effectExtent l="0" t="0" r="15875" b="4445"/>
            <wp:docPr id="22" name="图片 22" descr="Fig. S9 Tac2 mRNA H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ig. S9 Tac2 mRNA HF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S10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.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HFD did not lead to the reduction in Tac2 in female mice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8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0,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28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684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=0.402; for 1,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28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087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=0.214; for 2,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28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254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=0.036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ascii="Arial" w:hAnsi="Arial" w:cs="Arial"/>
          <w:color w:val="auto"/>
          <w:sz w:val="24"/>
          <w:szCs w:val="24"/>
        </w:rPr>
        <w:t>Data were presented as mean ± s.e.m; *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*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P</w:t>
      </w:r>
      <w:r>
        <w:rPr>
          <w:rFonts w:ascii="Arial" w:hAnsi="Arial" w:cs="Arial"/>
          <w:color w:val="auto"/>
          <w:sz w:val="24"/>
          <w:szCs w:val="24"/>
        </w:rPr>
        <w:t xml:space="preserve"> &lt; 0.0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</w:t>
      </w:r>
      <w:r>
        <w:rPr>
          <w:rFonts w:ascii="Arial" w:hAnsi="Arial" w:cs="Arial"/>
          <w:color w:val="auto"/>
          <w:sz w:val="24"/>
          <w:szCs w:val="24"/>
        </w:rPr>
        <w:t>.</w:t>
      </w: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71135" cy="1101725"/>
            <wp:effectExtent l="0" t="0" r="5715" b="3175"/>
            <wp:docPr id="19" name="图片 19" descr="Fig.S8 NK3R-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ig.S8 NK3R-W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color w:val="auto"/>
          <w:lang w:val="en-US" w:eastAsia="zh-CN"/>
        </w:rPr>
      </w:pPr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S11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. </w:t>
      </w:r>
      <w:r>
        <w:rPr>
          <w:rFonts w:hint="default" w:ascii="Arial" w:hAnsi="Arial" w:eastAsia="Calibri,Bold" w:cs="Arial"/>
          <w:b/>
          <w:bCs/>
          <w:color w:val="auto"/>
          <w:kern w:val="0"/>
          <w:sz w:val="24"/>
          <w:szCs w:val="24"/>
        </w:rPr>
        <w:t>Western blotting</w:t>
      </w:r>
      <w:r>
        <w:rPr>
          <w:rFonts w:hint="default" w:ascii="Arial" w:hAnsi="Arial" w:eastAsia="Calibri,Bold" w:cs="Arial"/>
          <w:b/>
          <w:bCs/>
          <w:color w:val="auto"/>
          <w:kern w:val="0"/>
          <w:sz w:val="24"/>
          <w:szCs w:val="24"/>
          <w:lang w:val="en-US" w:eastAsia="zh-CN"/>
        </w:rPr>
        <w:t xml:space="preserve"> results of NK3R.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 </w:t>
      </w:r>
      <w:r>
        <w:rPr>
          <w:rFonts w:hint="default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</w:t>
      </w:r>
      <w:r>
        <w:rPr>
          <w:rFonts w:hint="default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Two-week social isolation did not affect the protein level of Nk3R, a receptor of Tac2, in the MeA of female mice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(n = 4 experiments/group; two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tailed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Student’s t test, P = 0.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627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).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B</w:t>
      </w:r>
      <w:r>
        <w:rPr>
          <w:rFonts w:hint="default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Knockout of the Tac2 did not affect the protein level of Nk3R in the MeA of female mice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(n = 4 experiments/group; two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tailed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Student’s t test, P = 0.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724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).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C</w:t>
      </w:r>
      <w:r>
        <w:rPr>
          <w:rFonts w:hint="default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Knockdown of the Tac2 in the MeA did not affect the protein level of Nk3R in the MeA of female mice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(n = 4 experiments/group; two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tailed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Student’s t test, P = 0.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427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).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Data were presented as mean ± s.e.m.</w:t>
      </w: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default" w:ascii="Arial" w:hAnsi="Arial" w:cs="Arial"/>
          <w:color w:val="auto"/>
          <w:sz w:val="24"/>
          <w:szCs w:val="24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jc w:val="both"/>
        <w:rPr>
          <w:rFonts w:hint="eastAsia" w:ascii="Arial" w:hAnsi="Arial" w:eastAsia="宋体" w:cs="Arial"/>
          <w:color w:val="auto"/>
          <w:sz w:val="24"/>
          <w:szCs w:val="24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67325" cy="2682875"/>
            <wp:effectExtent l="0" t="0" r="9525" b="3175"/>
            <wp:docPr id="15" name="图片 15" descr="Fig.S9 i.p. O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.S9 i.p. Osa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eastAsia"/>
          <w:color w:val="auto"/>
        </w:rPr>
      </w:pPr>
      <w:r>
        <w:rPr>
          <w:rFonts w:hint="eastAsia" w:ascii="Arial" w:hAnsi="Arial" w:cs="Arial"/>
          <w:b/>
          <w:color w:val="auto"/>
          <w:sz w:val="24"/>
          <w:szCs w:val="24"/>
        </w:rPr>
        <w:t>Fig.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S12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. 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 xml:space="preserve">Systemic Nk3R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 xml:space="preserve">ntagonism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</w:t>
      </w:r>
      <w:r>
        <w:rPr>
          <w:rFonts w:hint="default" w:ascii="Arial" w:hAnsi="Arial" w:cs="Arial"/>
          <w:b/>
          <w:color w:val="auto"/>
          <w:sz w:val="24"/>
          <w:szCs w:val="24"/>
          <w:lang w:val="en-US" w:eastAsia="zh-CN"/>
        </w:rPr>
        <w:t xml:space="preserve">ttenuates 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s</w:t>
      </w:r>
      <w:r>
        <w:rPr>
          <w:rFonts w:hint="eastAsia" w:ascii="Arial" w:hAnsi="Arial" w:cs="Arial"/>
          <w:b/>
          <w:color w:val="auto"/>
          <w:sz w:val="24"/>
          <w:szCs w:val="24"/>
        </w:rPr>
        <w:t>ocial isolation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-induced changes</w:t>
      </w:r>
      <w:r>
        <w:rPr>
          <w:rFonts w:hint="eastAsia" w:ascii="Arial" w:hAnsi="Arial" w:cs="Arial"/>
          <w:b/>
          <w:color w:val="auto"/>
          <w:sz w:val="24"/>
          <w:szCs w:val="24"/>
        </w:rPr>
        <w:t xml:space="preserve"> in </w:t>
      </w:r>
      <w:r>
        <w:rPr>
          <w:rFonts w:ascii="Arial" w:hAnsi="Arial" w:cs="Arial"/>
          <w:b/>
          <w:color w:val="auto"/>
          <w:sz w:val="24"/>
          <w:szCs w:val="24"/>
        </w:rPr>
        <w:t>female mice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 xml:space="preserve">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A-F</w:t>
      </w:r>
      <w:r>
        <w:rPr>
          <w:rFonts w:hint="eastAsia" w:ascii="Arial" w:hAnsi="Arial" w:cs="Arial"/>
          <w:color w:val="auto"/>
          <w:sz w:val="24"/>
          <w:szCs w:val="24"/>
        </w:rPr>
        <w:t xml:space="preserve">)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I</w:t>
      </w:r>
      <w:r>
        <w:rPr>
          <w:rFonts w:hint="eastAsia" w:ascii="Arial" w:hAnsi="Arial" w:cs="Arial"/>
          <w:color w:val="auto"/>
          <w:sz w:val="24"/>
          <w:szCs w:val="24"/>
        </w:rPr>
        <w:t xml:space="preserve">ntraperitoneal injection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of o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 xml:space="preserve">sanetant blocked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social isolation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-induced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depressive-like behaviors (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B: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602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=0.047; for C: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201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=0.048; for D: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784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=0.045; for E: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103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=0.041; for F: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713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=0.374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). </w:t>
      </w:r>
      <w:r>
        <w:rPr>
          <w:rFonts w:hint="eastAsia" w:ascii="Arial" w:hAnsi="Arial" w:cs="Arial"/>
          <w:color w:val="auto"/>
          <w:sz w:val="24"/>
          <w:szCs w:val="24"/>
        </w:rPr>
        <w:t>(</w:t>
      </w:r>
      <w:r>
        <w:rPr>
          <w:rFonts w:hint="eastAsia" w:ascii="Arial" w:hAnsi="Arial" w:cs="Arial"/>
          <w:b/>
          <w:color w:val="auto"/>
          <w:sz w:val="24"/>
          <w:szCs w:val="24"/>
          <w:lang w:val="en-US" w:eastAsia="zh-CN"/>
        </w:rPr>
        <w:t>G-O</w:t>
      </w:r>
      <w:r>
        <w:rPr>
          <w:rFonts w:hint="eastAsia" w:ascii="Arial" w:hAnsi="Arial" w:cs="Arial"/>
          <w:color w:val="auto"/>
          <w:sz w:val="24"/>
          <w:szCs w:val="24"/>
        </w:rPr>
        <w:t>)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 O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 xml:space="preserve">sanetant administered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daily 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 xml:space="preserve">during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social isolation prevented the slower weight gain (H-J, 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r</w:t>
      </w:r>
      <w:r>
        <w:rPr>
          <w:rFonts w:ascii="Arial" w:hAnsi="Arial" w:cs="Arial"/>
          <w:color w:val="auto"/>
          <w:sz w:val="24"/>
          <w:szCs w:val="24"/>
        </w:rPr>
        <w:t>epeated measures two-way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H: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, 1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08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563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=0.041; for I: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72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11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634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=0.034; for J: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72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563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=0.728) and depressive-like behaviors (K-O, </w:t>
      </w:r>
      <w:r>
        <w:rPr>
          <w:rFonts w:hint="eastAsia" w:ascii="Arial" w:hAnsi="Arial" w:cs="Arial"/>
          <w:color w:val="auto"/>
          <w:sz w:val="24"/>
          <w:szCs w:val="24"/>
        </w:rPr>
        <w:t>n=</w:t>
      </w:r>
      <w:r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0</w:t>
      </w:r>
      <w:r>
        <w:rPr>
          <w:rFonts w:ascii="Arial" w:hAnsi="Arial" w:cs="Arial"/>
          <w:color w:val="auto"/>
          <w:sz w:val="24"/>
          <w:szCs w:val="24"/>
        </w:rPr>
        <w:t xml:space="preserve"> mice</w:t>
      </w:r>
      <w:r>
        <w:rPr>
          <w:rFonts w:hint="eastAsia" w:ascii="Arial" w:hAnsi="Arial" w:cs="Arial"/>
          <w:color w:val="auto"/>
          <w:sz w:val="24"/>
          <w:szCs w:val="24"/>
        </w:rPr>
        <w:t>/group</w:t>
      </w:r>
      <w:r>
        <w:rPr>
          <w:rFonts w:ascii="Arial" w:hAnsi="Arial" w:cs="Arial"/>
          <w:color w:val="auto"/>
          <w:sz w:val="24"/>
          <w:szCs w:val="24"/>
        </w:rPr>
        <w:t>;</w:t>
      </w:r>
      <w:r>
        <w:rPr>
          <w:rFonts w:hint="eastAsia" w:ascii="Arial" w:hAnsi="Arial" w:cs="Arial"/>
          <w:color w:val="auto"/>
          <w:sz w:val="24"/>
          <w:szCs w:val="24"/>
        </w:rPr>
        <w:t xml:space="preserve">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two</w:t>
      </w:r>
      <w:r>
        <w:rPr>
          <w:rFonts w:ascii="Arial" w:hAnsi="Arial" w:cs="Arial"/>
          <w:color w:val="auto"/>
          <w:sz w:val="24"/>
          <w:szCs w:val="24"/>
        </w:rPr>
        <w:t>-way ANOVA</w:t>
      </w:r>
      <w:r>
        <w:rPr>
          <w:rFonts w:hint="eastAsia" w:ascii="Arial" w:hAnsi="Arial" w:cs="Arial"/>
          <w:color w:val="auto"/>
          <w:sz w:val="24"/>
          <w:szCs w:val="24"/>
        </w:rPr>
        <w:t xml:space="preserve">; 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for K: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645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=0.046; for L: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735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=0.045; for M: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324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=0.042; for N: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568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=0.036; for O: </w:t>
      </w:r>
      <w:r>
        <w:rPr>
          <w:rFonts w:hint="eastAsia" w:ascii="Arial" w:hAnsi="Arial" w:cs="Arial"/>
          <w:color w:val="auto"/>
          <w:sz w:val="24"/>
          <w:szCs w:val="24"/>
        </w:rPr>
        <w:t>F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(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 xml:space="preserve">, </w:t>
      </w:r>
      <w:r>
        <w:rPr>
          <w:rFonts w:hint="eastAsia" w:ascii="Arial" w:hAnsi="Arial" w:cs="Arial"/>
          <w:color w:val="auto"/>
          <w:sz w:val="24"/>
          <w:szCs w:val="24"/>
          <w:vertAlign w:val="subscript"/>
          <w:lang w:val="en-US" w:eastAsia="zh-CN"/>
        </w:rPr>
        <w:t>36</w:t>
      </w:r>
      <w:r>
        <w:rPr>
          <w:rFonts w:hint="eastAsia" w:ascii="Arial" w:hAnsi="Arial" w:cs="Arial"/>
          <w:color w:val="auto"/>
          <w:sz w:val="24"/>
          <w:szCs w:val="24"/>
          <w:vertAlign w:val="subscript"/>
        </w:rPr>
        <w:t>)</w:t>
      </w:r>
      <w:r>
        <w:rPr>
          <w:rFonts w:hint="eastAsia" w:ascii="Arial" w:hAnsi="Arial" w:cs="Arial"/>
          <w:color w:val="auto"/>
          <w:sz w:val="24"/>
          <w:szCs w:val="24"/>
        </w:rPr>
        <w:t>=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2</w:t>
      </w:r>
      <w:r>
        <w:rPr>
          <w:rFonts w:hint="eastAsia" w:ascii="Arial" w:hAnsi="Arial" w:cs="Arial"/>
          <w:color w:val="auto"/>
          <w:sz w:val="24"/>
          <w:szCs w:val="24"/>
        </w:rPr>
        <w:t>.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954</w:t>
      </w:r>
      <w:r>
        <w:rPr>
          <w:rFonts w:hint="eastAsia" w:ascii="Arial" w:hAnsi="Arial" w:cs="Arial"/>
          <w:color w:val="auto"/>
          <w:sz w:val="24"/>
          <w:szCs w:val="24"/>
        </w:rPr>
        <w:t>, P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=0.389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 xml:space="preserve">) in isolated female mice. </w:t>
      </w:r>
      <w:r>
        <w:rPr>
          <w:rFonts w:ascii="Arial" w:hAnsi="Arial" w:cs="Arial"/>
          <w:color w:val="auto"/>
          <w:sz w:val="24"/>
          <w:szCs w:val="24"/>
        </w:rPr>
        <w:t>Data were presented as mean ± s.e.m; *, p &lt; 0.0</w:t>
      </w:r>
      <w:r>
        <w:rPr>
          <w:rFonts w:hint="eastAsia" w:ascii="Arial" w:hAnsi="Arial" w:cs="Arial"/>
          <w:color w:val="auto"/>
          <w:sz w:val="24"/>
          <w:szCs w:val="24"/>
          <w:lang w:val="en-US" w:eastAsia="zh-CN"/>
        </w:rPr>
        <w:t>5,**, P&lt;0.01</w:t>
      </w:r>
      <w:r>
        <w:rPr>
          <w:rFonts w:ascii="Arial" w:hAnsi="Arial" w:cs="Arial"/>
          <w:color w:val="auto"/>
          <w:sz w:val="24"/>
          <w:szCs w:val="24"/>
        </w:rPr>
        <w:t>.</w:t>
      </w: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eastAsia" w:eastAsia="宋体"/>
          <w:color w:val="auto"/>
          <w:lang w:eastAsia="zh-CN"/>
        </w:rPr>
      </w:pPr>
    </w:p>
    <w:p>
      <w:pPr>
        <w:rPr>
          <w:rFonts w:hint="default" w:eastAsia="宋体"/>
          <w:color w:val="auto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libri,Bold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1OWFiYmQyNzkzODY2ZDc5YjI4ODhhZGU4YmQ3YjcifQ=="/>
    <w:docVar w:name="KSO_WPS_MARK_KEY" w:val="0b0a06cb-22b0-4797-aea1-40e181b9167d"/>
  </w:docVars>
  <w:rsids>
    <w:rsidRoot w:val="00000000"/>
    <w:rsid w:val="00B46752"/>
    <w:rsid w:val="1CA5151D"/>
    <w:rsid w:val="23DA1943"/>
    <w:rsid w:val="24286B52"/>
    <w:rsid w:val="24EF2718"/>
    <w:rsid w:val="27EC5D15"/>
    <w:rsid w:val="2C525731"/>
    <w:rsid w:val="32D8490A"/>
    <w:rsid w:val="36EC1412"/>
    <w:rsid w:val="3CB5176F"/>
    <w:rsid w:val="3D215615"/>
    <w:rsid w:val="3E4800C5"/>
    <w:rsid w:val="400224F5"/>
    <w:rsid w:val="402B7F7C"/>
    <w:rsid w:val="42057F6C"/>
    <w:rsid w:val="4B90414F"/>
    <w:rsid w:val="4DEA69F9"/>
    <w:rsid w:val="54070DCA"/>
    <w:rsid w:val="5A1C443C"/>
    <w:rsid w:val="5F2F630E"/>
    <w:rsid w:val="613400EF"/>
    <w:rsid w:val="62593D9F"/>
    <w:rsid w:val="6D4D7FA1"/>
    <w:rsid w:val="718A2629"/>
    <w:rsid w:val="792D318A"/>
    <w:rsid w:val="793B7AB3"/>
    <w:rsid w:val="79E57388"/>
    <w:rsid w:val="7AE8299C"/>
    <w:rsid w:val="7E38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1631</Words>
  <Characters>9256</Characters>
  <Lines>0</Lines>
  <Paragraphs>0</Paragraphs>
  <TotalTime>0</TotalTime>
  <ScaleCrop>false</ScaleCrop>
  <LinksUpToDate>false</LinksUpToDate>
  <CharactersWithSpaces>10875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2025-01-21T01:41:00Z</dcterms:created>
  <dc:creator>刘吉红</dc:creator>
  <cp:lastModifiedBy>刘吉红</cp:lastModifiedBy>
  <dcterms:modified xsi:type="dcterms:W3CDTF">2025-08-18T02:28:42Z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57E7BBCC2E3C4A469AE7D6EF934DA858</vt:lpwstr>
  </property>
</Properties>
</file>