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DA991" w14:textId="0C2493DD" w:rsidR="00CC556C" w:rsidRDefault="00000000">
      <w:pPr>
        <w:widowControl/>
        <w:spacing w:after="0" w:line="240" w:lineRule="auto"/>
        <w:rPr>
          <w:rFonts w:ascii="Times New Roman" w:hAnsi="Times New Roman" w:cs="Times New Roman"/>
          <w:b/>
          <w:bCs/>
          <w:szCs w:val="22"/>
        </w:rPr>
      </w:pPr>
      <w:r w:rsidRPr="00974F6D">
        <w:rPr>
          <w:rFonts w:ascii="Times New Roman" w:hAnsi="Times New Roman" w:cs="Times New Roman" w:hint="eastAsia"/>
          <w:b/>
          <w:bCs/>
          <w:szCs w:val="22"/>
        </w:rPr>
        <w:t>Supplementary Information</w:t>
      </w:r>
    </w:p>
    <w:p w14:paraId="642F1610" w14:textId="77777777" w:rsidR="00CC556C" w:rsidRDefault="00CC556C">
      <w:pPr>
        <w:widowControl/>
        <w:spacing w:after="0" w:line="240" w:lineRule="auto"/>
        <w:rPr>
          <w:rFonts w:ascii="Times New Roman" w:hAnsi="Times New Roman" w:cs="Times New Roman"/>
          <w:szCs w:val="22"/>
        </w:rPr>
      </w:pPr>
    </w:p>
    <w:p w14:paraId="7D6E3D59" w14:textId="77777777" w:rsidR="00CC556C" w:rsidRDefault="00000000">
      <w:pPr>
        <w:widowControl/>
        <w:spacing w:after="0" w:line="240" w:lineRule="auto"/>
        <w:rPr>
          <w:rFonts w:ascii="Times New Roman" w:hAnsi="Times New Roman" w:cs="Times New Roman"/>
          <w:szCs w:val="22"/>
        </w:rPr>
      </w:pPr>
      <w:r>
        <w:rPr>
          <w:rFonts w:ascii="Times New Roman" w:hAnsi="Times New Roman" w:cs="Times New Roman" w:hint="eastAsia"/>
          <w:noProof/>
          <w:szCs w:val="22"/>
        </w:rPr>
        <w:drawing>
          <wp:inline distT="0" distB="0" distL="114300" distR="114300" wp14:anchorId="2470351A" wp14:editId="7FB1F0EC">
            <wp:extent cx="5269865" cy="3268345"/>
            <wp:effectExtent l="0" t="0" r="635" b="8255"/>
            <wp:docPr id="25" name="图片 25" descr="model_auc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odel_auc_comparison"/>
                    <pic:cNvPicPr>
                      <a:picLocks noChangeAspect="1"/>
                    </pic:cNvPicPr>
                  </pic:nvPicPr>
                  <pic:blipFill>
                    <a:blip r:embed="rId9"/>
                    <a:stretch>
                      <a:fillRect/>
                    </a:stretch>
                  </pic:blipFill>
                  <pic:spPr>
                    <a:xfrm>
                      <a:off x="0" y="0"/>
                      <a:ext cx="5269865" cy="3268345"/>
                    </a:xfrm>
                    <a:prstGeom prst="rect">
                      <a:avLst/>
                    </a:prstGeom>
                  </pic:spPr>
                </pic:pic>
              </a:graphicData>
            </a:graphic>
          </wp:inline>
        </w:drawing>
      </w:r>
    </w:p>
    <w:p w14:paraId="093481DC" w14:textId="77777777" w:rsidR="00CC556C" w:rsidRDefault="00000000">
      <w:pPr>
        <w:spacing w:after="0" w:line="240" w:lineRule="auto"/>
        <w:rPr>
          <w:rFonts w:ascii="Times New Roman" w:hAnsi="Times New Roman" w:cs="Times New Roman"/>
          <w:b/>
          <w:bCs/>
          <w:szCs w:val="22"/>
        </w:rPr>
      </w:pPr>
      <w:r>
        <w:rPr>
          <w:rFonts w:ascii="Times New Roman" w:hAnsi="Times New Roman" w:cs="Times New Roman" w:hint="eastAsia"/>
          <w:b/>
          <w:bCs/>
          <w:szCs w:val="22"/>
        </w:rPr>
        <w:t xml:space="preserve">Supplementary </w:t>
      </w:r>
      <w:r>
        <w:rPr>
          <w:rFonts w:ascii="Times New Roman" w:hAnsi="Times New Roman" w:cs="Times New Roman"/>
          <w:b/>
          <w:bCs/>
          <w:szCs w:val="22"/>
        </w:rPr>
        <w:t xml:space="preserve">Figure </w:t>
      </w:r>
      <w:r>
        <w:rPr>
          <w:rFonts w:ascii="Times New Roman" w:hAnsi="Times New Roman" w:cs="Times New Roman" w:hint="eastAsia"/>
          <w:b/>
          <w:bCs/>
          <w:szCs w:val="22"/>
        </w:rPr>
        <w:t>1</w:t>
      </w:r>
      <w:r>
        <w:rPr>
          <w:rFonts w:ascii="Times New Roman" w:hAnsi="Times New Roman" w:cs="Times New Roman"/>
          <w:b/>
          <w:bCs/>
          <w:szCs w:val="22"/>
        </w:rPr>
        <w:t>. Comparative Evaluation of Machine Learning Models for Predicting Cognitive Impairment in Parkinson's Disease</w:t>
      </w:r>
      <w:r>
        <w:rPr>
          <w:rFonts w:ascii="Times New Roman" w:hAnsi="Times New Roman" w:cs="Times New Roman" w:hint="eastAsia"/>
          <w:b/>
          <w:bCs/>
          <w:szCs w:val="22"/>
        </w:rPr>
        <w:t xml:space="preserve"> based on Demographics</w:t>
      </w:r>
    </w:p>
    <w:p w14:paraId="3E669895" w14:textId="77777777" w:rsidR="00CC556C" w:rsidRDefault="00CC556C">
      <w:pPr>
        <w:widowControl/>
        <w:spacing w:after="0" w:line="240" w:lineRule="auto"/>
        <w:rPr>
          <w:rFonts w:ascii="Times New Roman" w:hAnsi="Times New Roman" w:cs="Times New Roman"/>
          <w:szCs w:val="22"/>
        </w:rPr>
      </w:pPr>
    </w:p>
    <w:p w14:paraId="24B98A00" w14:textId="77777777" w:rsidR="00AB33D5" w:rsidRDefault="001E4ECC" w:rsidP="00AB33D5">
      <w:pPr>
        <w:widowControl/>
        <w:spacing w:after="0" w:line="240" w:lineRule="auto"/>
        <w:rPr>
          <w:rFonts w:ascii="Times New Roman" w:hAnsi="Times New Roman" w:cs="Times New Roman"/>
          <w:szCs w:val="22"/>
        </w:rPr>
      </w:pPr>
      <w:r>
        <w:rPr>
          <w:rFonts w:ascii="Times New Roman" w:hAnsi="Times New Roman" w:cs="Times New Roman" w:hint="eastAsia"/>
          <w:noProof/>
          <w:szCs w:val="22"/>
          <w14:ligatures w14:val="none"/>
        </w:rPr>
        <w:lastRenderedPageBreak/>
        <w:drawing>
          <wp:inline distT="0" distB="0" distL="0" distR="0" wp14:anchorId="2179F4F3" wp14:editId="6873ACF2">
            <wp:extent cx="5127437" cy="4735019"/>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5127437" cy="4735019"/>
                    </a:xfrm>
                    <a:prstGeom prst="rect">
                      <a:avLst/>
                    </a:prstGeom>
                  </pic:spPr>
                </pic:pic>
              </a:graphicData>
            </a:graphic>
          </wp:inline>
        </w:drawing>
      </w:r>
      <w:r w:rsidRPr="00974F6D">
        <w:rPr>
          <w:rFonts w:ascii="Times New Roman" w:hAnsi="Times New Roman" w:cs="Times New Roman" w:hint="eastAsia"/>
          <w:szCs w:val="22"/>
        </w:rPr>
        <w:br/>
      </w:r>
      <w:r w:rsidR="00AB33D5">
        <w:rPr>
          <w:rFonts w:ascii="Times New Roman" w:hAnsi="Times New Roman" w:cs="Times New Roman" w:hint="eastAsia"/>
          <w:b/>
          <w:bCs/>
          <w:szCs w:val="22"/>
        </w:rPr>
        <w:t>Supplementary Figure 2. Sensitivity, heterogeneity, and pleiotropy analysis for the Mendelian randomization of WDR11 on PDD.</w:t>
      </w:r>
    </w:p>
    <w:p w14:paraId="7CEFFA1D" w14:textId="77777777" w:rsidR="00AB33D5" w:rsidRDefault="00AB33D5" w:rsidP="00AB33D5">
      <w:pPr>
        <w:widowControl/>
        <w:spacing w:after="0" w:line="240" w:lineRule="auto"/>
        <w:rPr>
          <w:rFonts w:ascii="Times New Roman" w:hAnsi="Times New Roman" w:cs="Times New Roman"/>
          <w:szCs w:val="22"/>
        </w:rPr>
      </w:pPr>
      <w:r>
        <w:rPr>
          <w:rFonts w:ascii="Times New Roman" w:hAnsi="Times New Roman" w:cs="Times New Roman" w:hint="eastAsia"/>
          <w:szCs w:val="22"/>
        </w:rPr>
        <w:t>(A) Scatter Plot. (B) Forest Plot. (C) Funnel Plot. (D) Leave-one-out sensitivity analysis.</w:t>
      </w:r>
    </w:p>
    <w:p w14:paraId="21C76371" w14:textId="1D5B1BC1" w:rsidR="00E94C64" w:rsidRDefault="00E94C64" w:rsidP="00AB33D5">
      <w:pPr>
        <w:widowControl/>
        <w:spacing w:after="0" w:line="240" w:lineRule="auto"/>
        <w:rPr>
          <w:rFonts w:ascii="Times New Roman" w:hAnsi="Times New Roman" w:cs="Times New Roman"/>
          <w:szCs w:val="22"/>
        </w:rPr>
      </w:pPr>
      <w:r>
        <w:rPr>
          <w:rFonts w:ascii="Times New Roman" w:hAnsi="Times New Roman" w:cs="Times New Roman"/>
          <w:szCs w:val="22"/>
        </w:rPr>
        <w:br w:type="page"/>
      </w:r>
    </w:p>
    <w:p w14:paraId="680ADDC7" w14:textId="6A574E93" w:rsidR="00037425" w:rsidRDefault="00431572" w:rsidP="00037425">
      <w:pPr>
        <w:widowControl/>
        <w:spacing w:after="0" w:line="240" w:lineRule="auto"/>
        <w:rPr>
          <w:rFonts w:ascii="Times New Roman" w:hAnsi="Times New Roman" w:cs="Times New Roman"/>
          <w:b/>
          <w:bCs/>
          <w:szCs w:val="22"/>
        </w:rPr>
      </w:pPr>
      <w:r>
        <w:rPr>
          <w:rFonts w:ascii="Times New Roman" w:hAnsi="Times New Roman" w:cs="Times New Roman"/>
          <w:b/>
          <w:bCs/>
          <w:noProof/>
          <w:szCs w:val="22"/>
          <w14:ligatures w14:val="none"/>
        </w:rPr>
        <w:lastRenderedPageBreak/>
        <w:drawing>
          <wp:inline distT="0" distB="0" distL="0" distR="0" wp14:anchorId="326E51EB" wp14:editId="3DA32539">
            <wp:extent cx="5237370" cy="2938956"/>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5237370" cy="2938956"/>
                    </a:xfrm>
                    <a:prstGeom prst="rect">
                      <a:avLst/>
                    </a:prstGeom>
                  </pic:spPr>
                </pic:pic>
              </a:graphicData>
            </a:graphic>
          </wp:inline>
        </w:drawing>
      </w:r>
    </w:p>
    <w:p w14:paraId="77A36407" w14:textId="709A3C5E" w:rsidR="00037425" w:rsidRDefault="00037425" w:rsidP="00037425">
      <w:pPr>
        <w:widowControl/>
        <w:spacing w:after="0" w:line="240" w:lineRule="auto"/>
        <w:rPr>
          <w:rFonts w:ascii="Times New Roman" w:hAnsi="Times New Roman" w:cs="Times New Roman"/>
          <w:szCs w:val="22"/>
        </w:rPr>
      </w:pPr>
      <w:r>
        <w:rPr>
          <w:rFonts w:ascii="Times New Roman" w:hAnsi="Times New Roman" w:cs="Times New Roman" w:hint="eastAsia"/>
          <w:b/>
          <w:bCs/>
          <w:szCs w:val="22"/>
        </w:rPr>
        <w:t>Supplementary Figure 3. Gene Marker Annotation of snRNA-seq Data</w:t>
      </w:r>
    </w:p>
    <w:p w14:paraId="52414758" w14:textId="77777777" w:rsidR="00037425" w:rsidRDefault="00037425" w:rsidP="00037425">
      <w:pPr>
        <w:widowControl/>
        <w:spacing w:after="0" w:line="240" w:lineRule="auto"/>
        <w:rPr>
          <w:rFonts w:ascii="Times New Roman" w:hAnsi="Times New Roman" w:cs="Times New Roman"/>
          <w:szCs w:val="22"/>
        </w:rPr>
      </w:pPr>
      <w:r>
        <w:rPr>
          <w:rFonts w:ascii="Times New Roman" w:hAnsi="Times New Roman" w:cs="Times New Roman" w:hint="eastAsia"/>
          <w:szCs w:val="22"/>
        </w:rPr>
        <w:t xml:space="preserve">Dot plot demonstrating the expression of selected marker genes for individual cell types. The size of each dot indicates the percentage of cells within a cluster that express a specific gene. The </w:t>
      </w:r>
      <w:proofErr w:type="spellStart"/>
      <w:r>
        <w:rPr>
          <w:rFonts w:ascii="Times New Roman" w:hAnsi="Times New Roman" w:cs="Times New Roman" w:hint="eastAsia"/>
          <w:szCs w:val="22"/>
        </w:rPr>
        <w:t>colour</w:t>
      </w:r>
      <w:proofErr w:type="spellEnd"/>
      <w:r>
        <w:rPr>
          <w:rFonts w:ascii="Times New Roman" w:hAnsi="Times New Roman" w:cs="Times New Roman" w:hint="eastAsia"/>
          <w:szCs w:val="22"/>
        </w:rPr>
        <w:t xml:space="preserve"> of the dot represents the average log-</w:t>
      </w:r>
      <w:proofErr w:type="spellStart"/>
      <w:r>
        <w:rPr>
          <w:rFonts w:ascii="Times New Roman" w:hAnsi="Times New Roman" w:cs="Times New Roman" w:hint="eastAsia"/>
          <w:szCs w:val="22"/>
        </w:rPr>
        <w:t>normalised</w:t>
      </w:r>
      <w:proofErr w:type="spellEnd"/>
      <w:r>
        <w:rPr>
          <w:rFonts w:ascii="Times New Roman" w:hAnsi="Times New Roman" w:cs="Times New Roman" w:hint="eastAsia"/>
          <w:szCs w:val="22"/>
        </w:rPr>
        <w:t xml:space="preserve"> expression level of that gene.</w:t>
      </w:r>
    </w:p>
    <w:p w14:paraId="6B77C8FC" w14:textId="6D666D18" w:rsidR="00CC556C" w:rsidRPr="00037425" w:rsidRDefault="00B356CA">
      <w:pPr>
        <w:widowControl/>
        <w:spacing w:after="0" w:line="240" w:lineRule="auto"/>
        <w:rPr>
          <w:rFonts w:ascii="Times New Roman" w:hAnsi="Times New Roman" w:cs="Times New Roman"/>
          <w:szCs w:val="22"/>
        </w:rPr>
      </w:pPr>
      <w:r>
        <w:rPr>
          <w:rFonts w:ascii="Times New Roman" w:hAnsi="Times New Roman" w:cs="Times New Roman"/>
          <w:szCs w:val="22"/>
        </w:rPr>
        <w:br w:type="page"/>
      </w:r>
    </w:p>
    <w:p w14:paraId="7995386F" w14:textId="275F72F5" w:rsidR="00CC556C" w:rsidRDefault="00D53FAD">
      <w:pPr>
        <w:widowControl/>
        <w:spacing w:after="0" w:line="240" w:lineRule="auto"/>
        <w:rPr>
          <w:rFonts w:ascii="Times New Roman" w:hAnsi="Times New Roman" w:cs="Times New Roman"/>
          <w:szCs w:val="22"/>
        </w:rPr>
      </w:pPr>
      <w:r>
        <w:rPr>
          <w:rFonts w:ascii="Times New Roman" w:hAnsi="Times New Roman" w:cs="Times New Roman"/>
          <w:noProof/>
          <w:szCs w:val="22"/>
          <w14:ligatures w14:val="none"/>
        </w:rPr>
        <w:lastRenderedPageBreak/>
        <w:drawing>
          <wp:inline distT="0" distB="0" distL="0" distR="0" wp14:anchorId="13C9DDEC" wp14:editId="16B144BA">
            <wp:extent cx="5244306" cy="3369944"/>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244306" cy="3369944"/>
                    </a:xfrm>
                    <a:prstGeom prst="rect">
                      <a:avLst/>
                    </a:prstGeom>
                  </pic:spPr>
                </pic:pic>
              </a:graphicData>
            </a:graphic>
          </wp:inline>
        </w:drawing>
      </w:r>
    </w:p>
    <w:p w14:paraId="6CA2E1CC" w14:textId="66B8C7E2" w:rsidR="00CC556C" w:rsidRPr="00974F6D" w:rsidRDefault="00000000">
      <w:pPr>
        <w:widowControl/>
        <w:spacing w:after="0" w:line="240" w:lineRule="auto"/>
        <w:rPr>
          <w:rFonts w:ascii="Times New Roman" w:hAnsi="Times New Roman" w:cs="Times New Roman"/>
          <w:szCs w:val="22"/>
        </w:rPr>
      </w:pPr>
      <w:r w:rsidRPr="00974F6D">
        <w:rPr>
          <w:rFonts w:ascii="Times New Roman" w:hAnsi="Times New Roman" w:cs="Times New Roman" w:hint="eastAsia"/>
          <w:b/>
          <w:bCs/>
          <w:szCs w:val="22"/>
        </w:rPr>
        <w:t xml:space="preserve">Supplementary Figure </w:t>
      </w:r>
      <w:r w:rsidR="001A6F14">
        <w:rPr>
          <w:rFonts w:ascii="Times New Roman" w:hAnsi="Times New Roman" w:cs="Times New Roman" w:hint="eastAsia"/>
          <w:b/>
          <w:bCs/>
          <w:szCs w:val="22"/>
        </w:rPr>
        <w:t>4</w:t>
      </w:r>
      <w:r>
        <w:rPr>
          <w:rFonts w:ascii="Times New Roman" w:hAnsi="Times New Roman" w:cs="Times New Roman" w:hint="eastAsia"/>
          <w:b/>
          <w:bCs/>
          <w:szCs w:val="22"/>
        </w:rPr>
        <w:t>.</w:t>
      </w:r>
      <w:r w:rsidRPr="00974F6D">
        <w:rPr>
          <w:rFonts w:ascii="Times New Roman" w:hAnsi="Times New Roman" w:cs="Times New Roman" w:hint="eastAsia"/>
          <w:b/>
          <w:bCs/>
          <w:szCs w:val="22"/>
        </w:rPr>
        <w:t xml:space="preserve"> Quality Control and Annotation of snRNA-seq Data</w:t>
      </w:r>
    </w:p>
    <w:p w14:paraId="06CC423E" w14:textId="1CD1DC08" w:rsidR="00CC556C" w:rsidRPr="00974F6D" w:rsidRDefault="00000000">
      <w:pPr>
        <w:widowControl/>
        <w:spacing w:after="0" w:line="240" w:lineRule="auto"/>
        <w:rPr>
          <w:rFonts w:ascii="Times New Roman" w:hAnsi="Times New Roman" w:cs="Times New Roman"/>
          <w:szCs w:val="22"/>
        </w:rPr>
      </w:pPr>
      <w:r>
        <w:rPr>
          <w:rFonts w:ascii="Times New Roman" w:hAnsi="Times New Roman" w:cs="Times New Roman" w:hint="eastAsia"/>
          <w:b/>
          <w:bCs/>
          <w:szCs w:val="22"/>
        </w:rPr>
        <w:t>(A-C)</w:t>
      </w:r>
      <w:r w:rsidRPr="00974F6D">
        <w:rPr>
          <w:rFonts w:ascii="Times New Roman" w:hAnsi="Times New Roman" w:cs="Times New Roman" w:hint="eastAsia"/>
          <w:b/>
          <w:bCs/>
          <w:szCs w:val="22"/>
        </w:rPr>
        <w:t xml:space="preserve"> </w:t>
      </w:r>
      <w:r>
        <w:rPr>
          <w:rFonts w:ascii="Times New Roman" w:hAnsi="Times New Roman" w:cs="Times New Roman"/>
          <w:b/>
          <w:bCs/>
          <w:szCs w:val="22"/>
        </w:rPr>
        <w:t>UMAP visualization.</w:t>
      </w:r>
      <w:r>
        <w:rPr>
          <w:rFonts w:ascii="Times New Roman" w:hAnsi="Times New Roman" w:cs="Times New Roman" w:hint="eastAsia"/>
          <w:b/>
          <w:bCs/>
          <w:szCs w:val="22"/>
        </w:rPr>
        <w:t xml:space="preserve"> (A) </w:t>
      </w:r>
      <w:r w:rsidRPr="00974F6D">
        <w:rPr>
          <w:rFonts w:ascii="Times New Roman" w:hAnsi="Times New Roman" w:cs="Times New Roman" w:hint="eastAsia"/>
          <w:szCs w:val="22"/>
        </w:rPr>
        <w:t>Each digit represents a cell subset, demonstrating finer cellular heterogeneity.</w:t>
      </w:r>
      <w:r>
        <w:rPr>
          <w:rFonts w:ascii="Times New Roman" w:hAnsi="Times New Roman" w:cs="Times New Roman" w:hint="eastAsia"/>
          <w:szCs w:val="22"/>
        </w:rPr>
        <w:t xml:space="preserve"> (B)</w:t>
      </w:r>
      <w:r>
        <w:rPr>
          <w:rFonts w:ascii="Times New Roman" w:hAnsi="Times New Roman" w:cs="Times New Roman" w:hint="eastAsia"/>
          <w:b/>
          <w:bCs/>
          <w:szCs w:val="22"/>
        </w:rPr>
        <w:t xml:space="preserve"> Sample-wise. (C) C</w:t>
      </w:r>
      <w:r>
        <w:rPr>
          <w:rFonts w:ascii="Times New Roman" w:hAnsi="Times New Roman" w:cs="Times New Roman"/>
          <w:b/>
          <w:bCs/>
          <w:szCs w:val="22"/>
        </w:rPr>
        <w:t>ell type-specific</w:t>
      </w:r>
      <w:r>
        <w:rPr>
          <w:rFonts w:ascii="Times New Roman" w:hAnsi="Times New Roman" w:cs="Times New Roman" w:hint="eastAsia"/>
          <w:b/>
          <w:bCs/>
          <w:szCs w:val="22"/>
        </w:rPr>
        <w:t xml:space="preserve">. (D) </w:t>
      </w:r>
      <w:r w:rsidRPr="00974F6D">
        <w:rPr>
          <w:rFonts w:ascii="Times New Roman" w:hAnsi="Times New Roman" w:cs="Times New Roman" w:hint="eastAsia"/>
          <w:szCs w:val="22"/>
        </w:rPr>
        <w:t>Pie chart detailing the percentage of nuclei assigned to each cell type.</w:t>
      </w:r>
    </w:p>
    <w:p w14:paraId="6515F06E" w14:textId="77777777" w:rsidR="00CC556C" w:rsidRPr="00974F6D" w:rsidRDefault="00000000">
      <w:pPr>
        <w:widowControl/>
        <w:rPr>
          <w:rFonts w:ascii="Times New Roman" w:hAnsi="Times New Roman" w:cs="Times New Roman"/>
          <w:szCs w:val="22"/>
        </w:rPr>
      </w:pPr>
      <w:r w:rsidRPr="00974F6D">
        <w:rPr>
          <w:rFonts w:ascii="Times New Roman" w:hAnsi="Times New Roman" w:cs="Times New Roman" w:hint="eastAsia"/>
          <w:szCs w:val="22"/>
        </w:rPr>
        <w:br w:type="page"/>
      </w:r>
    </w:p>
    <w:p w14:paraId="15B596BD" w14:textId="4FF6CD41" w:rsidR="00CC556C" w:rsidRDefault="00000000">
      <w:pPr>
        <w:widowControl/>
        <w:spacing w:after="0" w:line="240" w:lineRule="auto"/>
        <w:rPr>
          <w:rFonts w:ascii="Times New Roman" w:hAnsi="Times New Roman" w:cs="Times New Roman"/>
          <w:b/>
          <w:bCs/>
          <w:szCs w:val="22"/>
        </w:rPr>
      </w:pPr>
      <w:r w:rsidRPr="00974F6D">
        <w:rPr>
          <w:rFonts w:ascii="Times New Roman" w:hAnsi="Times New Roman" w:cs="Times New Roman" w:hint="eastAsia"/>
          <w:noProof/>
          <w:szCs w:val="22"/>
        </w:rPr>
        <w:lastRenderedPageBreak/>
        <w:drawing>
          <wp:inline distT="0" distB="0" distL="114300" distR="114300" wp14:anchorId="4C79DC36" wp14:editId="556F3250">
            <wp:extent cx="5454650" cy="2993859"/>
            <wp:effectExtent l="0" t="0" r="0" b="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6751" cy="3000501"/>
                    </a:xfrm>
                    <a:prstGeom prst="rect">
                      <a:avLst/>
                    </a:prstGeom>
                  </pic:spPr>
                </pic:pic>
              </a:graphicData>
            </a:graphic>
          </wp:inline>
        </w:drawing>
      </w:r>
      <w:r w:rsidRPr="00974F6D">
        <w:rPr>
          <w:rFonts w:ascii="Times New Roman" w:hAnsi="Times New Roman" w:cs="Times New Roman" w:hint="eastAsia"/>
          <w:b/>
          <w:bCs/>
          <w:szCs w:val="22"/>
        </w:rPr>
        <w:t xml:space="preserve">Supplementary Figure </w:t>
      </w:r>
      <w:r w:rsidR="00DD1AFA">
        <w:rPr>
          <w:rFonts w:ascii="Times New Roman" w:hAnsi="Times New Roman" w:cs="Times New Roman" w:hint="eastAsia"/>
          <w:b/>
          <w:bCs/>
          <w:szCs w:val="22"/>
        </w:rPr>
        <w:t>5</w:t>
      </w:r>
      <w:r>
        <w:rPr>
          <w:rFonts w:ascii="Times New Roman" w:hAnsi="Times New Roman" w:cs="Times New Roman" w:hint="eastAsia"/>
          <w:b/>
          <w:bCs/>
          <w:szCs w:val="22"/>
        </w:rPr>
        <w:t xml:space="preserve">. </w:t>
      </w:r>
      <w:r w:rsidRPr="00974F6D">
        <w:rPr>
          <w:rFonts w:ascii="Times New Roman" w:hAnsi="Times New Roman" w:cs="Times New Roman" w:hint="eastAsia"/>
          <w:b/>
          <w:bCs/>
          <w:szCs w:val="22"/>
        </w:rPr>
        <w:t>Phenome-wide Association Study</w:t>
      </w:r>
    </w:p>
    <w:p w14:paraId="72647DEA" w14:textId="460DB210" w:rsidR="00CC556C" w:rsidRPr="00974F6D" w:rsidRDefault="00000000">
      <w:pPr>
        <w:widowControl/>
        <w:spacing w:after="0" w:line="240" w:lineRule="auto"/>
        <w:rPr>
          <w:rFonts w:ascii="Times New Roman" w:hAnsi="Times New Roman" w:cs="Times New Roman"/>
          <w:szCs w:val="22"/>
        </w:rPr>
      </w:pPr>
      <w:r>
        <w:rPr>
          <w:rFonts w:ascii="Times New Roman" w:hAnsi="Times New Roman" w:cs="Times New Roman" w:hint="eastAsia"/>
          <w:b/>
          <w:bCs/>
          <w:szCs w:val="22"/>
        </w:rPr>
        <w:t xml:space="preserve">(A-E) </w:t>
      </w:r>
      <w:r w:rsidRPr="00974F6D">
        <w:rPr>
          <w:rFonts w:ascii="Times New Roman" w:hAnsi="Times New Roman" w:cs="Times New Roman" w:hint="eastAsia"/>
          <w:szCs w:val="22"/>
        </w:rPr>
        <w:t xml:space="preserve">Manhattan plots show associations between SNPs used for instrumental variables and broad human phenotypes. The key finding was that these SNPs were significantly associated with </w:t>
      </w:r>
      <w:r>
        <w:rPr>
          <w:rFonts w:ascii="Times New Roman" w:hAnsi="Times New Roman" w:cs="Times New Roman" w:hint="eastAsia"/>
          <w:szCs w:val="22"/>
        </w:rPr>
        <w:t>targeted gene</w:t>
      </w:r>
      <w:r w:rsidRPr="00974F6D">
        <w:rPr>
          <w:rFonts w:ascii="Times New Roman" w:hAnsi="Times New Roman" w:cs="Times New Roman" w:hint="eastAsia"/>
          <w:szCs w:val="22"/>
        </w:rPr>
        <w:t xml:space="preserve"> levels (in the "biomarker" category), but none of them were significantly associated with other neuropsychiatric, metabolic, or immune phenotypes (no dots above the red horizontal line). This strongly demonstrates the specificity of instrumental variables and greatly reduces the possibility of causal estimation bias due to pleiotropy. </w:t>
      </w:r>
      <w:r>
        <w:rPr>
          <w:rFonts w:ascii="Times New Roman" w:hAnsi="Times New Roman" w:cs="Times New Roman" w:hint="eastAsia"/>
          <w:szCs w:val="22"/>
        </w:rPr>
        <w:t>(A) CA1; (B) MMP12; (C) MSMB; (D) POSTN; (E) PLEKHH2.</w:t>
      </w:r>
    </w:p>
    <w:p w14:paraId="147D0754" w14:textId="77777777" w:rsidR="00CC556C" w:rsidRPr="00974F6D" w:rsidRDefault="00000000">
      <w:pPr>
        <w:widowControl/>
        <w:rPr>
          <w:rFonts w:ascii="Times New Roman" w:hAnsi="Times New Roman" w:cs="Times New Roman"/>
          <w:szCs w:val="22"/>
        </w:rPr>
      </w:pPr>
      <w:r w:rsidRPr="00974F6D">
        <w:rPr>
          <w:rFonts w:ascii="Times New Roman" w:hAnsi="Times New Roman" w:cs="Times New Roman" w:hint="eastAsia"/>
          <w:szCs w:val="22"/>
        </w:rPr>
        <w:br w:type="page"/>
      </w:r>
    </w:p>
    <w:p w14:paraId="61299364" w14:textId="77777777" w:rsidR="00854C36" w:rsidRDefault="00854C36" w:rsidP="00854C36">
      <w:pPr>
        <w:widowControl/>
        <w:rPr>
          <w:rFonts w:ascii="Times New Roman" w:hAnsi="Times New Roman" w:cs="Times New Roman"/>
          <w:szCs w:val="22"/>
        </w:rPr>
      </w:pPr>
      <w:r>
        <w:rPr>
          <w:rFonts w:ascii="Times New Roman" w:hAnsi="Times New Roman" w:cs="Times New Roman" w:hint="eastAsia"/>
          <w:szCs w:val="22"/>
        </w:rPr>
        <w:lastRenderedPageBreak/>
        <w:t>Supplementary Table 1: Drug Targets and Drug Candidates</w:t>
      </w:r>
    </w:p>
    <w:tbl>
      <w:tblPr>
        <w:tblW w:w="4801" w:type="dxa"/>
        <w:tblInd w:w="98" w:type="dxa"/>
        <w:tblLook w:val="04A0" w:firstRow="1" w:lastRow="0" w:firstColumn="1" w:lastColumn="0" w:noHBand="0" w:noVBand="1"/>
      </w:tblPr>
      <w:tblGrid>
        <w:gridCol w:w="855"/>
        <w:gridCol w:w="1848"/>
        <w:gridCol w:w="950"/>
        <w:gridCol w:w="3148"/>
        <w:gridCol w:w="1407"/>
      </w:tblGrid>
      <w:tr w:rsidR="00854C36" w14:paraId="1CAEBB05" w14:textId="77777777" w:rsidTr="00942FDD">
        <w:trPr>
          <w:trHeight w:val="280"/>
        </w:trPr>
        <w:tc>
          <w:tcPr>
            <w:tcW w:w="960" w:type="dxa"/>
            <w:tcBorders>
              <w:top w:val="single" w:sz="4" w:space="0" w:color="000000"/>
              <w:left w:val="nil"/>
              <w:bottom w:val="single" w:sz="4" w:space="0" w:color="000000"/>
              <w:right w:val="nil"/>
              <w:tl2br w:val="nil"/>
            </w:tcBorders>
            <w:shd w:val="clear" w:color="auto" w:fill="FFFFFF"/>
            <w:noWrap/>
            <w:vAlign w:val="center"/>
          </w:tcPr>
          <w:p w14:paraId="13084437"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gene</w:t>
            </w:r>
          </w:p>
        </w:tc>
        <w:tc>
          <w:tcPr>
            <w:tcW w:w="960" w:type="dxa"/>
            <w:tcBorders>
              <w:top w:val="single" w:sz="4" w:space="0" w:color="000000"/>
              <w:left w:val="nil"/>
              <w:bottom w:val="single" w:sz="4" w:space="0" w:color="000000"/>
              <w:right w:val="nil"/>
            </w:tcBorders>
            <w:shd w:val="clear" w:color="auto" w:fill="FFFFFF"/>
            <w:noWrap/>
            <w:vAlign w:val="center"/>
          </w:tcPr>
          <w:p w14:paraId="3F2DA02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drug</w:t>
            </w:r>
          </w:p>
        </w:tc>
        <w:tc>
          <w:tcPr>
            <w:tcW w:w="960" w:type="dxa"/>
            <w:tcBorders>
              <w:top w:val="single" w:sz="4" w:space="0" w:color="000000"/>
              <w:left w:val="nil"/>
              <w:bottom w:val="single" w:sz="4" w:space="0" w:color="000000"/>
              <w:right w:val="nil"/>
            </w:tcBorders>
            <w:shd w:val="clear" w:color="auto" w:fill="FFFFFF"/>
            <w:noWrap/>
            <w:vAlign w:val="center"/>
          </w:tcPr>
          <w:p w14:paraId="5465345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regulatory approval</w:t>
            </w:r>
          </w:p>
        </w:tc>
        <w:tc>
          <w:tcPr>
            <w:tcW w:w="960" w:type="dxa"/>
            <w:tcBorders>
              <w:top w:val="single" w:sz="4" w:space="0" w:color="000000"/>
              <w:left w:val="nil"/>
              <w:bottom w:val="single" w:sz="4" w:space="0" w:color="000000"/>
              <w:right w:val="nil"/>
            </w:tcBorders>
            <w:shd w:val="clear" w:color="auto" w:fill="FFFFFF"/>
            <w:noWrap/>
            <w:vAlign w:val="center"/>
          </w:tcPr>
          <w:p w14:paraId="4996788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indication</w:t>
            </w:r>
          </w:p>
        </w:tc>
        <w:tc>
          <w:tcPr>
            <w:tcW w:w="960" w:type="dxa"/>
            <w:tcBorders>
              <w:top w:val="single" w:sz="4" w:space="0" w:color="000000"/>
              <w:left w:val="nil"/>
              <w:bottom w:val="single" w:sz="4" w:space="0" w:color="000000"/>
              <w:right w:val="nil"/>
            </w:tcBorders>
            <w:shd w:val="clear" w:color="auto" w:fill="FFFFFF"/>
            <w:noWrap/>
            <w:vAlign w:val="center"/>
          </w:tcPr>
          <w:p w14:paraId="2C99A07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interaction score</w:t>
            </w:r>
          </w:p>
        </w:tc>
      </w:tr>
      <w:tr w:rsidR="00854C36" w14:paraId="108391B0"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76497FF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7CBEF5B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SULFAMIDE</w:t>
            </w:r>
          </w:p>
        </w:tc>
        <w:tc>
          <w:tcPr>
            <w:tcW w:w="0" w:type="auto"/>
            <w:tcBorders>
              <w:top w:val="single" w:sz="4" w:space="0" w:color="000000"/>
              <w:left w:val="nil"/>
              <w:bottom w:val="single" w:sz="4" w:space="0" w:color="000000"/>
              <w:right w:val="nil"/>
            </w:tcBorders>
            <w:shd w:val="clear" w:color="auto" w:fill="FFFFFF"/>
            <w:noWrap/>
            <w:vAlign w:val="center"/>
          </w:tcPr>
          <w:p w14:paraId="44E4E59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1C498F2E"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4D0694B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1.305094963972138</w:t>
            </w:r>
          </w:p>
        </w:tc>
      </w:tr>
      <w:tr w:rsidR="00854C36" w14:paraId="35371173"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2278CDA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0F773D4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METHAZOLAMIDE</w:t>
            </w:r>
          </w:p>
        </w:tc>
        <w:tc>
          <w:tcPr>
            <w:tcW w:w="0" w:type="auto"/>
            <w:tcBorders>
              <w:top w:val="single" w:sz="4" w:space="0" w:color="000000"/>
              <w:left w:val="nil"/>
              <w:bottom w:val="single" w:sz="4" w:space="0" w:color="000000"/>
              <w:right w:val="nil"/>
            </w:tcBorders>
            <w:shd w:val="clear" w:color="auto" w:fill="FFFFFF"/>
            <w:noWrap/>
            <w:vAlign w:val="center"/>
          </w:tcPr>
          <w:p w14:paraId="6C7718B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2FFD419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 xml:space="preserve">Diuretics; Antiglaucoma </w:t>
            </w:r>
            <w:proofErr w:type="spellStart"/>
            <w:proofErr w:type="gramStart"/>
            <w:r>
              <w:rPr>
                <w:rFonts w:ascii="Times New Roman" w:hAnsi="Times New Roman" w:cs="Times New Roman"/>
                <w:color w:val="000000"/>
                <w:sz w:val="15"/>
                <w:szCs w:val="15"/>
              </w:rPr>
              <w:t>agents,Antihypertensive</w:t>
            </w:r>
            <w:proofErr w:type="spellEnd"/>
            <w:proofErr w:type="gramEnd"/>
            <w:r>
              <w:rPr>
                <w:rFonts w:ascii="Times New Roman" w:hAnsi="Times New Roman" w:cs="Times New Roman"/>
                <w:color w:val="000000"/>
                <w:sz w:val="15"/>
                <w:szCs w:val="15"/>
              </w:rPr>
              <w:t xml:space="preserve"> Agents</w:t>
            </w:r>
          </w:p>
        </w:tc>
        <w:tc>
          <w:tcPr>
            <w:tcW w:w="0" w:type="auto"/>
            <w:tcBorders>
              <w:top w:val="single" w:sz="4" w:space="0" w:color="000000"/>
              <w:left w:val="nil"/>
              <w:bottom w:val="single" w:sz="4" w:space="0" w:color="000000"/>
              <w:right w:val="nil"/>
            </w:tcBorders>
            <w:shd w:val="clear" w:color="auto" w:fill="FFFFFF"/>
            <w:noWrap/>
            <w:vAlign w:val="center"/>
          </w:tcPr>
          <w:p w14:paraId="21C8F3A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1.04407597117771</w:t>
            </w:r>
          </w:p>
        </w:tc>
      </w:tr>
      <w:tr w:rsidR="00854C36" w14:paraId="6B2506D3"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1CA537D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095B8BB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ACETAZOLAMIDE</w:t>
            </w:r>
          </w:p>
        </w:tc>
        <w:tc>
          <w:tcPr>
            <w:tcW w:w="0" w:type="auto"/>
            <w:tcBorders>
              <w:top w:val="single" w:sz="4" w:space="0" w:color="000000"/>
              <w:left w:val="nil"/>
              <w:bottom w:val="single" w:sz="4" w:space="0" w:color="000000"/>
              <w:right w:val="nil"/>
            </w:tcBorders>
            <w:shd w:val="clear" w:color="auto" w:fill="FFFFFF"/>
            <w:noWrap/>
            <w:vAlign w:val="center"/>
          </w:tcPr>
          <w:p w14:paraId="180AF0A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76BFDB7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 xml:space="preserve">Anticonvulsants; Diuretics; </w:t>
            </w:r>
            <w:proofErr w:type="spellStart"/>
            <w:r>
              <w:rPr>
                <w:rFonts w:ascii="Times New Roman" w:hAnsi="Times New Roman" w:cs="Times New Roman"/>
                <w:color w:val="000000"/>
                <w:sz w:val="15"/>
                <w:szCs w:val="15"/>
              </w:rPr>
              <w:t>antiglaucomic</w:t>
            </w:r>
            <w:proofErr w:type="spellEnd"/>
            <w:r>
              <w:rPr>
                <w:rFonts w:ascii="Times New Roman" w:hAnsi="Times New Roman" w:cs="Times New Roman"/>
                <w:color w:val="000000"/>
                <w:sz w:val="15"/>
                <w:szCs w:val="15"/>
              </w:rPr>
              <w:t xml:space="preserve"> agent</w:t>
            </w:r>
          </w:p>
        </w:tc>
        <w:tc>
          <w:tcPr>
            <w:tcW w:w="0" w:type="auto"/>
            <w:tcBorders>
              <w:top w:val="single" w:sz="4" w:space="0" w:color="000000"/>
              <w:left w:val="nil"/>
              <w:bottom w:val="single" w:sz="4" w:space="0" w:color="000000"/>
              <w:right w:val="nil"/>
            </w:tcBorders>
            <w:shd w:val="clear" w:color="auto" w:fill="FFFFFF"/>
            <w:noWrap/>
            <w:vAlign w:val="center"/>
          </w:tcPr>
          <w:p w14:paraId="39541E8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0.745768550841222</w:t>
            </w:r>
          </w:p>
        </w:tc>
      </w:tr>
      <w:tr w:rsidR="00854C36" w14:paraId="24B8DF44"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0683B34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05828B7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ETHOXZOLAMIDE</w:t>
            </w:r>
          </w:p>
        </w:tc>
        <w:tc>
          <w:tcPr>
            <w:tcW w:w="0" w:type="auto"/>
            <w:tcBorders>
              <w:top w:val="single" w:sz="4" w:space="0" w:color="000000"/>
              <w:left w:val="nil"/>
              <w:bottom w:val="single" w:sz="4" w:space="0" w:color="000000"/>
              <w:right w:val="nil"/>
            </w:tcBorders>
            <w:shd w:val="clear" w:color="auto" w:fill="FFFFFF"/>
            <w:noWrap/>
            <w:vAlign w:val="center"/>
          </w:tcPr>
          <w:p w14:paraId="7C2DC6D8"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0332528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 xml:space="preserve">Diuretics; Antiglaucoma </w:t>
            </w:r>
            <w:proofErr w:type="spellStart"/>
            <w:proofErr w:type="gramStart"/>
            <w:r>
              <w:rPr>
                <w:rFonts w:ascii="Times New Roman" w:hAnsi="Times New Roman" w:cs="Times New Roman"/>
                <w:color w:val="000000"/>
                <w:sz w:val="15"/>
                <w:szCs w:val="15"/>
              </w:rPr>
              <w:t>agents,Antihypertensive</w:t>
            </w:r>
            <w:proofErr w:type="spellEnd"/>
            <w:proofErr w:type="gramEnd"/>
            <w:r>
              <w:rPr>
                <w:rFonts w:ascii="Times New Roman" w:hAnsi="Times New Roman" w:cs="Times New Roman"/>
                <w:color w:val="000000"/>
                <w:sz w:val="15"/>
                <w:szCs w:val="15"/>
              </w:rPr>
              <w:t xml:space="preserve"> Agents</w:t>
            </w:r>
          </w:p>
        </w:tc>
        <w:tc>
          <w:tcPr>
            <w:tcW w:w="0" w:type="auto"/>
            <w:tcBorders>
              <w:top w:val="single" w:sz="4" w:space="0" w:color="000000"/>
              <w:left w:val="nil"/>
              <w:bottom w:val="single" w:sz="4" w:space="0" w:color="000000"/>
              <w:right w:val="nil"/>
            </w:tcBorders>
            <w:shd w:val="clear" w:color="auto" w:fill="FFFFFF"/>
            <w:noWrap/>
            <w:vAlign w:val="center"/>
          </w:tcPr>
          <w:p w14:paraId="3C946A2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0.6960506474518071</w:t>
            </w:r>
          </w:p>
        </w:tc>
      </w:tr>
      <w:tr w:rsidR="00854C36" w14:paraId="672A0A2D"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635A0BA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107E8268"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MEDRONIC ACID</w:t>
            </w:r>
          </w:p>
        </w:tc>
        <w:tc>
          <w:tcPr>
            <w:tcW w:w="0" w:type="auto"/>
            <w:tcBorders>
              <w:top w:val="single" w:sz="4" w:space="0" w:color="000000"/>
              <w:left w:val="nil"/>
              <w:bottom w:val="single" w:sz="4" w:space="0" w:color="000000"/>
              <w:right w:val="nil"/>
            </w:tcBorders>
            <w:shd w:val="clear" w:color="auto" w:fill="FFFFFF"/>
            <w:noWrap/>
            <w:vAlign w:val="center"/>
          </w:tcPr>
          <w:p w14:paraId="605D76B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7CA1423E"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517741F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1.305094963972138</w:t>
            </w:r>
          </w:p>
        </w:tc>
      </w:tr>
      <w:tr w:rsidR="00854C36" w14:paraId="1AD3B8D2"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52D546B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5B061F8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CURCUMIN</w:t>
            </w:r>
          </w:p>
        </w:tc>
        <w:tc>
          <w:tcPr>
            <w:tcW w:w="0" w:type="auto"/>
            <w:tcBorders>
              <w:top w:val="single" w:sz="4" w:space="0" w:color="000000"/>
              <w:left w:val="nil"/>
              <w:bottom w:val="single" w:sz="4" w:space="0" w:color="000000"/>
              <w:right w:val="nil"/>
            </w:tcBorders>
            <w:shd w:val="clear" w:color="auto" w:fill="FFFFFF"/>
            <w:noWrap/>
            <w:vAlign w:val="center"/>
          </w:tcPr>
          <w:p w14:paraId="14F3C04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66253066"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3BBE9E8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0.03954833224157995</w:t>
            </w:r>
          </w:p>
        </w:tc>
      </w:tr>
      <w:tr w:rsidR="00854C36" w14:paraId="21E49846"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476610BA"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319C9181"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CHLOROTHIAZIDE</w:t>
            </w:r>
          </w:p>
        </w:tc>
        <w:tc>
          <w:tcPr>
            <w:tcW w:w="0" w:type="auto"/>
            <w:tcBorders>
              <w:top w:val="single" w:sz="4" w:space="0" w:color="000000"/>
              <w:left w:val="nil"/>
              <w:bottom w:val="single" w:sz="4" w:space="0" w:color="000000"/>
              <w:right w:val="nil"/>
            </w:tcBorders>
            <w:shd w:val="clear" w:color="auto" w:fill="FFFFFF"/>
            <w:noWrap/>
            <w:vAlign w:val="center"/>
          </w:tcPr>
          <w:p w14:paraId="5E86C4D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733AA181"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Antihypertensive Agents; Diuretics</w:t>
            </w:r>
          </w:p>
        </w:tc>
        <w:tc>
          <w:tcPr>
            <w:tcW w:w="0" w:type="auto"/>
            <w:tcBorders>
              <w:top w:val="single" w:sz="4" w:space="0" w:color="000000"/>
              <w:left w:val="nil"/>
              <w:bottom w:val="single" w:sz="4" w:space="0" w:color="000000"/>
              <w:right w:val="nil"/>
            </w:tcBorders>
            <w:shd w:val="clear" w:color="auto" w:fill="FFFFFF"/>
            <w:noWrap/>
            <w:vAlign w:val="center"/>
          </w:tcPr>
          <w:p w14:paraId="2B52C88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0.745768550841222</w:t>
            </w:r>
          </w:p>
        </w:tc>
      </w:tr>
      <w:tr w:rsidR="00854C36" w14:paraId="7B47DEB6"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59B2811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300FD42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TRICHLORMETHIAZIDE</w:t>
            </w:r>
          </w:p>
        </w:tc>
        <w:tc>
          <w:tcPr>
            <w:tcW w:w="0" w:type="auto"/>
            <w:tcBorders>
              <w:top w:val="single" w:sz="4" w:space="0" w:color="000000"/>
              <w:left w:val="nil"/>
              <w:bottom w:val="single" w:sz="4" w:space="0" w:color="000000"/>
              <w:right w:val="nil"/>
            </w:tcBorders>
            <w:shd w:val="clear" w:color="auto" w:fill="FFFFFF"/>
            <w:noWrap/>
            <w:vAlign w:val="center"/>
          </w:tcPr>
          <w:p w14:paraId="6A4BCDB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791FB99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Antihypertensive Agents; Diuretics</w:t>
            </w:r>
          </w:p>
        </w:tc>
        <w:tc>
          <w:tcPr>
            <w:tcW w:w="0" w:type="auto"/>
            <w:tcBorders>
              <w:top w:val="single" w:sz="4" w:space="0" w:color="000000"/>
              <w:left w:val="nil"/>
              <w:bottom w:val="single" w:sz="4" w:space="0" w:color="000000"/>
              <w:right w:val="nil"/>
            </w:tcBorders>
            <w:shd w:val="clear" w:color="auto" w:fill="FFFFFF"/>
            <w:noWrap/>
            <w:vAlign w:val="center"/>
          </w:tcPr>
          <w:p w14:paraId="5121084A"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0.8700633093147588</w:t>
            </w:r>
          </w:p>
        </w:tc>
      </w:tr>
      <w:tr w:rsidR="00854C36" w14:paraId="7A55112F"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0F37F88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71466287"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PHENOL</w:t>
            </w:r>
          </w:p>
        </w:tc>
        <w:tc>
          <w:tcPr>
            <w:tcW w:w="0" w:type="auto"/>
            <w:tcBorders>
              <w:top w:val="single" w:sz="4" w:space="0" w:color="000000"/>
              <w:left w:val="nil"/>
              <w:bottom w:val="single" w:sz="4" w:space="0" w:color="000000"/>
              <w:right w:val="nil"/>
            </w:tcBorders>
            <w:shd w:val="clear" w:color="auto" w:fill="FFFFFF"/>
            <w:noWrap/>
            <w:vAlign w:val="center"/>
          </w:tcPr>
          <w:p w14:paraId="343ECF2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689ECE2F"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2F58BCF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1.957642445958207</w:t>
            </w:r>
          </w:p>
        </w:tc>
      </w:tr>
      <w:tr w:rsidR="00854C36" w14:paraId="541CA940"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2C813BA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74DA27A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POLMACOXIB</w:t>
            </w:r>
          </w:p>
        </w:tc>
        <w:tc>
          <w:tcPr>
            <w:tcW w:w="0" w:type="auto"/>
            <w:tcBorders>
              <w:top w:val="single" w:sz="4" w:space="0" w:color="000000"/>
              <w:left w:val="nil"/>
              <w:bottom w:val="single" w:sz="4" w:space="0" w:color="000000"/>
              <w:right w:val="nil"/>
            </w:tcBorders>
            <w:shd w:val="clear" w:color="auto" w:fill="FFFFFF"/>
            <w:noWrap/>
            <w:vAlign w:val="center"/>
          </w:tcPr>
          <w:p w14:paraId="702FC4B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7399E64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NSAID</w:t>
            </w:r>
          </w:p>
        </w:tc>
        <w:tc>
          <w:tcPr>
            <w:tcW w:w="0" w:type="auto"/>
            <w:tcBorders>
              <w:top w:val="single" w:sz="4" w:space="0" w:color="000000"/>
              <w:left w:val="nil"/>
              <w:bottom w:val="single" w:sz="4" w:space="0" w:color="000000"/>
              <w:right w:val="nil"/>
            </w:tcBorders>
            <w:shd w:val="clear" w:color="auto" w:fill="FFFFFF"/>
            <w:noWrap/>
            <w:vAlign w:val="center"/>
          </w:tcPr>
          <w:p w14:paraId="72236D1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2.610189927944276</w:t>
            </w:r>
          </w:p>
        </w:tc>
      </w:tr>
      <w:tr w:rsidR="00854C36" w14:paraId="6F65D177"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6A95E85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1400627A"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ACETAZOLAMIDE SODIUM</w:t>
            </w:r>
          </w:p>
        </w:tc>
        <w:tc>
          <w:tcPr>
            <w:tcW w:w="0" w:type="auto"/>
            <w:tcBorders>
              <w:top w:val="single" w:sz="4" w:space="0" w:color="000000"/>
              <w:left w:val="nil"/>
              <w:bottom w:val="single" w:sz="4" w:space="0" w:color="000000"/>
              <w:right w:val="nil"/>
            </w:tcBorders>
            <w:shd w:val="clear" w:color="auto" w:fill="FFFFFF"/>
            <w:noWrap/>
            <w:vAlign w:val="center"/>
          </w:tcPr>
          <w:p w14:paraId="6DCE8D4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280DD387"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35789E8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0.6525474819860692</w:t>
            </w:r>
          </w:p>
        </w:tc>
      </w:tr>
      <w:tr w:rsidR="00854C36" w14:paraId="38726275"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3021C62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1ABCA79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DICHLORPHENAMIDE</w:t>
            </w:r>
          </w:p>
        </w:tc>
        <w:tc>
          <w:tcPr>
            <w:tcW w:w="0" w:type="auto"/>
            <w:tcBorders>
              <w:top w:val="single" w:sz="4" w:space="0" w:color="000000"/>
              <w:left w:val="nil"/>
              <w:bottom w:val="single" w:sz="4" w:space="0" w:color="000000"/>
              <w:right w:val="nil"/>
            </w:tcBorders>
            <w:shd w:val="clear" w:color="auto" w:fill="FFFFFF"/>
            <w:noWrap/>
            <w:vAlign w:val="center"/>
          </w:tcPr>
          <w:p w14:paraId="5276B76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2F67D3CC" w14:textId="77777777" w:rsidR="00854C36" w:rsidRDefault="00854C36" w:rsidP="00942FDD">
            <w:pPr>
              <w:widowControl/>
              <w:rPr>
                <w:rFonts w:ascii="Times New Roman" w:hAnsi="Times New Roman" w:cs="Times New Roman"/>
                <w:color w:val="000000"/>
                <w:sz w:val="15"/>
                <w:szCs w:val="15"/>
              </w:rPr>
            </w:pPr>
            <w:proofErr w:type="spellStart"/>
            <w:r>
              <w:rPr>
                <w:rFonts w:ascii="Times New Roman" w:hAnsi="Times New Roman" w:cs="Times New Roman"/>
                <w:color w:val="000000"/>
                <w:sz w:val="15"/>
                <w:szCs w:val="15"/>
              </w:rPr>
              <w:t>Antiglaucomic</w:t>
            </w:r>
            <w:proofErr w:type="spellEnd"/>
            <w:r>
              <w:rPr>
                <w:rFonts w:ascii="Times New Roman" w:hAnsi="Times New Roman" w:cs="Times New Roman"/>
                <w:color w:val="000000"/>
                <w:sz w:val="15"/>
                <w:szCs w:val="15"/>
              </w:rPr>
              <w:t xml:space="preserve"> Agents</w:t>
            </w:r>
          </w:p>
        </w:tc>
        <w:tc>
          <w:tcPr>
            <w:tcW w:w="0" w:type="auto"/>
            <w:tcBorders>
              <w:top w:val="single" w:sz="4" w:space="0" w:color="000000"/>
              <w:left w:val="nil"/>
              <w:bottom w:val="single" w:sz="4" w:space="0" w:color="000000"/>
              <w:right w:val="nil"/>
            </w:tcBorders>
            <w:shd w:val="clear" w:color="auto" w:fill="FFFFFF"/>
            <w:noWrap/>
            <w:vAlign w:val="center"/>
          </w:tcPr>
          <w:p w14:paraId="3D3514F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2.088151942355421</w:t>
            </w:r>
          </w:p>
        </w:tc>
      </w:tr>
      <w:tr w:rsidR="00854C36" w14:paraId="0F4AF544"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1737FFB8"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5A59E7D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PARABEN</w:t>
            </w:r>
          </w:p>
        </w:tc>
        <w:tc>
          <w:tcPr>
            <w:tcW w:w="0" w:type="auto"/>
            <w:tcBorders>
              <w:top w:val="single" w:sz="4" w:space="0" w:color="000000"/>
              <w:left w:val="nil"/>
              <w:bottom w:val="single" w:sz="4" w:space="0" w:color="000000"/>
              <w:right w:val="nil"/>
            </w:tcBorders>
            <w:shd w:val="clear" w:color="auto" w:fill="FFFFFF"/>
            <w:noWrap/>
            <w:vAlign w:val="center"/>
          </w:tcPr>
          <w:p w14:paraId="461F430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385C0272"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3CD6962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0.6525474819860692</w:t>
            </w:r>
          </w:p>
        </w:tc>
      </w:tr>
      <w:tr w:rsidR="00854C36" w14:paraId="5AACBF37"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49AFF3CA"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7E286E2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ZONISAMIDE</w:t>
            </w:r>
          </w:p>
        </w:tc>
        <w:tc>
          <w:tcPr>
            <w:tcW w:w="0" w:type="auto"/>
            <w:tcBorders>
              <w:top w:val="single" w:sz="4" w:space="0" w:color="000000"/>
              <w:left w:val="nil"/>
              <w:bottom w:val="single" w:sz="4" w:space="0" w:color="000000"/>
              <w:right w:val="nil"/>
            </w:tcBorders>
            <w:shd w:val="clear" w:color="auto" w:fill="FFFFFF"/>
            <w:noWrap/>
            <w:vAlign w:val="center"/>
          </w:tcPr>
          <w:p w14:paraId="70171CA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41B3BD0A" w14:textId="77777777" w:rsidR="00854C36" w:rsidRDefault="00854C36" w:rsidP="00942FDD">
            <w:pPr>
              <w:widowControl/>
              <w:rPr>
                <w:rFonts w:ascii="Times New Roman" w:hAnsi="Times New Roman" w:cs="Times New Roman"/>
                <w:color w:val="000000"/>
                <w:sz w:val="15"/>
                <w:szCs w:val="15"/>
              </w:rPr>
            </w:pPr>
            <w:proofErr w:type="spellStart"/>
            <w:proofErr w:type="gramStart"/>
            <w:r>
              <w:rPr>
                <w:rFonts w:ascii="Times New Roman" w:hAnsi="Times New Roman" w:cs="Times New Roman"/>
                <w:color w:val="000000"/>
                <w:sz w:val="15"/>
                <w:szCs w:val="15"/>
              </w:rPr>
              <w:t>anticonvulsant,antipsychotic</w:t>
            </w:r>
            <w:proofErr w:type="spellEnd"/>
            <w:proofErr w:type="gramEnd"/>
            <w:r>
              <w:rPr>
                <w:rFonts w:ascii="Times New Roman" w:hAnsi="Times New Roman" w:cs="Times New Roman"/>
                <w:color w:val="000000"/>
                <w:sz w:val="15"/>
                <w:szCs w:val="15"/>
              </w:rPr>
              <w:t xml:space="preserve"> </w:t>
            </w:r>
            <w:proofErr w:type="spellStart"/>
            <w:r>
              <w:rPr>
                <w:rFonts w:ascii="Times New Roman" w:hAnsi="Times New Roman" w:cs="Times New Roman"/>
                <w:color w:val="000000"/>
                <w:sz w:val="15"/>
                <w:szCs w:val="15"/>
              </w:rPr>
              <w:t>agent,appetite</w:t>
            </w:r>
            <w:proofErr w:type="spellEnd"/>
            <w:r>
              <w:rPr>
                <w:rFonts w:ascii="Times New Roman" w:hAnsi="Times New Roman" w:cs="Times New Roman"/>
                <w:color w:val="000000"/>
                <w:sz w:val="15"/>
                <w:szCs w:val="15"/>
              </w:rPr>
              <w:t xml:space="preserve"> suppressant</w:t>
            </w:r>
          </w:p>
        </w:tc>
        <w:tc>
          <w:tcPr>
            <w:tcW w:w="0" w:type="auto"/>
            <w:tcBorders>
              <w:top w:val="single" w:sz="4" w:space="0" w:color="000000"/>
              <w:left w:val="nil"/>
              <w:bottom w:val="single" w:sz="4" w:space="0" w:color="000000"/>
              <w:right w:val="nil"/>
            </w:tcBorders>
            <w:shd w:val="clear" w:color="auto" w:fill="FFFFFF"/>
            <w:noWrap/>
            <w:vAlign w:val="center"/>
          </w:tcPr>
          <w:p w14:paraId="2767F84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0.104407597117771</w:t>
            </w:r>
          </w:p>
        </w:tc>
      </w:tr>
      <w:tr w:rsidR="00854C36" w14:paraId="6B67DACA"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303091C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lastRenderedPageBreak/>
              <w:t>CA1</w:t>
            </w:r>
          </w:p>
        </w:tc>
        <w:tc>
          <w:tcPr>
            <w:tcW w:w="0" w:type="auto"/>
            <w:tcBorders>
              <w:top w:val="single" w:sz="4" w:space="0" w:color="000000"/>
              <w:left w:val="nil"/>
              <w:bottom w:val="single" w:sz="4" w:space="0" w:color="000000"/>
              <w:right w:val="nil"/>
            </w:tcBorders>
            <w:shd w:val="clear" w:color="auto" w:fill="FFFFFF"/>
            <w:noWrap/>
            <w:vAlign w:val="center"/>
          </w:tcPr>
          <w:p w14:paraId="5254346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CATECHOL</w:t>
            </w:r>
          </w:p>
        </w:tc>
        <w:tc>
          <w:tcPr>
            <w:tcW w:w="0" w:type="auto"/>
            <w:tcBorders>
              <w:top w:val="single" w:sz="4" w:space="0" w:color="000000"/>
              <w:left w:val="nil"/>
              <w:bottom w:val="single" w:sz="4" w:space="0" w:color="000000"/>
              <w:right w:val="nil"/>
            </w:tcBorders>
            <w:shd w:val="clear" w:color="auto" w:fill="FFFFFF"/>
            <w:noWrap/>
            <w:vAlign w:val="center"/>
          </w:tcPr>
          <w:p w14:paraId="036A984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2B618FC0"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58D4810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0.2372899934494797</w:t>
            </w:r>
          </w:p>
        </w:tc>
      </w:tr>
      <w:tr w:rsidR="00854C36" w14:paraId="21699428"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0A41560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078DC12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FERULIC ACID</w:t>
            </w:r>
          </w:p>
        </w:tc>
        <w:tc>
          <w:tcPr>
            <w:tcW w:w="0" w:type="auto"/>
            <w:tcBorders>
              <w:top w:val="single" w:sz="4" w:space="0" w:color="000000"/>
              <w:left w:val="nil"/>
              <w:bottom w:val="single" w:sz="4" w:space="0" w:color="000000"/>
              <w:right w:val="nil"/>
            </w:tcBorders>
            <w:shd w:val="clear" w:color="auto" w:fill="FFFFFF"/>
            <w:noWrap/>
            <w:vAlign w:val="center"/>
          </w:tcPr>
          <w:p w14:paraId="6438C08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703DD094"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0E77B50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0.5220379855888553</w:t>
            </w:r>
          </w:p>
        </w:tc>
      </w:tr>
      <w:tr w:rsidR="00854C36" w14:paraId="4D18E8E6"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6A65939A"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55DC695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LEVETIRACETAM</w:t>
            </w:r>
          </w:p>
        </w:tc>
        <w:tc>
          <w:tcPr>
            <w:tcW w:w="0" w:type="auto"/>
            <w:tcBorders>
              <w:top w:val="single" w:sz="4" w:space="0" w:color="000000"/>
              <w:left w:val="nil"/>
              <w:bottom w:val="single" w:sz="4" w:space="0" w:color="000000"/>
              <w:right w:val="nil"/>
            </w:tcBorders>
            <w:shd w:val="clear" w:color="auto" w:fill="FFFFFF"/>
            <w:noWrap/>
            <w:vAlign w:val="center"/>
          </w:tcPr>
          <w:p w14:paraId="03C1114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20BFD9B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anticonvulsant</w:t>
            </w:r>
          </w:p>
        </w:tc>
        <w:tc>
          <w:tcPr>
            <w:tcW w:w="0" w:type="auto"/>
            <w:tcBorders>
              <w:top w:val="single" w:sz="4" w:space="0" w:color="000000"/>
              <w:left w:val="nil"/>
              <w:bottom w:val="single" w:sz="4" w:space="0" w:color="000000"/>
              <w:right w:val="nil"/>
            </w:tcBorders>
            <w:shd w:val="clear" w:color="auto" w:fill="FFFFFF"/>
            <w:noWrap/>
            <w:vAlign w:val="center"/>
          </w:tcPr>
          <w:p w14:paraId="7B10C31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0.372884275420611</w:t>
            </w:r>
          </w:p>
        </w:tc>
      </w:tr>
      <w:tr w:rsidR="00854C36" w14:paraId="7C3062DD"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4FABAB87"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07E02A1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METHOCARBAMOL</w:t>
            </w:r>
          </w:p>
        </w:tc>
        <w:tc>
          <w:tcPr>
            <w:tcW w:w="0" w:type="auto"/>
            <w:tcBorders>
              <w:top w:val="single" w:sz="4" w:space="0" w:color="000000"/>
              <w:left w:val="nil"/>
              <w:bottom w:val="single" w:sz="4" w:space="0" w:color="000000"/>
              <w:right w:val="nil"/>
            </w:tcBorders>
            <w:shd w:val="clear" w:color="auto" w:fill="FFFFFF"/>
            <w:noWrap/>
            <w:vAlign w:val="center"/>
          </w:tcPr>
          <w:p w14:paraId="3DBAA7B7"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3CC0F3A5"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514FC47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0.4350316546573794</w:t>
            </w:r>
          </w:p>
        </w:tc>
      </w:tr>
      <w:tr w:rsidR="00854C36" w14:paraId="3C626419"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674DB87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2BAB652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RESORCINOL</w:t>
            </w:r>
          </w:p>
        </w:tc>
        <w:tc>
          <w:tcPr>
            <w:tcW w:w="0" w:type="auto"/>
            <w:tcBorders>
              <w:top w:val="single" w:sz="4" w:space="0" w:color="000000"/>
              <w:left w:val="nil"/>
              <w:bottom w:val="single" w:sz="4" w:space="0" w:color="000000"/>
              <w:right w:val="nil"/>
            </w:tcBorders>
            <w:shd w:val="clear" w:color="auto" w:fill="FFFFFF"/>
            <w:noWrap/>
            <w:vAlign w:val="center"/>
          </w:tcPr>
          <w:p w14:paraId="69548FE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6C20E7EE"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456E87F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2.610189927944276</w:t>
            </w:r>
          </w:p>
        </w:tc>
      </w:tr>
      <w:tr w:rsidR="00854C36" w14:paraId="12FD4D93"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25A6DF5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CA1</w:t>
            </w:r>
          </w:p>
        </w:tc>
        <w:tc>
          <w:tcPr>
            <w:tcW w:w="0" w:type="auto"/>
            <w:tcBorders>
              <w:top w:val="single" w:sz="4" w:space="0" w:color="000000"/>
              <w:left w:val="nil"/>
              <w:bottom w:val="single" w:sz="4" w:space="0" w:color="000000"/>
              <w:right w:val="nil"/>
            </w:tcBorders>
            <w:shd w:val="clear" w:color="auto" w:fill="FFFFFF"/>
            <w:noWrap/>
            <w:vAlign w:val="center"/>
          </w:tcPr>
          <w:p w14:paraId="0DD3A2D1"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SULTHIAME</w:t>
            </w:r>
          </w:p>
        </w:tc>
        <w:tc>
          <w:tcPr>
            <w:tcW w:w="0" w:type="auto"/>
            <w:tcBorders>
              <w:top w:val="single" w:sz="4" w:space="0" w:color="000000"/>
              <w:left w:val="nil"/>
              <w:bottom w:val="single" w:sz="4" w:space="0" w:color="000000"/>
              <w:right w:val="nil"/>
            </w:tcBorders>
            <w:shd w:val="clear" w:color="auto" w:fill="FFFFFF"/>
            <w:noWrap/>
            <w:vAlign w:val="center"/>
          </w:tcPr>
          <w:p w14:paraId="0B19EFF7"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7D178781"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0AB6699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0.2175158273286897</w:t>
            </w:r>
          </w:p>
        </w:tc>
      </w:tr>
      <w:tr w:rsidR="00854C36" w14:paraId="79237E82"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1A95CF1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00360178"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MARIMASTAT</w:t>
            </w:r>
          </w:p>
        </w:tc>
        <w:tc>
          <w:tcPr>
            <w:tcW w:w="0" w:type="auto"/>
            <w:tcBorders>
              <w:top w:val="single" w:sz="4" w:space="0" w:color="000000"/>
              <w:left w:val="nil"/>
              <w:bottom w:val="single" w:sz="4" w:space="0" w:color="000000"/>
              <w:right w:val="nil"/>
            </w:tcBorders>
            <w:shd w:val="clear" w:color="auto" w:fill="FFFFFF"/>
            <w:noWrap/>
            <w:vAlign w:val="center"/>
          </w:tcPr>
          <w:p w14:paraId="32E30BD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4B4A409A"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Antineoplastic Agents</w:t>
            </w:r>
          </w:p>
        </w:tc>
        <w:tc>
          <w:tcPr>
            <w:tcW w:w="0" w:type="auto"/>
            <w:tcBorders>
              <w:top w:val="single" w:sz="4" w:space="0" w:color="000000"/>
              <w:left w:val="nil"/>
              <w:bottom w:val="single" w:sz="4" w:space="0" w:color="000000"/>
              <w:right w:val="nil"/>
            </w:tcBorders>
            <w:shd w:val="clear" w:color="auto" w:fill="FFFFFF"/>
            <w:noWrap/>
            <w:vAlign w:val="center"/>
          </w:tcPr>
          <w:p w14:paraId="7A9D21B8"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0.3866948041398929</w:t>
            </w:r>
          </w:p>
        </w:tc>
      </w:tr>
      <w:tr w:rsidR="00854C36" w14:paraId="19A14F8D"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61B94C5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1CB397D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ILOMASTAT</w:t>
            </w:r>
          </w:p>
        </w:tc>
        <w:tc>
          <w:tcPr>
            <w:tcW w:w="0" w:type="auto"/>
            <w:tcBorders>
              <w:top w:val="single" w:sz="4" w:space="0" w:color="000000"/>
              <w:left w:val="nil"/>
              <w:bottom w:val="single" w:sz="4" w:space="0" w:color="000000"/>
              <w:right w:val="nil"/>
            </w:tcBorders>
            <w:shd w:val="clear" w:color="auto" w:fill="FFFFFF"/>
            <w:noWrap/>
            <w:vAlign w:val="center"/>
          </w:tcPr>
          <w:p w14:paraId="30D4662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5F5F9A3E"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71AD1F93"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0.2320168824839356</w:t>
            </w:r>
          </w:p>
        </w:tc>
      </w:tr>
      <w:tr w:rsidR="00854C36" w14:paraId="03780E7D"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5C75A58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285BBC3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ACETAZOLAMIDE</w:t>
            </w:r>
          </w:p>
        </w:tc>
        <w:tc>
          <w:tcPr>
            <w:tcW w:w="0" w:type="auto"/>
            <w:tcBorders>
              <w:top w:val="single" w:sz="4" w:space="0" w:color="000000"/>
              <w:left w:val="nil"/>
              <w:bottom w:val="single" w:sz="4" w:space="0" w:color="000000"/>
              <w:right w:val="nil"/>
            </w:tcBorders>
            <w:shd w:val="clear" w:color="auto" w:fill="FFFFFF"/>
            <w:noWrap/>
            <w:vAlign w:val="center"/>
          </w:tcPr>
          <w:p w14:paraId="6250DFE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53AA6AC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 xml:space="preserve">Anticonvulsants; Diuretics; </w:t>
            </w:r>
            <w:proofErr w:type="spellStart"/>
            <w:r>
              <w:rPr>
                <w:rFonts w:ascii="Times New Roman" w:hAnsi="Times New Roman" w:cs="Times New Roman"/>
                <w:color w:val="000000"/>
                <w:sz w:val="15"/>
                <w:szCs w:val="15"/>
              </w:rPr>
              <w:t>antiglaucomic</w:t>
            </w:r>
            <w:proofErr w:type="spellEnd"/>
            <w:r>
              <w:rPr>
                <w:rFonts w:ascii="Times New Roman" w:hAnsi="Times New Roman" w:cs="Times New Roman"/>
                <w:color w:val="000000"/>
                <w:sz w:val="15"/>
                <w:szCs w:val="15"/>
              </w:rPr>
              <w:t xml:space="preserve"> agent</w:t>
            </w:r>
          </w:p>
        </w:tc>
        <w:tc>
          <w:tcPr>
            <w:tcW w:w="0" w:type="auto"/>
            <w:tcBorders>
              <w:top w:val="single" w:sz="4" w:space="0" w:color="000000"/>
              <w:left w:val="nil"/>
              <w:bottom w:val="single" w:sz="4" w:space="0" w:color="000000"/>
              <w:right w:val="nil"/>
            </w:tcBorders>
            <w:shd w:val="clear" w:color="auto" w:fill="FFFFFF"/>
            <w:noWrap/>
            <w:vAlign w:val="center"/>
          </w:tcPr>
          <w:p w14:paraId="4BCFF1B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0.8286317231569132</w:t>
            </w:r>
          </w:p>
        </w:tc>
      </w:tr>
      <w:tr w:rsidR="00854C36" w14:paraId="3845BF42"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2FD0763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6B53637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NEOVASTAT</w:t>
            </w:r>
          </w:p>
        </w:tc>
        <w:tc>
          <w:tcPr>
            <w:tcW w:w="0" w:type="auto"/>
            <w:tcBorders>
              <w:top w:val="single" w:sz="4" w:space="0" w:color="000000"/>
              <w:left w:val="nil"/>
              <w:bottom w:val="single" w:sz="4" w:space="0" w:color="000000"/>
              <w:right w:val="nil"/>
            </w:tcBorders>
            <w:shd w:val="clear" w:color="auto" w:fill="FFFFFF"/>
            <w:noWrap/>
            <w:vAlign w:val="center"/>
          </w:tcPr>
          <w:p w14:paraId="791C6788"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51BCC45E"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51C61CA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1.160084412419678</w:t>
            </w:r>
          </w:p>
        </w:tc>
      </w:tr>
      <w:tr w:rsidR="00854C36" w14:paraId="6A126B96"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66C70E3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7D79E3AB"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DEFEROXAMINE</w:t>
            </w:r>
          </w:p>
        </w:tc>
        <w:tc>
          <w:tcPr>
            <w:tcW w:w="0" w:type="auto"/>
            <w:tcBorders>
              <w:top w:val="single" w:sz="4" w:space="0" w:color="000000"/>
              <w:left w:val="nil"/>
              <w:bottom w:val="single" w:sz="4" w:space="0" w:color="000000"/>
              <w:right w:val="nil"/>
            </w:tcBorders>
            <w:shd w:val="clear" w:color="auto" w:fill="FFFFFF"/>
            <w:noWrap/>
            <w:vAlign w:val="center"/>
          </w:tcPr>
          <w:p w14:paraId="4820091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10097579"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55EC6CA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0.6824025955409874</w:t>
            </w:r>
          </w:p>
        </w:tc>
      </w:tr>
      <w:tr w:rsidR="00854C36" w14:paraId="68B2038B"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5FB6368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6C57AFF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CTS-1027</w:t>
            </w:r>
          </w:p>
        </w:tc>
        <w:tc>
          <w:tcPr>
            <w:tcW w:w="0" w:type="auto"/>
            <w:tcBorders>
              <w:top w:val="single" w:sz="4" w:space="0" w:color="000000"/>
              <w:left w:val="nil"/>
              <w:bottom w:val="single" w:sz="4" w:space="0" w:color="000000"/>
              <w:right w:val="nil"/>
            </w:tcBorders>
            <w:shd w:val="clear" w:color="auto" w:fill="FFFFFF"/>
            <w:noWrap/>
            <w:vAlign w:val="center"/>
          </w:tcPr>
          <w:p w14:paraId="7B0764E8"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65B71CFA"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3CDF970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0.8286317231569132</w:t>
            </w:r>
          </w:p>
        </w:tc>
      </w:tr>
      <w:tr w:rsidR="00854C36" w14:paraId="6ACB5333"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103ECC1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5427FA4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CAPTOPRIL</w:t>
            </w:r>
          </w:p>
        </w:tc>
        <w:tc>
          <w:tcPr>
            <w:tcW w:w="0" w:type="auto"/>
            <w:tcBorders>
              <w:top w:val="single" w:sz="4" w:space="0" w:color="000000"/>
              <w:left w:val="nil"/>
              <w:bottom w:val="single" w:sz="4" w:space="0" w:color="000000"/>
              <w:right w:val="nil"/>
            </w:tcBorders>
            <w:shd w:val="clear" w:color="auto" w:fill="FFFFFF"/>
            <w:noWrap/>
            <w:vAlign w:val="center"/>
          </w:tcPr>
          <w:p w14:paraId="1CB9358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08487888"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Antihypertensive Agents</w:t>
            </w:r>
          </w:p>
        </w:tc>
        <w:tc>
          <w:tcPr>
            <w:tcW w:w="0" w:type="auto"/>
            <w:tcBorders>
              <w:top w:val="single" w:sz="4" w:space="0" w:color="000000"/>
              <w:left w:val="nil"/>
              <w:bottom w:val="single" w:sz="4" w:space="0" w:color="000000"/>
              <w:right w:val="nil"/>
            </w:tcBorders>
            <w:shd w:val="clear" w:color="auto" w:fill="FFFFFF"/>
            <w:noWrap/>
            <w:vAlign w:val="center"/>
          </w:tcPr>
          <w:p w14:paraId="5F44BB1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0.8923726249382143</w:t>
            </w:r>
          </w:p>
        </w:tc>
      </w:tr>
      <w:tr w:rsidR="00854C36" w14:paraId="3B2F48B4"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1543BB8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627EB29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ZILEUTON</w:t>
            </w:r>
          </w:p>
        </w:tc>
        <w:tc>
          <w:tcPr>
            <w:tcW w:w="0" w:type="auto"/>
            <w:tcBorders>
              <w:top w:val="single" w:sz="4" w:space="0" w:color="000000"/>
              <w:left w:val="nil"/>
              <w:bottom w:val="single" w:sz="4" w:space="0" w:color="000000"/>
              <w:right w:val="nil"/>
            </w:tcBorders>
            <w:shd w:val="clear" w:color="auto" w:fill="FFFFFF"/>
            <w:noWrap/>
            <w:vAlign w:val="center"/>
          </w:tcPr>
          <w:p w14:paraId="3197193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0CAE0C59" w14:textId="77777777" w:rsidR="00854C36" w:rsidRDefault="00854C36" w:rsidP="00942FDD">
            <w:pPr>
              <w:widowControl/>
              <w:rPr>
                <w:rFonts w:ascii="Times New Roman" w:hAnsi="Times New Roman" w:cs="Times New Roman"/>
                <w:color w:val="000000"/>
                <w:sz w:val="15"/>
                <w:szCs w:val="15"/>
              </w:rPr>
            </w:pPr>
            <w:proofErr w:type="spellStart"/>
            <w:r>
              <w:rPr>
                <w:rFonts w:ascii="Times New Roman" w:hAnsi="Times New Roman" w:cs="Times New Roman"/>
                <w:color w:val="000000"/>
                <w:sz w:val="15"/>
                <w:szCs w:val="15"/>
              </w:rPr>
              <w:t>antiinflammatory</w:t>
            </w:r>
            <w:proofErr w:type="spellEnd"/>
            <w:r>
              <w:rPr>
                <w:rFonts w:ascii="Times New Roman" w:hAnsi="Times New Roman" w:cs="Times New Roman"/>
                <w:color w:val="000000"/>
                <w:sz w:val="15"/>
                <w:szCs w:val="15"/>
              </w:rPr>
              <w:t xml:space="preserve"> agent</w:t>
            </w:r>
          </w:p>
        </w:tc>
        <w:tc>
          <w:tcPr>
            <w:tcW w:w="0" w:type="auto"/>
            <w:tcBorders>
              <w:top w:val="single" w:sz="4" w:space="0" w:color="000000"/>
              <w:left w:val="nil"/>
              <w:bottom w:val="single" w:sz="4" w:space="0" w:color="000000"/>
              <w:right w:val="nil"/>
            </w:tcBorders>
            <w:shd w:val="clear" w:color="auto" w:fill="FFFFFF"/>
            <w:noWrap/>
            <w:vAlign w:val="center"/>
          </w:tcPr>
          <w:p w14:paraId="0C1C77D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1.288982680466309</w:t>
            </w:r>
          </w:p>
        </w:tc>
      </w:tr>
      <w:tr w:rsidR="00854C36" w14:paraId="53F132DA"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2004FF0E"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MMP12</w:t>
            </w:r>
          </w:p>
        </w:tc>
        <w:tc>
          <w:tcPr>
            <w:tcW w:w="0" w:type="auto"/>
            <w:tcBorders>
              <w:top w:val="single" w:sz="4" w:space="0" w:color="000000"/>
              <w:left w:val="nil"/>
              <w:bottom w:val="single" w:sz="4" w:space="0" w:color="000000"/>
              <w:right w:val="nil"/>
            </w:tcBorders>
            <w:shd w:val="clear" w:color="auto" w:fill="FFFFFF"/>
            <w:noWrap/>
            <w:vAlign w:val="center"/>
          </w:tcPr>
          <w:p w14:paraId="7AB9718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AZD-1236</w:t>
            </w:r>
          </w:p>
        </w:tc>
        <w:tc>
          <w:tcPr>
            <w:tcW w:w="0" w:type="auto"/>
            <w:tcBorders>
              <w:top w:val="single" w:sz="4" w:space="0" w:color="000000"/>
              <w:left w:val="nil"/>
              <w:bottom w:val="single" w:sz="4" w:space="0" w:color="000000"/>
              <w:right w:val="nil"/>
            </w:tcBorders>
            <w:shd w:val="clear" w:color="auto" w:fill="FFFFFF"/>
            <w:noWrap/>
            <w:vAlign w:val="center"/>
          </w:tcPr>
          <w:p w14:paraId="3744759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58613618"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24650EB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2.900211031049196</w:t>
            </w:r>
          </w:p>
        </w:tc>
      </w:tr>
      <w:tr w:rsidR="00854C36" w14:paraId="604EC70F"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6738C8E2"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lastRenderedPageBreak/>
              <w:t>MSMB</w:t>
            </w:r>
          </w:p>
        </w:tc>
        <w:tc>
          <w:tcPr>
            <w:tcW w:w="0" w:type="auto"/>
            <w:tcBorders>
              <w:top w:val="single" w:sz="4" w:space="0" w:color="000000"/>
              <w:left w:val="nil"/>
              <w:bottom w:val="single" w:sz="4" w:space="0" w:color="000000"/>
              <w:right w:val="nil"/>
            </w:tcBorders>
            <w:shd w:val="clear" w:color="auto" w:fill="FFFFFF"/>
            <w:noWrap/>
            <w:vAlign w:val="center"/>
          </w:tcPr>
          <w:p w14:paraId="087F7154"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TIGAPOTIDE</w:t>
            </w:r>
          </w:p>
        </w:tc>
        <w:tc>
          <w:tcPr>
            <w:tcW w:w="0" w:type="auto"/>
            <w:tcBorders>
              <w:top w:val="single" w:sz="4" w:space="0" w:color="000000"/>
              <w:left w:val="nil"/>
              <w:bottom w:val="single" w:sz="4" w:space="0" w:color="000000"/>
              <w:right w:val="nil"/>
            </w:tcBorders>
            <w:shd w:val="clear" w:color="auto" w:fill="FFFFFF"/>
            <w:noWrap/>
            <w:vAlign w:val="center"/>
          </w:tcPr>
          <w:p w14:paraId="1C2B543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454AC4BB"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606A125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52.2</w:t>
            </w:r>
          </w:p>
        </w:tc>
      </w:tr>
      <w:tr w:rsidR="00854C36" w14:paraId="0596F0FC"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4937656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POSTN</w:t>
            </w:r>
          </w:p>
        </w:tc>
        <w:tc>
          <w:tcPr>
            <w:tcW w:w="0" w:type="auto"/>
            <w:tcBorders>
              <w:top w:val="single" w:sz="4" w:space="0" w:color="000000"/>
              <w:left w:val="nil"/>
              <w:bottom w:val="single" w:sz="4" w:space="0" w:color="000000"/>
              <w:right w:val="nil"/>
            </w:tcBorders>
            <w:shd w:val="clear" w:color="auto" w:fill="FFFFFF"/>
            <w:noWrap/>
            <w:vAlign w:val="center"/>
          </w:tcPr>
          <w:p w14:paraId="6D3A5A9D"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ANTISERUM</w:t>
            </w:r>
          </w:p>
        </w:tc>
        <w:tc>
          <w:tcPr>
            <w:tcW w:w="0" w:type="auto"/>
            <w:tcBorders>
              <w:top w:val="single" w:sz="4" w:space="0" w:color="000000"/>
              <w:left w:val="nil"/>
              <w:bottom w:val="single" w:sz="4" w:space="0" w:color="000000"/>
              <w:right w:val="nil"/>
            </w:tcBorders>
            <w:shd w:val="clear" w:color="auto" w:fill="FFFFFF"/>
            <w:noWrap/>
            <w:vAlign w:val="center"/>
          </w:tcPr>
          <w:p w14:paraId="72B3215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Not Approved</w:t>
            </w:r>
          </w:p>
        </w:tc>
        <w:tc>
          <w:tcPr>
            <w:tcW w:w="0" w:type="auto"/>
            <w:tcBorders>
              <w:top w:val="single" w:sz="4" w:space="0" w:color="000000"/>
              <w:left w:val="nil"/>
              <w:bottom w:val="single" w:sz="4" w:space="0" w:color="000000"/>
              <w:right w:val="nil"/>
            </w:tcBorders>
            <w:shd w:val="clear" w:color="auto" w:fill="FFFFFF"/>
            <w:noWrap/>
            <w:vAlign w:val="center"/>
          </w:tcPr>
          <w:p w14:paraId="5D12B416" w14:textId="77777777" w:rsidR="00854C36" w:rsidRDefault="00854C36" w:rsidP="00942FDD">
            <w:pPr>
              <w:widowControl/>
              <w:rPr>
                <w:rFonts w:ascii="Times New Roman" w:hAnsi="Times New Roman" w:cs="Times New Roman"/>
                <w:color w:val="000000"/>
                <w:sz w:val="15"/>
                <w:szCs w:val="15"/>
              </w:rPr>
            </w:pPr>
          </w:p>
        </w:tc>
        <w:tc>
          <w:tcPr>
            <w:tcW w:w="0" w:type="auto"/>
            <w:tcBorders>
              <w:top w:val="single" w:sz="4" w:space="0" w:color="000000"/>
              <w:left w:val="nil"/>
              <w:bottom w:val="single" w:sz="4" w:space="0" w:color="000000"/>
              <w:right w:val="nil"/>
            </w:tcBorders>
            <w:shd w:val="clear" w:color="auto" w:fill="FFFFFF"/>
            <w:noWrap/>
            <w:vAlign w:val="center"/>
          </w:tcPr>
          <w:p w14:paraId="319393B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2.98</w:t>
            </w:r>
          </w:p>
        </w:tc>
      </w:tr>
      <w:tr w:rsidR="00854C36" w14:paraId="2E2E2079"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0AA79FAF"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PLEKHH2</w:t>
            </w:r>
          </w:p>
        </w:tc>
        <w:tc>
          <w:tcPr>
            <w:tcW w:w="0" w:type="auto"/>
            <w:tcBorders>
              <w:top w:val="single" w:sz="4" w:space="0" w:color="000000"/>
              <w:left w:val="nil"/>
              <w:bottom w:val="single" w:sz="4" w:space="0" w:color="000000"/>
              <w:right w:val="nil"/>
            </w:tcBorders>
            <w:shd w:val="clear" w:color="auto" w:fill="FFFFFF"/>
            <w:noWrap/>
            <w:vAlign w:val="center"/>
          </w:tcPr>
          <w:p w14:paraId="5BA5AF8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VERAPAMIL</w:t>
            </w:r>
          </w:p>
        </w:tc>
        <w:tc>
          <w:tcPr>
            <w:tcW w:w="0" w:type="auto"/>
            <w:tcBorders>
              <w:top w:val="single" w:sz="4" w:space="0" w:color="000000"/>
              <w:left w:val="nil"/>
              <w:bottom w:val="single" w:sz="4" w:space="0" w:color="000000"/>
              <w:right w:val="nil"/>
            </w:tcBorders>
            <w:shd w:val="clear" w:color="auto" w:fill="FFFFFF"/>
            <w:noWrap/>
            <w:vAlign w:val="center"/>
          </w:tcPr>
          <w:p w14:paraId="7E4B954C"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34AB7AD9"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antihypertensive agent</w:t>
            </w:r>
          </w:p>
        </w:tc>
        <w:tc>
          <w:tcPr>
            <w:tcW w:w="0" w:type="auto"/>
            <w:tcBorders>
              <w:top w:val="single" w:sz="4" w:space="0" w:color="000000"/>
              <w:left w:val="nil"/>
              <w:bottom w:val="single" w:sz="4" w:space="0" w:color="000000"/>
              <w:right w:val="nil"/>
            </w:tcBorders>
            <w:shd w:val="clear" w:color="auto" w:fill="FFFFFF"/>
            <w:noWrap/>
            <w:vAlign w:val="center"/>
          </w:tcPr>
          <w:p w14:paraId="3194A296"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1.16</w:t>
            </w:r>
          </w:p>
        </w:tc>
      </w:tr>
      <w:tr w:rsidR="00854C36" w14:paraId="1024C1FA" w14:textId="77777777" w:rsidTr="00942FDD">
        <w:trPr>
          <w:trHeight w:val="280"/>
        </w:trPr>
        <w:tc>
          <w:tcPr>
            <w:tcW w:w="0" w:type="auto"/>
            <w:tcBorders>
              <w:top w:val="single" w:sz="4" w:space="0" w:color="000000"/>
              <w:left w:val="nil"/>
              <w:bottom w:val="single" w:sz="4" w:space="0" w:color="000000"/>
              <w:right w:val="nil"/>
            </w:tcBorders>
            <w:shd w:val="clear" w:color="auto" w:fill="FFFFFF"/>
            <w:noWrap/>
            <w:vAlign w:val="center"/>
          </w:tcPr>
          <w:p w14:paraId="3AA07C7A"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PLEKHH2</w:t>
            </w:r>
          </w:p>
        </w:tc>
        <w:tc>
          <w:tcPr>
            <w:tcW w:w="0" w:type="auto"/>
            <w:tcBorders>
              <w:top w:val="single" w:sz="4" w:space="0" w:color="000000"/>
              <w:left w:val="nil"/>
              <w:bottom w:val="single" w:sz="4" w:space="0" w:color="000000"/>
              <w:right w:val="nil"/>
            </w:tcBorders>
            <w:shd w:val="clear" w:color="auto" w:fill="FFFFFF"/>
            <w:noWrap/>
            <w:vAlign w:val="center"/>
          </w:tcPr>
          <w:p w14:paraId="39D428D7"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ATENOLOL</w:t>
            </w:r>
          </w:p>
        </w:tc>
        <w:tc>
          <w:tcPr>
            <w:tcW w:w="0" w:type="auto"/>
            <w:tcBorders>
              <w:top w:val="single" w:sz="4" w:space="0" w:color="000000"/>
              <w:left w:val="nil"/>
              <w:bottom w:val="single" w:sz="4" w:space="0" w:color="000000"/>
              <w:right w:val="nil"/>
            </w:tcBorders>
            <w:shd w:val="clear" w:color="auto" w:fill="FFFFFF"/>
            <w:noWrap/>
            <w:vAlign w:val="center"/>
          </w:tcPr>
          <w:p w14:paraId="1B2F95C0"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Approved</w:t>
            </w:r>
          </w:p>
        </w:tc>
        <w:tc>
          <w:tcPr>
            <w:tcW w:w="0" w:type="auto"/>
            <w:tcBorders>
              <w:top w:val="single" w:sz="4" w:space="0" w:color="000000"/>
              <w:left w:val="nil"/>
              <w:bottom w:val="single" w:sz="4" w:space="0" w:color="000000"/>
              <w:right w:val="nil"/>
            </w:tcBorders>
            <w:shd w:val="clear" w:color="auto" w:fill="FFFFFF"/>
            <w:noWrap/>
            <w:vAlign w:val="center"/>
          </w:tcPr>
          <w:p w14:paraId="0B90B1D5"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Anti-Arrhythmia Agents; Antihypertensive Agents</w:t>
            </w:r>
          </w:p>
        </w:tc>
        <w:tc>
          <w:tcPr>
            <w:tcW w:w="0" w:type="auto"/>
            <w:tcBorders>
              <w:top w:val="single" w:sz="4" w:space="0" w:color="000000"/>
              <w:left w:val="nil"/>
              <w:bottom w:val="single" w:sz="4" w:space="0" w:color="000000"/>
              <w:right w:val="nil"/>
            </w:tcBorders>
            <w:shd w:val="clear" w:color="auto" w:fill="FFFFFF"/>
            <w:noWrap/>
            <w:vAlign w:val="center"/>
          </w:tcPr>
          <w:p w14:paraId="4902EC01" w14:textId="77777777" w:rsidR="00854C36" w:rsidRDefault="00854C36" w:rsidP="00942FDD">
            <w:pPr>
              <w:widowControl/>
              <w:rPr>
                <w:rFonts w:ascii="Times New Roman" w:hAnsi="Times New Roman" w:cs="Times New Roman"/>
                <w:color w:val="000000"/>
                <w:sz w:val="15"/>
                <w:szCs w:val="15"/>
              </w:rPr>
            </w:pPr>
            <w:r>
              <w:rPr>
                <w:rFonts w:ascii="Times New Roman" w:hAnsi="Times New Roman" w:cs="Times New Roman"/>
                <w:color w:val="000000"/>
                <w:sz w:val="15"/>
                <w:szCs w:val="15"/>
              </w:rPr>
              <w:t>1.45</w:t>
            </w:r>
          </w:p>
        </w:tc>
      </w:tr>
    </w:tbl>
    <w:p w14:paraId="4C8FD23E" w14:textId="77777777" w:rsidR="00CC556C" w:rsidRPr="00974F6D" w:rsidRDefault="00CC556C" w:rsidP="00854C36">
      <w:pPr>
        <w:widowControl/>
        <w:rPr>
          <w:rFonts w:ascii="Times New Roman" w:hAnsi="Times New Roman" w:cs="Times New Roman"/>
          <w:szCs w:val="22"/>
          <w:lang w:val="en"/>
        </w:rPr>
      </w:pPr>
    </w:p>
    <w:sectPr w:rsidR="00CC556C" w:rsidRPr="00974F6D" w:rsidSect="001058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F1593" w14:textId="77777777" w:rsidR="003B2444" w:rsidRDefault="003B2444">
      <w:pPr>
        <w:spacing w:line="240" w:lineRule="auto"/>
        <w:rPr>
          <w:rFonts w:hint="eastAsia"/>
        </w:rPr>
      </w:pPr>
      <w:r>
        <w:separator/>
      </w:r>
    </w:p>
  </w:endnote>
  <w:endnote w:type="continuationSeparator" w:id="0">
    <w:p w14:paraId="523B4EE5" w14:textId="77777777" w:rsidR="003B2444" w:rsidRDefault="003B2444">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E6EB" w14:textId="77777777" w:rsidR="003B2444" w:rsidRDefault="003B2444">
      <w:pPr>
        <w:spacing w:after="0"/>
        <w:rPr>
          <w:rFonts w:hint="eastAsia"/>
        </w:rPr>
      </w:pPr>
      <w:r>
        <w:separator/>
      </w:r>
    </w:p>
  </w:footnote>
  <w:footnote w:type="continuationSeparator" w:id="0">
    <w:p w14:paraId="05BDBBFB" w14:textId="77777777" w:rsidR="003B2444" w:rsidRDefault="003B2444">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4E7B"/>
    <w:multiLevelType w:val="multilevel"/>
    <w:tmpl w:val="09EF4E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76461D6A"/>
    <w:multiLevelType w:val="multilevel"/>
    <w:tmpl w:val="76461D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481234940">
    <w:abstractNumId w:val="1"/>
  </w:num>
  <w:num w:numId="2" w16cid:durableId="1125122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BC1"/>
    <w:rsid w:val="0000073C"/>
    <w:rsid w:val="00001FB7"/>
    <w:rsid w:val="00004C59"/>
    <w:rsid w:val="00005799"/>
    <w:rsid w:val="000100A1"/>
    <w:rsid w:val="00011CCC"/>
    <w:rsid w:val="00013CF8"/>
    <w:rsid w:val="0001404E"/>
    <w:rsid w:val="000166C6"/>
    <w:rsid w:val="0001753F"/>
    <w:rsid w:val="000227E3"/>
    <w:rsid w:val="00023A45"/>
    <w:rsid w:val="00025659"/>
    <w:rsid w:val="00026DBC"/>
    <w:rsid w:val="00030A24"/>
    <w:rsid w:val="000313AB"/>
    <w:rsid w:val="00033D15"/>
    <w:rsid w:val="00035A6A"/>
    <w:rsid w:val="000361B7"/>
    <w:rsid w:val="00037425"/>
    <w:rsid w:val="00037B09"/>
    <w:rsid w:val="0004314A"/>
    <w:rsid w:val="00043B23"/>
    <w:rsid w:val="00047EF3"/>
    <w:rsid w:val="00051291"/>
    <w:rsid w:val="00052549"/>
    <w:rsid w:val="000557F6"/>
    <w:rsid w:val="00055D68"/>
    <w:rsid w:val="00060C8F"/>
    <w:rsid w:val="00065506"/>
    <w:rsid w:val="00066A51"/>
    <w:rsid w:val="0006706E"/>
    <w:rsid w:val="000701FC"/>
    <w:rsid w:val="00077677"/>
    <w:rsid w:val="00077BBB"/>
    <w:rsid w:val="00081278"/>
    <w:rsid w:val="00083011"/>
    <w:rsid w:val="00090BC1"/>
    <w:rsid w:val="00091860"/>
    <w:rsid w:val="00096C85"/>
    <w:rsid w:val="000A1384"/>
    <w:rsid w:val="000B0723"/>
    <w:rsid w:val="000B376A"/>
    <w:rsid w:val="000B3F2F"/>
    <w:rsid w:val="000B4EF5"/>
    <w:rsid w:val="000B53E3"/>
    <w:rsid w:val="000B6193"/>
    <w:rsid w:val="000C12A4"/>
    <w:rsid w:val="000C309F"/>
    <w:rsid w:val="000C5833"/>
    <w:rsid w:val="000C656A"/>
    <w:rsid w:val="000D0713"/>
    <w:rsid w:val="000D2AC4"/>
    <w:rsid w:val="000D38A1"/>
    <w:rsid w:val="000D67DC"/>
    <w:rsid w:val="000D7425"/>
    <w:rsid w:val="000D7F96"/>
    <w:rsid w:val="000E0329"/>
    <w:rsid w:val="000E113F"/>
    <w:rsid w:val="000E11F3"/>
    <w:rsid w:val="000E1AED"/>
    <w:rsid w:val="000E3F25"/>
    <w:rsid w:val="000F5906"/>
    <w:rsid w:val="000F761A"/>
    <w:rsid w:val="00105847"/>
    <w:rsid w:val="0010687A"/>
    <w:rsid w:val="00110886"/>
    <w:rsid w:val="00115AF5"/>
    <w:rsid w:val="0012306A"/>
    <w:rsid w:val="0013446C"/>
    <w:rsid w:val="00136DAB"/>
    <w:rsid w:val="00142817"/>
    <w:rsid w:val="00144379"/>
    <w:rsid w:val="00144891"/>
    <w:rsid w:val="00151A96"/>
    <w:rsid w:val="00152754"/>
    <w:rsid w:val="00153580"/>
    <w:rsid w:val="00154016"/>
    <w:rsid w:val="00155F6E"/>
    <w:rsid w:val="00157169"/>
    <w:rsid w:val="00157B34"/>
    <w:rsid w:val="00157E8D"/>
    <w:rsid w:val="00161282"/>
    <w:rsid w:val="00163C1F"/>
    <w:rsid w:val="00167395"/>
    <w:rsid w:val="00167DCB"/>
    <w:rsid w:val="0017025D"/>
    <w:rsid w:val="0017438C"/>
    <w:rsid w:val="00177279"/>
    <w:rsid w:val="00194C57"/>
    <w:rsid w:val="00194CB4"/>
    <w:rsid w:val="001A053C"/>
    <w:rsid w:val="001A1757"/>
    <w:rsid w:val="001A3614"/>
    <w:rsid w:val="001A6F14"/>
    <w:rsid w:val="001B2E79"/>
    <w:rsid w:val="001B6851"/>
    <w:rsid w:val="001C052C"/>
    <w:rsid w:val="001C3244"/>
    <w:rsid w:val="001C36BF"/>
    <w:rsid w:val="001C7685"/>
    <w:rsid w:val="001C7A1A"/>
    <w:rsid w:val="001D1829"/>
    <w:rsid w:val="001D1DE2"/>
    <w:rsid w:val="001D7102"/>
    <w:rsid w:val="001E0681"/>
    <w:rsid w:val="001E0CA3"/>
    <w:rsid w:val="001E1163"/>
    <w:rsid w:val="001E19FE"/>
    <w:rsid w:val="001E22CF"/>
    <w:rsid w:val="001E4ECC"/>
    <w:rsid w:val="001E6246"/>
    <w:rsid w:val="001E6C06"/>
    <w:rsid w:val="001F6866"/>
    <w:rsid w:val="0020204C"/>
    <w:rsid w:val="00213A83"/>
    <w:rsid w:val="0021539F"/>
    <w:rsid w:val="00221770"/>
    <w:rsid w:val="0022203F"/>
    <w:rsid w:val="00223646"/>
    <w:rsid w:val="00225BDD"/>
    <w:rsid w:val="002273AF"/>
    <w:rsid w:val="00227C78"/>
    <w:rsid w:val="00230272"/>
    <w:rsid w:val="002308F4"/>
    <w:rsid w:val="0023140C"/>
    <w:rsid w:val="002320DF"/>
    <w:rsid w:val="00232E62"/>
    <w:rsid w:val="00234FDF"/>
    <w:rsid w:val="0023585E"/>
    <w:rsid w:val="002375EC"/>
    <w:rsid w:val="00241767"/>
    <w:rsid w:val="00242988"/>
    <w:rsid w:val="00243305"/>
    <w:rsid w:val="00243566"/>
    <w:rsid w:val="0025163A"/>
    <w:rsid w:val="002521D4"/>
    <w:rsid w:val="002531E5"/>
    <w:rsid w:val="00254ACB"/>
    <w:rsid w:val="00257B20"/>
    <w:rsid w:val="0026475A"/>
    <w:rsid w:val="00264BF6"/>
    <w:rsid w:val="0026522C"/>
    <w:rsid w:val="002669D0"/>
    <w:rsid w:val="0026736F"/>
    <w:rsid w:val="0027142F"/>
    <w:rsid w:val="00280201"/>
    <w:rsid w:val="0028391C"/>
    <w:rsid w:val="002846DD"/>
    <w:rsid w:val="00285753"/>
    <w:rsid w:val="00285858"/>
    <w:rsid w:val="00285DE5"/>
    <w:rsid w:val="00290654"/>
    <w:rsid w:val="00294994"/>
    <w:rsid w:val="002A1FE8"/>
    <w:rsid w:val="002A7874"/>
    <w:rsid w:val="002A7DCD"/>
    <w:rsid w:val="002B37D5"/>
    <w:rsid w:val="002C208F"/>
    <w:rsid w:val="002C2237"/>
    <w:rsid w:val="002C3888"/>
    <w:rsid w:val="002C5838"/>
    <w:rsid w:val="002C59A2"/>
    <w:rsid w:val="002C6954"/>
    <w:rsid w:val="002D0A97"/>
    <w:rsid w:val="002D1118"/>
    <w:rsid w:val="002D3861"/>
    <w:rsid w:val="002D3E17"/>
    <w:rsid w:val="002D500F"/>
    <w:rsid w:val="002D6683"/>
    <w:rsid w:val="002E1C37"/>
    <w:rsid w:val="002E3209"/>
    <w:rsid w:val="002E36A1"/>
    <w:rsid w:val="002E4945"/>
    <w:rsid w:val="002E61A4"/>
    <w:rsid w:val="002F1459"/>
    <w:rsid w:val="002F6842"/>
    <w:rsid w:val="00300703"/>
    <w:rsid w:val="003056B9"/>
    <w:rsid w:val="00305969"/>
    <w:rsid w:val="00311B9E"/>
    <w:rsid w:val="003136C7"/>
    <w:rsid w:val="00315020"/>
    <w:rsid w:val="003179F1"/>
    <w:rsid w:val="00317A00"/>
    <w:rsid w:val="00321FD6"/>
    <w:rsid w:val="003220D9"/>
    <w:rsid w:val="0032355A"/>
    <w:rsid w:val="003240F8"/>
    <w:rsid w:val="00325F0C"/>
    <w:rsid w:val="00326E03"/>
    <w:rsid w:val="00331045"/>
    <w:rsid w:val="00333903"/>
    <w:rsid w:val="00333CD1"/>
    <w:rsid w:val="00334AA3"/>
    <w:rsid w:val="0033703D"/>
    <w:rsid w:val="00337443"/>
    <w:rsid w:val="003410E5"/>
    <w:rsid w:val="003422A4"/>
    <w:rsid w:val="00347893"/>
    <w:rsid w:val="0035361C"/>
    <w:rsid w:val="003564BD"/>
    <w:rsid w:val="003601FA"/>
    <w:rsid w:val="00361C3E"/>
    <w:rsid w:val="003651CC"/>
    <w:rsid w:val="00376CA0"/>
    <w:rsid w:val="00377E57"/>
    <w:rsid w:val="00380EAD"/>
    <w:rsid w:val="003822BA"/>
    <w:rsid w:val="003822C1"/>
    <w:rsid w:val="003824C6"/>
    <w:rsid w:val="0038461B"/>
    <w:rsid w:val="0039589B"/>
    <w:rsid w:val="0039701A"/>
    <w:rsid w:val="003A0D82"/>
    <w:rsid w:val="003A1251"/>
    <w:rsid w:val="003A1975"/>
    <w:rsid w:val="003A1AAA"/>
    <w:rsid w:val="003A1B5A"/>
    <w:rsid w:val="003A65E4"/>
    <w:rsid w:val="003A74DC"/>
    <w:rsid w:val="003A7C0D"/>
    <w:rsid w:val="003B2444"/>
    <w:rsid w:val="003C06DC"/>
    <w:rsid w:val="003C1862"/>
    <w:rsid w:val="003C4564"/>
    <w:rsid w:val="003C64F3"/>
    <w:rsid w:val="003D0DBF"/>
    <w:rsid w:val="003D1076"/>
    <w:rsid w:val="003D2AE8"/>
    <w:rsid w:val="003D5BA0"/>
    <w:rsid w:val="003E2EE9"/>
    <w:rsid w:val="003E373E"/>
    <w:rsid w:val="003F0832"/>
    <w:rsid w:val="003F208D"/>
    <w:rsid w:val="003F3215"/>
    <w:rsid w:val="00403047"/>
    <w:rsid w:val="00406405"/>
    <w:rsid w:val="0041030F"/>
    <w:rsid w:val="004210B9"/>
    <w:rsid w:val="00421E80"/>
    <w:rsid w:val="00425F7D"/>
    <w:rsid w:val="00427DB5"/>
    <w:rsid w:val="00431572"/>
    <w:rsid w:val="00431675"/>
    <w:rsid w:val="00436973"/>
    <w:rsid w:val="00445C74"/>
    <w:rsid w:val="00453653"/>
    <w:rsid w:val="004543FB"/>
    <w:rsid w:val="0045493E"/>
    <w:rsid w:val="004553F2"/>
    <w:rsid w:val="00456254"/>
    <w:rsid w:val="00456B54"/>
    <w:rsid w:val="00460F78"/>
    <w:rsid w:val="00461437"/>
    <w:rsid w:val="00462212"/>
    <w:rsid w:val="00462643"/>
    <w:rsid w:val="004650A2"/>
    <w:rsid w:val="004653B8"/>
    <w:rsid w:val="00471360"/>
    <w:rsid w:val="00471CBC"/>
    <w:rsid w:val="00474103"/>
    <w:rsid w:val="00477F17"/>
    <w:rsid w:val="004900DA"/>
    <w:rsid w:val="00496F3D"/>
    <w:rsid w:val="004A3637"/>
    <w:rsid w:val="004A5446"/>
    <w:rsid w:val="004B00FC"/>
    <w:rsid w:val="004B433E"/>
    <w:rsid w:val="004B56B3"/>
    <w:rsid w:val="004B7DC3"/>
    <w:rsid w:val="004C024A"/>
    <w:rsid w:val="004C6BE0"/>
    <w:rsid w:val="004D0D2B"/>
    <w:rsid w:val="004D16AF"/>
    <w:rsid w:val="004F0CCD"/>
    <w:rsid w:val="004F14A3"/>
    <w:rsid w:val="004F64BE"/>
    <w:rsid w:val="004F6735"/>
    <w:rsid w:val="00506D30"/>
    <w:rsid w:val="005119D8"/>
    <w:rsid w:val="00514953"/>
    <w:rsid w:val="005212A7"/>
    <w:rsid w:val="00526474"/>
    <w:rsid w:val="00530E5F"/>
    <w:rsid w:val="00531602"/>
    <w:rsid w:val="0053442F"/>
    <w:rsid w:val="0054319E"/>
    <w:rsid w:val="00543AE1"/>
    <w:rsid w:val="00544982"/>
    <w:rsid w:val="005531BF"/>
    <w:rsid w:val="00554C81"/>
    <w:rsid w:val="00554FE5"/>
    <w:rsid w:val="00560057"/>
    <w:rsid w:val="00560F2E"/>
    <w:rsid w:val="00564270"/>
    <w:rsid w:val="00567801"/>
    <w:rsid w:val="00570D4C"/>
    <w:rsid w:val="00571C29"/>
    <w:rsid w:val="0057480F"/>
    <w:rsid w:val="0057743F"/>
    <w:rsid w:val="00577F60"/>
    <w:rsid w:val="0058770F"/>
    <w:rsid w:val="005877A8"/>
    <w:rsid w:val="00590D21"/>
    <w:rsid w:val="005973EC"/>
    <w:rsid w:val="005A21D5"/>
    <w:rsid w:val="005A35A0"/>
    <w:rsid w:val="005A6E14"/>
    <w:rsid w:val="005B2573"/>
    <w:rsid w:val="005C0CE3"/>
    <w:rsid w:val="005C0DE8"/>
    <w:rsid w:val="005C5F21"/>
    <w:rsid w:val="005C663A"/>
    <w:rsid w:val="005D1054"/>
    <w:rsid w:val="005D29F8"/>
    <w:rsid w:val="005D2DA4"/>
    <w:rsid w:val="005D3C30"/>
    <w:rsid w:val="005E48D2"/>
    <w:rsid w:val="005E4C0C"/>
    <w:rsid w:val="005E527A"/>
    <w:rsid w:val="005E63A0"/>
    <w:rsid w:val="005F1E4C"/>
    <w:rsid w:val="005F394A"/>
    <w:rsid w:val="005F3E92"/>
    <w:rsid w:val="005F6CC9"/>
    <w:rsid w:val="00601F2B"/>
    <w:rsid w:val="00603693"/>
    <w:rsid w:val="00604114"/>
    <w:rsid w:val="00610425"/>
    <w:rsid w:val="00614060"/>
    <w:rsid w:val="006217A2"/>
    <w:rsid w:val="00625103"/>
    <w:rsid w:val="00627B3D"/>
    <w:rsid w:val="006319BD"/>
    <w:rsid w:val="00634D8F"/>
    <w:rsid w:val="00642106"/>
    <w:rsid w:val="006422AB"/>
    <w:rsid w:val="00642F73"/>
    <w:rsid w:val="00645874"/>
    <w:rsid w:val="00652DA5"/>
    <w:rsid w:val="0065690B"/>
    <w:rsid w:val="006602DD"/>
    <w:rsid w:val="00660759"/>
    <w:rsid w:val="00661D4A"/>
    <w:rsid w:val="00662096"/>
    <w:rsid w:val="0066221D"/>
    <w:rsid w:val="00665481"/>
    <w:rsid w:val="00673845"/>
    <w:rsid w:val="00674399"/>
    <w:rsid w:val="00675E83"/>
    <w:rsid w:val="00676961"/>
    <w:rsid w:val="00676E57"/>
    <w:rsid w:val="006A4DA6"/>
    <w:rsid w:val="006B1E81"/>
    <w:rsid w:val="006B4214"/>
    <w:rsid w:val="006B5392"/>
    <w:rsid w:val="006C1E27"/>
    <w:rsid w:val="006C23A2"/>
    <w:rsid w:val="006C4293"/>
    <w:rsid w:val="006C622A"/>
    <w:rsid w:val="006D0DDD"/>
    <w:rsid w:val="006D2F03"/>
    <w:rsid w:val="006D42A4"/>
    <w:rsid w:val="006D4950"/>
    <w:rsid w:val="006E3FF6"/>
    <w:rsid w:val="006F581A"/>
    <w:rsid w:val="006F5AF2"/>
    <w:rsid w:val="006F70A1"/>
    <w:rsid w:val="00702890"/>
    <w:rsid w:val="00706593"/>
    <w:rsid w:val="00714668"/>
    <w:rsid w:val="00714C2A"/>
    <w:rsid w:val="007204E2"/>
    <w:rsid w:val="00720AD7"/>
    <w:rsid w:val="00723223"/>
    <w:rsid w:val="00724855"/>
    <w:rsid w:val="00724B38"/>
    <w:rsid w:val="00725483"/>
    <w:rsid w:val="00725B67"/>
    <w:rsid w:val="00727FCE"/>
    <w:rsid w:val="00730E89"/>
    <w:rsid w:val="00731E5C"/>
    <w:rsid w:val="0073242D"/>
    <w:rsid w:val="00735CBA"/>
    <w:rsid w:val="007473D5"/>
    <w:rsid w:val="00750A8D"/>
    <w:rsid w:val="00751D25"/>
    <w:rsid w:val="00753771"/>
    <w:rsid w:val="007548D3"/>
    <w:rsid w:val="00754A12"/>
    <w:rsid w:val="00755C50"/>
    <w:rsid w:val="00760305"/>
    <w:rsid w:val="007603CF"/>
    <w:rsid w:val="0076405C"/>
    <w:rsid w:val="00766D1C"/>
    <w:rsid w:val="00767278"/>
    <w:rsid w:val="00774014"/>
    <w:rsid w:val="0077593C"/>
    <w:rsid w:val="00775941"/>
    <w:rsid w:val="00776694"/>
    <w:rsid w:val="00781FB2"/>
    <w:rsid w:val="0078214E"/>
    <w:rsid w:val="00784E79"/>
    <w:rsid w:val="007936AF"/>
    <w:rsid w:val="0079439B"/>
    <w:rsid w:val="0079491E"/>
    <w:rsid w:val="00796B36"/>
    <w:rsid w:val="007B179F"/>
    <w:rsid w:val="007B17FE"/>
    <w:rsid w:val="007B32E9"/>
    <w:rsid w:val="007B737E"/>
    <w:rsid w:val="007C3992"/>
    <w:rsid w:val="007D1E24"/>
    <w:rsid w:val="007D59CD"/>
    <w:rsid w:val="007E0253"/>
    <w:rsid w:val="007E03C5"/>
    <w:rsid w:val="007E67D2"/>
    <w:rsid w:val="007E71BB"/>
    <w:rsid w:val="007F63EF"/>
    <w:rsid w:val="007F73E5"/>
    <w:rsid w:val="007F7738"/>
    <w:rsid w:val="007F7E46"/>
    <w:rsid w:val="00805F8A"/>
    <w:rsid w:val="008130E2"/>
    <w:rsid w:val="00813F40"/>
    <w:rsid w:val="0081600E"/>
    <w:rsid w:val="00823F0E"/>
    <w:rsid w:val="0082416E"/>
    <w:rsid w:val="008273B7"/>
    <w:rsid w:val="00830084"/>
    <w:rsid w:val="00830820"/>
    <w:rsid w:val="0083317D"/>
    <w:rsid w:val="00835822"/>
    <w:rsid w:val="00836BEE"/>
    <w:rsid w:val="008419CD"/>
    <w:rsid w:val="00844407"/>
    <w:rsid w:val="0085410C"/>
    <w:rsid w:val="0085415A"/>
    <w:rsid w:val="00854C36"/>
    <w:rsid w:val="00863B29"/>
    <w:rsid w:val="00863CBD"/>
    <w:rsid w:val="00866FAE"/>
    <w:rsid w:val="0086781E"/>
    <w:rsid w:val="00867C41"/>
    <w:rsid w:val="00870494"/>
    <w:rsid w:val="008816A6"/>
    <w:rsid w:val="00885670"/>
    <w:rsid w:val="00885A2B"/>
    <w:rsid w:val="00886F4B"/>
    <w:rsid w:val="0089731D"/>
    <w:rsid w:val="008B5E3F"/>
    <w:rsid w:val="008B6578"/>
    <w:rsid w:val="008B65E4"/>
    <w:rsid w:val="008C0F96"/>
    <w:rsid w:val="008C2445"/>
    <w:rsid w:val="008C2B59"/>
    <w:rsid w:val="008C3C77"/>
    <w:rsid w:val="008C6263"/>
    <w:rsid w:val="008D1252"/>
    <w:rsid w:val="008D134C"/>
    <w:rsid w:val="008D2B7E"/>
    <w:rsid w:val="008D49DC"/>
    <w:rsid w:val="008E41D2"/>
    <w:rsid w:val="008E58DB"/>
    <w:rsid w:val="008E5E3A"/>
    <w:rsid w:val="008E68A3"/>
    <w:rsid w:val="008E730E"/>
    <w:rsid w:val="008F18E8"/>
    <w:rsid w:val="008F38C2"/>
    <w:rsid w:val="008F77BC"/>
    <w:rsid w:val="00900323"/>
    <w:rsid w:val="009014C0"/>
    <w:rsid w:val="00903C5C"/>
    <w:rsid w:val="0090564C"/>
    <w:rsid w:val="00905697"/>
    <w:rsid w:val="009066B9"/>
    <w:rsid w:val="009069B6"/>
    <w:rsid w:val="009122FC"/>
    <w:rsid w:val="009178F4"/>
    <w:rsid w:val="009211DD"/>
    <w:rsid w:val="00923169"/>
    <w:rsid w:val="00924EE3"/>
    <w:rsid w:val="009300DC"/>
    <w:rsid w:val="0093088B"/>
    <w:rsid w:val="00934889"/>
    <w:rsid w:val="00934F82"/>
    <w:rsid w:val="00937D27"/>
    <w:rsid w:val="00941177"/>
    <w:rsid w:val="00950782"/>
    <w:rsid w:val="009509BB"/>
    <w:rsid w:val="00950AF2"/>
    <w:rsid w:val="00952A5A"/>
    <w:rsid w:val="00954AF2"/>
    <w:rsid w:val="00960005"/>
    <w:rsid w:val="00960A3E"/>
    <w:rsid w:val="00962B84"/>
    <w:rsid w:val="00965013"/>
    <w:rsid w:val="009664F9"/>
    <w:rsid w:val="00972C42"/>
    <w:rsid w:val="00973495"/>
    <w:rsid w:val="00974F2D"/>
    <w:rsid w:val="00974F6D"/>
    <w:rsid w:val="009817FE"/>
    <w:rsid w:val="00982AD1"/>
    <w:rsid w:val="009912BC"/>
    <w:rsid w:val="00993406"/>
    <w:rsid w:val="00994849"/>
    <w:rsid w:val="009A6B58"/>
    <w:rsid w:val="009A7796"/>
    <w:rsid w:val="009B0ADF"/>
    <w:rsid w:val="009B0EF8"/>
    <w:rsid w:val="009B2F8F"/>
    <w:rsid w:val="009B5DB7"/>
    <w:rsid w:val="009B6EC6"/>
    <w:rsid w:val="009B7DE6"/>
    <w:rsid w:val="009C74FC"/>
    <w:rsid w:val="009D3C0C"/>
    <w:rsid w:val="009D47E4"/>
    <w:rsid w:val="009D6578"/>
    <w:rsid w:val="009D6C9F"/>
    <w:rsid w:val="009E0D68"/>
    <w:rsid w:val="009E188F"/>
    <w:rsid w:val="009E3ACB"/>
    <w:rsid w:val="009E3EA1"/>
    <w:rsid w:val="009E4FCC"/>
    <w:rsid w:val="009F2192"/>
    <w:rsid w:val="009F5DCA"/>
    <w:rsid w:val="009F63A1"/>
    <w:rsid w:val="009F647F"/>
    <w:rsid w:val="00A06116"/>
    <w:rsid w:val="00A06280"/>
    <w:rsid w:val="00A2101C"/>
    <w:rsid w:val="00A21298"/>
    <w:rsid w:val="00A23C82"/>
    <w:rsid w:val="00A23FCC"/>
    <w:rsid w:val="00A324A4"/>
    <w:rsid w:val="00A360C3"/>
    <w:rsid w:val="00A40210"/>
    <w:rsid w:val="00A41659"/>
    <w:rsid w:val="00A46C01"/>
    <w:rsid w:val="00A52C90"/>
    <w:rsid w:val="00A57492"/>
    <w:rsid w:val="00A605C4"/>
    <w:rsid w:val="00A65F1E"/>
    <w:rsid w:val="00A668F2"/>
    <w:rsid w:val="00A75453"/>
    <w:rsid w:val="00A76221"/>
    <w:rsid w:val="00A76CD2"/>
    <w:rsid w:val="00A87344"/>
    <w:rsid w:val="00A9157F"/>
    <w:rsid w:val="00A929CB"/>
    <w:rsid w:val="00A9429A"/>
    <w:rsid w:val="00A97C49"/>
    <w:rsid w:val="00AA1878"/>
    <w:rsid w:val="00AA7C3E"/>
    <w:rsid w:val="00AB1911"/>
    <w:rsid w:val="00AB1DDC"/>
    <w:rsid w:val="00AB31A6"/>
    <w:rsid w:val="00AB31B4"/>
    <w:rsid w:val="00AB33D5"/>
    <w:rsid w:val="00AB38D8"/>
    <w:rsid w:val="00AB4D7C"/>
    <w:rsid w:val="00AB6809"/>
    <w:rsid w:val="00AC0D5F"/>
    <w:rsid w:val="00AC455C"/>
    <w:rsid w:val="00AC733F"/>
    <w:rsid w:val="00AC7E5E"/>
    <w:rsid w:val="00AD0508"/>
    <w:rsid w:val="00AD56E2"/>
    <w:rsid w:val="00AD689C"/>
    <w:rsid w:val="00AE5F70"/>
    <w:rsid w:val="00AF36D3"/>
    <w:rsid w:val="00AF479E"/>
    <w:rsid w:val="00AF51E0"/>
    <w:rsid w:val="00B04E98"/>
    <w:rsid w:val="00B04F64"/>
    <w:rsid w:val="00B072CB"/>
    <w:rsid w:val="00B07B70"/>
    <w:rsid w:val="00B12CF7"/>
    <w:rsid w:val="00B2101D"/>
    <w:rsid w:val="00B261C2"/>
    <w:rsid w:val="00B275BD"/>
    <w:rsid w:val="00B32A40"/>
    <w:rsid w:val="00B356CA"/>
    <w:rsid w:val="00B35B72"/>
    <w:rsid w:val="00B35FEA"/>
    <w:rsid w:val="00B372B7"/>
    <w:rsid w:val="00B40ABF"/>
    <w:rsid w:val="00B4319A"/>
    <w:rsid w:val="00B467D3"/>
    <w:rsid w:val="00B53C97"/>
    <w:rsid w:val="00B55317"/>
    <w:rsid w:val="00B55B46"/>
    <w:rsid w:val="00B65093"/>
    <w:rsid w:val="00B659A3"/>
    <w:rsid w:val="00B65E3B"/>
    <w:rsid w:val="00B66224"/>
    <w:rsid w:val="00B720D0"/>
    <w:rsid w:val="00B72926"/>
    <w:rsid w:val="00B76640"/>
    <w:rsid w:val="00B80041"/>
    <w:rsid w:val="00B80296"/>
    <w:rsid w:val="00B81C12"/>
    <w:rsid w:val="00B949D7"/>
    <w:rsid w:val="00B9609E"/>
    <w:rsid w:val="00BA2CD2"/>
    <w:rsid w:val="00BA5888"/>
    <w:rsid w:val="00BB3FA8"/>
    <w:rsid w:val="00BB408F"/>
    <w:rsid w:val="00BB70E1"/>
    <w:rsid w:val="00BB7E23"/>
    <w:rsid w:val="00BC0001"/>
    <w:rsid w:val="00BC0250"/>
    <w:rsid w:val="00BC59EA"/>
    <w:rsid w:val="00BC7B85"/>
    <w:rsid w:val="00BD0B79"/>
    <w:rsid w:val="00BD0C15"/>
    <w:rsid w:val="00BD7609"/>
    <w:rsid w:val="00BE2AA0"/>
    <w:rsid w:val="00BE3B56"/>
    <w:rsid w:val="00BE59C0"/>
    <w:rsid w:val="00BE6587"/>
    <w:rsid w:val="00BE6782"/>
    <w:rsid w:val="00BF72F0"/>
    <w:rsid w:val="00BF7EB9"/>
    <w:rsid w:val="00C0186F"/>
    <w:rsid w:val="00C021B3"/>
    <w:rsid w:val="00C022E1"/>
    <w:rsid w:val="00C049A8"/>
    <w:rsid w:val="00C0532D"/>
    <w:rsid w:val="00C11936"/>
    <w:rsid w:val="00C11B00"/>
    <w:rsid w:val="00C1644B"/>
    <w:rsid w:val="00C219F5"/>
    <w:rsid w:val="00C24587"/>
    <w:rsid w:val="00C32124"/>
    <w:rsid w:val="00C344E9"/>
    <w:rsid w:val="00C41F29"/>
    <w:rsid w:val="00C43541"/>
    <w:rsid w:val="00C54367"/>
    <w:rsid w:val="00C551ED"/>
    <w:rsid w:val="00C634D0"/>
    <w:rsid w:val="00C655E1"/>
    <w:rsid w:val="00C677A6"/>
    <w:rsid w:val="00C733EC"/>
    <w:rsid w:val="00C83A10"/>
    <w:rsid w:val="00C84CAB"/>
    <w:rsid w:val="00C851C4"/>
    <w:rsid w:val="00C913AE"/>
    <w:rsid w:val="00CA0FB2"/>
    <w:rsid w:val="00CA688C"/>
    <w:rsid w:val="00CB565F"/>
    <w:rsid w:val="00CC1574"/>
    <w:rsid w:val="00CC3B74"/>
    <w:rsid w:val="00CC434E"/>
    <w:rsid w:val="00CC49A3"/>
    <w:rsid w:val="00CC5499"/>
    <w:rsid w:val="00CC556C"/>
    <w:rsid w:val="00CD0A7F"/>
    <w:rsid w:val="00CD2B7F"/>
    <w:rsid w:val="00CD794B"/>
    <w:rsid w:val="00CE2548"/>
    <w:rsid w:val="00CE2A45"/>
    <w:rsid w:val="00CE5DCE"/>
    <w:rsid w:val="00CF5B11"/>
    <w:rsid w:val="00CF6E73"/>
    <w:rsid w:val="00D02528"/>
    <w:rsid w:val="00D03F73"/>
    <w:rsid w:val="00D07F88"/>
    <w:rsid w:val="00D1072F"/>
    <w:rsid w:val="00D11F1F"/>
    <w:rsid w:val="00D1557B"/>
    <w:rsid w:val="00D17C68"/>
    <w:rsid w:val="00D17C6E"/>
    <w:rsid w:val="00D20BCC"/>
    <w:rsid w:val="00D23C1D"/>
    <w:rsid w:val="00D23D7F"/>
    <w:rsid w:val="00D23EF1"/>
    <w:rsid w:val="00D3201C"/>
    <w:rsid w:val="00D3244C"/>
    <w:rsid w:val="00D40DF7"/>
    <w:rsid w:val="00D43A39"/>
    <w:rsid w:val="00D476C3"/>
    <w:rsid w:val="00D514C3"/>
    <w:rsid w:val="00D528A6"/>
    <w:rsid w:val="00D52E7B"/>
    <w:rsid w:val="00D53FAD"/>
    <w:rsid w:val="00D54B19"/>
    <w:rsid w:val="00D574B7"/>
    <w:rsid w:val="00D60662"/>
    <w:rsid w:val="00D62E24"/>
    <w:rsid w:val="00D7483E"/>
    <w:rsid w:val="00D809BB"/>
    <w:rsid w:val="00D80EE6"/>
    <w:rsid w:val="00D845FE"/>
    <w:rsid w:val="00D84707"/>
    <w:rsid w:val="00D87CDA"/>
    <w:rsid w:val="00D90BE3"/>
    <w:rsid w:val="00D917CA"/>
    <w:rsid w:val="00D92068"/>
    <w:rsid w:val="00D9434C"/>
    <w:rsid w:val="00DA3249"/>
    <w:rsid w:val="00DB5FFA"/>
    <w:rsid w:val="00DC57E3"/>
    <w:rsid w:val="00DC5EDB"/>
    <w:rsid w:val="00DD0004"/>
    <w:rsid w:val="00DD06BD"/>
    <w:rsid w:val="00DD0DDE"/>
    <w:rsid w:val="00DD1AFA"/>
    <w:rsid w:val="00DE0BF8"/>
    <w:rsid w:val="00DE1FCD"/>
    <w:rsid w:val="00DE525E"/>
    <w:rsid w:val="00DE5431"/>
    <w:rsid w:val="00DE6889"/>
    <w:rsid w:val="00DF1413"/>
    <w:rsid w:val="00DF1903"/>
    <w:rsid w:val="00DF521F"/>
    <w:rsid w:val="00E02380"/>
    <w:rsid w:val="00E15999"/>
    <w:rsid w:val="00E15B27"/>
    <w:rsid w:val="00E177EC"/>
    <w:rsid w:val="00E17EF8"/>
    <w:rsid w:val="00E22AAD"/>
    <w:rsid w:val="00E23814"/>
    <w:rsid w:val="00E25B2B"/>
    <w:rsid w:val="00E27896"/>
    <w:rsid w:val="00E352BD"/>
    <w:rsid w:val="00E359E8"/>
    <w:rsid w:val="00E441B4"/>
    <w:rsid w:val="00E45997"/>
    <w:rsid w:val="00E539B7"/>
    <w:rsid w:val="00E567AE"/>
    <w:rsid w:val="00E62BE1"/>
    <w:rsid w:val="00E6691D"/>
    <w:rsid w:val="00E71580"/>
    <w:rsid w:val="00E7448C"/>
    <w:rsid w:val="00E74CFC"/>
    <w:rsid w:val="00E75620"/>
    <w:rsid w:val="00E75DB4"/>
    <w:rsid w:val="00E77E56"/>
    <w:rsid w:val="00E83AB8"/>
    <w:rsid w:val="00E83C5B"/>
    <w:rsid w:val="00E85245"/>
    <w:rsid w:val="00E937A6"/>
    <w:rsid w:val="00E94C64"/>
    <w:rsid w:val="00E953F0"/>
    <w:rsid w:val="00E96911"/>
    <w:rsid w:val="00E97968"/>
    <w:rsid w:val="00EA3784"/>
    <w:rsid w:val="00EA64E5"/>
    <w:rsid w:val="00EB0C97"/>
    <w:rsid w:val="00EB1F47"/>
    <w:rsid w:val="00EB46CD"/>
    <w:rsid w:val="00EC3C82"/>
    <w:rsid w:val="00ED2B32"/>
    <w:rsid w:val="00ED4462"/>
    <w:rsid w:val="00EE13DD"/>
    <w:rsid w:val="00EE503B"/>
    <w:rsid w:val="00EE5E97"/>
    <w:rsid w:val="00EF3585"/>
    <w:rsid w:val="00F03DAC"/>
    <w:rsid w:val="00F17864"/>
    <w:rsid w:val="00F25467"/>
    <w:rsid w:val="00F254A1"/>
    <w:rsid w:val="00F3060E"/>
    <w:rsid w:val="00F30B3E"/>
    <w:rsid w:val="00F47E7C"/>
    <w:rsid w:val="00F5300D"/>
    <w:rsid w:val="00F539B3"/>
    <w:rsid w:val="00F55CDF"/>
    <w:rsid w:val="00F568C6"/>
    <w:rsid w:val="00F572F3"/>
    <w:rsid w:val="00F84262"/>
    <w:rsid w:val="00F93D50"/>
    <w:rsid w:val="00F97388"/>
    <w:rsid w:val="00FA3DE2"/>
    <w:rsid w:val="00FA68F9"/>
    <w:rsid w:val="00FB07B1"/>
    <w:rsid w:val="00FB0C6C"/>
    <w:rsid w:val="00FB2E4B"/>
    <w:rsid w:val="00FB338A"/>
    <w:rsid w:val="00FB3B9C"/>
    <w:rsid w:val="00FB5EBC"/>
    <w:rsid w:val="00FC3E60"/>
    <w:rsid w:val="00FC52D0"/>
    <w:rsid w:val="00FC54B5"/>
    <w:rsid w:val="00FC7916"/>
    <w:rsid w:val="00FC7FF7"/>
    <w:rsid w:val="00FD1EDB"/>
    <w:rsid w:val="00FD242D"/>
    <w:rsid w:val="00FD24DF"/>
    <w:rsid w:val="00FD3BAD"/>
    <w:rsid w:val="00FD51DE"/>
    <w:rsid w:val="00FE3C31"/>
    <w:rsid w:val="00FF46F8"/>
    <w:rsid w:val="01012873"/>
    <w:rsid w:val="019B3634"/>
    <w:rsid w:val="01B05D8D"/>
    <w:rsid w:val="01D43D87"/>
    <w:rsid w:val="028B5457"/>
    <w:rsid w:val="03781842"/>
    <w:rsid w:val="03C85BD1"/>
    <w:rsid w:val="03E13BB8"/>
    <w:rsid w:val="03ED5192"/>
    <w:rsid w:val="044A0DB7"/>
    <w:rsid w:val="04850862"/>
    <w:rsid w:val="04874344"/>
    <w:rsid w:val="048A2F02"/>
    <w:rsid w:val="04A42800"/>
    <w:rsid w:val="04AC7907"/>
    <w:rsid w:val="04DD77D6"/>
    <w:rsid w:val="05F82070"/>
    <w:rsid w:val="068319DA"/>
    <w:rsid w:val="068E3629"/>
    <w:rsid w:val="086C047F"/>
    <w:rsid w:val="08A5267F"/>
    <w:rsid w:val="090F19D7"/>
    <w:rsid w:val="09EB6AE2"/>
    <w:rsid w:val="0A0015A9"/>
    <w:rsid w:val="0A031CA8"/>
    <w:rsid w:val="0B1763A1"/>
    <w:rsid w:val="0B186B99"/>
    <w:rsid w:val="0CA46902"/>
    <w:rsid w:val="0D213FAD"/>
    <w:rsid w:val="0DA16476"/>
    <w:rsid w:val="0EB031EB"/>
    <w:rsid w:val="0F476BAA"/>
    <w:rsid w:val="0FEB39D9"/>
    <w:rsid w:val="0FEE6074"/>
    <w:rsid w:val="10806BAC"/>
    <w:rsid w:val="10CA6FC9"/>
    <w:rsid w:val="10D34B99"/>
    <w:rsid w:val="11153DC4"/>
    <w:rsid w:val="118C5E86"/>
    <w:rsid w:val="11D42357"/>
    <w:rsid w:val="11DF30C9"/>
    <w:rsid w:val="121261EA"/>
    <w:rsid w:val="121E21D7"/>
    <w:rsid w:val="127E7768"/>
    <w:rsid w:val="129A7013"/>
    <w:rsid w:val="12C7072D"/>
    <w:rsid w:val="13243011"/>
    <w:rsid w:val="13655943"/>
    <w:rsid w:val="139F6FB4"/>
    <w:rsid w:val="13CD6285"/>
    <w:rsid w:val="147D2558"/>
    <w:rsid w:val="14B04EA7"/>
    <w:rsid w:val="15547333"/>
    <w:rsid w:val="15D85CF3"/>
    <w:rsid w:val="15ED4568"/>
    <w:rsid w:val="15F755C9"/>
    <w:rsid w:val="164B51D1"/>
    <w:rsid w:val="17996AB4"/>
    <w:rsid w:val="19232D85"/>
    <w:rsid w:val="19415E1B"/>
    <w:rsid w:val="195C4424"/>
    <w:rsid w:val="1A26221C"/>
    <w:rsid w:val="1A4A0B7E"/>
    <w:rsid w:val="1A8B09CA"/>
    <w:rsid w:val="1AA44EB0"/>
    <w:rsid w:val="1AB0480A"/>
    <w:rsid w:val="1B17091B"/>
    <w:rsid w:val="1B3950CA"/>
    <w:rsid w:val="1B684130"/>
    <w:rsid w:val="1B952124"/>
    <w:rsid w:val="1DB764FD"/>
    <w:rsid w:val="1DF12250"/>
    <w:rsid w:val="1EC65D3D"/>
    <w:rsid w:val="1F0661B9"/>
    <w:rsid w:val="1F6B0692"/>
    <w:rsid w:val="1F792DAF"/>
    <w:rsid w:val="21284D66"/>
    <w:rsid w:val="215E0285"/>
    <w:rsid w:val="22643F46"/>
    <w:rsid w:val="22DD6B06"/>
    <w:rsid w:val="23B95E70"/>
    <w:rsid w:val="23C71C0F"/>
    <w:rsid w:val="2423643E"/>
    <w:rsid w:val="24E16D01"/>
    <w:rsid w:val="259B74A6"/>
    <w:rsid w:val="26154EB4"/>
    <w:rsid w:val="261D3D44"/>
    <w:rsid w:val="263F0183"/>
    <w:rsid w:val="278C7F70"/>
    <w:rsid w:val="279464AE"/>
    <w:rsid w:val="27E76477"/>
    <w:rsid w:val="280E7061"/>
    <w:rsid w:val="28684122"/>
    <w:rsid w:val="29EC69BF"/>
    <w:rsid w:val="2AD53E67"/>
    <w:rsid w:val="2B057DF0"/>
    <w:rsid w:val="2B6F150A"/>
    <w:rsid w:val="2BD1187D"/>
    <w:rsid w:val="2CAE1BBE"/>
    <w:rsid w:val="2D5F454C"/>
    <w:rsid w:val="2DA57465"/>
    <w:rsid w:val="2E4B1DBB"/>
    <w:rsid w:val="2F392F94"/>
    <w:rsid w:val="307D68B0"/>
    <w:rsid w:val="30C20B93"/>
    <w:rsid w:val="30F823D3"/>
    <w:rsid w:val="31025A0B"/>
    <w:rsid w:val="310E0CB2"/>
    <w:rsid w:val="3171623B"/>
    <w:rsid w:val="31965FF6"/>
    <w:rsid w:val="31A16195"/>
    <w:rsid w:val="32171FB4"/>
    <w:rsid w:val="32F83B93"/>
    <w:rsid w:val="33FC3621"/>
    <w:rsid w:val="345B5CB6"/>
    <w:rsid w:val="34F41C03"/>
    <w:rsid w:val="35E64303"/>
    <w:rsid w:val="36850374"/>
    <w:rsid w:val="36D26037"/>
    <w:rsid w:val="38B85214"/>
    <w:rsid w:val="39E02CCA"/>
    <w:rsid w:val="3A8952B7"/>
    <w:rsid w:val="3A8C5284"/>
    <w:rsid w:val="3B914B85"/>
    <w:rsid w:val="3C1A101E"/>
    <w:rsid w:val="3D625961"/>
    <w:rsid w:val="3D806D56"/>
    <w:rsid w:val="3D960B78"/>
    <w:rsid w:val="3DBA5F4C"/>
    <w:rsid w:val="3DC017B5"/>
    <w:rsid w:val="3DF465C8"/>
    <w:rsid w:val="3E8F7AA2"/>
    <w:rsid w:val="3EAA6689"/>
    <w:rsid w:val="40932528"/>
    <w:rsid w:val="40CB0B39"/>
    <w:rsid w:val="414D77A0"/>
    <w:rsid w:val="41E4751B"/>
    <w:rsid w:val="421F587F"/>
    <w:rsid w:val="42C76EFA"/>
    <w:rsid w:val="43013B32"/>
    <w:rsid w:val="437E6337"/>
    <w:rsid w:val="43BB72AE"/>
    <w:rsid w:val="43C9668D"/>
    <w:rsid w:val="44C64801"/>
    <w:rsid w:val="4676244E"/>
    <w:rsid w:val="473016F6"/>
    <w:rsid w:val="475629BA"/>
    <w:rsid w:val="477E657B"/>
    <w:rsid w:val="47F3552B"/>
    <w:rsid w:val="47FD6CB2"/>
    <w:rsid w:val="48427153"/>
    <w:rsid w:val="48BE3944"/>
    <w:rsid w:val="49DA5006"/>
    <w:rsid w:val="49F30BFD"/>
    <w:rsid w:val="4A401802"/>
    <w:rsid w:val="4C431ECB"/>
    <w:rsid w:val="4D40490A"/>
    <w:rsid w:val="4F2204BE"/>
    <w:rsid w:val="4F594562"/>
    <w:rsid w:val="4F6A6F61"/>
    <w:rsid w:val="50083210"/>
    <w:rsid w:val="50DC77AA"/>
    <w:rsid w:val="518B6970"/>
    <w:rsid w:val="51F57A18"/>
    <w:rsid w:val="522C2022"/>
    <w:rsid w:val="52A263D5"/>
    <w:rsid w:val="54146D24"/>
    <w:rsid w:val="5458744B"/>
    <w:rsid w:val="547B011F"/>
    <w:rsid w:val="54D56A0F"/>
    <w:rsid w:val="55937A20"/>
    <w:rsid w:val="55EC7130"/>
    <w:rsid w:val="560E566E"/>
    <w:rsid w:val="566E69D5"/>
    <w:rsid w:val="57852426"/>
    <w:rsid w:val="578865EA"/>
    <w:rsid w:val="57944909"/>
    <w:rsid w:val="58BA3515"/>
    <w:rsid w:val="58F82585"/>
    <w:rsid w:val="59127A67"/>
    <w:rsid w:val="599E24B9"/>
    <w:rsid w:val="59B70E4E"/>
    <w:rsid w:val="5A057585"/>
    <w:rsid w:val="5A9D30EE"/>
    <w:rsid w:val="5B0867BA"/>
    <w:rsid w:val="5B5A2D8E"/>
    <w:rsid w:val="5C033B7E"/>
    <w:rsid w:val="5C7C2816"/>
    <w:rsid w:val="5C7E2F87"/>
    <w:rsid w:val="5CA34FFB"/>
    <w:rsid w:val="5CF36FF6"/>
    <w:rsid w:val="5FD1198D"/>
    <w:rsid w:val="606764AF"/>
    <w:rsid w:val="61620829"/>
    <w:rsid w:val="619971B1"/>
    <w:rsid w:val="619C1A0A"/>
    <w:rsid w:val="61D22E64"/>
    <w:rsid w:val="61FA7348"/>
    <w:rsid w:val="61FD7F06"/>
    <w:rsid w:val="62A274F4"/>
    <w:rsid w:val="62D55DC2"/>
    <w:rsid w:val="62E55633"/>
    <w:rsid w:val="63AE2FDA"/>
    <w:rsid w:val="6463266A"/>
    <w:rsid w:val="66405B81"/>
    <w:rsid w:val="66495ED8"/>
    <w:rsid w:val="66660580"/>
    <w:rsid w:val="66784226"/>
    <w:rsid w:val="667B1D03"/>
    <w:rsid w:val="67193AD4"/>
    <w:rsid w:val="672754D8"/>
    <w:rsid w:val="68570D81"/>
    <w:rsid w:val="68C725EC"/>
    <w:rsid w:val="68CE7803"/>
    <w:rsid w:val="694766FF"/>
    <w:rsid w:val="697225ED"/>
    <w:rsid w:val="698B594D"/>
    <w:rsid w:val="6C3153BF"/>
    <w:rsid w:val="6C376F93"/>
    <w:rsid w:val="6D02684D"/>
    <w:rsid w:val="6D194857"/>
    <w:rsid w:val="6E3336F6"/>
    <w:rsid w:val="6EAD7CE2"/>
    <w:rsid w:val="6F9603E0"/>
    <w:rsid w:val="6FF670D1"/>
    <w:rsid w:val="70720D5C"/>
    <w:rsid w:val="70F353BF"/>
    <w:rsid w:val="715F7C62"/>
    <w:rsid w:val="71715649"/>
    <w:rsid w:val="71813CBA"/>
    <w:rsid w:val="71C11019"/>
    <w:rsid w:val="721323BB"/>
    <w:rsid w:val="7275252F"/>
    <w:rsid w:val="72971F5D"/>
    <w:rsid w:val="74687325"/>
    <w:rsid w:val="74F9595D"/>
    <w:rsid w:val="75901738"/>
    <w:rsid w:val="772C33D8"/>
    <w:rsid w:val="775A43E9"/>
    <w:rsid w:val="777803CC"/>
    <w:rsid w:val="77AE3DED"/>
    <w:rsid w:val="789047A3"/>
    <w:rsid w:val="78A22ECA"/>
    <w:rsid w:val="78E007B6"/>
    <w:rsid w:val="79355411"/>
    <w:rsid w:val="799D6F65"/>
    <w:rsid w:val="7B983873"/>
    <w:rsid w:val="7BD5464E"/>
    <w:rsid w:val="7EF40C80"/>
    <w:rsid w:val="7F2C5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C79825B"/>
  <w14:defaultImageDpi w14:val="32767"/>
  <w15:docId w15:val="{84C7D41A-89A9-4EFF-ACEA-2E76287B2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73EC"/>
    <w:pPr>
      <w:widowControl w:val="0"/>
      <w:spacing w:after="160" w:line="278" w:lineRule="auto"/>
    </w:pPr>
    <w:rPr>
      <w:rFonts w:asciiTheme="minorHAnsi" w:eastAsiaTheme="minorEastAsia" w:hAnsiTheme="minorHAnsi" w:cstheme="minorBidi"/>
      <w:kern w:val="2"/>
      <w:sz w:val="2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a6"/>
    <w:uiPriority w:val="99"/>
    <w:unhideWhenUsed/>
    <w:qFormat/>
    <w:pPr>
      <w:tabs>
        <w:tab w:val="center" w:pos="4153"/>
        <w:tab w:val="right" w:pos="8306"/>
      </w:tabs>
      <w:snapToGrid w:val="0"/>
      <w:spacing w:line="240" w:lineRule="auto"/>
      <w:jc w:val="center"/>
    </w:pPr>
    <w:rPr>
      <w:sz w:val="18"/>
      <w:szCs w:val="18"/>
    </w:rPr>
  </w:style>
  <w:style w:type="paragraph" w:styleId="a7">
    <w:name w:val="Subtitle"/>
    <w:basedOn w:val="a"/>
    <w:next w:val="a"/>
    <w:link w:val="a8"/>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9">
    <w:name w:val="footnote text"/>
    <w:basedOn w:val="a"/>
    <w:link w:val="aa"/>
    <w:uiPriority w:val="99"/>
    <w:semiHidden/>
    <w:unhideWhenUsed/>
    <w:qFormat/>
    <w:pPr>
      <w:snapToGrid w:val="0"/>
    </w:pPr>
    <w:rPr>
      <w:sz w:val="18"/>
      <w:szCs w:val="18"/>
    </w:rPr>
  </w:style>
  <w:style w:type="paragraph" w:styleId="ab">
    <w:name w:val="Title"/>
    <w:basedOn w:val="a"/>
    <w:next w:val="a"/>
    <w:link w:val="ac"/>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iPriority w:val="99"/>
    <w:unhideWhenUsed/>
    <w:qFormat/>
    <w:rPr>
      <w:color w:val="467886" w:themeColor="hyperlink"/>
      <w:u w:val="single"/>
    </w:rPr>
  </w:style>
  <w:style w:type="character" w:styleId="af0">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c">
    <w:name w:val="标题 字符"/>
    <w:basedOn w:val="a0"/>
    <w:link w:val="ab"/>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f1">
    <w:name w:val="Quote"/>
    <w:basedOn w:val="a"/>
    <w:next w:val="a"/>
    <w:link w:val="af2"/>
    <w:uiPriority w:val="29"/>
    <w:qFormat/>
    <w:pPr>
      <w:spacing w:before="160"/>
      <w:jc w:val="center"/>
    </w:pPr>
    <w:rPr>
      <w:i/>
      <w:iCs/>
      <w:color w:val="404040" w:themeColor="text1" w:themeTint="BF"/>
    </w:rPr>
  </w:style>
  <w:style w:type="character" w:customStyle="1" w:styleId="af2">
    <w:name w:val="引用 字符"/>
    <w:basedOn w:val="a0"/>
    <w:link w:val="af1"/>
    <w:uiPriority w:val="29"/>
    <w:qFormat/>
    <w:rPr>
      <w:i/>
      <w:iCs/>
      <w:color w:val="404040" w:themeColor="text1" w:themeTint="BF"/>
    </w:rPr>
  </w:style>
  <w:style w:type="paragraph" w:styleId="af3">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4">
    <w:name w:val="Intense Quote"/>
    <w:basedOn w:val="a"/>
    <w:next w:val="a"/>
    <w:link w:val="af5"/>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5">
    <w:name w:val="明显引用 字符"/>
    <w:basedOn w:val="a0"/>
    <w:link w:val="af4"/>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13">
    <w:name w:val="未处理的提及1"/>
    <w:basedOn w:val="a0"/>
    <w:uiPriority w:val="99"/>
    <w:semiHidden/>
    <w:unhideWhenUsed/>
    <w:qFormat/>
    <w:rPr>
      <w:color w:val="605E5C"/>
      <w:shd w:val="clear" w:color="auto" w:fill="E1DFDD"/>
    </w:rPr>
  </w:style>
  <w:style w:type="character" w:customStyle="1" w:styleId="aa">
    <w:name w:val="脚注文本 字符"/>
    <w:basedOn w:val="a0"/>
    <w:link w:val="a9"/>
    <w:uiPriority w:val="99"/>
    <w:semiHidden/>
    <w:qFormat/>
    <w:rPr>
      <w:sz w:val="18"/>
      <w:szCs w:val="18"/>
    </w:rPr>
  </w:style>
  <w:style w:type="paragraph" w:customStyle="1" w:styleId="14">
    <w:name w:val="书目1"/>
    <w:basedOn w:val="a"/>
    <w:next w:val="a"/>
    <w:uiPriority w:val="37"/>
    <w:unhideWhenUsed/>
    <w:qFormat/>
    <w:pPr>
      <w:spacing w:after="240" w:line="240" w:lineRule="auto"/>
      <w:ind w:left="720" w:hanging="720"/>
    </w:pPr>
  </w:style>
  <w:style w:type="table" w:customStyle="1" w:styleId="OPExcelTableContent-1260">
    <w:name w:val="OP_ExcelTableContent-1260"/>
    <w:basedOn w:val="a1"/>
    <w:qFormat/>
    <w:rPr>
      <w:color w:val="000000"/>
    </w:rPr>
    <w:tblPr>
      <w:tblBorders>
        <w:top w:val="single" w:sz="4" w:space="0" w:color="769FCD"/>
        <w:left w:val="single" w:sz="4" w:space="0" w:color="769FCD"/>
        <w:bottom w:val="single" w:sz="4" w:space="0" w:color="769FCD"/>
        <w:right w:val="single" w:sz="4" w:space="0" w:color="769FCD"/>
        <w:insideV w:val="dotted" w:sz="4" w:space="0" w:color="769FCD"/>
      </w:tblBorders>
    </w:tblPr>
    <w:tcPr>
      <w:shd w:val="clear" w:color="auto" w:fill="auto"/>
    </w:tcPr>
    <w:tblStylePr w:type="firstRow">
      <w:rPr>
        <w:b/>
      </w:rPr>
      <w:tblPr/>
      <w:tcPr>
        <w:tcBorders>
          <w:top w:val="single" w:sz="4" w:space="0" w:color="769FCD"/>
          <w:left w:val="single" w:sz="4" w:space="0" w:color="769FCD"/>
          <w:bottom w:val="single" w:sz="4" w:space="0" w:color="769FCD"/>
          <w:right w:val="single" w:sz="4" w:space="0" w:color="769FCD"/>
          <w:insideH w:val="nil"/>
          <w:insideV w:val="dotted" w:sz="4" w:space="0" w:color="auto"/>
        </w:tcBorders>
        <w:shd w:val="clear" w:color="auto" w:fill="769FCD"/>
      </w:tcPr>
    </w:tblStylePr>
    <w:tblStylePr w:type="band1Horz">
      <w:tblPr/>
      <w:tcPr>
        <w:tcBorders>
          <w:left w:val="single" w:sz="4" w:space="0" w:color="769FCD"/>
          <w:right w:val="single" w:sz="4" w:space="0" w:color="769FCD"/>
        </w:tcBorders>
        <w:shd w:val="clear" w:color="auto" w:fill="D6E6F2"/>
      </w:tcPr>
    </w:tblStylePr>
  </w:style>
  <w:style w:type="table" w:customStyle="1" w:styleId="OPExcelTableContent-1091">
    <w:name w:val="OP_ExcelTableContent-1091"/>
    <w:basedOn w:val="a1"/>
    <w:qFormat/>
    <w:rsid w:val="00754A12"/>
    <w:rPr>
      <w:color w:val="464F41"/>
    </w:rPr>
    <w:tblPr>
      <w:tblBorders>
        <w:top w:val="single" w:sz="4" w:space="0" w:color="464F41"/>
        <w:bottom w:val="single" w:sz="4" w:space="0" w:color="464F41"/>
        <w:insideH w:val="dotted" w:sz="4" w:space="0" w:color="464F41"/>
      </w:tblBorders>
    </w:tblPr>
    <w:tcPr>
      <w:shd w:val="clear" w:color="auto" w:fill="auto"/>
    </w:tcPr>
    <w:tblStylePr w:type="firstRow">
      <w:rPr>
        <w:b/>
      </w:rPr>
      <w:tblPr/>
      <w:tcPr>
        <w:tcBorders>
          <w:top w:val="single" w:sz="4" w:space="0" w:color="464F41"/>
          <w:left w:val="nil"/>
          <w:bottom w:val="single" w:sz="4" w:space="0" w:color="464F41"/>
          <w:insideH w:val="dotted" w:sz="4" w:space="0" w:color="464F41"/>
          <w:insideV w:val="nil"/>
        </w:tcBorders>
        <w:shd w:val="clear" w:color="auto" w:fill="FFFFFF"/>
      </w:tcPr>
    </w:tblStylePr>
  </w:style>
  <w:style w:type="paragraph" w:styleId="af6">
    <w:name w:val="Revision"/>
    <w:hidden/>
    <w:uiPriority w:val="99"/>
    <w:unhideWhenUsed/>
    <w:rsid w:val="00652DA5"/>
    <w:rPr>
      <w:rFonts w:asciiTheme="minorHAnsi" w:eastAsiaTheme="minorEastAsia" w:hAnsiTheme="minorHAnsi" w:cstheme="minorBidi"/>
      <w:kern w:val="2"/>
      <w:sz w:val="22"/>
      <w:szCs w:val="24"/>
      <w14:ligatures w14:val="standardContextual"/>
    </w:rPr>
  </w:style>
  <w:style w:type="character" w:styleId="af7">
    <w:name w:val="line number"/>
    <w:basedOn w:val="a0"/>
    <w:uiPriority w:val="99"/>
    <w:semiHidden/>
    <w:unhideWhenUsed/>
    <w:rsid w:val="00652DA5"/>
  </w:style>
  <w:style w:type="paragraph" w:styleId="af8">
    <w:name w:val="Bibliography"/>
    <w:basedOn w:val="a"/>
    <w:next w:val="a"/>
    <w:uiPriority w:val="37"/>
    <w:unhideWhenUsed/>
    <w:rsid w:val="00157B34"/>
    <w:pPr>
      <w:tabs>
        <w:tab w:val="left" w:pos="384"/>
      </w:tabs>
      <w:spacing w:after="0" w:line="480" w:lineRule="auto"/>
      <w:ind w:left="384" w:hanging="384"/>
    </w:pPr>
  </w:style>
  <w:style w:type="character" w:styleId="af9">
    <w:name w:val="Unresolved Mention"/>
    <w:basedOn w:val="a0"/>
    <w:uiPriority w:val="99"/>
    <w:semiHidden/>
    <w:unhideWhenUsed/>
    <w:rsid w:val="00FA6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6197">
      <w:bodyDiv w:val="1"/>
      <w:marLeft w:val="0"/>
      <w:marRight w:val="0"/>
      <w:marTop w:val="0"/>
      <w:marBottom w:val="0"/>
      <w:divBdr>
        <w:top w:val="none" w:sz="0" w:space="0" w:color="auto"/>
        <w:left w:val="none" w:sz="0" w:space="0" w:color="auto"/>
        <w:bottom w:val="none" w:sz="0" w:space="0" w:color="auto"/>
        <w:right w:val="none" w:sz="0" w:space="0" w:color="auto"/>
      </w:divBdr>
    </w:div>
    <w:div w:id="255211423">
      <w:bodyDiv w:val="1"/>
      <w:marLeft w:val="0"/>
      <w:marRight w:val="0"/>
      <w:marTop w:val="0"/>
      <w:marBottom w:val="0"/>
      <w:divBdr>
        <w:top w:val="none" w:sz="0" w:space="0" w:color="auto"/>
        <w:left w:val="none" w:sz="0" w:space="0" w:color="auto"/>
        <w:bottom w:val="none" w:sz="0" w:space="0" w:color="auto"/>
        <w:right w:val="none" w:sz="0" w:space="0" w:color="auto"/>
      </w:divBdr>
    </w:div>
    <w:div w:id="262153885">
      <w:bodyDiv w:val="1"/>
      <w:marLeft w:val="0"/>
      <w:marRight w:val="0"/>
      <w:marTop w:val="0"/>
      <w:marBottom w:val="0"/>
      <w:divBdr>
        <w:top w:val="none" w:sz="0" w:space="0" w:color="auto"/>
        <w:left w:val="none" w:sz="0" w:space="0" w:color="auto"/>
        <w:bottom w:val="none" w:sz="0" w:space="0" w:color="auto"/>
        <w:right w:val="none" w:sz="0" w:space="0" w:color="auto"/>
      </w:divBdr>
    </w:div>
    <w:div w:id="669210946">
      <w:bodyDiv w:val="1"/>
      <w:marLeft w:val="0"/>
      <w:marRight w:val="0"/>
      <w:marTop w:val="0"/>
      <w:marBottom w:val="0"/>
      <w:divBdr>
        <w:top w:val="none" w:sz="0" w:space="0" w:color="auto"/>
        <w:left w:val="none" w:sz="0" w:space="0" w:color="auto"/>
        <w:bottom w:val="none" w:sz="0" w:space="0" w:color="auto"/>
        <w:right w:val="none" w:sz="0" w:space="0" w:color="auto"/>
      </w:divBdr>
    </w:div>
    <w:div w:id="761948935">
      <w:bodyDiv w:val="1"/>
      <w:marLeft w:val="0"/>
      <w:marRight w:val="0"/>
      <w:marTop w:val="0"/>
      <w:marBottom w:val="0"/>
      <w:divBdr>
        <w:top w:val="none" w:sz="0" w:space="0" w:color="auto"/>
        <w:left w:val="none" w:sz="0" w:space="0" w:color="auto"/>
        <w:bottom w:val="none" w:sz="0" w:space="0" w:color="auto"/>
        <w:right w:val="none" w:sz="0" w:space="0" w:color="auto"/>
      </w:divBdr>
    </w:div>
    <w:div w:id="909002736">
      <w:bodyDiv w:val="1"/>
      <w:marLeft w:val="0"/>
      <w:marRight w:val="0"/>
      <w:marTop w:val="0"/>
      <w:marBottom w:val="0"/>
      <w:divBdr>
        <w:top w:val="none" w:sz="0" w:space="0" w:color="auto"/>
        <w:left w:val="none" w:sz="0" w:space="0" w:color="auto"/>
        <w:bottom w:val="none" w:sz="0" w:space="0" w:color="auto"/>
        <w:right w:val="none" w:sz="0" w:space="0" w:color="auto"/>
      </w:divBdr>
    </w:div>
    <w:div w:id="1129855814">
      <w:bodyDiv w:val="1"/>
      <w:marLeft w:val="0"/>
      <w:marRight w:val="0"/>
      <w:marTop w:val="0"/>
      <w:marBottom w:val="0"/>
      <w:divBdr>
        <w:top w:val="none" w:sz="0" w:space="0" w:color="auto"/>
        <w:left w:val="none" w:sz="0" w:space="0" w:color="auto"/>
        <w:bottom w:val="none" w:sz="0" w:space="0" w:color="auto"/>
        <w:right w:val="none" w:sz="0" w:space="0" w:color="auto"/>
      </w:divBdr>
    </w:div>
    <w:div w:id="1252156190">
      <w:bodyDiv w:val="1"/>
      <w:marLeft w:val="0"/>
      <w:marRight w:val="0"/>
      <w:marTop w:val="0"/>
      <w:marBottom w:val="0"/>
      <w:divBdr>
        <w:top w:val="none" w:sz="0" w:space="0" w:color="auto"/>
        <w:left w:val="none" w:sz="0" w:space="0" w:color="auto"/>
        <w:bottom w:val="none" w:sz="0" w:space="0" w:color="auto"/>
        <w:right w:val="none" w:sz="0" w:space="0" w:color="auto"/>
      </w:divBdr>
    </w:div>
    <w:div w:id="1445463443">
      <w:bodyDiv w:val="1"/>
      <w:marLeft w:val="0"/>
      <w:marRight w:val="0"/>
      <w:marTop w:val="0"/>
      <w:marBottom w:val="0"/>
      <w:divBdr>
        <w:top w:val="none" w:sz="0" w:space="0" w:color="auto"/>
        <w:left w:val="none" w:sz="0" w:space="0" w:color="auto"/>
        <w:bottom w:val="none" w:sz="0" w:space="0" w:color="auto"/>
        <w:right w:val="none" w:sz="0" w:space="0" w:color="auto"/>
      </w:divBdr>
    </w:div>
    <w:div w:id="1716391005">
      <w:bodyDiv w:val="1"/>
      <w:marLeft w:val="0"/>
      <w:marRight w:val="0"/>
      <w:marTop w:val="0"/>
      <w:marBottom w:val="0"/>
      <w:divBdr>
        <w:top w:val="none" w:sz="0" w:space="0" w:color="auto"/>
        <w:left w:val="none" w:sz="0" w:space="0" w:color="auto"/>
        <w:bottom w:val="none" w:sz="0" w:space="0" w:color="auto"/>
        <w:right w:val="none" w:sz="0" w:space="0" w:color="auto"/>
      </w:divBdr>
    </w:div>
    <w:div w:id="1760832718">
      <w:bodyDiv w:val="1"/>
      <w:marLeft w:val="0"/>
      <w:marRight w:val="0"/>
      <w:marTop w:val="0"/>
      <w:marBottom w:val="0"/>
      <w:divBdr>
        <w:top w:val="none" w:sz="0" w:space="0" w:color="auto"/>
        <w:left w:val="none" w:sz="0" w:space="0" w:color="auto"/>
        <w:bottom w:val="none" w:sz="0" w:space="0" w:color="auto"/>
        <w:right w:val="none" w:sz="0" w:space="0" w:color="auto"/>
      </w:divBdr>
    </w:div>
    <w:div w:id="1893998515">
      <w:bodyDiv w:val="1"/>
      <w:marLeft w:val="0"/>
      <w:marRight w:val="0"/>
      <w:marTop w:val="0"/>
      <w:marBottom w:val="0"/>
      <w:divBdr>
        <w:top w:val="none" w:sz="0" w:space="0" w:color="auto"/>
        <w:left w:val="none" w:sz="0" w:space="0" w:color="auto"/>
        <w:bottom w:val="none" w:sz="0" w:space="0" w:color="auto"/>
        <w:right w:val="none" w:sz="0" w:space="0" w:color="auto"/>
      </w:divBdr>
    </w:div>
    <w:div w:id="1973558826">
      <w:bodyDiv w:val="1"/>
      <w:marLeft w:val="0"/>
      <w:marRight w:val="0"/>
      <w:marTop w:val="0"/>
      <w:marBottom w:val="0"/>
      <w:divBdr>
        <w:top w:val="none" w:sz="0" w:space="0" w:color="auto"/>
        <w:left w:val="none" w:sz="0" w:space="0" w:color="auto"/>
        <w:bottom w:val="none" w:sz="0" w:space="0" w:color="auto"/>
        <w:right w:val="none" w:sz="0" w:space="0" w:color="auto"/>
      </w:divBdr>
    </w:div>
    <w:div w:id="2138450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AA834452-52F0-46D7-B7A8-25E3BB06CC5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8</Pages>
  <Words>500</Words>
  <Characters>3342</Characters>
  <Application>Microsoft Office Word</Application>
  <DocSecurity>0</DocSecurity>
  <Lines>74</Lines>
  <Paragraphs>30</Paragraphs>
  <ScaleCrop>false</ScaleCrop>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饺子 King</dc:creator>
  <cp:lastModifiedBy>MURRAY MURPHY</cp:lastModifiedBy>
  <cp:revision>1000</cp:revision>
  <cp:lastPrinted>2025-10-23T16:13:00Z</cp:lastPrinted>
  <dcterms:created xsi:type="dcterms:W3CDTF">2025-09-25T03:15:00Z</dcterms:created>
  <dcterms:modified xsi:type="dcterms:W3CDTF">2025-10-24T05:05:00Z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id="G7UbBkd4"/&gt;&lt;style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KSOTemplateDocerSaveRecord">
    <vt:lpwstr>eyJoZGlkIjoiODEwYTExMzc4NmM4OTQyNDlmNzdhYWUwNTFjYjc0M2IiLCJ1c2VySWQiOiI2NTU3NDk3NTgifQ==</vt:lpwstr>
  </property>
  <property fmtid="{D5CDD505-2E9C-101B-9397-08002B2CF9AE}" pid="5" name="KSOProductBuildVer">
    <vt:lpwstr>2052-12.1.0.23125</vt:lpwstr>
  </property>
  <property fmtid="{D5CDD505-2E9C-101B-9397-08002B2CF9AE}" pid="6" name="ICV">
    <vt:lpwstr>7E2A50A958F24FA781352C618A49EBE7_12</vt:lpwstr>
  </property>
</Properties>
</file>