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8191" w14:textId="31A7AC27" w:rsidR="002B785D" w:rsidRPr="002B785D" w:rsidRDefault="002B785D" w:rsidP="002B785D">
      <w:r w:rsidRPr="002B785D">
        <w:rPr>
          <w:b/>
          <w:bCs/>
        </w:rPr>
        <w:t>Supplementary Table S</w:t>
      </w:r>
      <w:r w:rsidR="00A62471">
        <w:rPr>
          <w:b/>
          <w:bCs/>
        </w:rPr>
        <w:t>11</w:t>
      </w:r>
      <w:r w:rsidRPr="002B785D">
        <w:rPr>
          <w:b/>
          <w:bCs/>
        </w:rPr>
        <w:t>: Seronegative Subtype Cluster Profiles (n=390)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45"/>
        <w:gridCol w:w="1617"/>
        <w:gridCol w:w="1667"/>
        <w:gridCol w:w="1696"/>
        <w:gridCol w:w="1801"/>
        <w:gridCol w:w="824"/>
      </w:tblGrid>
      <w:tr w:rsidR="002B785D" w:rsidRPr="002B785D" w14:paraId="0D360707" w14:textId="77777777" w:rsidTr="002B785D">
        <w:tc>
          <w:tcPr>
            <w:tcW w:w="0" w:type="auto"/>
            <w:hideMark/>
          </w:tcPr>
          <w:p w14:paraId="57404741" w14:textId="77777777" w:rsidR="002B785D" w:rsidRPr="002B785D" w:rsidRDefault="002B785D" w:rsidP="002B785D">
            <w:pPr>
              <w:spacing w:after="160" w:line="278" w:lineRule="auto"/>
              <w:jc w:val="center"/>
              <w:rPr>
                <w:b/>
                <w:bCs/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Feature</w:t>
            </w:r>
          </w:p>
        </w:tc>
        <w:tc>
          <w:tcPr>
            <w:tcW w:w="0" w:type="auto"/>
            <w:hideMark/>
          </w:tcPr>
          <w:p w14:paraId="57FA6F90" w14:textId="77777777" w:rsidR="002B785D" w:rsidRPr="002B785D" w:rsidRDefault="002B785D" w:rsidP="002B785D">
            <w:pPr>
              <w:spacing w:after="160" w:line="278" w:lineRule="auto"/>
              <w:jc w:val="center"/>
              <w:rPr>
                <w:b/>
                <w:bCs/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Subtype 1 (n=112)</w:t>
            </w:r>
          </w:p>
        </w:tc>
        <w:tc>
          <w:tcPr>
            <w:tcW w:w="0" w:type="auto"/>
            <w:hideMark/>
          </w:tcPr>
          <w:p w14:paraId="3D96D72E" w14:textId="77777777" w:rsidR="002B785D" w:rsidRPr="002B785D" w:rsidRDefault="002B785D" w:rsidP="002B785D">
            <w:pPr>
              <w:spacing w:after="160" w:line="278" w:lineRule="auto"/>
              <w:jc w:val="center"/>
              <w:rPr>
                <w:b/>
                <w:bCs/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Subtype 2 (n=98)</w:t>
            </w:r>
          </w:p>
        </w:tc>
        <w:tc>
          <w:tcPr>
            <w:tcW w:w="0" w:type="auto"/>
            <w:hideMark/>
          </w:tcPr>
          <w:p w14:paraId="5EC9E0D1" w14:textId="77777777" w:rsidR="002B785D" w:rsidRPr="002B785D" w:rsidRDefault="002B785D" w:rsidP="002B785D">
            <w:pPr>
              <w:spacing w:after="160" w:line="278" w:lineRule="auto"/>
              <w:jc w:val="center"/>
              <w:rPr>
                <w:b/>
                <w:bCs/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Subtype 3 (n=95)</w:t>
            </w:r>
          </w:p>
        </w:tc>
        <w:tc>
          <w:tcPr>
            <w:tcW w:w="0" w:type="auto"/>
            <w:hideMark/>
          </w:tcPr>
          <w:p w14:paraId="01C29B5B" w14:textId="77777777" w:rsidR="002B785D" w:rsidRPr="002B785D" w:rsidRDefault="002B785D" w:rsidP="002B785D">
            <w:pPr>
              <w:spacing w:after="160" w:line="278" w:lineRule="auto"/>
              <w:jc w:val="center"/>
              <w:rPr>
                <w:b/>
                <w:bCs/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Subtype 4 (n=85)</w:t>
            </w:r>
          </w:p>
        </w:tc>
        <w:tc>
          <w:tcPr>
            <w:tcW w:w="0" w:type="auto"/>
            <w:hideMark/>
          </w:tcPr>
          <w:p w14:paraId="21CE94FA" w14:textId="77777777" w:rsidR="002B785D" w:rsidRPr="002B785D" w:rsidRDefault="002B785D" w:rsidP="002B785D">
            <w:pPr>
              <w:spacing w:after="160" w:line="278" w:lineRule="auto"/>
              <w:jc w:val="center"/>
              <w:rPr>
                <w:b/>
                <w:bCs/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p-value</w:t>
            </w:r>
          </w:p>
        </w:tc>
      </w:tr>
      <w:tr w:rsidR="002B785D" w:rsidRPr="002B785D" w14:paraId="528B849F" w14:textId="77777777" w:rsidTr="002B785D">
        <w:tc>
          <w:tcPr>
            <w:tcW w:w="0" w:type="auto"/>
            <w:hideMark/>
          </w:tcPr>
          <w:p w14:paraId="6CB8579B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Cluster Characteristics</w:t>
            </w:r>
          </w:p>
        </w:tc>
        <w:tc>
          <w:tcPr>
            <w:tcW w:w="0" w:type="auto"/>
            <w:hideMark/>
          </w:tcPr>
          <w:p w14:paraId="7705BAC2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HLA-B27+ High Inflammation</w:t>
            </w:r>
          </w:p>
        </w:tc>
        <w:tc>
          <w:tcPr>
            <w:tcW w:w="0" w:type="auto"/>
            <w:hideMark/>
          </w:tcPr>
          <w:p w14:paraId="31DAA295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Anti-Ro+ Moderate Inflammation</w:t>
            </w:r>
          </w:p>
        </w:tc>
        <w:tc>
          <w:tcPr>
            <w:tcW w:w="0" w:type="auto"/>
            <w:hideMark/>
          </w:tcPr>
          <w:p w14:paraId="2B9BFC95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Low Markers</w:t>
            </w:r>
          </w:p>
        </w:tc>
        <w:tc>
          <w:tcPr>
            <w:tcW w:w="0" w:type="auto"/>
            <w:hideMark/>
          </w:tcPr>
          <w:p w14:paraId="1A359A6D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ANA+ Low Complement</w:t>
            </w:r>
          </w:p>
        </w:tc>
        <w:tc>
          <w:tcPr>
            <w:tcW w:w="0" w:type="auto"/>
            <w:hideMark/>
          </w:tcPr>
          <w:p w14:paraId="15720737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2B785D" w:rsidRPr="002B785D" w14:paraId="17F61EA0" w14:textId="77777777" w:rsidTr="002B785D">
        <w:tc>
          <w:tcPr>
            <w:tcW w:w="0" w:type="auto"/>
            <w:hideMark/>
          </w:tcPr>
          <w:p w14:paraId="4D6BB814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881BBD2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40F37FC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6E3B070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7F4961F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D301081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2B785D" w:rsidRPr="002B785D" w14:paraId="3036D59C" w14:textId="77777777" w:rsidTr="00ED1762">
        <w:tc>
          <w:tcPr>
            <w:tcW w:w="0" w:type="auto"/>
            <w:gridSpan w:val="6"/>
            <w:hideMark/>
          </w:tcPr>
          <w:p w14:paraId="1FCDAB71" w14:textId="3B05F7C6" w:rsidR="002B785D" w:rsidRPr="002B785D" w:rsidRDefault="002B785D" w:rsidP="002B785D">
            <w:pPr>
              <w:spacing w:after="160" w:line="278" w:lineRule="auto"/>
              <w:jc w:val="center"/>
              <w:rPr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Biomarkers (mean ± SD)</w:t>
            </w:r>
          </w:p>
        </w:tc>
      </w:tr>
      <w:tr w:rsidR="002B785D" w:rsidRPr="002B785D" w14:paraId="2B0FBDE0" w14:textId="77777777" w:rsidTr="002B785D">
        <w:tc>
          <w:tcPr>
            <w:tcW w:w="0" w:type="auto"/>
            <w:hideMark/>
          </w:tcPr>
          <w:p w14:paraId="42AD870E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ESR (mm/hr)</w:t>
            </w:r>
          </w:p>
        </w:tc>
        <w:tc>
          <w:tcPr>
            <w:tcW w:w="0" w:type="auto"/>
            <w:hideMark/>
          </w:tcPr>
          <w:p w14:paraId="16230592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32.4 ± 12.8</w:t>
            </w:r>
          </w:p>
        </w:tc>
        <w:tc>
          <w:tcPr>
            <w:tcW w:w="0" w:type="auto"/>
            <w:hideMark/>
          </w:tcPr>
          <w:p w14:paraId="58997194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24.6 ± 11.2</w:t>
            </w:r>
          </w:p>
        </w:tc>
        <w:tc>
          <w:tcPr>
            <w:tcW w:w="0" w:type="auto"/>
            <w:hideMark/>
          </w:tcPr>
          <w:p w14:paraId="11A715CF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15.8 ± 8.9</w:t>
            </w:r>
          </w:p>
        </w:tc>
        <w:tc>
          <w:tcPr>
            <w:tcW w:w="0" w:type="auto"/>
            <w:hideMark/>
          </w:tcPr>
          <w:p w14:paraId="51FC4DE9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26.1 ± 13.5</w:t>
            </w:r>
          </w:p>
        </w:tc>
        <w:tc>
          <w:tcPr>
            <w:tcW w:w="0" w:type="auto"/>
            <w:hideMark/>
          </w:tcPr>
          <w:p w14:paraId="5745C7D3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&lt;0.001</w:t>
            </w:r>
          </w:p>
        </w:tc>
      </w:tr>
      <w:tr w:rsidR="002B785D" w:rsidRPr="002B785D" w14:paraId="2EF76FA9" w14:textId="77777777" w:rsidTr="002B785D">
        <w:tc>
          <w:tcPr>
            <w:tcW w:w="0" w:type="auto"/>
            <w:hideMark/>
          </w:tcPr>
          <w:p w14:paraId="15F3F426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CRP (mg/L)</w:t>
            </w:r>
          </w:p>
        </w:tc>
        <w:tc>
          <w:tcPr>
            <w:tcW w:w="0" w:type="auto"/>
            <w:hideMark/>
          </w:tcPr>
          <w:p w14:paraId="4AEA0B01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18.9 ± 10.4</w:t>
            </w:r>
          </w:p>
        </w:tc>
        <w:tc>
          <w:tcPr>
            <w:tcW w:w="0" w:type="auto"/>
            <w:hideMark/>
          </w:tcPr>
          <w:p w14:paraId="0FB4FDDB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14.2 ± 8.7</w:t>
            </w:r>
          </w:p>
        </w:tc>
        <w:tc>
          <w:tcPr>
            <w:tcW w:w="0" w:type="auto"/>
            <w:hideMark/>
          </w:tcPr>
          <w:p w14:paraId="2D7B81E4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7.3 ± 6.2</w:t>
            </w:r>
          </w:p>
        </w:tc>
        <w:tc>
          <w:tcPr>
            <w:tcW w:w="0" w:type="auto"/>
            <w:hideMark/>
          </w:tcPr>
          <w:p w14:paraId="7632DEAB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13.8 ± 9.5</w:t>
            </w:r>
          </w:p>
        </w:tc>
        <w:tc>
          <w:tcPr>
            <w:tcW w:w="0" w:type="auto"/>
            <w:hideMark/>
          </w:tcPr>
          <w:p w14:paraId="189533F8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&lt;0.001</w:t>
            </w:r>
          </w:p>
        </w:tc>
      </w:tr>
      <w:tr w:rsidR="002B785D" w:rsidRPr="002B785D" w14:paraId="1C547401" w14:textId="77777777" w:rsidTr="002B785D">
        <w:tc>
          <w:tcPr>
            <w:tcW w:w="0" w:type="auto"/>
            <w:hideMark/>
          </w:tcPr>
          <w:p w14:paraId="65837392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HLA-B27, n (%)</w:t>
            </w:r>
          </w:p>
        </w:tc>
        <w:tc>
          <w:tcPr>
            <w:tcW w:w="0" w:type="auto"/>
            <w:hideMark/>
          </w:tcPr>
          <w:p w14:paraId="7EF58552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106 (94.6%)</w:t>
            </w:r>
          </w:p>
        </w:tc>
        <w:tc>
          <w:tcPr>
            <w:tcW w:w="0" w:type="auto"/>
            <w:hideMark/>
          </w:tcPr>
          <w:p w14:paraId="2C08A076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52 (53.1%)</w:t>
            </w:r>
          </w:p>
        </w:tc>
        <w:tc>
          <w:tcPr>
            <w:tcW w:w="0" w:type="auto"/>
            <w:hideMark/>
          </w:tcPr>
          <w:p w14:paraId="6200AA81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48 (50.5%)</w:t>
            </w:r>
          </w:p>
        </w:tc>
        <w:tc>
          <w:tcPr>
            <w:tcW w:w="0" w:type="auto"/>
            <w:hideMark/>
          </w:tcPr>
          <w:p w14:paraId="4E99F652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58 (68.2%)</w:t>
            </w:r>
          </w:p>
        </w:tc>
        <w:tc>
          <w:tcPr>
            <w:tcW w:w="0" w:type="auto"/>
            <w:hideMark/>
          </w:tcPr>
          <w:p w14:paraId="038B915E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&lt;0.001</w:t>
            </w:r>
          </w:p>
        </w:tc>
      </w:tr>
      <w:tr w:rsidR="002B785D" w:rsidRPr="002B785D" w14:paraId="7AE862E7" w14:textId="77777777" w:rsidTr="002B785D">
        <w:tc>
          <w:tcPr>
            <w:tcW w:w="0" w:type="auto"/>
            <w:hideMark/>
          </w:tcPr>
          <w:p w14:paraId="6EF30E52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ANA, n (%)</w:t>
            </w:r>
          </w:p>
        </w:tc>
        <w:tc>
          <w:tcPr>
            <w:tcW w:w="0" w:type="auto"/>
            <w:hideMark/>
          </w:tcPr>
          <w:p w14:paraId="7D795652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58 (51.8%)</w:t>
            </w:r>
          </w:p>
        </w:tc>
        <w:tc>
          <w:tcPr>
            <w:tcW w:w="0" w:type="auto"/>
            <w:hideMark/>
          </w:tcPr>
          <w:p w14:paraId="32F195C8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72 (73.5%)</w:t>
            </w:r>
          </w:p>
        </w:tc>
        <w:tc>
          <w:tcPr>
            <w:tcW w:w="0" w:type="auto"/>
            <w:hideMark/>
          </w:tcPr>
          <w:p w14:paraId="790BD539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32 (33.7%)</w:t>
            </w:r>
          </w:p>
        </w:tc>
        <w:tc>
          <w:tcPr>
            <w:tcW w:w="0" w:type="auto"/>
            <w:hideMark/>
          </w:tcPr>
          <w:p w14:paraId="55FFD50E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78 (91.8%)</w:t>
            </w:r>
          </w:p>
        </w:tc>
        <w:tc>
          <w:tcPr>
            <w:tcW w:w="0" w:type="auto"/>
            <w:hideMark/>
          </w:tcPr>
          <w:p w14:paraId="529D62E9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&lt;0.001</w:t>
            </w:r>
          </w:p>
        </w:tc>
      </w:tr>
      <w:tr w:rsidR="002B785D" w:rsidRPr="002B785D" w14:paraId="532B4EF2" w14:textId="77777777" w:rsidTr="002B785D">
        <w:tc>
          <w:tcPr>
            <w:tcW w:w="0" w:type="auto"/>
            <w:hideMark/>
          </w:tcPr>
          <w:p w14:paraId="40272517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Anti-Ro, n (%)</w:t>
            </w:r>
          </w:p>
        </w:tc>
        <w:tc>
          <w:tcPr>
            <w:tcW w:w="0" w:type="auto"/>
            <w:hideMark/>
          </w:tcPr>
          <w:p w14:paraId="38C6AFDC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42 (37.5%)</w:t>
            </w:r>
          </w:p>
        </w:tc>
        <w:tc>
          <w:tcPr>
            <w:tcW w:w="0" w:type="auto"/>
            <w:hideMark/>
          </w:tcPr>
          <w:p w14:paraId="39554FDB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86 (87.8%)</w:t>
            </w:r>
          </w:p>
        </w:tc>
        <w:tc>
          <w:tcPr>
            <w:tcW w:w="0" w:type="auto"/>
            <w:hideMark/>
          </w:tcPr>
          <w:p w14:paraId="18E56299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38 (40.0%)</w:t>
            </w:r>
          </w:p>
        </w:tc>
        <w:tc>
          <w:tcPr>
            <w:tcW w:w="0" w:type="auto"/>
            <w:hideMark/>
          </w:tcPr>
          <w:p w14:paraId="3304397C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64 (75.3%)</w:t>
            </w:r>
          </w:p>
        </w:tc>
        <w:tc>
          <w:tcPr>
            <w:tcW w:w="0" w:type="auto"/>
            <w:hideMark/>
          </w:tcPr>
          <w:p w14:paraId="441E22D6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&lt;0.001</w:t>
            </w:r>
          </w:p>
        </w:tc>
      </w:tr>
      <w:tr w:rsidR="002B785D" w:rsidRPr="002B785D" w14:paraId="551D4D04" w14:textId="77777777" w:rsidTr="002B785D">
        <w:tc>
          <w:tcPr>
            <w:tcW w:w="0" w:type="auto"/>
            <w:hideMark/>
          </w:tcPr>
          <w:p w14:paraId="3F8086A3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Anti-La, n (%)</w:t>
            </w:r>
          </w:p>
        </w:tc>
        <w:tc>
          <w:tcPr>
            <w:tcW w:w="0" w:type="auto"/>
            <w:hideMark/>
          </w:tcPr>
          <w:p w14:paraId="40B9E432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28 (25.0%)</w:t>
            </w:r>
          </w:p>
        </w:tc>
        <w:tc>
          <w:tcPr>
            <w:tcW w:w="0" w:type="auto"/>
            <w:hideMark/>
          </w:tcPr>
          <w:p w14:paraId="367428DB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78 (79.6%)</w:t>
            </w:r>
          </w:p>
        </w:tc>
        <w:tc>
          <w:tcPr>
            <w:tcW w:w="0" w:type="auto"/>
            <w:hideMark/>
          </w:tcPr>
          <w:p w14:paraId="21503978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22 (23.2%)</w:t>
            </w:r>
          </w:p>
        </w:tc>
        <w:tc>
          <w:tcPr>
            <w:tcW w:w="0" w:type="auto"/>
            <w:hideMark/>
          </w:tcPr>
          <w:p w14:paraId="1DB97741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48 (56.5%)</w:t>
            </w:r>
          </w:p>
        </w:tc>
        <w:tc>
          <w:tcPr>
            <w:tcW w:w="0" w:type="auto"/>
            <w:hideMark/>
          </w:tcPr>
          <w:p w14:paraId="6F20B71A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&lt;0.001</w:t>
            </w:r>
          </w:p>
        </w:tc>
      </w:tr>
      <w:tr w:rsidR="002B785D" w:rsidRPr="002B785D" w14:paraId="54C2EF1B" w14:textId="77777777" w:rsidTr="002B785D">
        <w:tc>
          <w:tcPr>
            <w:tcW w:w="0" w:type="auto"/>
            <w:hideMark/>
          </w:tcPr>
          <w:p w14:paraId="602073EF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Anti-dsDNA, n (%)</w:t>
            </w:r>
          </w:p>
        </w:tc>
        <w:tc>
          <w:tcPr>
            <w:tcW w:w="0" w:type="auto"/>
            <w:hideMark/>
          </w:tcPr>
          <w:p w14:paraId="580C7DBA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38 (33.9%)</w:t>
            </w:r>
          </w:p>
        </w:tc>
        <w:tc>
          <w:tcPr>
            <w:tcW w:w="0" w:type="auto"/>
            <w:hideMark/>
          </w:tcPr>
          <w:p w14:paraId="7240239B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58 (59.2%)</w:t>
            </w:r>
          </w:p>
        </w:tc>
        <w:tc>
          <w:tcPr>
            <w:tcW w:w="0" w:type="auto"/>
            <w:hideMark/>
          </w:tcPr>
          <w:p w14:paraId="21A2E5C0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32 (33.7%)</w:t>
            </w:r>
          </w:p>
        </w:tc>
        <w:tc>
          <w:tcPr>
            <w:tcW w:w="0" w:type="auto"/>
            <w:hideMark/>
          </w:tcPr>
          <w:p w14:paraId="0154B4B8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68 (80.0%)</w:t>
            </w:r>
          </w:p>
        </w:tc>
        <w:tc>
          <w:tcPr>
            <w:tcW w:w="0" w:type="auto"/>
            <w:hideMark/>
          </w:tcPr>
          <w:p w14:paraId="29A5B2A3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&lt;0.001</w:t>
            </w:r>
          </w:p>
        </w:tc>
      </w:tr>
      <w:tr w:rsidR="002B785D" w:rsidRPr="002B785D" w14:paraId="4477CBCF" w14:textId="77777777" w:rsidTr="002B785D">
        <w:tc>
          <w:tcPr>
            <w:tcW w:w="0" w:type="auto"/>
            <w:hideMark/>
          </w:tcPr>
          <w:p w14:paraId="555BC69F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Anti-Sm, n (%)</w:t>
            </w:r>
          </w:p>
        </w:tc>
        <w:tc>
          <w:tcPr>
            <w:tcW w:w="0" w:type="auto"/>
            <w:hideMark/>
          </w:tcPr>
          <w:p w14:paraId="3CDFA1D2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42 (37.5%)</w:t>
            </w:r>
          </w:p>
        </w:tc>
        <w:tc>
          <w:tcPr>
            <w:tcW w:w="0" w:type="auto"/>
            <w:hideMark/>
          </w:tcPr>
          <w:p w14:paraId="6A4FC9E1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54 (55.1%)</w:t>
            </w:r>
          </w:p>
        </w:tc>
        <w:tc>
          <w:tcPr>
            <w:tcW w:w="0" w:type="auto"/>
            <w:hideMark/>
          </w:tcPr>
          <w:p w14:paraId="1200BFB7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38 (40.0%)</w:t>
            </w:r>
          </w:p>
        </w:tc>
        <w:tc>
          <w:tcPr>
            <w:tcW w:w="0" w:type="auto"/>
            <w:hideMark/>
          </w:tcPr>
          <w:p w14:paraId="41C79670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64 (75.3%)</w:t>
            </w:r>
          </w:p>
        </w:tc>
        <w:tc>
          <w:tcPr>
            <w:tcW w:w="0" w:type="auto"/>
            <w:hideMark/>
          </w:tcPr>
          <w:p w14:paraId="20E3210E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&lt;0.001</w:t>
            </w:r>
          </w:p>
        </w:tc>
      </w:tr>
      <w:tr w:rsidR="002B785D" w:rsidRPr="002B785D" w14:paraId="12CD69EA" w14:textId="77777777" w:rsidTr="002B785D">
        <w:tc>
          <w:tcPr>
            <w:tcW w:w="0" w:type="auto"/>
            <w:hideMark/>
          </w:tcPr>
          <w:p w14:paraId="42D2A71B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C3 (mg/dL)</w:t>
            </w:r>
          </w:p>
        </w:tc>
        <w:tc>
          <w:tcPr>
            <w:tcW w:w="0" w:type="auto"/>
            <w:hideMark/>
          </w:tcPr>
          <w:p w14:paraId="266187A8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138.2 ± 28.4</w:t>
            </w:r>
          </w:p>
        </w:tc>
        <w:tc>
          <w:tcPr>
            <w:tcW w:w="0" w:type="auto"/>
            <w:hideMark/>
          </w:tcPr>
          <w:p w14:paraId="069E1180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136.8 ± 32.1</w:t>
            </w:r>
          </w:p>
        </w:tc>
        <w:tc>
          <w:tcPr>
            <w:tcW w:w="0" w:type="auto"/>
            <w:hideMark/>
          </w:tcPr>
          <w:p w14:paraId="79120A54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142.5 ± 29.8</w:t>
            </w:r>
          </w:p>
        </w:tc>
        <w:tc>
          <w:tcPr>
            <w:tcW w:w="0" w:type="auto"/>
            <w:hideMark/>
          </w:tcPr>
          <w:p w14:paraId="44232683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118.4 ± 38.6</w:t>
            </w:r>
          </w:p>
        </w:tc>
        <w:tc>
          <w:tcPr>
            <w:tcW w:w="0" w:type="auto"/>
            <w:hideMark/>
          </w:tcPr>
          <w:p w14:paraId="13893BF2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&lt;0.001</w:t>
            </w:r>
          </w:p>
        </w:tc>
      </w:tr>
      <w:tr w:rsidR="002B785D" w:rsidRPr="002B785D" w14:paraId="45432EFF" w14:textId="77777777" w:rsidTr="002B785D">
        <w:tc>
          <w:tcPr>
            <w:tcW w:w="0" w:type="auto"/>
            <w:hideMark/>
          </w:tcPr>
          <w:p w14:paraId="6D64F5EB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C4 (mg/dL)</w:t>
            </w:r>
          </w:p>
        </w:tc>
        <w:tc>
          <w:tcPr>
            <w:tcW w:w="0" w:type="auto"/>
            <w:hideMark/>
          </w:tcPr>
          <w:p w14:paraId="553B3640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39.8 ± 16.2</w:t>
            </w:r>
          </w:p>
        </w:tc>
        <w:tc>
          <w:tcPr>
            <w:tcW w:w="0" w:type="auto"/>
            <w:hideMark/>
          </w:tcPr>
          <w:p w14:paraId="5B9D1515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38.9 ± 17.8</w:t>
            </w:r>
          </w:p>
        </w:tc>
        <w:tc>
          <w:tcPr>
            <w:tcW w:w="0" w:type="auto"/>
            <w:hideMark/>
          </w:tcPr>
          <w:p w14:paraId="343EACAF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41.2 ± 18.5</w:t>
            </w:r>
          </w:p>
        </w:tc>
        <w:tc>
          <w:tcPr>
            <w:tcW w:w="0" w:type="auto"/>
            <w:hideMark/>
          </w:tcPr>
          <w:p w14:paraId="6373782F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32.1 ± 19.4</w:t>
            </w:r>
          </w:p>
        </w:tc>
        <w:tc>
          <w:tcPr>
            <w:tcW w:w="0" w:type="auto"/>
            <w:hideMark/>
          </w:tcPr>
          <w:p w14:paraId="5FD68F45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0.002</w:t>
            </w:r>
          </w:p>
        </w:tc>
      </w:tr>
      <w:tr w:rsidR="002B785D" w:rsidRPr="002B785D" w14:paraId="4196B022" w14:textId="77777777" w:rsidTr="002B785D">
        <w:tc>
          <w:tcPr>
            <w:tcW w:w="0" w:type="auto"/>
            <w:hideMark/>
          </w:tcPr>
          <w:p w14:paraId="3D6EB9D0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BDB3DD9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E08D25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59379B7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5B140F0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C1520C3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2B785D" w:rsidRPr="002B785D" w14:paraId="795B904A" w14:textId="77777777" w:rsidTr="00BC5726">
        <w:tc>
          <w:tcPr>
            <w:tcW w:w="0" w:type="auto"/>
            <w:gridSpan w:val="6"/>
            <w:hideMark/>
          </w:tcPr>
          <w:p w14:paraId="285C55FD" w14:textId="0502E190" w:rsidR="002B785D" w:rsidRPr="002B785D" w:rsidRDefault="002B785D" w:rsidP="002B785D">
            <w:pPr>
              <w:spacing w:after="160" w:line="278" w:lineRule="auto"/>
              <w:jc w:val="center"/>
              <w:rPr>
                <w:sz w:val="20"/>
                <w:szCs w:val="20"/>
              </w:rPr>
            </w:pPr>
            <w:r w:rsidRPr="002B785D">
              <w:rPr>
                <w:b/>
                <w:bCs/>
                <w:sz w:val="20"/>
                <w:szCs w:val="20"/>
              </w:rPr>
              <w:t>Likely Disease</w:t>
            </w:r>
          </w:p>
        </w:tc>
      </w:tr>
      <w:tr w:rsidR="002B785D" w:rsidRPr="002B785D" w14:paraId="72FACC0D" w14:textId="77777777" w:rsidTr="002B785D">
        <w:tc>
          <w:tcPr>
            <w:tcW w:w="0" w:type="auto"/>
            <w:hideMark/>
          </w:tcPr>
          <w:p w14:paraId="48BB6EBA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Primary diagnosis</w:t>
            </w:r>
          </w:p>
        </w:tc>
        <w:tc>
          <w:tcPr>
            <w:tcW w:w="0" w:type="auto"/>
            <w:hideMark/>
          </w:tcPr>
          <w:p w14:paraId="5993BB8C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Ankylosing Spondylitis</w:t>
            </w:r>
          </w:p>
        </w:tc>
        <w:tc>
          <w:tcPr>
            <w:tcW w:w="0" w:type="auto"/>
            <w:hideMark/>
          </w:tcPr>
          <w:p w14:paraId="138ECBDE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Sjögren's Syndrome</w:t>
            </w:r>
          </w:p>
        </w:tc>
        <w:tc>
          <w:tcPr>
            <w:tcW w:w="0" w:type="auto"/>
            <w:hideMark/>
          </w:tcPr>
          <w:p w14:paraId="682FCD9A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Seronegative RA or Normal</w:t>
            </w:r>
          </w:p>
        </w:tc>
        <w:tc>
          <w:tcPr>
            <w:tcW w:w="0" w:type="auto"/>
            <w:hideMark/>
          </w:tcPr>
          <w:p w14:paraId="0CEF7181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SLE or Undifferentiated CTD</w:t>
            </w:r>
          </w:p>
        </w:tc>
        <w:tc>
          <w:tcPr>
            <w:tcW w:w="0" w:type="auto"/>
            <w:hideMark/>
          </w:tcPr>
          <w:p w14:paraId="58E20C32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2B785D" w:rsidRPr="002B785D" w14:paraId="24E1C19A" w14:textId="77777777" w:rsidTr="002B785D">
        <w:tc>
          <w:tcPr>
            <w:tcW w:w="0" w:type="auto"/>
            <w:hideMark/>
          </w:tcPr>
          <w:p w14:paraId="1A731286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Supporting features</w:t>
            </w:r>
          </w:p>
        </w:tc>
        <w:tc>
          <w:tcPr>
            <w:tcW w:w="0" w:type="auto"/>
            <w:hideMark/>
          </w:tcPr>
          <w:p w14:paraId="4B9A65A3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High HLA-B27, High ESR/CRP</w:t>
            </w:r>
          </w:p>
        </w:tc>
        <w:tc>
          <w:tcPr>
            <w:tcW w:w="0" w:type="auto"/>
            <w:hideMark/>
          </w:tcPr>
          <w:p w14:paraId="7D39F893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  <w:lang w:val="it-IT"/>
              </w:rPr>
            </w:pPr>
            <w:r w:rsidRPr="002B785D">
              <w:rPr>
                <w:sz w:val="20"/>
                <w:szCs w:val="20"/>
                <w:lang w:val="it-IT"/>
              </w:rPr>
              <w:t>Anti-Ro/Anti-La positive</w:t>
            </w:r>
          </w:p>
        </w:tc>
        <w:tc>
          <w:tcPr>
            <w:tcW w:w="0" w:type="auto"/>
            <w:hideMark/>
          </w:tcPr>
          <w:p w14:paraId="340221DB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Minimal autoantibodies</w:t>
            </w:r>
          </w:p>
        </w:tc>
        <w:tc>
          <w:tcPr>
            <w:tcW w:w="0" w:type="auto"/>
            <w:hideMark/>
          </w:tcPr>
          <w:p w14:paraId="50D98B2D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  <w:r w:rsidRPr="002B785D">
              <w:rPr>
                <w:sz w:val="20"/>
                <w:szCs w:val="20"/>
              </w:rPr>
              <w:t>ANA+, Low C3/C4</w:t>
            </w:r>
          </w:p>
        </w:tc>
        <w:tc>
          <w:tcPr>
            <w:tcW w:w="0" w:type="auto"/>
            <w:hideMark/>
          </w:tcPr>
          <w:p w14:paraId="44BD152A" w14:textId="77777777" w:rsidR="002B785D" w:rsidRPr="002B785D" w:rsidRDefault="002B785D" w:rsidP="002B785D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</w:tbl>
    <w:p w14:paraId="4115DBEC" w14:textId="77777777" w:rsidR="00E716C3" w:rsidRDefault="00E716C3"/>
    <w:sectPr w:rsidR="00E716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57"/>
    <w:rsid w:val="000E7312"/>
    <w:rsid w:val="001449B8"/>
    <w:rsid w:val="002B785D"/>
    <w:rsid w:val="00A14757"/>
    <w:rsid w:val="00A62471"/>
    <w:rsid w:val="00D16A1B"/>
    <w:rsid w:val="00DB7EE8"/>
    <w:rsid w:val="00E716C3"/>
    <w:rsid w:val="00E9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DC4D"/>
  <w15:chartTrackingRefBased/>
  <w15:docId w15:val="{1A941205-3DE7-4614-BF4A-6C990B5C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4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75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2B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B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-mdc-button-persistent-ripple">
    <w:name w:val="mat-mdc-button-persistent-ripple"/>
    <w:basedOn w:val="DefaultParagraphFont"/>
    <w:rsid w:val="002B785D"/>
  </w:style>
  <w:style w:type="character" w:customStyle="1" w:styleId="mdc-buttonlabel">
    <w:name w:val="mdc-button__label"/>
    <w:basedOn w:val="DefaultParagraphFont"/>
    <w:rsid w:val="002B785D"/>
  </w:style>
  <w:style w:type="character" w:customStyle="1" w:styleId="export-sheets-button">
    <w:name w:val="export-sheets-button"/>
    <w:basedOn w:val="DefaultParagraphFont"/>
    <w:rsid w:val="002B785D"/>
  </w:style>
  <w:style w:type="character" w:customStyle="1" w:styleId="export-sheets-icon">
    <w:name w:val="export-sheets-icon"/>
    <w:basedOn w:val="DefaultParagraphFont"/>
    <w:rsid w:val="002B785D"/>
  </w:style>
  <w:style w:type="character" w:customStyle="1" w:styleId="mat-focus-indicator">
    <w:name w:val="mat-focus-indicator"/>
    <w:basedOn w:val="DefaultParagraphFont"/>
    <w:rsid w:val="002B785D"/>
  </w:style>
  <w:style w:type="character" w:customStyle="1" w:styleId="mat-mdc-button-touch-target">
    <w:name w:val="mat-mdc-button-touch-target"/>
    <w:basedOn w:val="DefaultParagraphFont"/>
    <w:rsid w:val="002B785D"/>
  </w:style>
  <w:style w:type="character" w:customStyle="1" w:styleId="mat-ripple">
    <w:name w:val="mat-ripple"/>
    <w:basedOn w:val="DefaultParagraphFont"/>
    <w:rsid w:val="002B785D"/>
  </w:style>
  <w:style w:type="table" w:styleId="TableGridLight">
    <w:name w:val="Grid Table Light"/>
    <w:basedOn w:val="TableNormal"/>
    <w:uiPriority w:val="40"/>
    <w:rsid w:val="002B78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2025-10-23T23:13:00Z</dcterms:created>
  <dcterms:modified xsi:type="dcterms:W3CDTF">2025-10-24T00:13:00Z</dcterms:modified>
</cp:coreProperties>
</file>