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7F5C" w14:textId="701E9537" w:rsidR="00575888" w:rsidRPr="00AC5DAB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C5DAB">
        <w:rPr>
          <w:rFonts w:ascii="Times New Roman" w:hAnsi="Times New Roman" w:cs="Times New Roman"/>
          <w:sz w:val="24"/>
          <w:szCs w:val="24"/>
        </w:rPr>
        <w:t>Supplementary Table</w:t>
      </w:r>
      <w:r w:rsidR="002A1BF0">
        <w:rPr>
          <w:rFonts w:ascii="Times New Roman" w:hAnsi="Times New Roman" w:cs="Times New Roman"/>
          <w:sz w:val="24"/>
          <w:szCs w:val="24"/>
        </w:rPr>
        <w:t xml:space="preserve"> S1.</w:t>
      </w:r>
      <w:r w:rsidRPr="00AC5DAB">
        <w:rPr>
          <w:rFonts w:ascii="Times New Roman" w:hAnsi="Times New Roman" w:cs="Times New Roman"/>
          <w:sz w:val="24"/>
          <w:szCs w:val="24"/>
        </w:rPr>
        <w:t xml:space="preserve"> GFAP and Iba1 Expression (Mean ± SEM)</w:t>
      </w:r>
    </w:p>
    <w:p w14:paraId="248BE702" w14:textId="628E3516" w:rsidR="00575888" w:rsidRPr="00AC5DAB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AC5DAB">
        <w:rPr>
          <w:rFonts w:ascii="Times New Roman" w:hAnsi="Times New Roman" w:cs="Times New Roman"/>
          <w:sz w:val="24"/>
          <w:szCs w:val="24"/>
        </w:rPr>
        <w:t xml:space="preserve">GFAP and Iba1 immunoreactivity were quantified in cortical sections across experimental groups. Values are presented as Mean ± SEM. GFAP reflects astrocytic activation, while Iba1 reflects microglial activation. Direct comparisons between GFAP and Iba1 are not biologically </w:t>
      </w:r>
      <w:r w:rsidR="000F424D" w:rsidRPr="00AC5DAB">
        <w:rPr>
          <w:rFonts w:ascii="Times New Roman" w:hAnsi="Times New Roman" w:cs="Times New Roman"/>
          <w:sz w:val="24"/>
          <w:szCs w:val="24"/>
        </w:rPr>
        <w:t>meaningful but</w:t>
      </w:r>
      <w:r w:rsidRPr="00AC5DAB">
        <w:rPr>
          <w:rFonts w:ascii="Times New Roman" w:hAnsi="Times New Roman" w:cs="Times New Roman"/>
          <w:sz w:val="24"/>
          <w:szCs w:val="24"/>
        </w:rPr>
        <w:t xml:space="preserve"> presenting them side by side allows evaluation of parallel glial responses across groups.</w:t>
      </w:r>
    </w:p>
    <w:tbl>
      <w:tblPr>
        <w:tblStyle w:val="GridTable1Light-Accent2"/>
        <w:tblW w:w="8640" w:type="dxa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75888" w:rsidRPr="00AC5DAB" w14:paraId="35A5C4A6" w14:textId="77777777" w:rsidTr="00E65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629F180" w14:textId="77777777" w:rsidR="00575888" w:rsidRPr="00AC5DA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2880" w:type="dxa"/>
          </w:tcPr>
          <w:p w14:paraId="322270B3" w14:textId="77777777" w:rsidR="00575888" w:rsidRPr="00AC5DAB" w:rsidRDefault="0000000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GFAP (Mean ± SEM)</w:t>
            </w:r>
          </w:p>
        </w:tc>
        <w:tc>
          <w:tcPr>
            <w:tcW w:w="2880" w:type="dxa"/>
          </w:tcPr>
          <w:p w14:paraId="6E4A5B84" w14:textId="77777777" w:rsidR="00575888" w:rsidRPr="00AC5DAB" w:rsidRDefault="0000000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Iba1 (Mean ± SEM)</w:t>
            </w:r>
          </w:p>
        </w:tc>
      </w:tr>
      <w:tr w:rsidR="00575888" w:rsidRPr="00AC5DAB" w14:paraId="7A1A4235" w14:textId="77777777" w:rsidTr="00E65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375EB26" w14:textId="77777777" w:rsidR="00575888" w:rsidRPr="00AC5DA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Saline</w:t>
            </w:r>
          </w:p>
        </w:tc>
        <w:tc>
          <w:tcPr>
            <w:tcW w:w="2880" w:type="dxa"/>
          </w:tcPr>
          <w:p w14:paraId="4DCAD849" w14:textId="77777777" w:rsidR="00575888" w:rsidRPr="00AC5DAB" w:rsidRDefault="0000000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2.77 ± 0.09</w:t>
            </w:r>
          </w:p>
        </w:tc>
        <w:tc>
          <w:tcPr>
            <w:tcW w:w="2880" w:type="dxa"/>
          </w:tcPr>
          <w:p w14:paraId="79D84D4B" w14:textId="77777777" w:rsidR="00575888" w:rsidRPr="00AC5DAB" w:rsidRDefault="0000000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1.33 ± 0.11</w:t>
            </w:r>
          </w:p>
        </w:tc>
      </w:tr>
      <w:tr w:rsidR="00575888" w:rsidRPr="00AC5DAB" w14:paraId="2A6D8669" w14:textId="77777777" w:rsidTr="00E65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6AF725" w14:textId="77777777" w:rsidR="00575888" w:rsidRPr="00AC5DA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Epileptic</w:t>
            </w:r>
          </w:p>
        </w:tc>
        <w:tc>
          <w:tcPr>
            <w:tcW w:w="2880" w:type="dxa"/>
          </w:tcPr>
          <w:p w14:paraId="0E982514" w14:textId="77777777" w:rsidR="00575888" w:rsidRPr="00AC5DAB" w:rsidRDefault="0000000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9.61 ± 0.18</w:t>
            </w:r>
          </w:p>
        </w:tc>
        <w:tc>
          <w:tcPr>
            <w:tcW w:w="2880" w:type="dxa"/>
          </w:tcPr>
          <w:p w14:paraId="7DD3338C" w14:textId="77777777" w:rsidR="00575888" w:rsidRPr="00AC5DAB" w:rsidRDefault="0000000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9.31 ± 0.16</w:t>
            </w:r>
          </w:p>
        </w:tc>
      </w:tr>
      <w:tr w:rsidR="00575888" w:rsidRPr="00AC5DAB" w14:paraId="20CD095E" w14:textId="77777777" w:rsidTr="00E65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CA2A0F" w14:textId="77777777" w:rsidR="00575888" w:rsidRPr="00AC5DA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DLT+Epi</w:t>
            </w:r>
          </w:p>
        </w:tc>
        <w:tc>
          <w:tcPr>
            <w:tcW w:w="2880" w:type="dxa"/>
          </w:tcPr>
          <w:p w14:paraId="54BC58F7" w14:textId="77777777" w:rsidR="00575888" w:rsidRPr="00AC5DAB" w:rsidRDefault="0000000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16.61 ± 0.12</w:t>
            </w:r>
          </w:p>
        </w:tc>
        <w:tc>
          <w:tcPr>
            <w:tcW w:w="2880" w:type="dxa"/>
          </w:tcPr>
          <w:p w14:paraId="58ADDB90" w14:textId="77777777" w:rsidR="00575888" w:rsidRPr="00AC5DAB" w:rsidRDefault="0000000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13.74 ± 0.50</w:t>
            </w:r>
          </w:p>
        </w:tc>
      </w:tr>
      <w:tr w:rsidR="00575888" w:rsidRPr="00AC5DAB" w14:paraId="7A52CDAE" w14:textId="77777777" w:rsidTr="00E65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4ED1DC2" w14:textId="77777777" w:rsidR="00575888" w:rsidRPr="00AC5DA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Epi+Cur</w:t>
            </w:r>
          </w:p>
        </w:tc>
        <w:tc>
          <w:tcPr>
            <w:tcW w:w="2880" w:type="dxa"/>
          </w:tcPr>
          <w:p w14:paraId="479B87AC" w14:textId="77777777" w:rsidR="00575888" w:rsidRPr="00AC5DAB" w:rsidRDefault="0000000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5.43 ± 0.02</w:t>
            </w:r>
          </w:p>
        </w:tc>
        <w:tc>
          <w:tcPr>
            <w:tcW w:w="2880" w:type="dxa"/>
          </w:tcPr>
          <w:p w14:paraId="34B0B66A" w14:textId="77777777" w:rsidR="00575888" w:rsidRPr="00AC5DAB" w:rsidRDefault="0000000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4.70 ± 0.32</w:t>
            </w:r>
          </w:p>
        </w:tc>
      </w:tr>
      <w:tr w:rsidR="00575888" w:rsidRPr="00AC5DAB" w14:paraId="318A9CE4" w14:textId="77777777" w:rsidTr="00E65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A98FDC" w14:textId="77777777" w:rsidR="00575888" w:rsidRPr="00AC5DA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DLT+Epi+Cur</w:t>
            </w:r>
          </w:p>
        </w:tc>
        <w:tc>
          <w:tcPr>
            <w:tcW w:w="2880" w:type="dxa"/>
          </w:tcPr>
          <w:p w14:paraId="6500CA4E" w14:textId="77777777" w:rsidR="00575888" w:rsidRPr="00AC5DAB" w:rsidRDefault="0000000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8.64 ± 0.20</w:t>
            </w:r>
          </w:p>
        </w:tc>
        <w:tc>
          <w:tcPr>
            <w:tcW w:w="2880" w:type="dxa"/>
          </w:tcPr>
          <w:p w14:paraId="6A5DF4F0" w14:textId="77777777" w:rsidR="00575888" w:rsidRPr="00AC5DAB" w:rsidRDefault="0000000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DAB">
              <w:rPr>
                <w:rFonts w:ascii="Times New Roman" w:hAnsi="Times New Roman" w:cs="Times New Roman"/>
                <w:sz w:val="24"/>
                <w:szCs w:val="24"/>
              </w:rPr>
              <w:t>7.48 ± 0.22</w:t>
            </w:r>
          </w:p>
        </w:tc>
      </w:tr>
    </w:tbl>
    <w:p w14:paraId="2DB19A6A" w14:textId="77777777" w:rsidR="00BB417D" w:rsidRPr="00AC5DAB" w:rsidRDefault="00BB417D">
      <w:pPr>
        <w:rPr>
          <w:rFonts w:ascii="Times New Roman" w:hAnsi="Times New Roman" w:cs="Times New Roman"/>
          <w:sz w:val="24"/>
          <w:szCs w:val="24"/>
        </w:rPr>
      </w:pPr>
    </w:p>
    <w:sectPr w:rsidR="00BB417D" w:rsidRPr="00AC5DAB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DEA"/>
    <w:multiLevelType w:val="multilevel"/>
    <w:tmpl w:val="3D44BA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DB47B6"/>
    <w:multiLevelType w:val="multilevel"/>
    <w:tmpl w:val="8C2039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5FF79D0"/>
    <w:multiLevelType w:val="multilevel"/>
    <w:tmpl w:val="00D434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0C51F82"/>
    <w:multiLevelType w:val="multilevel"/>
    <w:tmpl w:val="D9040A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5E962B7"/>
    <w:multiLevelType w:val="multilevel"/>
    <w:tmpl w:val="C42A25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996899"/>
    <w:multiLevelType w:val="multilevel"/>
    <w:tmpl w:val="09A09D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F80825"/>
    <w:multiLevelType w:val="multilevel"/>
    <w:tmpl w:val="5204D4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0467204">
    <w:abstractNumId w:val="4"/>
  </w:num>
  <w:num w:numId="2" w16cid:durableId="1965765581">
    <w:abstractNumId w:val="1"/>
  </w:num>
  <w:num w:numId="3" w16cid:durableId="410853676">
    <w:abstractNumId w:val="5"/>
  </w:num>
  <w:num w:numId="4" w16cid:durableId="1157258942">
    <w:abstractNumId w:val="0"/>
  </w:num>
  <w:num w:numId="5" w16cid:durableId="1702319717">
    <w:abstractNumId w:val="2"/>
  </w:num>
  <w:num w:numId="6" w16cid:durableId="1209025810">
    <w:abstractNumId w:val="3"/>
  </w:num>
  <w:num w:numId="7" w16cid:durableId="1144274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888"/>
    <w:rsid w:val="000F424D"/>
    <w:rsid w:val="002A1BF0"/>
    <w:rsid w:val="00372F13"/>
    <w:rsid w:val="00575888"/>
    <w:rsid w:val="00AC5DAB"/>
    <w:rsid w:val="00BB417D"/>
    <w:rsid w:val="00E6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3AB8"/>
  <w15:docId w15:val="{90934F16-78DE-4BD8-B943-26E1DF69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1Light-Accent2">
    <w:name w:val="Grid Table 1 Light Accent 2"/>
    <w:basedOn w:val="TableNormal"/>
    <w:uiPriority w:val="46"/>
    <w:rsid w:val="00E6574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>UCLA Health Sciences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Kumar, Prince</cp:lastModifiedBy>
  <cp:revision>6</cp:revision>
  <dcterms:created xsi:type="dcterms:W3CDTF">2013-12-23T23:15:00Z</dcterms:created>
  <dcterms:modified xsi:type="dcterms:W3CDTF">2025-10-23T22:39:00Z</dcterms:modified>
  <dc:language>en-US</dc:language>
</cp:coreProperties>
</file>