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E2FF" w14:textId="499495B5" w:rsidR="002E1183" w:rsidRPr="006C2AD5" w:rsidRDefault="002E1183" w:rsidP="002E1183">
      <w:pPr>
        <w:spacing w:line="480" w:lineRule="auto"/>
        <w:jc w:val="both"/>
        <w:rPr>
          <w:b/>
          <w:bCs/>
          <w:sz w:val="20"/>
          <w:szCs w:val="20"/>
        </w:rPr>
      </w:pPr>
      <w:r w:rsidRPr="006C2AD5">
        <w:rPr>
          <w:b/>
          <w:bCs/>
          <w:sz w:val="20"/>
          <w:szCs w:val="20"/>
        </w:rPr>
        <w:t xml:space="preserve">Supplemental </w:t>
      </w:r>
      <w:r w:rsidR="00C266D7" w:rsidRPr="006C2AD5">
        <w:rPr>
          <w:b/>
          <w:bCs/>
          <w:sz w:val="20"/>
          <w:szCs w:val="20"/>
        </w:rPr>
        <w:t>Information</w:t>
      </w:r>
      <w:r w:rsidRPr="006C2AD5">
        <w:rPr>
          <w:b/>
          <w:bCs/>
          <w:sz w:val="20"/>
          <w:szCs w:val="20"/>
        </w:rPr>
        <w:t xml:space="preserve"> 1. Hyper</w:t>
      </w:r>
      <w:r w:rsidR="00F35595" w:rsidRPr="006C2AD5">
        <w:rPr>
          <w:b/>
          <w:bCs/>
          <w:sz w:val="20"/>
          <w:szCs w:val="20"/>
        </w:rPr>
        <w:t>K</w:t>
      </w:r>
      <w:r w:rsidRPr="006C2AD5">
        <w:rPr>
          <w:b/>
          <w:bCs/>
          <w:sz w:val="20"/>
          <w:szCs w:val="20"/>
        </w:rPr>
        <w:t xml:space="preserve">it Total </w:t>
      </w:r>
      <w:r w:rsidRPr="006C2AD5">
        <w:rPr>
          <w:b/>
          <w:bCs/>
          <w:i/>
          <w:iCs/>
          <w:sz w:val="20"/>
          <w:szCs w:val="20"/>
        </w:rPr>
        <w:t>Salmonella</w:t>
      </w:r>
      <w:r w:rsidRPr="006C2AD5">
        <w:rPr>
          <w:b/>
          <w:bCs/>
          <w:sz w:val="20"/>
          <w:szCs w:val="20"/>
        </w:rPr>
        <w:t xml:space="preserve"> enable the rapid detection of </w:t>
      </w:r>
      <w:r w:rsidRPr="006C2AD5">
        <w:rPr>
          <w:b/>
          <w:bCs/>
          <w:i/>
          <w:iCs/>
          <w:sz w:val="20"/>
          <w:szCs w:val="20"/>
        </w:rPr>
        <w:t>Salmonella</w:t>
      </w:r>
      <w:r w:rsidRPr="006C2AD5">
        <w:rPr>
          <w:b/>
          <w:bCs/>
          <w:sz w:val="20"/>
          <w:szCs w:val="20"/>
        </w:rPr>
        <w:t xml:space="preserve"> using multiple thermocycler with a fluorescent reader. </w:t>
      </w:r>
    </w:p>
    <w:p w14:paraId="484CFFFE" w14:textId="77777777" w:rsidR="002E1183" w:rsidRPr="006C2AD5" w:rsidRDefault="002E1183" w:rsidP="002E1183">
      <w:pPr>
        <w:spacing w:line="480" w:lineRule="auto"/>
        <w:jc w:val="both"/>
        <w:rPr>
          <w:b/>
          <w:bCs/>
          <w:sz w:val="20"/>
          <w:szCs w:val="20"/>
        </w:rPr>
      </w:pPr>
      <w:r w:rsidRPr="006C2AD5">
        <w:rPr>
          <w:b/>
          <w:bCs/>
          <w:sz w:val="20"/>
          <w:szCs w:val="20"/>
        </w:rPr>
        <w:t>Highlights</w:t>
      </w:r>
    </w:p>
    <w:p w14:paraId="4D058552" w14:textId="65B385BE" w:rsidR="002E1183" w:rsidRPr="006C2AD5" w:rsidRDefault="002E1183" w:rsidP="002E1183">
      <w:pPr>
        <w:pStyle w:val="ListParagraph"/>
        <w:numPr>
          <w:ilvl w:val="0"/>
          <w:numId w:val="1"/>
        </w:numPr>
        <w:spacing w:line="480" w:lineRule="auto"/>
        <w:ind w:left="360"/>
        <w:jc w:val="both"/>
        <w:rPr>
          <w:b/>
          <w:bCs/>
          <w:sz w:val="20"/>
          <w:szCs w:val="20"/>
        </w:rPr>
      </w:pPr>
      <w:r w:rsidRPr="006C2AD5">
        <w:rPr>
          <w:sz w:val="20"/>
          <w:szCs w:val="20"/>
        </w:rPr>
        <w:t>The Hyper</w:t>
      </w:r>
      <w:r w:rsidR="00D9102F" w:rsidRPr="006C2AD5">
        <w:rPr>
          <w:sz w:val="20"/>
          <w:szCs w:val="20"/>
        </w:rPr>
        <w:t>K</w:t>
      </w:r>
      <w:r w:rsidRPr="006C2AD5">
        <w:rPr>
          <w:sz w:val="20"/>
          <w:szCs w:val="20"/>
        </w:rPr>
        <w:t xml:space="preserve">it Total </w:t>
      </w:r>
      <w:r w:rsidRPr="006C2AD5">
        <w:rPr>
          <w:i/>
          <w:iCs/>
          <w:sz w:val="20"/>
          <w:szCs w:val="20"/>
        </w:rPr>
        <w:t>Salmonella</w:t>
      </w:r>
      <w:r w:rsidRPr="006C2AD5">
        <w:rPr>
          <w:sz w:val="20"/>
          <w:szCs w:val="20"/>
        </w:rPr>
        <w:t xml:space="preserve"> demonstrated excellent compatibility across three distinct fluorescence detection platforms: Aladdin Analyzer (Hypercell), Mini 8-Hole Isothermal Fluorescence PCR (Laboao), and CFX96 Touch Real-Time PCR Detection System (Bio-Rad).</w:t>
      </w:r>
    </w:p>
    <w:p w14:paraId="67D870A8" w14:textId="392F2085" w:rsidR="002E1183" w:rsidRPr="006C2AD5" w:rsidRDefault="002E1183" w:rsidP="002E1183">
      <w:pPr>
        <w:pStyle w:val="ListParagraph"/>
        <w:numPr>
          <w:ilvl w:val="0"/>
          <w:numId w:val="1"/>
        </w:numPr>
        <w:spacing w:line="480" w:lineRule="auto"/>
        <w:ind w:left="360"/>
        <w:jc w:val="both"/>
        <w:rPr>
          <w:sz w:val="20"/>
          <w:szCs w:val="20"/>
        </w:rPr>
      </w:pPr>
      <w:r w:rsidRPr="006C2AD5">
        <w:rPr>
          <w:sz w:val="20"/>
          <w:szCs w:val="20"/>
        </w:rPr>
        <w:t>Consistent fluorescence signal profiles and time-to-result performance were observed across all platforms, with no false positives or false negatives recorded. This confirms the flexibility and reliability of the Hyper</w:t>
      </w:r>
      <w:r w:rsidR="001D14F6" w:rsidRPr="006C2AD5">
        <w:rPr>
          <w:sz w:val="20"/>
          <w:szCs w:val="20"/>
        </w:rPr>
        <w:t>K</w:t>
      </w:r>
      <w:r w:rsidRPr="006C2AD5">
        <w:rPr>
          <w:sz w:val="20"/>
          <w:szCs w:val="20"/>
        </w:rPr>
        <w:t xml:space="preserve">it Total </w:t>
      </w:r>
      <w:r w:rsidRPr="006C2AD5">
        <w:rPr>
          <w:i/>
          <w:iCs/>
          <w:sz w:val="20"/>
          <w:szCs w:val="20"/>
        </w:rPr>
        <w:t>Salmonella</w:t>
      </w:r>
      <w:r w:rsidRPr="006C2AD5">
        <w:rPr>
          <w:sz w:val="20"/>
          <w:szCs w:val="20"/>
        </w:rPr>
        <w:t xml:space="preserve"> across a range of operational settings.</w:t>
      </w:r>
    </w:p>
    <w:p w14:paraId="7566BD03" w14:textId="77777777" w:rsidR="002E1183" w:rsidRPr="006C2AD5" w:rsidRDefault="002E1183" w:rsidP="002E1183">
      <w:pPr>
        <w:spacing w:line="480" w:lineRule="auto"/>
        <w:jc w:val="both"/>
        <w:rPr>
          <w:rStyle w:val="Strong"/>
          <w:rFonts w:eastAsiaTheme="majorEastAsia"/>
          <w:sz w:val="20"/>
          <w:szCs w:val="20"/>
        </w:rPr>
      </w:pPr>
      <w:r w:rsidRPr="006C2AD5">
        <w:rPr>
          <w:b/>
          <w:bCs/>
          <w:sz w:val="20"/>
          <w:szCs w:val="20"/>
        </w:rPr>
        <w:t>Materials &amp; Methods</w:t>
      </w:r>
    </w:p>
    <w:p w14:paraId="016E1015" w14:textId="77777777" w:rsidR="002E1183" w:rsidRPr="006C2AD5" w:rsidRDefault="002E1183" w:rsidP="002E1183">
      <w:pPr>
        <w:spacing w:line="480" w:lineRule="auto"/>
        <w:jc w:val="both"/>
        <w:rPr>
          <w:rStyle w:val="Strong"/>
          <w:rFonts w:eastAsiaTheme="majorEastAsia"/>
          <w:b w:val="0"/>
          <w:bCs w:val="0"/>
          <w:sz w:val="20"/>
          <w:szCs w:val="20"/>
          <w:u w:val="single"/>
        </w:rPr>
      </w:pPr>
      <w:r w:rsidRPr="006C2AD5">
        <w:rPr>
          <w:rStyle w:val="Strong"/>
          <w:rFonts w:eastAsiaTheme="majorEastAsia"/>
          <w:sz w:val="20"/>
          <w:szCs w:val="20"/>
          <w:u w:val="single"/>
        </w:rPr>
        <w:t>Fluorescent Detection Platforms Evaluated:</w:t>
      </w:r>
    </w:p>
    <w:p w14:paraId="766BAFFF" w14:textId="77777777" w:rsidR="002E1183" w:rsidRPr="006C2AD5" w:rsidRDefault="002E1183" w:rsidP="002E1183">
      <w:pPr>
        <w:numPr>
          <w:ilvl w:val="0"/>
          <w:numId w:val="2"/>
        </w:numPr>
        <w:spacing w:line="480" w:lineRule="auto"/>
        <w:ind w:left="360"/>
        <w:jc w:val="both"/>
        <w:rPr>
          <w:sz w:val="20"/>
          <w:szCs w:val="20"/>
        </w:rPr>
      </w:pPr>
      <w:r w:rsidRPr="006C2AD5">
        <w:rPr>
          <w:rStyle w:val="Strong"/>
          <w:rFonts w:eastAsiaTheme="majorEastAsia"/>
          <w:sz w:val="20"/>
          <w:szCs w:val="20"/>
        </w:rPr>
        <w:t>Aladdin Analyzer (Hypercell)</w:t>
      </w:r>
      <w:r w:rsidRPr="006C2AD5">
        <w:rPr>
          <w:sz w:val="20"/>
          <w:szCs w:val="20"/>
        </w:rPr>
        <w:t>: A compact, portable, and cost-effective fluorescence reader optimized for Hypercell isothermal chemistry. Delivers rapid, high-sensitivity detection in less than 60 minutes with minimal user input.</w:t>
      </w:r>
    </w:p>
    <w:p w14:paraId="1C4BB696" w14:textId="77777777" w:rsidR="002E1183" w:rsidRPr="006C2AD5" w:rsidRDefault="002E1183" w:rsidP="002E1183">
      <w:pPr>
        <w:numPr>
          <w:ilvl w:val="0"/>
          <w:numId w:val="2"/>
        </w:numPr>
        <w:spacing w:line="480" w:lineRule="auto"/>
        <w:ind w:left="360"/>
        <w:jc w:val="both"/>
        <w:rPr>
          <w:sz w:val="20"/>
          <w:szCs w:val="20"/>
        </w:rPr>
      </w:pPr>
      <w:r w:rsidRPr="006C2AD5">
        <w:rPr>
          <w:rStyle w:val="Strong"/>
          <w:rFonts w:eastAsiaTheme="majorEastAsia"/>
          <w:sz w:val="20"/>
          <w:szCs w:val="20"/>
        </w:rPr>
        <w:t>Mini 8-Hole Isothermal Fluorescence PCR (Laboao)</w:t>
      </w:r>
      <w:r w:rsidRPr="006C2AD5">
        <w:rPr>
          <w:sz w:val="20"/>
          <w:szCs w:val="20"/>
        </w:rPr>
        <w:t>: A low-cost benchtop instrument designed for field or small-lab applications. Supports isothermal amplification and real-time fluorescence detection for up to 8 samples using FAM-compatible probes.</w:t>
      </w:r>
    </w:p>
    <w:p w14:paraId="1FA85B8E" w14:textId="7691ACE3" w:rsidR="002E1183" w:rsidRPr="006C2AD5" w:rsidRDefault="002E1183" w:rsidP="002E1183">
      <w:pPr>
        <w:numPr>
          <w:ilvl w:val="0"/>
          <w:numId w:val="2"/>
        </w:numPr>
        <w:spacing w:line="480" w:lineRule="auto"/>
        <w:ind w:left="360"/>
        <w:jc w:val="both"/>
        <w:rPr>
          <w:sz w:val="20"/>
          <w:szCs w:val="20"/>
        </w:rPr>
      </w:pPr>
      <w:r w:rsidRPr="006C2AD5">
        <w:rPr>
          <w:rStyle w:val="Strong"/>
          <w:rFonts w:eastAsiaTheme="majorEastAsia"/>
          <w:sz w:val="20"/>
          <w:szCs w:val="20"/>
        </w:rPr>
        <w:t>CFX96 Touch Real-Time PCR Detection System (Bio-Rad)</w:t>
      </w:r>
      <w:r w:rsidRPr="006C2AD5">
        <w:rPr>
          <w:sz w:val="20"/>
          <w:szCs w:val="20"/>
        </w:rPr>
        <w:t xml:space="preserve">: A high-throughput, research-grade qPCR system widely used in academic and industrial labs. Compatible with </w:t>
      </w:r>
      <w:r w:rsidR="00563146" w:rsidRPr="006C2AD5">
        <w:rPr>
          <w:sz w:val="20"/>
          <w:szCs w:val="20"/>
        </w:rPr>
        <w:t xml:space="preserve">HyperKit </w:t>
      </w:r>
      <w:r w:rsidRPr="006C2AD5">
        <w:rPr>
          <w:sz w:val="20"/>
          <w:szCs w:val="20"/>
        </w:rPr>
        <w:t>using FAM channels and standard 96-well plate formats.</w:t>
      </w:r>
    </w:p>
    <w:p w14:paraId="18CD1FDE" w14:textId="77777777" w:rsidR="002E1183" w:rsidRPr="006C2AD5" w:rsidRDefault="002E1183" w:rsidP="002E1183">
      <w:pPr>
        <w:spacing w:line="480" w:lineRule="auto"/>
        <w:jc w:val="both"/>
        <w:rPr>
          <w:b/>
          <w:bCs/>
          <w:sz w:val="20"/>
          <w:szCs w:val="20"/>
          <w:u w:val="single"/>
        </w:rPr>
      </w:pPr>
      <w:r w:rsidRPr="006C2AD5">
        <w:rPr>
          <w:rStyle w:val="Strong"/>
          <w:rFonts w:eastAsiaTheme="majorEastAsia"/>
          <w:sz w:val="20"/>
          <w:szCs w:val="20"/>
          <w:u w:val="single"/>
        </w:rPr>
        <w:t>Experimental Design:</w:t>
      </w:r>
    </w:p>
    <w:p w14:paraId="104C53DB" w14:textId="77777777" w:rsidR="002E1183" w:rsidRPr="006C2AD5" w:rsidRDefault="002E1183" w:rsidP="002E1183">
      <w:pPr>
        <w:numPr>
          <w:ilvl w:val="0"/>
          <w:numId w:val="3"/>
        </w:numPr>
        <w:spacing w:line="480" w:lineRule="auto"/>
        <w:ind w:left="360"/>
        <w:jc w:val="both"/>
        <w:rPr>
          <w:sz w:val="20"/>
          <w:szCs w:val="20"/>
        </w:rPr>
      </w:pPr>
      <w:r w:rsidRPr="006C2AD5">
        <w:rPr>
          <w:rStyle w:val="Strong"/>
          <w:rFonts w:eastAsiaTheme="majorEastAsia"/>
          <w:sz w:val="20"/>
          <w:szCs w:val="20"/>
        </w:rPr>
        <w:t>Pathogen Target:</w:t>
      </w:r>
      <w:r w:rsidRPr="006C2AD5">
        <w:rPr>
          <w:sz w:val="20"/>
          <w:szCs w:val="20"/>
        </w:rPr>
        <w:t xml:space="preserve"> </w:t>
      </w:r>
      <w:r w:rsidRPr="006C2AD5">
        <w:rPr>
          <w:rStyle w:val="Emphasis"/>
          <w:rFonts w:eastAsiaTheme="majorEastAsia"/>
          <w:sz w:val="20"/>
          <w:szCs w:val="20"/>
        </w:rPr>
        <w:t xml:space="preserve">Salmonella </w:t>
      </w:r>
      <w:r w:rsidRPr="006C2AD5">
        <w:rPr>
          <w:rStyle w:val="Emphasis"/>
          <w:rFonts w:eastAsiaTheme="majorEastAsia"/>
          <w:i w:val="0"/>
          <w:iCs w:val="0"/>
          <w:sz w:val="20"/>
          <w:szCs w:val="20"/>
        </w:rPr>
        <w:t>Typhimurium</w:t>
      </w:r>
    </w:p>
    <w:p w14:paraId="5B39A19E" w14:textId="77777777" w:rsidR="002E1183" w:rsidRPr="006C2AD5" w:rsidRDefault="002E1183" w:rsidP="002E1183">
      <w:pPr>
        <w:numPr>
          <w:ilvl w:val="0"/>
          <w:numId w:val="3"/>
        </w:numPr>
        <w:spacing w:line="480" w:lineRule="auto"/>
        <w:ind w:left="360"/>
        <w:jc w:val="both"/>
        <w:rPr>
          <w:sz w:val="20"/>
          <w:szCs w:val="20"/>
        </w:rPr>
      </w:pPr>
      <w:r w:rsidRPr="006C2AD5">
        <w:rPr>
          <w:rStyle w:val="Strong"/>
          <w:rFonts w:eastAsiaTheme="majorEastAsia"/>
          <w:sz w:val="20"/>
          <w:szCs w:val="20"/>
        </w:rPr>
        <w:t>Positive samples (n=5 per unit):</w:t>
      </w:r>
      <w:r w:rsidRPr="006C2AD5">
        <w:rPr>
          <w:sz w:val="20"/>
          <w:szCs w:val="20"/>
        </w:rPr>
        <w:t xml:space="preserve"> HyperMix tubes pre-filled with lyophilized isothermal master mix, 50 µL of proprietary Hypercell buffer, and approximately 500 </w:t>
      </w:r>
      <w:r w:rsidRPr="006C2AD5">
        <w:rPr>
          <w:rStyle w:val="Emphasis"/>
          <w:rFonts w:eastAsiaTheme="majorEastAsia"/>
          <w:sz w:val="20"/>
          <w:szCs w:val="20"/>
        </w:rPr>
        <w:t xml:space="preserve">Salmonella </w:t>
      </w:r>
      <w:r w:rsidRPr="006C2AD5">
        <w:rPr>
          <w:rStyle w:val="Emphasis"/>
          <w:rFonts w:eastAsiaTheme="majorEastAsia"/>
          <w:i w:val="0"/>
          <w:iCs w:val="0"/>
          <w:sz w:val="20"/>
          <w:szCs w:val="20"/>
        </w:rPr>
        <w:t>cells</w:t>
      </w:r>
      <w:r w:rsidRPr="006C2AD5">
        <w:rPr>
          <w:sz w:val="20"/>
          <w:szCs w:val="20"/>
        </w:rPr>
        <w:t>.</w:t>
      </w:r>
    </w:p>
    <w:p w14:paraId="4CFA18EB" w14:textId="77777777" w:rsidR="002E1183" w:rsidRPr="006C2AD5" w:rsidRDefault="002E1183" w:rsidP="002E1183">
      <w:pPr>
        <w:numPr>
          <w:ilvl w:val="0"/>
          <w:numId w:val="3"/>
        </w:numPr>
        <w:spacing w:line="480" w:lineRule="auto"/>
        <w:ind w:left="360"/>
        <w:jc w:val="both"/>
        <w:rPr>
          <w:sz w:val="20"/>
          <w:szCs w:val="20"/>
        </w:rPr>
      </w:pPr>
      <w:r w:rsidRPr="006C2AD5">
        <w:rPr>
          <w:rStyle w:val="Strong"/>
          <w:rFonts w:eastAsiaTheme="majorEastAsia"/>
          <w:sz w:val="20"/>
          <w:szCs w:val="20"/>
        </w:rPr>
        <w:t>Negative controls (n=5 per unit):</w:t>
      </w:r>
      <w:r w:rsidRPr="006C2AD5">
        <w:rPr>
          <w:sz w:val="20"/>
          <w:szCs w:val="20"/>
        </w:rPr>
        <w:t xml:space="preserve"> HyperMix tubes pre-filled with lyophilized isothermal master mix and 50 µL of proprietary Hypercell buffer.</w:t>
      </w:r>
    </w:p>
    <w:p w14:paraId="319AC624" w14:textId="77777777" w:rsidR="002E1183" w:rsidRPr="006C2AD5" w:rsidRDefault="002E1183" w:rsidP="002E1183">
      <w:pPr>
        <w:numPr>
          <w:ilvl w:val="0"/>
          <w:numId w:val="3"/>
        </w:numPr>
        <w:spacing w:line="480" w:lineRule="auto"/>
        <w:ind w:left="360"/>
        <w:jc w:val="both"/>
        <w:rPr>
          <w:sz w:val="20"/>
          <w:szCs w:val="20"/>
        </w:rPr>
      </w:pPr>
      <w:r w:rsidRPr="006C2AD5">
        <w:rPr>
          <w:rStyle w:val="Strong"/>
          <w:rFonts w:eastAsiaTheme="majorEastAsia"/>
          <w:sz w:val="20"/>
          <w:szCs w:val="20"/>
        </w:rPr>
        <w:t>Incubation:</w:t>
      </w:r>
      <w:r w:rsidRPr="006C2AD5">
        <w:rPr>
          <w:sz w:val="20"/>
          <w:szCs w:val="20"/>
        </w:rPr>
        <w:t xml:space="preserve"> All tubes were run at 65°C for 60 minutes. Fluorescence (excitation 495 nm) was recorded every 30 seconds.</w:t>
      </w:r>
    </w:p>
    <w:p w14:paraId="19B01398" w14:textId="77777777" w:rsidR="002E1183" w:rsidRPr="006C2AD5" w:rsidRDefault="002E1183" w:rsidP="002E1183">
      <w:pPr>
        <w:numPr>
          <w:ilvl w:val="0"/>
          <w:numId w:val="3"/>
        </w:numPr>
        <w:spacing w:line="480" w:lineRule="auto"/>
        <w:ind w:left="360"/>
        <w:jc w:val="both"/>
        <w:rPr>
          <w:sz w:val="20"/>
          <w:szCs w:val="20"/>
        </w:rPr>
      </w:pPr>
      <w:r w:rsidRPr="006C2AD5">
        <w:rPr>
          <w:rStyle w:val="Strong"/>
          <w:rFonts w:eastAsiaTheme="majorEastAsia"/>
          <w:sz w:val="20"/>
          <w:szCs w:val="20"/>
        </w:rPr>
        <w:lastRenderedPageBreak/>
        <w:t>Total reactions:</w:t>
      </w:r>
      <w:r w:rsidRPr="006C2AD5">
        <w:rPr>
          <w:sz w:val="20"/>
          <w:szCs w:val="20"/>
        </w:rPr>
        <w:t xml:space="preserve"> 30 reactions used in this study (15 positive, 15 negative)</w:t>
      </w:r>
    </w:p>
    <w:p w14:paraId="12EC70C2" w14:textId="77777777" w:rsidR="002E1183" w:rsidRPr="006C2AD5" w:rsidRDefault="002E1183" w:rsidP="002E1183">
      <w:pPr>
        <w:spacing w:line="480" w:lineRule="auto"/>
        <w:jc w:val="both"/>
        <w:rPr>
          <w:b/>
          <w:bCs/>
          <w:sz w:val="20"/>
          <w:szCs w:val="20"/>
        </w:rPr>
      </w:pPr>
      <w:r w:rsidRPr="006C2AD5">
        <w:rPr>
          <w:b/>
          <w:bCs/>
          <w:sz w:val="20"/>
          <w:szCs w:val="20"/>
        </w:rPr>
        <w:t>Results</w:t>
      </w:r>
    </w:p>
    <w:p w14:paraId="13AE8158" w14:textId="77777777" w:rsidR="002E1183" w:rsidRPr="006C2AD5" w:rsidRDefault="002E1183" w:rsidP="002E1183">
      <w:pPr>
        <w:pStyle w:val="ListParagraph"/>
        <w:numPr>
          <w:ilvl w:val="0"/>
          <w:numId w:val="1"/>
        </w:numPr>
        <w:spacing w:line="480" w:lineRule="auto"/>
        <w:ind w:left="360"/>
        <w:jc w:val="both"/>
        <w:rPr>
          <w:b/>
          <w:bCs/>
          <w:sz w:val="20"/>
          <w:szCs w:val="20"/>
        </w:rPr>
      </w:pPr>
      <w:r w:rsidRPr="006C2AD5">
        <w:rPr>
          <w:rStyle w:val="Emphasis"/>
          <w:rFonts w:eastAsiaTheme="majorEastAsia"/>
          <w:sz w:val="20"/>
          <w:szCs w:val="20"/>
        </w:rPr>
        <w:t>Salmonella</w:t>
      </w:r>
      <w:r w:rsidRPr="006C2AD5">
        <w:rPr>
          <w:sz w:val="20"/>
          <w:szCs w:val="20"/>
        </w:rPr>
        <w:t xml:space="preserve"> was consistently detected across all three devices with an average time to detection of 13 ± 2.2 minutes.</w:t>
      </w:r>
    </w:p>
    <w:p w14:paraId="28A4CFA8" w14:textId="77777777" w:rsidR="002E1183" w:rsidRPr="006C2AD5" w:rsidRDefault="002E1183" w:rsidP="002E1183">
      <w:pPr>
        <w:pStyle w:val="ListParagraph"/>
        <w:numPr>
          <w:ilvl w:val="0"/>
          <w:numId w:val="1"/>
        </w:numPr>
        <w:spacing w:line="480" w:lineRule="auto"/>
        <w:ind w:left="360"/>
        <w:jc w:val="both"/>
        <w:rPr>
          <w:b/>
          <w:bCs/>
          <w:sz w:val="20"/>
          <w:szCs w:val="20"/>
        </w:rPr>
      </w:pPr>
      <w:r w:rsidRPr="006C2AD5">
        <w:rPr>
          <w:sz w:val="20"/>
          <w:szCs w:val="20"/>
        </w:rPr>
        <w:t>No fluorescence signal was detected in any of the negative control reactions over the 60-minute run time.</w:t>
      </w:r>
    </w:p>
    <w:p w14:paraId="55BF2CD5" w14:textId="23078FC4" w:rsidR="002E1183" w:rsidRPr="006C2AD5" w:rsidRDefault="002E1183" w:rsidP="002E1183">
      <w:pPr>
        <w:pStyle w:val="ListParagraph"/>
        <w:numPr>
          <w:ilvl w:val="0"/>
          <w:numId w:val="1"/>
        </w:numPr>
        <w:spacing w:line="480" w:lineRule="auto"/>
        <w:ind w:left="360"/>
        <w:jc w:val="both"/>
        <w:rPr>
          <w:rStyle w:val="Strong"/>
          <w:rFonts w:eastAsiaTheme="majorEastAsia"/>
          <w:sz w:val="20"/>
          <w:szCs w:val="20"/>
        </w:rPr>
      </w:pPr>
      <w:r w:rsidRPr="006C2AD5">
        <w:rPr>
          <w:sz w:val="20"/>
          <w:szCs w:val="20"/>
        </w:rPr>
        <w:t xml:space="preserve">No false positives or false negatives were recorded, confirming the high specificity and sensitivity of the </w:t>
      </w:r>
      <w:r w:rsidR="002034C2" w:rsidRPr="006C2AD5">
        <w:rPr>
          <w:sz w:val="20"/>
          <w:szCs w:val="20"/>
        </w:rPr>
        <w:t>HyperKit</w:t>
      </w:r>
      <w:r w:rsidRPr="006C2AD5">
        <w:rPr>
          <w:sz w:val="20"/>
          <w:szCs w:val="20"/>
        </w:rPr>
        <w:t xml:space="preserve"> detection chemistry regardless of the fluorescence reader used.</w:t>
      </w:r>
    </w:p>
    <w:p w14:paraId="2227C830" w14:textId="77777777" w:rsidR="002E1183" w:rsidRPr="006C2AD5" w:rsidRDefault="002E1183" w:rsidP="002E1183">
      <w:pPr>
        <w:jc w:val="both"/>
        <w:rPr>
          <w:rStyle w:val="Strong"/>
          <w:rFonts w:eastAsiaTheme="majorEastAsia"/>
          <w:b w:val="0"/>
          <w:bCs w:val="0"/>
          <w:sz w:val="20"/>
          <w:szCs w:val="20"/>
        </w:rPr>
      </w:pPr>
    </w:p>
    <w:p w14:paraId="6B37A6FC" w14:textId="42DA2157" w:rsidR="002E1183" w:rsidRPr="006C2AD5" w:rsidRDefault="002E1183" w:rsidP="002E1183">
      <w:pPr>
        <w:jc w:val="both"/>
        <w:rPr>
          <w:rStyle w:val="Strong"/>
          <w:rFonts w:eastAsiaTheme="majorEastAsia"/>
          <w:b w:val="0"/>
          <w:bCs w:val="0"/>
          <w:sz w:val="20"/>
          <w:szCs w:val="20"/>
        </w:rPr>
      </w:pPr>
      <w:r w:rsidRPr="006C2AD5">
        <w:rPr>
          <w:rStyle w:val="Strong"/>
          <w:rFonts w:eastAsiaTheme="majorEastAsia"/>
          <w:sz w:val="20"/>
          <w:szCs w:val="20"/>
        </w:rPr>
        <w:t xml:space="preserve">Table. Detection speed and accuracy of </w:t>
      </w:r>
      <w:r w:rsidRPr="006C2AD5">
        <w:rPr>
          <w:b/>
          <w:bCs/>
          <w:sz w:val="20"/>
          <w:szCs w:val="20"/>
        </w:rPr>
        <w:t>Hyper</w:t>
      </w:r>
      <w:r w:rsidR="00F35595" w:rsidRPr="006C2AD5">
        <w:rPr>
          <w:b/>
          <w:bCs/>
          <w:sz w:val="20"/>
          <w:szCs w:val="20"/>
        </w:rPr>
        <w:t>K</w:t>
      </w:r>
      <w:r w:rsidRPr="006C2AD5">
        <w:rPr>
          <w:b/>
          <w:bCs/>
          <w:sz w:val="20"/>
          <w:szCs w:val="20"/>
        </w:rPr>
        <w:t xml:space="preserve">it Total </w:t>
      </w:r>
      <w:r w:rsidRPr="006C2AD5">
        <w:rPr>
          <w:b/>
          <w:bCs/>
          <w:i/>
          <w:iCs/>
          <w:sz w:val="20"/>
          <w:szCs w:val="20"/>
        </w:rPr>
        <w:t>Salmonella</w:t>
      </w:r>
      <w:r w:rsidRPr="006C2AD5">
        <w:rPr>
          <w:sz w:val="20"/>
          <w:szCs w:val="20"/>
        </w:rPr>
        <w:t xml:space="preserve"> </w:t>
      </w:r>
      <w:r w:rsidRPr="006C2AD5">
        <w:rPr>
          <w:rStyle w:val="Strong"/>
          <w:rFonts w:eastAsiaTheme="majorEastAsia"/>
          <w:sz w:val="20"/>
          <w:szCs w:val="20"/>
        </w:rPr>
        <w:t>across three fluorescent units</w:t>
      </w:r>
    </w:p>
    <w:tbl>
      <w:tblPr>
        <w:tblW w:w="9443" w:type="dxa"/>
        <w:tblLook w:val="04A0" w:firstRow="1" w:lastRow="0" w:firstColumn="1" w:lastColumn="0" w:noHBand="0" w:noVBand="1"/>
      </w:tblPr>
      <w:tblGrid>
        <w:gridCol w:w="2695"/>
        <w:gridCol w:w="2070"/>
        <w:gridCol w:w="2340"/>
        <w:gridCol w:w="2338"/>
      </w:tblGrid>
      <w:tr w:rsidR="002E1183" w:rsidRPr="006C2AD5" w14:paraId="6CFA9279" w14:textId="77777777" w:rsidTr="001635D6">
        <w:trPr>
          <w:trHeight w:val="296"/>
        </w:trPr>
        <w:tc>
          <w:tcPr>
            <w:tcW w:w="2695" w:type="dxa"/>
            <w:vMerge w:val="restart"/>
            <w:tcBorders>
              <w:top w:val="single" w:sz="4" w:space="0" w:color="auto"/>
            </w:tcBorders>
            <w:noWrap/>
            <w:vAlign w:val="center"/>
            <w:hideMark/>
          </w:tcPr>
          <w:p w14:paraId="510E11AC"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Testing groups</w:t>
            </w:r>
          </w:p>
        </w:tc>
        <w:tc>
          <w:tcPr>
            <w:tcW w:w="6748" w:type="dxa"/>
            <w:gridSpan w:val="3"/>
            <w:tcBorders>
              <w:top w:val="single" w:sz="4" w:space="0" w:color="auto"/>
              <w:bottom w:val="single" w:sz="4" w:space="0" w:color="auto"/>
            </w:tcBorders>
            <w:noWrap/>
            <w:vAlign w:val="center"/>
            <w:hideMark/>
          </w:tcPr>
          <w:p w14:paraId="23C8E4B4"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Fluorescent units</w:t>
            </w:r>
          </w:p>
        </w:tc>
      </w:tr>
      <w:tr w:rsidR="002E1183" w:rsidRPr="006C2AD5" w14:paraId="37013998" w14:textId="77777777" w:rsidTr="001635D6">
        <w:trPr>
          <w:trHeight w:val="840"/>
        </w:trPr>
        <w:tc>
          <w:tcPr>
            <w:tcW w:w="2695" w:type="dxa"/>
            <w:vMerge/>
            <w:tcBorders>
              <w:bottom w:val="single" w:sz="4" w:space="0" w:color="auto"/>
            </w:tcBorders>
            <w:vAlign w:val="center"/>
            <w:hideMark/>
          </w:tcPr>
          <w:p w14:paraId="63D217ED" w14:textId="77777777" w:rsidR="002E1183" w:rsidRPr="006C2AD5" w:rsidRDefault="002E1183" w:rsidP="007D7989">
            <w:pPr>
              <w:jc w:val="both"/>
              <w:rPr>
                <w:color w:val="000000"/>
                <w:kern w:val="2"/>
                <w:sz w:val="20"/>
                <w:szCs w:val="20"/>
                <w14:ligatures w14:val="standardContextual"/>
              </w:rPr>
            </w:pPr>
          </w:p>
        </w:tc>
        <w:tc>
          <w:tcPr>
            <w:tcW w:w="2070" w:type="dxa"/>
            <w:tcBorders>
              <w:top w:val="single" w:sz="4" w:space="0" w:color="auto"/>
              <w:bottom w:val="single" w:sz="4" w:space="0" w:color="auto"/>
            </w:tcBorders>
            <w:noWrap/>
            <w:vAlign w:val="center"/>
            <w:hideMark/>
          </w:tcPr>
          <w:p w14:paraId="0DECD590" w14:textId="77777777" w:rsidR="002E1183" w:rsidRPr="006C2AD5" w:rsidRDefault="002E1183" w:rsidP="005C3D3E">
            <w:pPr>
              <w:rPr>
                <w:rStyle w:val="Strong"/>
                <w:rFonts w:eastAsiaTheme="majorEastAsia"/>
                <w:b w:val="0"/>
                <w:bCs w:val="0"/>
                <w:sz w:val="20"/>
                <w:szCs w:val="20"/>
              </w:rPr>
            </w:pPr>
            <w:r w:rsidRPr="006C2AD5">
              <w:rPr>
                <w:rStyle w:val="Strong"/>
                <w:rFonts w:eastAsiaTheme="majorEastAsia"/>
                <w:kern w:val="2"/>
                <w:sz w:val="20"/>
                <w:szCs w:val="20"/>
                <w14:ligatures w14:val="standardContextual"/>
              </w:rPr>
              <w:t xml:space="preserve">CFX96 Touch </w:t>
            </w:r>
          </w:p>
          <w:p w14:paraId="51C9AF75" w14:textId="77777777" w:rsidR="002E1183" w:rsidRPr="006C2AD5" w:rsidRDefault="002E1183" w:rsidP="005C3D3E">
            <w:pPr>
              <w:rPr>
                <w:b/>
                <w:bCs/>
                <w:color w:val="000000"/>
                <w:sz w:val="20"/>
                <w:szCs w:val="20"/>
              </w:rPr>
            </w:pPr>
            <w:r w:rsidRPr="006C2AD5">
              <w:rPr>
                <w:rStyle w:val="Strong"/>
                <w:rFonts w:eastAsiaTheme="majorEastAsia"/>
                <w:kern w:val="2"/>
                <w:sz w:val="20"/>
                <w:szCs w:val="20"/>
                <w14:ligatures w14:val="standardContextual"/>
              </w:rPr>
              <w:t xml:space="preserve">(Bio-Rad; n=5 reps </w:t>
            </w:r>
            <w:r w:rsidRPr="006C2AD5">
              <w:rPr>
                <w:rStyle w:val="Strong"/>
                <w:rFonts w:eastAsiaTheme="majorEastAsia"/>
                <w:sz w:val="20"/>
                <w:szCs w:val="20"/>
              </w:rPr>
              <w:t>per group</w:t>
            </w:r>
            <w:r w:rsidRPr="006C2AD5">
              <w:rPr>
                <w:rStyle w:val="Strong"/>
                <w:rFonts w:eastAsiaTheme="majorEastAsia"/>
                <w:kern w:val="2"/>
                <w:sz w:val="20"/>
                <w:szCs w:val="20"/>
                <w14:ligatures w14:val="standardContextual"/>
              </w:rPr>
              <w:t>)</w:t>
            </w:r>
          </w:p>
        </w:tc>
        <w:tc>
          <w:tcPr>
            <w:tcW w:w="2340" w:type="dxa"/>
            <w:tcBorders>
              <w:top w:val="single" w:sz="4" w:space="0" w:color="auto"/>
              <w:bottom w:val="single" w:sz="4" w:space="0" w:color="auto"/>
            </w:tcBorders>
            <w:noWrap/>
            <w:vAlign w:val="center"/>
            <w:hideMark/>
          </w:tcPr>
          <w:p w14:paraId="415CF38B" w14:textId="77777777" w:rsidR="002E1183" w:rsidRPr="006C2AD5" w:rsidRDefault="002E1183" w:rsidP="005C3D3E">
            <w:pPr>
              <w:rPr>
                <w:b/>
                <w:bCs/>
                <w:color w:val="000000"/>
                <w:kern w:val="2"/>
                <w:sz w:val="20"/>
                <w:szCs w:val="20"/>
                <w14:ligatures w14:val="standardContextual"/>
              </w:rPr>
            </w:pPr>
            <w:r w:rsidRPr="006C2AD5">
              <w:rPr>
                <w:rStyle w:val="Strong"/>
                <w:rFonts w:eastAsiaTheme="majorEastAsia"/>
                <w:kern w:val="2"/>
                <w:sz w:val="20"/>
                <w:szCs w:val="20"/>
                <w14:ligatures w14:val="standardContextual"/>
              </w:rPr>
              <w:t xml:space="preserve">Aladdin Analyzer (Hypercell; n=5 reps </w:t>
            </w:r>
            <w:r w:rsidRPr="006C2AD5">
              <w:rPr>
                <w:rStyle w:val="Strong"/>
                <w:rFonts w:eastAsiaTheme="majorEastAsia"/>
                <w:sz w:val="20"/>
                <w:szCs w:val="20"/>
              </w:rPr>
              <w:t>per group</w:t>
            </w:r>
            <w:r w:rsidRPr="006C2AD5">
              <w:rPr>
                <w:rStyle w:val="Strong"/>
                <w:rFonts w:eastAsiaTheme="majorEastAsia"/>
                <w:kern w:val="2"/>
                <w:sz w:val="20"/>
                <w:szCs w:val="20"/>
                <w14:ligatures w14:val="standardContextual"/>
              </w:rPr>
              <w:t>)</w:t>
            </w:r>
          </w:p>
        </w:tc>
        <w:tc>
          <w:tcPr>
            <w:tcW w:w="2338" w:type="dxa"/>
            <w:tcBorders>
              <w:top w:val="single" w:sz="4" w:space="0" w:color="auto"/>
              <w:bottom w:val="single" w:sz="4" w:space="0" w:color="auto"/>
            </w:tcBorders>
            <w:noWrap/>
            <w:vAlign w:val="center"/>
            <w:hideMark/>
          </w:tcPr>
          <w:p w14:paraId="25F805BF" w14:textId="77777777" w:rsidR="002E1183" w:rsidRPr="006C2AD5" w:rsidRDefault="002E1183" w:rsidP="005C3D3E">
            <w:pPr>
              <w:rPr>
                <w:b/>
                <w:bCs/>
                <w:color w:val="000000"/>
                <w:kern w:val="2"/>
                <w:sz w:val="20"/>
                <w:szCs w:val="20"/>
                <w14:ligatures w14:val="standardContextual"/>
              </w:rPr>
            </w:pPr>
            <w:r w:rsidRPr="006C2AD5">
              <w:rPr>
                <w:rStyle w:val="Strong"/>
                <w:rFonts w:eastAsiaTheme="majorEastAsia"/>
                <w:kern w:val="2"/>
                <w:sz w:val="20"/>
                <w:szCs w:val="20"/>
                <w14:ligatures w14:val="standardContextual"/>
              </w:rPr>
              <w:t xml:space="preserve">Mini 8-Hole PCR (Laboao; n=5 reps </w:t>
            </w:r>
            <w:r w:rsidRPr="006C2AD5">
              <w:rPr>
                <w:rStyle w:val="Strong"/>
                <w:rFonts w:eastAsiaTheme="majorEastAsia"/>
                <w:sz w:val="20"/>
                <w:szCs w:val="20"/>
              </w:rPr>
              <w:t>per group</w:t>
            </w:r>
            <w:r w:rsidRPr="006C2AD5">
              <w:rPr>
                <w:rStyle w:val="Strong"/>
                <w:rFonts w:eastAsiaTheme="majorEastAsia"/>
                <w:kern w:val="2"/>
                <w:sz w:val="20"/>
                <w:szCs w:val="20"/>
                <w14:ligatures w14:val="standardContextual"/>
              </w:rPr>
              <w:t>)</w:t>
            </w:r>
          </w:p>
        </w:tc>
      </w:tr>
      <w:tr w:rsidR="002E1183" w:rsidRPr="006C2AD5" w14:paraId="20CE3F8C" w14:textId="77777777" w:rsidTr="001635D6">
        <w:trPr>
          <w:trHeight w:val="422"/>
        </w:trPr>
        <w:tc>
          <w:tcPr>
            <w:tcW w:w="2695" w:type="dxa"/>
            <w:tcBorders>
              <w:top w:val="single" w:sz="4" w:space="0" w:color="auto"/>
            </w:tcBorders>
            <w:noWrap/>
            <w:vAlign w:val="center"/>
            <w:hideMark/>
          </w:tcPr>
          <w:p w14:paraId="450B4174"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 xml:space="preserve">Spiked (500 cells) </w:t>
            </w:r>
          </w:p>
        </w:tc>
        <w:tc>
          <w:tcPr>
            <w:tcW w:w="2070" w:type="dxa"/>
            <w:tcBorders>
              <w:top w:val="single" w:sz="4" w:space="0" w:color="auto"/>
            </w:tcBorders>
            <w:noWrap/>
            <w:vAlign w:val="center"/>
            <w:hideMark/>
          </w:tcPr>
          <w:p w14:paraId="5BDAD2AF"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 xml:space="preserve">13 </w:t>
            </w:r>
            <w:r w:rsidRPr="006C2AD5">
              <w:rPr>
                <w:color w:val="000000" w:themeColor="text1"/>
                <w:kern w:val="2"/>
                <w:sz w:val="20"/>
                <w:szCs w:val="20"/>
                <w14:ligatures w14:val="standardContextual"/>
              </w:rPr>
              <w:t>±</w:t>
            </w:r>
            <w:r w:rsidRPr="006C2AD5">
              <w:rPr>
                <w:kern w:val="2"/>
                <w:sz w:val="20"/>
                <w:szCs w:val="20"/>
                <w14:ligatures w14:val="standardContextual"/>
              </w:rPr>
              <w:t>2.2</w:t>
            </w:r>
          </w:p>
        </w:tc>
        <w:tc>
          <w:tcPr>
            <w:tcW w:w="2340" w:type="dxa"/>
            <w:tcBorders>
              <w:top w:val="single" w:sz="4" w:space="0" w:color="auto"/>
            </w:tcBorders>
            <w:noWrap/>
            <w:vAlign w:val="center"/>
            <w:hideMark/>
          </w:tcPr>
          <w:p w14:paraId="74D171B7"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 xml:space="preserve">13 </w:t>
            </w:r>
            <w:r w:rsidRPr="006C2AD5">
              <w:rPr>
                <w:color w:val="000000" w:themeColor="text1"/>
                <w:kern w:val="2"/>
                <w:sz w:val="20"/>
                <w:szCs w:val="20"/>
                <w14:ligatures w14:val="standardContextual"/>
              </w:rPr>
              <w:t>±</w:t>
            </w:r>
            <w:r w:rsidRPr="006C2AD5">
              <w:rPr>
                <w:kern w:val="2"/>
                <w:sz w:val="20"/>
                <w:szCs w:val="20"/>
                <w14:ligatures w14:val="standardContextual"/>
              </w:rPr>
              <w:t>1.3</w:t>
            </w:r>
          </w:p>
        </w:tc>
        <w:tc>
          <w:tcPr>
            <w:tcW w:w="2338" w:type="dxa"/>
            <w:tcBorders>
              <w:top w:val="single" w:sz="4" w:space="0" w:color="auto"/>
            </w:tcBorders>
            <w:noWrap/>
            <w:vAlign w:val="center"/>
            <w:hideMark/>
          </w:tcPr>
          <w:p w14:paraId="22047A22"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 xml:space="preserve">13 </w:t>
            </w:r>
            <w:r w:rsidRPr="006C2AD5">
              <w:rPr>
                <w:color w:val="000000" w:themeColor="text1"/>
                <w:kern w:val="2"/>
                <w:sz w:val="20"/>
                <w:szCs w:val="20"/>
                <w14:ligatures w14:val="standardContextual"/>
              </w:rPr>
              <w:t>±</w:t>
            </w:r>
            <w:r w:rsidRPr="006C2AD5">
              <w:rPr>
                <w:kern w:val="2"/>
                <w:sz w:val="20"/>
                <w:szCs w:val="20"/>
                <w14:ligatures w14:val="standardContextual"/>
              </w:rPr>
              <w:t>1.8</w:t>
            </w:r>
          </w:p>
        </w:tc>
      </w:tr>
      <w:tr w:rsidR="002E1183" w:rsidRPr="006C2AD5" w14:paraId="77EEE9A1" w14:textId="77777777" w:rsidTr="001635D6">
        <w:trPr>
          <w:trHeight w:val="521"/>
        </w:trPr>
        <w:tc>
          <w:tcPr>
            <w:tcW w:w="2695" w:type="dxa"/>
            <w:tcBorders>
              <w:top w:val="nil"/>
              <w:bottom w:val="single" w:sz="4" w:space="0" w:color="auto"/>
            </w:tcBorders>
            <w:noWrap/>
            <w:vAlign w:val="center"/>
            <w:hideMark/>
          </w:tcPr>
          <w:p w14:paraId="2368A57E"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Not spiked (DNA-free)</w:t>
            </w:r>
          </w:p>
        </w:tc>
        <w:tc>
          <w:tcPr>
            <w:tcW w:w="2070" w:type="dxa"/>
            <w:tcBorders>
              <w:top w:val="nil"/>
              <w:bottom w:val="single" w:sz="4" w:space="0" w:color="auto"/>
            </w:tcBorders>
            <w:noWrap/>
            <w:vAlign w:val="center"/>
            <w:hideMark/>
          </w:tcPr>
          <w:p w14:paraId="00A19F21"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ND</w:t>
            </w:r>
          </w:p>
        </w:tc>
        <w:tc>
          <w:tcPr>
            <w:tcW w:w="2340" w:type="dxa"/>
            <w:tcBorders>
              <w:top w:val="nil"/>
              <w:bottom w:val="single" w:sz="4" w:space="0" w:color="auto"/>
            </w:tcBorders>
            <w:noWrap/>
            <w:vAlign w:val="center"/>
            <w:hideMark/>
          </w:tcPr>
          <w:p w14:paraId="53626BFC"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ND</w:t>
            </w:r>
          </w:p>
        </w:tc>
        <w:tc>
          <w:tcPr>
            <w:tcW w:w="2338" w:type="dxa"/>
            <w:tcBorders>
              <w:top w:val="nil"/>
              <w:bottom w:val="single" w:sz="4" w:space="0" w:color="auto"/>
            </w:tcBorders>
            <w:noWrap/>
            <w:vAlign w:val="center"/>
            <w:hideMark/>
          </w:tcPr>
          <w:p w14:paraId="01D588D4" w14:textId="77777777" w:rsidR="002E1183" w:rsidRPr="006C2AD5" w:rsidRDefault="002E1183" w:rsidP="007D7989">
            <w:pPr>
              <w:jc w:val="both"/>
              <w:rPr>
                <w:color w:val="000000"/>
                <w:kern w:val="2"/>
                <w:sz w:val="20"/>
                <w:szCs w:val="20"/>
                <w14:ligatures w14:val="standardContextual"/>
              </w:rPr>
            </w:pPr>
            <w:r w:rsidRPr="006C2AD5">
              <w:rPr>
                <w:color w:val="000000"/>
                <w:kern w:val="2"/>
                <w:sz w:val="20"/>
                <w:szCs w:val="20"/>
                <w14:ligatures w14:val="standardContextual"/>
              </w:rPr>
              <w:t>ND</w:t>
            </w:r>
          </w:p>
        </w:tc>
      </w:tr>
    </w:tbl>
    <w:p w14:paraId="2385C3AC" w14:textId="77777777" w:rsidR="002E1183" w:rsidRPr="006C2AD5" w:rsidRDefault="002E1183" w:rsidP="002E1183">
      <w:pPr>
        <w:spacing w:line="480" w:lineRule="auto"/>
        <w:jc w:val="both"/>
        <w:rPr>
          <w:rStyle w:val="Strong"/>
          <w:rFonts w:eastAsiaTheme="majorEastAsia"/>
          <w:b w:val="0"/>
          <w:bCs w:val="0"/>
          <w:sz w:val="20"/>
          <w:szCs w:val="20"/>
        </w:rPr>
      </w:pPr>
    </w:p>
    <w:p w14:paraId="5DB0638A" w14:textId="77777777" w:rsidR="002E1183" w:rsidRPr="006C2AD5" w:rsidRDefault="002E1183" w:rsidP="002E1183">
      <w:pPr>
        <w:spacing w:line="480" w:lineRule="auto"/>
        <w:jc w:val="both"/>
        <w:rPr>
          <w:sz w:val="20"/>
          <w:szCs w:val="20"/>
        </w:rPr>
      </w:pPr>
      <w:r w:rsidRPr="006C2AD5">
        <w:rPr>
          <w:rStyle w:val="Strong"/>
          <w:rFonts w:eastAsiaTheme="majorEastAsia"/>
          <w:sz w:val="20"/>
          <w:szCs w:val="20"/>
        </w:rPr>
        <w:t>ND:</w:t>
      </w:r>
      <w:r w:rsidRPr="006C2AD5">
        <w:rPr>
          <w:sz w:val="20"/>
          <w:szCs w:val="20"/>
        </w:rPr>
        <w:t xml:space="preserve"> No fluorescent signal detected within 60 minutes at 65°C. </w:t>
      </w:r>
      <w:r w:rsidRPr="006C2AD5">
        <w:rPr>
          <w:color w:val="000000"/>
          <w:kern w:val="2"/>
          <w:sz w:val="20"/>
          <w:szCs w:val="20"/>
          <w14:ligatures w14:val="standardContextual"/>
        </w:rPr>
        <w:t>Numbers indicate detection speed (time to result in minutes when the fluorescence signal reach 1000 relative fluorescent unit [RFU]).</w:t>
      </w:r>
    </w:p>
    <w:p w14:paraId="52E79EF7" w14:textId="77777777" w:rsidR="002E1183" w:rsidRPr="006C2AD5" w:rsidRDefault="002E1183" w:rsidP="002E1183">
      <w:pPr>
        <w:spacing w:line="480" w:lineRule="auto"/>
        <w:jc w:val="both"/>
        <w:rPr>
          <w:sz w:val="20"/>
          <w:szCs w:val="20"/>
        </w:rPr>
      </w:pPr>
      <w:r w:rsidRPr="006C2AD5">
        <w:rPr>
          <w:noProof/>
          <w:sz w:val="20"/>
          <w:szCs w:val="20"/>
        </w:rPr>
        <w:drawing>
          <wp:anchor distT="0" distB="0" distL="114300" distR="114300" simplePos="0" relativeHeight="251659264" behindDoc="0" locked="0" layoutInCell="1" allowOverlap="1" wp14:anchorId="3127F100" wp14:editId="64554A4A">
            <wp:simplePos x="0" y="0"/>
            <wp:positionH relativeFrom="column">
              <wp:posOffset>0</wp:posOffset>
            </wp:positionH>
            <wp:positionV relativeFrom="paragraph">
              <wp:posOffset>95738</wp:posOffset>
            </wp:positionV>
            <wp:extent cx="3843655" cy="2484120"/>
            <wp:effectExtent l="0" t="0" r="4445" b="5080"/>
            <wp:wrapSquare wrapText="bothSides"/>
            <wp:docPr id="2016282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3955" r="42609"/>
                    <a:stretch>
                      <a:fillRect/>
                    </a:stretch>
                  </pic:blipFill>
                  <pic:spPr bwMode="auto">
                    <a:xfrm>
                      <a:off x="0" y="0"/>
                      <a:ext cx="3843655" cy="2484120"/>
                    </a:xfrm>
                    <a:prstGeom prst="rect">
                      <a:avLst/>
                    </a:prstGeom>
                    <a:noFill/>
                  </pic:spPr>
                </pic:pic>
              </a:graphicData>
            </a:graphic>
            <wp14:sizeRelH relativeFrom="page">
              <wp14:pctWidth>0</wp14:pctWidth>
            </wp14:sizeRelH>
            <wp14:sizeRelV relativeFrom="page">
              <wp14:pctHeight>0</wp14:pctHeight>
            </wp14:sizeRelV>
          </wp:anchor>
        </w:drawing>
      </w:r>
    </w:p>
    <w:p w14:paraId="1ACA50E9" w14:textId="77777777" w:rsidR="002E1183" w:rsidRPr="006C2AD5" w:rsidRDefault="002E1183" w:rsidP="002E1183">
      <w:pPr>
        <w:spacing w:line="480" w:lineRule="auto"/>
        <w:jc w:val="both"/>
        <w:rPr>
          <w:i/>
          <w:iCs/>
          <w:sz w:val="20"/>
          <w:szCs w:val="20"/>
        </w:rPr>
      </w:pPr>
    </w:p>
    <w:p w14:paraId="5E8EB2B0" w14:textId="77777777" w:rsidR="002E1183" w:rsidRPr="006C2AD5" w:rsidRDefault="002E1183" w:rsidP="002E1183">
      <w:pPr>
        <w:spacing w:line="480" w:lineRule="auto"/>
        <w:jc w:val="both"/>
        <w:rPr>
          <w:i/>
          <w:iCs/>
          <w:sz w:val="20"/>
          <w:szCs w:val="20"/>
        </w:rPr>
      </w:pPr>
    </w:p>
    <w:p w14:paraId="236A050C" w14:textId="77777777" w:rsidR="002E1183" w:rsidRPr="006C2AD5" w:rsidRDefault="002E1183" w:rsidP="002E1183">
      <w:pPr>
        <w:spacing w:line="480" w:lineRule="auto"/>
        <w:jc w:val="both"/>
        <w:rPr>
          <w:i/>
          <w:iCs/>
          <w:sz w:val="20"/>
          <w:szCs w:val="20"/>
        </w:rPr>
      </w:pPr>
    </w:p>
    <w:p w14:paraId="3550618C" w14:textId="77777777" w:rsidR="002E1183" w:rsidRPr="006C2AD5" w:rsidRDefault="002E1183" w:rsidP="002E1183">
      <w:pPr>
        <w:spacing w:line="480" w:lineRule="auto"/>
        <w:jc w:val="both"/>
        <w:rPr>
          <w:i/>
          <w:iCs/>
          <w:sz w:val="20"/>
          <w:szCs w:val="20"/>
        </w:rPr>
      </w:pPr>
    </w:p>
    <w:p w14:paraId="67BAF692" w14:textId="77777777" w:rsidR="002E1183" w:rsidRPr="006C2AD5" w:rsidRDefault="002E1183" w:rsidP="002E1183">
      <w:pPr>
        <w:spacing w:line="480" w:lineRule="auto"/>
        <w:jc w:val="both"/>
        <w:rPr>
          <w:i/>
          <w:iCs/>
          <w:sz w:val="20"/>
          <w:szCs w:val="20"/>
        </w:rPr>
      </w:pPr>
    </w:p>
    <w:p w14:paraId="0A924085" w14:textId="77777777" w:rsidR="002E1183" w:rsidRPr="006C2AD5" w:rsidRDefault="002E1183" w:rsidP="002E1183">
      <w:pPr>
        <w:spacing w:line="480" w:lineRule="auto"/>
        <w:jc w:val="both"/>
        <w:rPr>
          <w:i/>
          <w:iCs/>
          <w:sz w:val="20"/>
          <w:szCs w:val="20"/>
        </w:rPr>
      </w:pPr>
    </w:p>
    <w:p w14:paraId="27C1DD00" w14:textId="77777777" w:rsidR="002E1183" w:rsidRPr="006C2AD5" w:rsidRDefault="002E1183" w:rsidP="002E1183">
      <w:pPr>
        <w:spacing w:line="480" w:lineRule="auto"/>
        <w:jc w:val="both"/>
        <w:rPr>
          <w:i/>
          <w:iCs/>
          <w:sz w:val="20"/>
          <w:szCs w:val="20"/>
        </w:rPr>
      </w:pPr>
    </w:p>
    <w:p w14:paraId="534802B2" w14:textId="0476A3EE" w:rsidR="002E1183" w:rsidRPr="006C2AD5" w:rsidRDefault="002E1183" w:rsidP="002E1183">
      <w:pPr>
        <w:spacing w:line="480" w:lineRule="auto"/>
        <w:jc w:val="both"/>
        <w:rPr>
          <w:i/>
          <w:iCs/>
          <w:sz w:val="20"/>
          <w:szCs w:val="20"/>
        </w:rPr>
      </w:pPr>
      <w:r w:rsidRPr="006C2AD5">
        <w:rPr>
          <w:b/>
          <w:bCs/>
          <w:sz w:val="20"/>
          <w:szCs w:val="20"/>
        </w:rPr>
        <w:t>Figure.</w:t>
      </w:r>
      <w:r w:rsidRPr="006C2AD5">
        <w:rPr>
          <w:sz w:val="20"/>
          <w:szCs w:val="20"/>
        </w:rPr>
        <w:t xml:space="preserve"> Detection profiles across three fluorescence platforms</w:t>
      </w:r>
      <w:r w:rsidRPr="006C2AD5">
        <w:rPr>
          <w:i/>
          <w:iCs/>
          <w:sz w:val="20"/>
          <w:szCs w:val="20"/>
        </w:rPr>
        <w:t xml:space="preserve">. </w:t>
      </w:r>
      <w:r w:rsidRPr="006C2AD5">
        <w:rPr>
          <w:rStyle w:val="Emphasis"/>
          <w:rFonts w:eastAsiaTheme="majorEastAsia"/>
          <w:i w:val="0"/>
          <w:iCs w:val="0"/>
          <w:sz w:val="20"/>
          <w:szCs w:val="20"/>
        </w:rPr>
        <w:t xml:space="preserve">Head-to-head comparison of </w:t>
      </w:r>
      <w:r w:rsidRPr="006C2AD5">
        <w:rPr>
          <w:sz w:val="20"/>
          <w:szCs w:val="20"/>
        </w:rPr>
        <w:t>Hyper</w:t>
      </w:r>
      <w:r w:rsidR="003701E7" w:rsidRPr="006C2AD5">
        <w:rPr>
          <w:sz w:val="20"/>
          <w:szCs w:val="20"/>
        </w:rPr>
        <w:t>K</w:t>
      </w:r>
      <w:r w:rsidRPr="006C2AD5">
        <w:rPr>
          <w:sz w:val="20"/>
          <w:szCs w:val="20"/>
        </w:rPr>
        <w:t xml:space="preserve">it Total </w:t>
      </w:r>
      <w:r w:rsidRPr="006C2AD5">
        <w:rPr>
          <w:i/>
          <w:iCs/>
          <w:sz w:val="20"/>
          <w:szCs w:val="20"/>
        </w:rPr>
        <w:t>Salmonella</w:t>
      </w:r>
      <w:r w:rsidRPr="006C2AD5">
        <w:rPr>
          <w:sz w:val="20"/>
          <w:szCs w:val="20"/>
        </w:rPr>
        <w:t xml:space="preserve"> </w:t>
      </w:r>
      <w:r w:rsidRPr="006C2AD5">
        <w:rPr>
          <w:rStyle w:val="Emphasis"/>
          <w:rFonts w:eastAsiaTheme="majorEastAsia"/>
          <w:i w:val="0"/>
          <w:iCs w:val="0"/>
          <w:sz w:val="20"/>
          <w:szCs w:val="20"/>
        </w:rPr>
        <w:t xml:space="preserve">on three commercial fluorescence readers. All reactions were spiked with ~500 CFU of </w:t>
      </w:r>
      <w:r w:rsidRPr="006C2AD5">
        <w:rPr>
          <w:rStyle w:val="Emphasis"/>
          <w:rFonts w:eastAsiaTheme="majorEastAsia"/>
          <w:sz w:val="20"/>
          <w:szCs w:val="20"/>
        </w:rPr>
        <w:t>Salmonella</w:t>
      </w:r>
      <w:r w:rsidRPr="006C2AD5">
        <w:rPr>
          <w:rStyle w:val="Emphasis"/>
          <w:rFonts w:eastAsiaTheme="majorEastAsia"/>
          <w:i w:val="0"/>
          <w:iCs w:val="0"/>
          <w:sz w:val="20"/>
          <w:szCs w:val="20"/>
        </w:rPr>
        <w:t xml:space="preserve"> (positive). N=5 reps per unit. </w:t>
      </w:r>
    </w:p>
    <w:p w14:paraId="0C9C3B43" w14:textId="77777777" w:rsidR="002E1183" w:rsidRPr="006C2AD5" w:rsidRDefault="002E1183" w:rsidP="002E1183">
      <w:pPr>
        <w:pStyle w:val="Heading3"/>
        <w:spacing w:line="480" w:lineRule="auto"/>
        <w:rPr>
          <w:rFonts w:cs="Times New Roman"/>
          <w:sz w:val="20"/>
          <w:szCs w:val="20"/>
        </w:rPr>
      </w:pPr>
    </w:p>
    <w:p w14:paraId="609A2F96" w14:textId="77777777" w:rsidR="002E1183" w:rsidRPr="006C2AD5" w:rsidRDefault="002E1183" w:rsidP="002E1183">
      <w:pPr>
        <w:pStyle w:val="Heading3"/>
        <w:spacing w:line="480" w:lineRule="auto"/>
        <w:rPr>
          <w:rFonts w:cs="Times New Roman"/>
          <w:sz w:val="20"/>
          <w:szCs w:val="20"/>
        </w:rPr>
        <w:sectPr w:rsidR="002E1183" w:rsidRPr="006C2AD5" w:rsidSect="002E1183">
          <w:pgSz w:w="12240" w:h="15840"/>
          <w:pgMar w:top="1440" w:right="1440" w:bottom="1440" w:left="1440" w:header="720" w:footer="720" w:gutter="0"/>
          <w:cols w:space="720"/>
          <w:docGrid w:linePitch="360"/>
        </w:sectPr>
      </w:pPr>
    </w:p>
    <w:p w14:paraId="16207AD1" w14:textId="05703C47" w:rsidR="002E1183" w:rsidRPr="006C2AD5" w:rsidRDefault="002E1183" w:rsidP="002E1183">
      <w:pPr>
        <w:spacing w:line="480" w:lineRule="auto"/>
        <w:jc w:val="both"/>
        <w:rPr>
          <w:b/>
          <w:bCs/>
          <w:sz w:val="20"/>
          <w:szCs w:val="20"/>
        </w:rPr>
      </w:pPr>
      <w:r w:rsidRPr="006C2AD5">
        <w:rPr>
          <w:b/>
          <w:bCs/>
          <w:sz w:val="20"/>
          <w:szCs w:val="20"/>
        </w:rPr>
        <w:lastRenderedPageBreak/>
        <w:t xml:space="preserve">Supplemental </w:t>
      </w:r>
      <w:r w:rsidR="00C266D7" w:rsidRPr="006C2AD5">
        <w:rPr>
          <w:b/>
          <w:bCs/>
          <w:sz w:val="20"/>
          <w:szCs w:val="20"/>
        </w:rPr>
        <w:t xml:space="preserve">Information </w:t>
      </w:r>
      <w:r w:rsidRPr="006C2AD5">
        <w:rPr>
          <w:b/>
          <w:bCs/>
          <w:sz w:val="20"/>
          <w:szCs w:val="20"/>
        </w:rPr>
        <w:t xml:space="preserve">2. Differences in </w:t>
      </w:r>
      <w:r w:rsidRPr="006C2AD5">
        <w:rPr>
          <w:b/>
          <w:bCs/>
          <w:i/>
          <w:iCs/>
          <w:sz w:val="20"/>
          <w:szCs w:val="20"/>
        </w:rPr>
        <w:t>Salmonella</w:t>
      </w:r>
      <w:r w:rsidRPr="006C2AD5">
        <w:rPr>
          <w:b/>
          <w:bCs/>
          <w:sz w:val="20"/>
          <w:szCs w:val="20"/>
        </w:rPr>
        <w:t xml:space="preserve"> concentrations between HyperKit Total </w:t>
      </w:r>
      <w:r w:rsidRPr="006C2AD5">
        <w:rPr>
          <w:b/>
          <w:bCs/>
          <w:i/>
          <w:iCs/>
          <w:sz w:val="20"/>
          <w:szCs w:val="20"/>
        </w:rPr>
        <w:t>Salmonella</w:t>
      </w:r>
      <w:r w:rsidRPr="006C2AD5">
        <w:rPr>
          <w:b/>
          <w:bCs/>
          <w:sz w:val="20"/>
          <w:szCs w:val="20"/>
        </w:rPr>
        <w:t xml:space="preserve"> and the reference microbiology method.</w:t>
      </w:r>
    </w:p>
    <w:p w14:paraId="771457EC" w14:textId="77777777" w:rsidR="002E1183" w:rsidRPr="006C2AD5" w:rsidRDefault="002E1183" w:rsidP="002E1183">
      <w:pPr>
        <w:spacing w:line="480" w:lineRule="auto"/>
        <w:jc w:val="both"/>
        <w:rPr>
          <w:sz w:val="20"/>
          <w:szCs w:val="20"/>
        </w:rPr>
      </w:pPr>
      <w:r w:rsidRPr="006C2AD5">
        <w:rPr>
          <w:noProof/>
          <w:sz w:val="20"/>
          <w:szCs w:val="20"/>
        </w:rPr>
        <w:drawing>
          <wp:inline distT="0" distB="0" distL="0" distR="0" wp14:anchorId="370FE90D" wp14:editId="786C6E56">
            <wp:extent cx="4876800" cy="3822700"/>
            <wp:effectExtent l="0" t="0" r="0" b="0"/>
            <wp:docPr id="113598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82676" name=""/>
                    <pic:cNvPicPr/>
                  </pic:nvPicPr>
                  <pic:blipFill>
                    <a:blip r:embed="rId6"/>
                    <a:stretch>
                      <a:fillRect/>
                    </a:stretch>
                  </pic:blipFill>
                  <pic:spPr>
                    <a:xfrm>
                      <a:off x="0" y="0"/>
                      <a:ext cx="4876800" cy="3822700"/>
                    </a:xfrm>
                    <a:prstGeom prst="rect">
                      <a:avLst/>
                    </a:prstGeom>
                  </pic:spPr>
                </pic:pic>
              </a:graphicData>
            </a:graphic>
          </wp:inline>
        </w:drawing>
      </w:r>
      <w:r w:rsidRPr="006C2AD5">
        <w:rPr>
          <w:noProof/>
          <w:sz w:val="20"/>
          <w:szCs w:val="20"/>
        </w:rPr>
        <mc:AlternateContent>
          <mc:Choice Requires="wps">
            <w:drawing>
              <wp:anchor distT="0" distB="0" distL="114300" distR="114300" simplePos="0" relativeHeight="251660288" behindDoc="0" locked="0" layoutInCell="1" allowOverlap="1" wp14:anchorId="72D1D88B" wp14:editId="776D3DB6">
                <wp:simplePos x="0" y="0"/>
                <wp:positionH relativeFrom="column">
                  <wp:posOffset>557530</wp:posOffset>
                </wp:positionH>
                <wp:positionV relativeFrom="paragraph">
                  <wp:posOffset>1554881</wp:posOffset>
                </wp:positionV>
                <wp:extent cx="4230436" cy="0"/>
                <wp:effectExtent l="0" t="12700" r="11430" b="12700"/>
                <wp:wrapNone/>
                <wp:docPr id="5823305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30436" cy="0"/>
                        </a:xfrm>
                        <a:prstGeom prst="line">
                          <a:avLst/>
                        </a:prstGeom>
                        <a:ln w="1905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30F8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22.45pt" to="377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" strokecolor="red" strokeweight="1.5pt">
                <v:stroke dashstyle="dash" joinstyle="miter"/>
                <o:lock v:ext="edit" shapetype="f"/>
              </v:line>
            </w:pict>
          </mc:Fallback>
        </mc:AlternateContent>
      </w:r>
    </w:p>
    <w:p w14:paraId="627DFB2F" w14:textId="77777777" w:rsidR="002E1183" w:rsidRPr="006C2AD5" w:rsidRDefault="002E1183" w:rsidP="002E1183">
      <w:pPr>
        <w:spacing w:line="480" w:lineRule="auto"/>
        <w:jc w:val="both"/>
        <w:rPr>
          <w:sz w:val="20"/>
          <w:szCs w:val="20"/>
        </w:rPr>
      </w:pPr>
      <w:r w:rsidRPr="006C2AD5">
        <w:rPr>
          <w:b/>
          <w:bCs/>
          <w:sz w:val="20"/>
          <w:szCs w:val="20"/>
        </w:rPr>
        <w:t xml:space="preserve">Figure. </w:t>
      </w:r>
      <w:r w:rsidRPr="006C2AD5">
        <w:rPr>
          <w:sz w:val="20"/>
          <w:szCs w:val="20"/>
        </w:rPr>
        <w:t xml:space="preserve">The boxplot displays the differences in </w:t>
      </w:r>
      <w:r w:rsidRPr="006C2AD5">
        <w:rPr>
          <w:i/>
          <w:iCs/>
          <w:sz w:val="20"/>
          <w:szCs w:val="20"/>
        </w:rPr>
        <w:t>Salmonella</w:t>
      </w:r>
      <w:r w:rsidRPr="006C2AD5">
        <w:rPr>
          <w:sz w:val="20"/>
          <w:szCs w:val="20"/>
        </w:rPr>
        <w:t xml:space="preserve"> concentration data between HyperKit Total </w:t>
      </w:r>
      <w:r w:rsidRPr="006C2AD5">
        <w:rPr>
          <w:i/>
          <w:iCs/>
          <w:sz w:val="20"/>
          <w:szCs w:val="20"/>
        </w:rPr>
        <w:t>Salmonella</w:t>
      </w:r>
      <w:r w:rsidRPr="006C2AD5">
        <w:rPr>
          <w:sz w:val="20"/>
          <w:szCs w:val="20"/>
        </w:rPr>
        <w:t xml:space="preserve"> and the reference microbiology method. The boxplot is separated by spiking groups (A-K), proportionally organized based on </w:t>
      </w:r>
      <w:r w:rsidRPr="006C2AD5">
        <w:rPr>
          <w:i/>
          <w:iCs/>
          <w:sz w:val="20"/>
          <w:szCs w:val="20"/>
        </w:rPr>
        <w:t>Salmonella</w:t>
      </w:r>
      <w:r w:rsidRPr="006C2AD5">
        <w:rPr>
          <w:sz w:val="20"/>
          <w:szCs w:val="20"/>
        </w:rPr>
        <w:t xml:space="preserve"> concentration in chicken primal samples (</w:t>
      </w:r>
      <w:r w:rsidRPr="006C2AD5">
        <w:rPr>
          <w:b/>
          <w:bCs/>
          <w:sz w:val="20"/>
          <w:szCs w:val="20"/>
        </w:rPr>
        <w:t>Table 1</w:t>
      </w:r>
      <w:r w:rsidRPr="006C2AD5">
        <w:rPr>
          <w:sz w:val="20"/>
          <w:szCs w:val="20"/>
        </w:rPr>
        <w:t xml:space="preserve">). Black dots indicate chicken primal samples (n=57). Red dotted line indicates the level where no difference in </w:t>
      </w:r>
      <w:r w:rsidRPr="006C2AD5">
        <w:rPr>
          <w:i/>
          <w:iCs/>
          <w:sz w:val="20"/>
          <w:szCs w:val="20"/>
        </w:rPr>
        <w:t>Salmonella</w:t>
      </w:r>
      <w:r w:rsidRPr="006C2AD5">
        <w:rPr>
          <w:sz w:val="20"/>
          <w:szCs w:val="20"/>
        </w:rPr>
        <w:t xml:space="preserve"> concentration was observed between the two methods. </w:t>
      </w:r>
    </w:p>
    <w:p w14:paraId="161A1D0F" w14:textId="77777777" w:rsidR="002E1183" w:rsidRPr="006C2AD5" w:rsidRDefault="002E1183" w:rsidP="002E1183">
      <w:pPr>
        <w:spacing w:line="480" w:lineRule="auto"/>
        <w:jc w:val="both"/>
        <w:rPr>
          <w:sz w:val="20"/>
          <w:szCs w:val="20"/>
        </w:rPr>
      </w:pPr>
    </w:p>
    <w:p w14:paraId="02D979E8" w14:textId="77777777" w:rsidR="002E1183" w:rsidRPr="006C2AD5" w:rsidRDefault="002E1183" w:rsidP="002E1183">
      <w:pPr>
        <w:spacing w:line="480" w:lineRule="auto"/>
        <w:jc w:val="both"/>
        <w:rPr>
          <w:sz w:val="20"/>
          <w:szCs w:val="20"/>
        </w:rPr>
        <w:sectPr w:rsidR="002E1183" w:rsidRPr="006C2AD5" w:rsidSect="002E1183">
          <w:pgSz w:w="12240" w:h="15840"/>
          <w:pgMar w:top="1440" w:right="1440" w:bottom="1440" w:left="1440" w:header="720" w:footer="720" w:gutter="0"/>
          <w:cols w:space="720"/>
          <w:docGrid w:linePitch="360"/>
        </w:sectPr>
      </w:pPr>
    </w:p>
    <w:p w14:paraId="5C086963" w14:textId="77777777" w:rsidR="006C2AD5" w:rsidRDefault="002E1183" w:rsidP="002E1183">
      <w:pPr>
        <w:spacing w:line="480" w:lineRule="auto"/>
        <w:jc w:val="both"/>
        <w:rPr>
          <w:b/>
          <w:bCs/>
          <w:sz w:val="20"/>
          <w:szCs w:val="20"/>
        </w:rPr>
      </w:pPr>
      <w:r w:rsidRPr="006C2AD5">
        <w:rPr>
          <w:b/>
          <w:bCs/>
          <w:sz w:val="20"/>
          <w:szCs w:val="20"/>
        </w:rPr>
        <w:lastRenderedPageBreak/>
        <w:t xml:space="preserve">Supplemental </w:t>
      </w:r>
      <w:r w:rsidR="00C266D7" w:rsidRPr="006C2AD5">
        <w:rPr>
          <w:b/>
          <w:bCs/>
          <w:sz w:val="20"/>
          <w:szCs w:val="20"/>
        </w:rPr>
        <w:t xml:space="preserve">Information </w:t>
      </w:r>
      <w:r w:rsidRPr="006C2AD5">
        <w:rPr>
          <w:b/>
          <w:bCs/>
          <w:sz w:val="20"/>
          <w:szCs w:val="20"/>
        </w:rPr>
        <w:t xml:space="preserve">3. Repeatability of HyperKit Total </w:t>
      </w:r>
      <w:r w:rsidRPr="006C2AD5">
        <w:rPr>
          <w:b/>
          <w:bCs/>
          <w:i/>
          <w:iCs/>
          <w:sz w:val="20"/>
          <w:szCs w:val="20"/>
        </w:rPr>
        <w:t>Salmonella</w:t>
      </w:r>
      <w:r w:rsidRPr="006C2AD5">
        <w:rPr>
          <w:b/>
          <w:bCs/>
          <w:sz w:val="20"/>
          <w:szCs w:val="20"/>
        </w:rPr>
        <w:t xml:space="preserve"> and the reference microbiology method for the detection of Salmonella in chicken primal samples.</w:t>
      </w:r>
    </w:p>
    <w:p w14:paraId="6C266842" w14:textId="6F243B6B" w:rsidR="002E1183" w:rsidRPr="006C2AD5" w:rsidRDefault="002E1183" w:rsidP="002E1183">
      <w:pPr>
        <w:spacing w:line="480" w:lineRule="auto"/>
        <w:jc w:val="both"/>
        <w:rPr>
          <w:b/>
          <w:bCs/>
          <w:sz w:val="20"/>
          <w:szCs w:val="20"/>
        </w:rPr>
      </w:pPr>
      <w:r w:rsidRPr="006C2AD5">
        <w:rPr>
          <w:noProof/>
          <w:sz w:val="20"/>
          <w:szCs w:val="20"/>
        </w:rPr>
        <w:drawing>
          <wp:inline distT="0" distB="0" distL="0" distR="0" wp14:anchorId="34E55AA4" wp14:editId="5DD3123A">
            <wp:extent cx="3944679" cy="4054844"/>
            <wp:effectExtent l="0" t="0" r="5080" b="0"/>
            <wp:docPr id="167884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41502" name=""/>
                    <pic:cNvPicPr/>
                  </pic:nvPicPr>
                  <pic:blipFill rotWithShape="1">
                    <a:blip r:embed="rId7"/>
                    <a:srcRect t="3541" r="24610"/>
                    <a:stretch/>
                  </pic:blipFill>
                  <pic:spPr bwMode="auto">
                    <a:xfrm>
                      <a:off x="0" y="0"/>
                      <a:ext cx="3944679" cy="4054844"/>
                    </a:xfrm>
                    <a:prstGeom prst="rect">
                      <a:avLst/>
                    </a:prstGeom>
                    <a:ln>
                      <a:noFill/>
                    </a:ln>
                    <a:extLst>
                      <a:ext uri="{53640926-AAD7-44D8-BBD7-CCE9431645EC}">
                        <a14:shadowObscured xmlns:a14="http://schemas.microsoft.com/office/drawing/2010/main"/>
                      </a:ext>
                    </a:extLst>
                  </pic:spPr>
                </pic:pic>
              </a:graphicData>
            </a:graphic>
          </wp:inline>
        </w:drawing>
      </w:r>
    </w:p>
    <w:p w14:paraId="187AA7EA" w14:textId="77777777" w:rsidR="002E1183" w:rsidRPr="006C2AD5" w:rsidRDefault="002E1183" w:rsidP="002E1183">
      <w:pPr>
        <w:spacing w:line="480" w:lineRule="auto"/>
        <w:jc w:val="both"/>
        <w:rPr>
          <w:sz w:val="20"/>
          <w:szCs w:val="20"/>
        </w:rPr>
      </w:pPr>
      <w:r w:rsidRPr="006C2AD5">
        <w:rPr>
          <w:b/>
          <w:bCs/>
          <w:sz w:val="20"/>
          <w:szCs w:val="20"/>
        </w:rPr>
        <w:t>Figure.</w:t>
      </w:r>
      <w:r w:rsidRPr="006C2AD5">
        <w:rPr>
          <w:sz w:val="20"/>
          <w:szCs w:val="20"/>
        </w:rPr>
        <w:t xml:space="preserve"> The boxplot displays the repeatability observed between HyperKit Total </w:t>
      </w:r>
      <w:r w:rsidRPr="006C2AD5">
        <w:rPr>
          <w:i/>
          <w:iCs/>
          <w:sz w:val="20"/>
          <w:szCs w:val="20"/>
        </w:rPr>
        <w:t>Salmonella</w:t>
      </w:r>
      <w:r w:rsidRPr="006C2AD5">
        <w:rPr>
          <w:sz w:val="20"/>
          <w:szCs w:val="20"/>
        </w:rPr>
        <w:t xml:space="preserve"> and the reference microbiology method. The repeatability of each method was measured by processing several times (n=2-4 times) the same chicken primal samples spiked with a known concentration of </w:t>
      </w:r>
      <w:r w:rsidRPr="006C2AD5">
        <w:rPr>
          <w:i/>
          <w:iCs/>
          <w:sz w:val="20"/>
          <w:szCs w:val="20"/>
        </w:rPr>
        <w:t>Salmonella</w:t>
      </w:r>
      <w:r w:rsidRPr="006C2AD5">
        <w:rPr>
          <w:sz w:val="20"/>
          <w:szCs w:val="20"/>
        </w:rPr>
        <w:t xml:space="preserve">. Black dots indicate the variability in Salmonella concentration obtained when processing the same chicken primal samples compared to the average of the concentrations obtained with the same chicken primal sample (n=44 replicates total). </w:t>
      </w:r>
    </w:p>
    <w:p w14:paraId="348870D5" w14:textId="77777777" w:rsidR="002E1183" w:rsidRPr="006C2AD5" w:rsidRDefault="002E1183" w:rsidP="002E1183">
      <w:pPr>
        <w:spacing w:line="480" w:lineRule="auto"/>
        <w:rPr>
          <w:sz w:val="20"/>
          <w:szCs w:val="20"/>
        </w:rPr>
      </w:pPr>
    </w:p>
    <w:p w14:paraId="715D7763" w14:textId="77777777" w:rsidR="002E1183" w:rsidRPr="006C2AD5" w:rsidRDefault="002E1183" w:rsidP="002E1183">
      <w:pPr>
        <w:spacing w:line="480" w:lineRule="auto"/>
        <w:rPr>
          <w:sz w:val="20"/>
          <w:szCs w:val="20"/>
        </w:rPr>
        <w:sectPr w:rsidR="002E1183" w:rsidRPr="006C2AD5" w:rsidSect="002E1183">
          <w:pgSz w:w="12240" w:h="15840"/>
          <w:pgMar w:top="1440" w:right="1440" w:bottom="1440" w:left="1440" w:header="720" w:footer="720" w:gutter="0"/>
          <w:cols w:space="720"/>
          <w:docGrid w:linePitch="360"/>
        </w:sectPr>
      </w:pPr>
    </w:p>
    <w:p w14:paraId="29BA1344" w14:textId="476982EA" w:rsidR="002E1183" w:rsidRPr="006C2AD5" w:rsidRDefault="002E1183" w:rsidP="002E1183">
      <w:pPr>
        <w:spacing w:line="480" w:lineRule="auto"/>
        <w:jc w:val="both"/>
        <w:rPr>
          <w:b/>
          <w:bCs/>
          <w:sz w:val="20"/>
          <w:szCs w:val="20"/>
        </w:rPr>
      </w:pPr>
      <w:r w:rsidRPr="006C2AD5">
        <w:rPr>
          <w:b/>
          <w:bCs/>
          <w:sz w:val="20"/>
          <w:szCs w:val="20"/>
        </w:rPr>
        <w:lastRenderedPageBreak/>
        <w:t xml:space="preserve">Supplemental </w:t>
      </w:r>
      <w:r w:rsidR="00C266D7" w:rsidRPr="006C2AD5">
        <w:rPr>
          <w:b/>
          <w:bCs/>
          <w:sz w:val="20"/>
          <w:szCs w:val="20"/>
        </w:rPr>
        <w:t xml:space="preserve">Information </w:t>
      </w:r>
      <w:r w:rsidRPr="006C2AD5">
        <w:rPr>
          <w:b/>
          <w:bCs/>
          <w:sz w:val="20"/>
          <w:szCs w:val="20"/>
        </w:rPr>
        <w:t xml:space="preserve">4. Robustness of HyperKit Total </w:t>
      </w:r>
      <w:r w:rsidRPr="006C2AD5">
        <w:rPr>
          <w:b/>
          <w:bCs/>
          <w:i/>
          <w:iCs/>
          <w:sz w:val="20"/>
          <w:szCs w:val="20"/>
        </w:rPr>
        <w:t>Salmonella</w:t>
      </w:r>
      <w:r w:rsidRPr="006C2AD5">
        <w:rPr>
          <w:b/>
          <w:bCs/>
          <w:sz w:val="20"/>
          <w:szCs w:val="20"/>
        </w:rPr>
        <w:t xml:space="preserve">. </w:t>
      </w:r>
    </w:p>
    <w:p w14:paraId="6281ECBF" w14:textId="623215E1" w:rsidR="002E1183" w:rsidRPr="006C2AD5" w:rsidRDefault="000A3D61" w:rsidP="002E1183">
      <w:pPr>
        <w:spacing w:line="480" w:lineRule="auto"/>
        <w:rPr>
          <w:b/>
          <w:bCs/>
          <w:sz w:val="20"/>
          <w:szCs w:val="20"/>
        </w:rPr>
      </w:pPr>
      <w:r w:rsidRPr="006C2AD5">
        <w:rPr>
          <w:b/>
          <w:bCs/>
          <w:sz w:val="20"/>
          <w:szCs w:val="20"/>
        </w:rPr>
        <w:t xml:space="preserve">Table 1. </w:t>
      </w:r>
      <w:r w:rsidR="002E1183" w:rsidRPr="006C2AD5">
        <w:rPr>
          <w:b/>
          <w:bCs/>
          <w:sz w:val="20"/>
          <w:szCs w:val="20"/>
        </w:rPr>
        <w:t xml:space="preserve">Detection of </w:t>
      </w:r>
      <w:r w:rsidR="002E1183" w:rsidRPr="006C2AD5">
        <w:rPr>
          <w:b/>
          <w:bCs/>
          <w:i/>
          <w:iCs/>
          <w:sz w:val="20"/>
          <w:szCs w:val="20"/>
        </w:rPr>
        <w:t>Salmonella</w:t>
      </w:r>
      <w:r w:rsidR="002E1183" w:rsidRPr="006C2AD5">
        <w:rPr>
          <w:b/>
          <w:bCs/>
          <w:sz w:val="20"/>
          <w:szCs w:val="20"/>
        </w:rPr>
        <w:t xml:space="preserve"> using HyperMix with different final volume</w:t>
      </w:r>
      <w:r w:rsidR="00E221F5" w:rsidRPr="006C2AD5">
        <w:rPr>
          <w:b/>
          <w:bCs/>
          <w:sz w:val="20"/>
          <w:szCs w:val="20"/>
        </w:rPr>
        <w:t>s</w:t>
      </w:r>
      <w:r w:rsidR="002E1183" w:rsidRPr="006C2AD5">
        <w:rPr>
          <w:b/>
          <w:bCs/>
          <w:sz w:val="20"/>
          <w:szCs w:val="20"/>
        </w:rPr>
        <w:t xml:space="preserve"> in reaction tube</w:t>
      </w:r>
    </w:p>
    <w:tbl>
      <w:tblPr>
        <w:tblW w:w="12982" w:type="dxa"/>
        <w:tblBorders>
          <w:top w:val="single" w:sz="4" w:space="0" w:color="auto"/>
          <w:bottom w:val="single" w:sz="4" w:space="0" w:color="auto"/>
        </w:tblBorders>
        <w:tblLook w:val="04A0" w:firstRow="1" w:lastRow="0" w:firstColumn="1" w:lastColumn="0" w:noHBand="0" w:noVBand="1"/>
      </w:tblPr>
      <w:tblGrid>
        <w:gridCol w:w="2250"/>
        <w:gridCol w:w="990"/>
        <w:gridCol w:w="926"/>
        <w:gridCol w:w="857"/>
        <w:gridCol w:w="857"/>
        <w:gridCol w:w="857"/>
        <w:gridCol w:w="857"/>
        <w:gridCol w:w="1076"/>
        <w:gridCol w:w="1076"/>
        <w:gridCol w:w="1076"/>
        <w:gridCol w:w="1076"/>
        <w:gridCol w:w="1084"/>
      </w:tblGrid>
      <w:tr w:rsidR="002E1183" w:rsidRPr="006C2AD5" w14:paraId="5C12E36D" w14:textId="77777777" w:rsidTr="00FE3ACD">
        <w:trPr>
          <w:trHeight w:val="459"/>
        </w:trPr>
        <w:tc>
          <w:tcPr>
            <w:tcW w:w="2250" w:type="dxa"/>
            <w:tcBorders>
              <w:top w:val="single" w:sz="4" w:space="0" w:color="auto"/>
              <w:bottom w:val="single" w:sz="4" w:space="0" w:color="auto"/>
            </w:tcBorders>
            <w:shd w:val="clear" w:color="auto" w:fill="auto"/>
            <w:vAlign w:val="center"/>
            <w:hideMark/>
          </w:tcPr>
          <w:p w14:paraId="2D643B72" w14:textId="77777777" w:rsidR="002E1183" w:rsidRPr="006C2AD5" w:rsidRDefault="002E1183" w:rsidP="007D7989">
            <w:pPr>
              <w:rPr>
                <w:color w:val="000000"/>
                <w:sz w:val="20"/>
                <w:szCs w:val="20"/>
              </w:rPr>
            </w:pPr>
            <w:r w:rsidRPr="006C2AD5">
              <w:rPr>
                <w:color w:val="000000"/>
                <w:sz w:val="20"/>
                <w:szCs w:val="20"/>
              </w:rPr>
              <w:t>Final volume in HyperMix tube (</w:t>
            </w:r>
            <w:proofErr w:type="spellStart"/>
            <w:r w:rsidRPr="006C2AD5">
              <w:rPr>
                <w:color w:val="000000"/>
                <w:sz w:val="20"/>
                <w:szCs w:val="20"/>
              </w:rPr>
              <w:t>ul</w:t>
            </w:r>
            <w:proofErr w:type="spellEnd"/>
            <w:r w:rsidRPr="006C2AD5">
              <w:rPr>
                <w:color w:val="000000"/>
                <w:sz w:val="20"/>
                <w:szCs w:val="20"/>
              </w:rPr>
              <w:t>)</w:t>
            </w:r>
          </w:p>
        </w:tc>
        <w:tc>
          <w:tcPr>
            <w:tcW w:w="990" w:type="dxa"/>
            <w:tcBorders>
              <w:top w:val="single" w:sz="4" w:space="0" w:color="auto"/>
              <w:bottom w:val="single" w:sz="4" w:space="0" w:color="auto"/>
            </w:tcBorders>
            <w:shd w:val="clear" w:color="auto" w:fill="auto"/>
            <w:vAlign w:val="center"/>
            <w:hideMark/>
          </w:tcPr>
          <w:p w14:paraId="79495901" w14:textId="77777777" w:rsidR="002E1183" w:rsidRPr="006C2AD5" w:rsidRDefault="002E1183" w:rsidP="007D7989">
            <w:pPr>
              <w:jc w:val="center"/>
              <w:rPr>
                <w:color w:val="000000"/>
                <w:sz w:val="20"/>
                <w:szCs w:val="20"/>
              </w:rPr>
            </w:pPr>
            <w:r w:rsidRPr="006C2AD5">
              <w:rPr>
                <w:color w:val="000000"/>
                <w:sz w:val="20"/>
                <w:szCs w:val="20"/>
              </w:rPr>
              <w:t>20</w:t>
            </w:r>
          </w:p>
        </w:tc>
        <w:tc>
          <w:tcPr>
            <w:tcW w:w="926" w:type="dxa"/>
            <w:tcBorders>
              <w:top w:val="single" w:sz="4" w:space="0" w:color="auto"/>
              <w:bottom w:val="single" w:sz="4" w:space="0" w:color="auto"/>
            </w:tcBorders>
            <w:shd w:val="clear" w:color="auto" w:fill="auto"/>
            <w:vAlign w:val="center"/>
            <w:hideMark/>
          </w:tcPr>
          <w:p w14:paraId="0DE87E57" w14:textId="77777777" w:rsidR="002E1183" w:rsidRPr="006C2AD5" w:rsidRDefault="002E1183" w:rsidP="007D7989">
            <w:pPr>
              <w:jc w:val="center"/>
              <w:rPr>
                <w:color w:val="000000"/>
                <w:sz w:val="20"/>
                <w:szCs w:val="20"/>
              </w:rPr>
            </w:pPr>
            <w:r w:rsidRPr="006C2AD5">
              <w:rPr>
                <w:color w:val="000000"/>
                <w:sz w:val="20"/>
                <w:szCs w:val="20"/>
              </w:rPr>
              <w:t>30</w:t>
            </w:r>
          </w:p>
        </w:tc>
        <w:tc>
          <w:tcPr>
            <w:tcW w:w="857" w:type="dxa"/>
            <w:tcBorders>
              <w:top w:val="single" w:sz="4" w:space="0" w:color="auto"/>
              <w:bottom w:val="single" w:sz="4" w:space="0" w:color="auto"/>
            </w:tcBorders>
            <w:shd w:val="clear" w:color="auto" w:fill="auto"/>
            <w:vAlign w:val="center"/>
            <w:hideMark/>
          </w:tcPr>
          <w:p w14:paraId="2B439690" w14:textId="77777777" w:rsidR="002E1183" w:rsidRPr="006C2AD5" w:rsidRDefault="002E1183" w:rsidP="007D7989">
            <w:pPr>
              <w:jc w:val="center"/>
              <w:rPr>
                <w:color w:val="000000"/>
                <w:sz w:val="20"/>
                <w:szCs w:val="20"/>
              </w:rPr>
            </w:pPr>
            <w:r w:rsidRPr="006C2AD5">
              <w:rPr>
                <w:color w:val="000000"/>
                <w:sz w:val="20"/>
                <w:szCs w:val="20"/>
              </w:rPr>
              <w:t>40</w:t>
            </w:r>
          </w:p>
        </w:tc>
        <w:tc>
          <w:tcPr>
            <w:tcW w:w="857" w:type="dxa"/>
            <w:tcBorders>
              <w:top w:val="single" w:sz="4" w:space="0" w:color="auto"/>
              <w:bottom w:val="single" w:sz="4" w:space="0" w:color="auto"/>
            </w:tcBorders>
            <w:shd w:val="clear" w:color="auto" w:fill="auto"/>
            <w:vAlign w:val="center"/>
            <w:hideMark/>
          </w:tcPr>
          <w:p w14:paraId="5AF3ECAD" w14:textId="77777777" w:rsidR="002E1183" w:rsidRPr="006C2AD5" w:rsidRDefault="002E1183" w:rsidP="007D7989">
            <w:pPr>
              <w:jc w:val="center"/>
              <w:rPr>
                <w:color w:val="000000"/>
                <w:sz w:val="20"/>
                <w:szCs w:val="20"/>
              </w:rPr>
            </w:pPr>
            <w:r w:rsidRPr="006C2AD5">
              <w:rPr>
                <w:color w:val="000000"/>
                <w:sz w:val="20"/>
                <w:szCs w:val="20"/>
              </w:rPr>
              <w:t>50</w:t>
            </w:r>
          </w:p>
        </w:tc>
        <w:tc>
          <w:tcPr>
            <w:tcW w:w="857" w:type="dxa"/>
            <w:tcBorders>
              <w:top w:val="single" w:sz="4" w:space="0" w:color="auto"/>
              <w:bottom w:val="single" w:sz="4" w:space="0" w:color="auto"/>
            </w:tcBorders>
            <w:shd w:val="clear" w:color="auto" w:fill="auto"/>
            <w:vAlign w:val="center"/>
            <w:hideMark/>
          </w:tcPr>
          <w:p w14:paraId="5ACB84EF" w14:textId="77777777" w:rsidR="002E1183" w:rsidRPr="006C2AD5" w:rsidRDefault="002E1183" w:rsidP="007D7989">
            <w:pPr>
              <w:jc w:val="center"/>
              <w:rPr>
                <w:color w:val="000000"/>
                <w:sz w:val="20"/>
                <w:szCs w:val="20"/>
              </w:rPr>
            </w:pPr>
            <w:r w:rsidRPr="006C2AD5">
              <w:rPr>
                <w:color w:val="000000"/>
                <w:sz w:val="20"/>
                <w:szCs w:val="20"/>
              </w:rPr>
              <w:t>60</w:t>
            </w:r>
          </w:p>
        </w:tc>
        <w:tc>
          <w:tcPr>
            <w:tcW w:w="857" w:type="dxa"/>
            <w:tcBorders>
              <w:top w:val="single" w:sz="4" w:space="0" w:color="auto"/>
              <w:bottom w:val="single" w:sz="4" w:space="0" w:color="auto"/>
            </w:tcBorders>
            <w:shd w:val="clear" w:color="auto" w:fill="auto"/>
            <w:vAlign w:val="center"/>
            <w:hideMark/>
          </w:tcPr>
          <w:p w14:paraId="4CB7A7BB" w14:textId="77777777" w:rsidR="002E1183" w:rsidRPr="006C2AD5" w:rsidRDefault="002E1183" w:rsidP="007D7989">
            <w:pPr>
              <w:jc w:val="center"/>
              <w:rPr>
                <w:color w:val="000000"/>
                <w:sz w:val="20"/>
                <w:szCs w:val="20"/>
              </w:rPr>
            </w:pPr>
            <w:r w:rsidRPr="006C2AD5">
              <w:rPr>
                <w:color w:val="000000"/>
                <w:sz w:val="20"/>
                <w:szCs w:val="20"/>
              </w:rPr>
              <w:t>70</w:t>
            </w:r>
          </w:p>
        </w:tc>
        <w:tc>
          <w:tcPr>
            <w:tcW w:w="1076" w:type="dxa"/>
            <w:tcBorders>
              <w:top w:val="single" w:sz="4" w:space="0" w:color="auto"/>
              <w:bottom w:val="single" w:sz="4" w:space="0" w:color="auto"/>
            </w:tcBorders>
            <w:shd w:val="clear" w:color="auto" w:fill="auto"/>
            <w:vAlign w:val="center"/>
            <w:hideMark/>
          </w:tcPr>
          <w:p w14:paraId="3CAA81C8" w14:textId="77777777" w:rsidR="002E1183" w:rsidRPr="006C2AD5" w:rsidRDefault="002E1183" w:rsidP="007D7989">
            <w:pPr>
              <w:jc w:val="center"/>
              <w:rPr>
                <w:color w:val="000000"/>
                <w:sz w:val="20"/>
                <w:szCs w:val="20"/>
              </w:rPr>
            </w:pPr>
            <w:r w:rsidRPr="006C2AD5">
              <w:rPr>
                <w:color w:val="000000"/>
                <w:sz w:val="20"/>
                <w:szCs w:val="20"/>
              </w:rPr>
              <w:t>80</w:t>
            </w:r>
          </w:p>
        </w:tc>
        <w:tc>
          <w:tcPr>
            <w:tcW w:w="1076" w:type="dxa"/>
            <w:tcBorders>
              <w:top w:val="single" w:sz="4" w:space="0" w:color="auto"/>
              <w:bottom w:val="single" w:sz="4" w:space="0" w:color="auto"/>
            </w:tcBorders>
            <w:shd w:val="clear" w:color="auto" w:fill="auto"/>
            <w:vAlign w:val="center"/>
            <w:hideMark/>
          </w:tcPr>
          <w:p w14:paraId="7441AF1E" w14:textId="77777777" w:rsidR="002E1183" w:rsidRPr="006C2AD5" w:rsidRDefault="002E1183" w:rsidP="007D7989">
            <w:pPr>
              <w:jc w:val="center"/>
              <w:rPr>
                <w:color w:val="000000"/>
                <w:sz w:val="20"/>
                <w:szCs w:val="20"/>
              </w:rPr>
            </w:pPr>
            <w:r w:rsidRPr="006C2AD5">
              <w:rPr>
                <w:color w:val="000000"/>
                <w:sz w:val="20"/>
                <w:szCs w:val="20"/>
              </w:rPr>
              <w:t>90</w:t>
            </w:r>
          </w:p>
        </w:tc>
        <w:tc>
          <w:tcPr>
            <w:tcW w:w="1076" w:type="dxa"/>
            <w:tcBorders>
              <w:top w:val="single" w:sz="4" w:space="0" w:color="auto"/>
              <w:bottom w:val="single" w:sz="4" w:space="0" w:color="auto"/>
            </w:tcBorders>
            <w:shd w:val="clear" w:color="auto" w:fill="auto"/>
            <w:vAlign w:val="center"/>
            <w:hideMark/>
          </w:tcPr>
          <w:p w14:paraId="16E80D75" w14:textId="77777777" w:rsidR="002E1183" w:rsidRPr="006C2AD5" w:rsidRDefault="002E1183" w:rsidP="007D7989">
            <w:pPr>
              <w:jc w:val="center"/>
              <w:rPr>
                <w:color w:val="000000"/>
                <w:sz w:val="20"/>
                <w:szCs w:val="20"/>
              </w:rPr>
            </w:pPr>
            <w:r w:rsidRPr="006C2AD5">
              <w:rPr>
                <w:color w:val="000000"/>
                <w:sz w:val="20"/>
                <w:szCs w:val="20"/>
              </w:rPr>
              <w:t>100</w:t>
            </w:r>
          </w:p>
        </w:tc>
        <w:tc>
          <w:tcPr>
            <w:tcW w:w="1076" w:type="dxa"/>
            <w:tcBorders>
              <w:top w:val="single" w:sz="4" w:space="0" w:color="auto"/>
              <w:bottom w:val="single" w:sz="4" w:space="0" w:color="auto"/>
            </w:tcBorders>
            <w:shd w:val="clear" w:color="auto" w:fill="auto"/>
            <w:vAlign w:val="center"/>
            <w:hideMark/>
          </w:tcPr>
          <w:p w14:paraId="5F590935" w14:textId="77777777" w:rsidR="002E1183" w:rsidRPr="006C2AD5" w:rsidRDefault="002E1183" w:rsidP="007D7989">
            <w:pPr>
              <w:jc w:val="center"/>
              <w:rPr>
                <w:color w:val="000000"/>
                <w:sz w:val="20"/>
                <w:szCs w:val="20"/>
              </w:rPr>
            </w:pPr>
            <w:r w:rsidRPr="006C2AD5">
              <w:rPr>
                <w:color w:val="000000"/>
                <w:sz w:val="20"/>
                <w:szCs w:val="20"/>
              </w:rPr>
              <w:t>125</w:t>
            </w:r>
          </w:p>
        </w:tc>
        <w:tc>
          <w:tcPr>
            <w:tcW w:w="1084" w:type="dxa"/>
            <w:tcBorders>
              <w:top w:val="single" w:sz="4" w:space="0" w:color="auto"/>
              <w:bottom w:val="single" w:sz="4" w:space="0" w:color="auto"/>
            </w:tcBorders>
            <w:shd w:val="clear" w:color="auto" w:fill="auto"/>
            <w:vAlign w:val="center"/>
            <w:hideMark/>
          </w:tcPr>
          <w:p w14:paraId="75C32FEF" w14:textId="77777777" w:rsidR="002E1183" w:rsidRPr="006C2AD5" w:rsidRDefault="002E1183" w:rsidP="007D7989">
            <w:pPr>
              <w:jc w:val="center"/>
              <w:rPr>
                <w:color w:val="000000"/>
                <w:sz w:val="20"/>
                <w:szCs w:val="20"/>
              </w:rPr>
            </w:pPr>
            <w:r w:rsidRPr="006C2AD5">
              <w:rPr>
                <w:color w:val="000000"/>
                <w:sz w:val="20"/>
                <w:szCs w:val="20"/>
              </w:rPr>
              <w:t>150</w:t>
            </w:r>
          </w:p>
        </w:tc>
      </w:tr>
      <w:tr w:rsidR="002E1183" w:rsidRPr="006C2AD5" w14:paraId="037AC78D" w14:textId="77777777" w:rsidTr="00FE3ACD">
        <w:trPr>
          <w:trHeight w:val="343"/>
        </w:trPr>
        <w:tc>
          <w:tcPr>
            <w:tcW w:w="2250" w:type="dxa"/>
            <w:tcBorders>
              <w:top w:val="single" w:sz="4" w:space="0" w:color="auto"/>
            </w:tcBorders>
            <w:shd w:val="clear" w:color="auto" w:fill="auto"/>
            <w:vAlign w:val="center"/>
            <w:hideMark/>
          </w:tcPr>
          <w:p w14:paraId="5BABB353" w14:textId="77777777" w:rsidR="002E1183" w:rsidRPr="006C2AD5" w:rsidRDefault="002E1183" w:rsidP="007D7989">
            <w:pPr>
              <w:rPr>
                <w:color w:val="000000"/>
                <w:sz w:val="20"/>
                <w:szCs w:val="20"/>
              </w:rPr>
            </w:pPr>
            <w:r w:rsidRPr="006C2AD5">
              <w:rPr>
                <w:color w:val="000000"/>
                <w:sz w:val="20"/>
                <w:szCs w:val="20"/>
              </w:rPr>
              <w:t>Time to results (min)</w:t>
            </w:r>
          </w:p>
        </w:tc>
        <w:tc>
          <w:tcPr>
            <w:tcW w:w="990" w:type="dxa"/>
            <w:tcBorders>
              <w:top w:val="single" w:sz="4" w:space="0" w:color="auto"/>
            </w:tcBorders>
            <w:shd w:val="clear" w:color="auto" w:fill="auto"/>
            <w:vAlign w:val="center"/>
            <w:hideMark/>
          </w:tcPr>
          <w:p w14:paraId="650B521D" w14:textId="77777777" w:rsidR="002E1183" w:rsidRPr="006C2AD5" w:rsidRDefault="002E1183" w:rsidP="007D7989">
            <w:pPr>
              <w:jc w:val="center"/>
              <w:rPr>
                <w:color w:val="000000"/>
                <w:sz w:val="20"/>
                <w:szCs w:val="20"/>
              </w:rPr>
            </w:pPr>
            <w:r w:rsidRPr="006C2AD5">
              <w:rPr>
                <w:color w:val="000000"/>
                <w:sz w:val="20"/>
                <w:szCs w:val="20"/>
              </w:rPr>
              <w:t>&gt;60</w:t>
            </w:r>
          </w:p>
        </w:tc>
        <w:tc>
          <w:tcPr>
            <w:tcW w:w="926" w:type="dxa"/>
            <w:tcBorders>
              <w:top w:val="single" w:sz="4" w:space="0" w:color="auto"/>
            </w:tcBorders>
            <w:shd w:val="clear" w:color="auto" w:fill="auto"/>
            <w:vAlign w:val="center"/>
            <w:hideMark/>
          </w:tcPr>
          <w:p w14:paraId="7E5A1000" w14:textId="77777777" w:rsidR="002E1183" w:rsidRPr="006C2AD5" w:rsidRDefault="002E1183" w:rsidP="007D7989">
            <w:pPr>
              <w:jc w:val="center"/>
              <w:rPr>
                <w:color w:val="000000"/>
                <w:sz w:val="20"/>
                <w:szCs w:val="20"/>
              </w:rPr>
            </w:pPr>
            <w:r w:rsidRPr="006C2AD5">
              <w:rPr>
                <w:color w:val="000000"/>
                <w:sz w:val="20"/>
                <w:szCs w:val="20"/>
              </w:rPr>
              <w:t>25 ±10</w:t>
            </w:r>
          </w:p>
        </w:tc>
        <w:tc>
          <w:tcPr>
            <w:tcW w:w="857" w:type="dxa"/>
            <w:tcBorders>
              <w:top w:val="single" w:sz="4" w:space="0" w:color="auto"/>
            </w:tcBorders>
            <w:shd w:val="clear" w:color="auto" w:fill="auto"/>
            <w:vAlign w:val="center"/>
            <w:hideMark/>
          </w:tcPr>
          <w:p w14:paraId="6024DEA9" w14:textId="77777777" w:rsidR="002E1183" w:rsidRPr="006C2AD5" w:rsidRDefault="002E1183" w:rsidP="007D7989">
            <w:pPr>
              <w:jc w:val="center"/>
              <w:rPr>
                <w:color w:val="000000"/>
                <w:sz w:val="20"/>
                <w:szCs w:val="20"/>
              </w:rPr>
            </w:pPr>
            <w:r w:rsidRPr="006C2AD5">
              <w:rPr>
                <w:color w:val="000000"/>
                <w:sz w:val="20"/>
                <w:szCs w:val="20"/>
              </w:rPr>
              <w:t>11 ±2</w:t>
            </w:r>
          </w:p>
        </w:tc>
        <w:tc>
          <w:tcPr>
            <w:tcW w:w="857" w:type="dxa"/>
            <w:tcBorders>
              <w:top w:val="single" w:sz="4" w:space="0" w:color="auto"/>
            </w:tcBorders>
            <w:shd w:val="clear" w:color="auto" w:fill="auto"/>
            <w:vAlign w:val="center"/>
            <w:hideMark/>
          </w:tcPr>
          <w:p w14:paraId="017EF39B" w14:textId="77777777" w:rsidR="002E1183" w:rsidRPr="006C2AD5" w:rsidRDefault="002E1183" w:rsidP="007D7989">
            <w:pPr>
              <w:jc w:val="center"/>
              <w:rPr>
                <w:color w:val="000000"/>
                <w:sz w:val="20"/>
                <w:szCs w:val="20"/>
              </w:rPr>
            </w:pPr>
            <w:r w:rsidRPr="006C2AD5">
              <w:rPr>
                <w:color w:val="000000"/>
                <w:sz w:val="20"/>
                <w:szCs w:val="20"/>
              </w:rPr>
              <w:t>10 ±2</w:t>
            </w:r>
          </w:p>
        </w:tc>
        <w:tc>
          <w:tcPr>
            <w:tcW w:w="857" w:type="dxa"/>
            <w:tcBorders>
              <w:top w:val="single" w:sz="4" w:space="0" w:color="auto"/>
            </w:tcBorders>
            <w:shd w:val="clear" w:color="auto" w:fill="auto"/>
            <w:vAlign w:val="center"/>
            <w:hideMark/>
          </w:tcPr>
          <w:p w14:paraId="7E543E99" w14:textId="77777777" w:rsidR="002E1183" w:rsidRPr="006C2AD5" w:rsidRDefault="002E1183" w:rsidP="007D7989">
            <w:pPr>
              <w:jc w:val="center"/>
              <w:rPr>
                <w:color w:val="000000"/>
                <w:sz w:val="20"/>
                <w:szCs w:val="20"/>
              </w:rPr>
            </w:pPr>
            <w:r w:rsidRPr="006C2AD5">
              <w:rPr>
                <w:color w:val="000000"/>
                <w:sz w:val="20"/>
                <w:szCs w:val="20"/>
              </w:rPr>
              <w:t>12 ±4</w:t>
            </w:r>
          </w:p>
        </w:tc>
        <w:tc>
          <w:tcPr>
            <w:tcW w:w="857" w:type="dxa"/>
            <w:tcBorders>
              <w:top w:val="single" w:sz="4" w:space="0" w:color="auto"/>
            </w:tcBorders>
            <w:shd w:val="clear" w:color="auto" w:fill="auto"/>
            <w:vAlign w:val="center"/>
            <w:hideMark/>
          </w:tcPr>
          <w:p w14:paraId="00F263C1" w14:textId="77777777" w:rsidR="002E1183" w:rsidRPr="006C2AD5" w:rsidRDefault="002E1183" w:rsidP="007D7989">
            <w:pPr>
              <w:jc w:val="center"/>
              <w:rPr>
                <w:color w:val="000000"/>
                <w:sz w:val="20"/>
                <w:szCs w:val="20"/>
              </w:rPr>
            </w:pPr>
            <w:r w:rsidRPr="006C2AD5">
              <w:rPr>
                <w:color w:val="000000"/>
                <w:sz w:val="20"/>
                <w:szCs w:val="20"/>
              </w:rPr>
              <w:t>16 ±5</w:t>
            </w:r>
          </w:p>
        </w:tc>
        <w:tc>
          <w:tcPr>
            <w:tcW w:w="1076" w:type="dxa"/>
            <w:tcBorders>
              <w:top w:val="single" w:sz="4" w:space="0" w:color="auto"/>
            </w:tcBorders>
            <w:shd w:val="clear" w:color="auto" w:fill="auto"/>
            <w:vAlign w:val="center"/>
            <w:hideMark/>
          </w:tcPr>
          <w:p w14:paraId="6DE99EFA" w14:textId="77777777" w:rsidR="002E1183" w:rsidRPr="006C2AD5" w:rsidRDefault="002E1183" w:rsidP="007D7989">
            <w:pPr>
              <w:jc w:val="center"/>
              <w:rPr>
                <w:color w:val="000000"/>
                <w:sz w:val="20"/>
                <w:szCs w:val="20"/>
              </w:rPr>
            </w:pPr>
            <w:r w:rsidRPr="006C2AD5">
              <w:rPr>
                <w:color w:val="000000"/>
                <w:sz w:val="20"/>
                <w:szCs w:val="20"/>
              </w:rPr>
              <w:t>22 ±10</w:t>
            </w:r>
          </w:p>
        </w:tc>
        <w:tc>
          <w:tcPr>
            <w:tcW w:w="1076" w:type="dxa"/>
            <w:tcBorders>
              <w:top w:val="single" w:sz="4" w:space="0" w:color="auto"/>
            </w:tcBorders>
            <w:shd w:val="clear" w:color="auto" w:fill="auto"/>
            <w:vAlign w:val="center"/>
            <w:hideMark/>
          </w:tcPr>
          <w:p w14:paraId="3684E20B" w14:textId="77777777" w:rsidR="002E1183" w:rsidRPr="006C2AD5" w:rsidRDefault="002E1183" w:rsidP="007D7989">
            <w:pPr>
              <w:jc w:val="center"/>
              <w:rPr>
                <w:color w:val="000000"/>
                <w:sz w:val="20"/>
                <w:szCs w:val="20"/>
              </w:rPr>
            </w:pPr>
            <w:r w:rsidRPr="006C2AD5">
              <w:rPr>
                <w:color w:val="000000"/>
                <w:sz w:val="20"/>
                <w:szCs w:val="20"/>
              </w:rPr>
              <w:t>25 ±11</w:t>
            </w:r>
          </w:p>
        </w:tc>
        <w:tc>
          <w:tcPr>
            <w:tcW w:w="1076" w:type="dxa"/>
            <w:tcBorders>
              <w:top w:val="single" w:sz="4" w:space="0" w:color="auto"/>
            </w:tcBorders>
            <w:shd w:val="clear" w:color="auto" w:fill="auto"/>
            <w:vAlign w:val="center"/>
            <w:hideMark/>
          </w:tcPr>
          <w:p w14:paraId="22E0A3BA" w14:textId="77777777" w:rsidR="002E1183" w:rsidRPr="006C2AD5" w:rsidRDefault="002E1183" w:rsidP="007D7989">
            <w:pPr>
              <w:jc w:val="center"/>
              <w:rPr>
                <w:color w:val="000000"/>
                <w:sz w:val="20"/>
                <w:szCs w:val="20"/>
              </w:rPr>
            </w:pPr>
            <w:r w:rsidRPr="006C2AD5">
              <w:rPr>
                <w:color w:val="000000"/>
                <w:sz w:val="20"/>
                <w:szCs w:val="20"/>
              </w:rPr>
              <w:t>27 ±16</w:t>
            </w:r>
          </w:p>
        </w:tc>
        <w:tc>
          <w:tcPr>
            <w:tcW w:w="1076" w:type="dxa"/>
            <w:tcBorders>
              <w:top w:val="single" w:sz="4" w:space="0" w:color="auto"/>
            </w:tcBorders>
            <w:shd w:val="clear" w:color="auto" w:fill="auto"/>
            <w:vAlign w:val="center"/>
            <w:hideMark/>
          </w:tcPr>
          <w:p w14:paraId="1EF5E758" w14:textId="77777777" w:rsidR="002E1183" w:rsidRPr="006C2AD5" w:rsidRDefault="002E1183" w:rsidP="007D7989">
            <w:pPr>
              <w:jc w:val="center"/>
              <w:rPr>
                <w:color w:val="000000"/>
                <w:sz w:val="20"/>
                <w:szCs w:val="20"/>
              </w:rPr>
            </w:pPr>
            <w:r w:rsidRPr="006C2AD5">
              <w:rPr>
                <w:color w:val="000000"/>
                <w:sz w:val="20"/>
                <w:szCs w:val="20"/>
              </w:rPr>
              <w:t>39 ±14</w:t>
            </w:r>
          </w:p>
        </w:tc>
        <w:tc>
          <w:tcPr>
            <w:tcW w:w="1084" w:type="dxa"/>
            <w:tcBorders>
              <w:top w:val="single" w:sz="4" w:space="0" w:color="auto"/>
            </w:tcBorders>
            <w:shd w:val="clear" w:color="auto" w:fill="auto"/>
            <w:vAlign w:val="center"/>
            <w:hideMark/>
          </w:tcPr>
          <w:p w14:paraId="5AB8ED77" w14:textId="77777777" w:rsidR="002E1183" w:rsidRPr="006C2AD5" w:rsidRDefault="002E1183" w:rsidP="007D7989">
            <w:pPr>
              <w:jc w:val="center"/>
              <w:rPr>
                <w:color w:val="000000"/>
                <w:sz w:val="20"/>
                <w:szCs w:val="20"/>
              </w:rPr>
            </w:pPr>
            <w:r w:rsidRPr="006C2AD5">
              <w:rPr>
                <w:color w:val="000000"/>
                <w:sz w:val="20"/>
                <w:szCs w:val="20"/>
              </w:rPr>
              <w:t>&gt;60</w:t>
            </w:r>
          </w:p>
        </w:tc>
      </w:tr>
    </w:tbl>
    <w:p w14:paraId="18460D1E" w14:textId="77777777" w:rsidR="002E1183" w:rsidRPr="006C2AD5" w:rsidRDefault="002E1183" w:rsidP="002E1183">
      <w:pPr>
        <w:spacing w:line="480" w:lineRule="auto"/>
        <w:jc w:val="both"/>
        <w:rPr>
          <w:sz w:val="20"/>
          <w:szCs w:val="20"/>
        </w:rPr>
      </w:pPr>
    </w:p>
    <w:p w14:paraId="527207C5" w14:textId="77777777" w:rsidR="002E1183" w:rsidRPr="006C2AD5" w:rsidRDefault="002E1183" w:rsidP="002E1183">
      <w:pPr>
        <w:spacing w:line="480" w:lineRule="auto"/>
        <w:jc w:val="both"/>
        <w:rPr>
          <w:sz w:val="20"/>
          <w:szCs w:val="20"/>
        </w:rPr>
      </w:pPr>
      <w:r w:rsidRPr="006C2AD5">
        <w:rPr>
          <w:sz w:val="20"/>
          <w:szCs w:val="20"/>
        </w:rPr>
        <w:t xml:space="preserve">The color of the cells is associated to the time to results data (average and standard deviation; green: no detection speed delays; red: orange: substantial detection speed delays; red: no detection of </w:t>
      </w:r>
      <w:r w:rsidRPr="006C2AD5">
        <w:rPr>
          <w:i/>
          <w:iCs/>
          <w:sz w:val="20"/>
          <w:szCs w:val="20"/>
        </w:rPr>
        <w:t>Salmonella</w:t>
      </w:r>
      <w:r w:rsidRPr="006C2AD5">
        <w:rPr>
          <w:sz w:val="20"/>
          <w:szCs w:val="20"/>
        </w:rPr>
        <w:t>). All reaction were spiked with 1000 CFU and incubated at 65</w:t>
      </w:r>
      <w:r w:rsidRPr="006C2AD5">
        <w:rPr>
          <w:sz w:val="20"/>
          <w:szCs w:val="20"/>
          <w:vertAlign w:val="superscript"/>
        </w:rPr>
        <w:t>o</w:t>
      </w:r>
      <w:r w:rsidRPr="006C2AD5">
        <w:rPr>
          <w:sz w:val="20"/>
          <w:szCs w:val="20"/>
        </w:rPr>
        <w:t xml:space="preserve">C for 60 min. </w:t>
      </w:r>
      <w:r w:rsidRPr="006C2AD5">
        <w:rPr>
          <w:i/>
          <w:iCs/>
          <w:sz w:val="20"/>
          <w:szCs w:val="20"/>
        </w:rPr>
        <w:t>Salmonella</w:t>
      </w:r>
      <w:r w:rsidRPr="006C2AD5">
        <w:rPr>
          <w:sz w:val="20"/>
          <w:szCs w:val="20"/>
        </w:rPr>
        <w:t xml:space="preserve"> detection was assess based on the detection of fluorescent signal (&gt; 1000 relative fluorescent unit [RFU]) at 495 nm.  </w:t>
      </w:r>
    </w:p>
    <w:p w14:paraId="7BA10287" w14:textId="77777777" w:rsidR="002E1183" w:rsidRPr="006C2AD5" w:rsidRDefault="002E1183" w:rsidP="002E1183">
      <w:pPr>
        <w:spacing w:line="480" w:lineRule="auto"/>
        <w:jc w:val="both"/>
        <w:rPr>
          <w:sz w:val="20"/>
          <w:szCs w:val="20"/>
        </w:rPr>
      </w:pPr>
    </w:p>
    <w:p w14:paraId="77162A2D" w14:textId="77777777" w:rsidR="00FE3ACD" w:rsidRPr="006C2AD5" w:rsidRDefault="00FE3ACD" w:rsidP="002E1183">
      <w:pPr>
        <w:spacing w:line="480" w:lineRule="auto"/>
        <w:jc w:val="both"/>
        <w:rPr>
          <w:sz w:val="20"/>
          <w:szCs w:val="20"/>
        </w:rPr>
      </w:pPr>
    </w:p>
    <w:p w14:paraId="74CD00C5" w14:textId="77777777" w:rsidR="00FE3ACD" w:rsidRPr="006C2AD5" w:rsidRDefault="00FE3ACD" w:rsidP="002E1183">
      <w:pPr>
        <w:spacing w:line="480" w:lineRule="auto"/>
        <w:jc w:val="both"/>
        <w:rPr>
          <w:sz w:val="20"/>
          <w:szCs w:val="20"/>
        </w:rPr>
      </w:pPr>
    </w:p>
    <w:p w14:paraId="58387DC3" w14:textId="77777777" w:rsidR="00FE3ACD" w:rsidRPr="006C2AD5" w:rsidRDefault="00FE3ACD" w:rsidP="002E1183">
      <w:pPr>
        <w:spacing w:line="480" w:lineRule="auto"/>
        <w:jc w:val="both"/>
        <w:rPr>
          <w:sz w:val="20"/>
          <w:szCs w:val="20"/>
        </w:rPr>
      </w:pPr>
    </w:p>
    <w:p w14:paraId="756800BD" w14:textId="77777777" w:rsidR="00FE3ACD" w:rsidRPr="006C2AD5" w:rsidRDefault="00FE3ACD" w:rsidP="002E1183">
      <w:pPr>
        <w:spacing w:line="480" w:lineRule="auto"/>
        <w:jc w:val="both"/>
        <w:rPr>
          <w:sz w:val="20"/>
          <w:szCs w:val="20"/>
        </w:rPr>
      </w:pPr>
    </w:p>
    <w:p w14:paraId="06C45523" w14:textId="77777777" w:rsidR="00FE3ACD" w:rsidRPr="006C2AD5" w:rsidRDefault="00FE3ACD" w:rsidP="002E1183">
      <w:pPr>
        <w:spacing w:line="480" w:lineRule="auto"/>
        <w:jc w:val="both"/>
        <w:rPr>
          <w:sz w:val="20"/>
          <w:szCs w:val="20"/>
        </w:rPr>
      </w:pPr>
    </w:p>
    <w:p w14:paraId="11F69E0A" w14:textId="77777777" w:rsidR="00FE3ACD" w:rsidRPr="006C2AD5" w:rsidRDefault="00FE3ACD" w:rsidP="002E1183">
      <w:pPr>
        <w:spacing w:line="480" w:lineRule="auto"/>
        <w:jc w:val="both"/>
        <w:rPr>
          <w:sz w:val="20"/>
          <w:szCs w:val="20"/>
        </w:rPr>
      </w:pPr>
    </w:p>
    <w:p w14:paraId="1CD998E7" w14:textId="77777777" w:rsidR="00FE3ACD" w:rsidRPr="006C2AD5" w:rsidRDefault="00FE3ACD" w:rsidP="002E1183">
      <w:pPr>
        <w:spacing w:line="480" w:lineRule="auto"/>
        <w:jc w:val="both"/>
        <w:rPr>
          <w:sz w:val="20"/>
          <w:szCs w:val="20"/>
        </w:rPr>
      </w:pPr>
    </w:p>
    <w:p w14:paraId="396938B6" w14:textId="77777777" w:rsidR="00FE3ACD" w:rsidRPr="006C2AD5" w:rsidRDefault="00FE3ACD" w:rsidP="002E1183">
      <w:pPr>
        <w:spacing w:line="480" w:lineRule="auto"/>
        <w:jc w:val="both"/>
        <w:rPr>
          <w:sz w:val="20"/>
          <w:szCs w:val="20"/>
        </w:rPr>
      </w:pPr>
    </w:p>
    <w:p w14:paraId="0E01D9E5" w14:textId="77777777" w:rsidR="00FE3ACD" w:rsidRPr="006C2AD5" w:rsidRDefault="00FE3ACD" w:rsidP="002E1183">
      <w:pPr>
        <w:spacing w:line="480" w:lineRule="auto"/>
        <w:jc w:val="both"/>
        <w:rPr>
          <w:sz w:val="20"/>
          <w:szCs w:val="20"/>
        </w:rPr>
      </w:pPr>
    </w:p>
    <w:p w14:paraId="6AEAFFCF" w14:textId="77777777" w:rsidR="002E1183" w:rsidRPr="006C2AD5" w:rsidRDefault="002E1183" w:rsidP="002E1183">
      <w:pPr>
        <w:spacing w:line="480" w:lineRule="auto"/>
        <w:jc w:val="both"/>
        <w:rPr>
          <w:sz w:val="20"/>
          <w:szCs w:val="20"/>
        </w:rPr>
      </w:pPr>
      <w:r w:rsidRPr="006C2AD5">
        <w:rPr>
          <w:noProof/>
          <w:sz w:val="20"/>
          <w:szCs w:val="20"/>
          <w14:ligatures w14:val="standardContextual"/>
        </w:rPr>
        <w:lastRenderedPageBreak/>
        <mc:AlternateContent>
          <mc:Choice Requires="wps">
            <w:drawing>
              <wp:anchor distT="0" distB="0" distL="114300" distR="114300" simplePos="0" relativeHeight="251662336" behindDoc="0" locked="0" layoutInCell="1" allowOverlap="1" wp14:anchorId="056F344F" wp14:editId="16366A22">
                <wp:simplePos x="0" y="0"/>
                <wp:positionH relativeFrom="column">
                  <wp:posOffset>2208362</wp:posOffset>
                </wp:positionH>
                <wp:positionV relativeFrom="paragraph">
                  <wp:posOffset>1992702</wp:posOffset>
                </wp:positionV>
                <wp:extent cx="914400" cy="198407"/>
                <wp:effectExtent l="0" t="0" r="635" b="5080"/>
                <wp:wrapNone/>
                <wp:docPr id="1175481885" name="Text Box 4"/>
                <wp:cNvGraphicFramePr/>
                <a:graphic xmlns:a="http://schemas.openxmlformats.org/drawingml/2006/main">
                  <a:graphicData uri="http://schemas.microsoft.com/office/word/2010/wordprocessingShape">
                    <wps:wsp>
                      <wps:cNvSpPr txBox="1"/>
                      <wps:spPr>
                        <a:xfrm>
                          <a:off x="0" y="0"/>
                          <a:ext cx="914400" cy="198407"/>
                        </a:xfrm>
                        <a:prstGeom prst="rect">
                          <a:avLst/>
                        </a:prstGeom>
                        <a:solidFill>
                          <a:schemeClr val="lt1"/>
                        </a:solidFill>
                        <a:ln w="6350">
                          <a:noFill/>
                        </a:ln>
                      </wps:spPr>
                      <wps:txbx>
                        <w:txbxContent>
                          <w:p w14:paraId="55539E5D" w14:textId="77777777" w:rsidR="002E1183" w:rsidRDefault="002E1183" w:rsidP="002E1183">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056F344F" id="_x0000_t202" coordsize="21600,21600" o:spt="202" path="m,l,21600r21600,l21600,xe">
                <v:stroke joinstyle="miter"/>
                <v:path gradientshapeok="t" o:connecttype="rect"/>
              </v:shapetype>
              <v:shape id="Text Box 4" o:spid="_x0000_s1026" type="#_x0000_t202" style="position:absolute;left:0;text-align:left;margin-left:173.9pt;margin-top:156.9pt;width:1in;height:15.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" fillcolor="white [3201]" stroked="f" strokeweight=".5pt">
                <v:textbox>
                  <w:txbxContent>
                    <w:p w14:paraId="55539E5D" w14:textId="77777777" w:rsidR="002E1183" w:rsidRDefault="002E1183" w:rsidP="002E1183">
                      <w:r>
                        <w:t>*</w:t>
                      </w:r>
                    </w:p>
                  </w:txbxContent>
                </v:textbox>
              </v:shape>
            </w:pict>
          </mc:Fallback>
        </mc:AlternateContent>
      </w:r>
      <w:r w:rsidRPr="006C2AD5">
        <w:rPr>
          <w:noProof/>
          <w:sz w:val="20"/>
          <w:szCs w:val="20"/>
          <w14:ligatures w14:val="standardContextual"/>
        </w:rPr>
        <mc:AlternateContent>
          <mc:Choice Requires="wps">
            <w:drawing>
              <wp:anchor distT="0" distB="0" distL="114300" distR="114300" simplePos="0" relativeHeight="251661312" behindDoc="0" locked="0" layoutInCell="1" allowOverlap="1" wp14:anchorId="40924D01" wp14:editId="47A0F11C">
                <wp:simplePos x="0" y="0"/>
                <wp:positionH relativeFrom="column">
                  <wp:posOffset>1216325</wp:posOffset>
                </wp:positionH>
                <wp:positionV relativeFrom="paragraph">
                  <wp:posOffset>2251494</wp:posOffset>
                </wp:positionV>
                <wp:extent cx="2294626" cy="0"/>
                <wp:effectExtent l="0" t="12700" r="17145" b="12700"/>
                <wp:wrapNone/>
                <wp:docPr id="2023933541" name="Straight Connector 3"/>
                <wp:cNvGraphicFramePr/>
                <a:graphic xmlns:a="http://schemas.openxmlformats.org/drawingml/2006/main">
                  <a:graphicData uri="http://schemas.microsoft.com/office/word/2010/wordprocessingShape">
                    <wps:wsp>
                      <wps:cNvCnPr/>
                      <wps:spPr>
                        <a:xfrm>
                          <a:off x="0" y="0"/>
                          <a:ext cx="2294626"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1F5EB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75pt,177.3pt" to="276.45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" strokecolor="black [3213]" strokeweight="2pt">
                <v:stroke joinstyle="miter"/>
              </v:line>
            </w:pict>
          </mc:Fallback>
        </mc:AlternateContent>
      </w:r>
      <w:r w:rsidRPr="006C2AD5">
        <w:rPr>
          <w:noProof/>
          <w:sz w:val="20"/>
          <w:szCs w:val="20"/>
        </w:rPr>
        <w:drawing>
          <wp:anchor distT="0" distB="0" distL="114300" distR="114300" simplePos="0" relativeHeight="251663360" behindDoc="0" locked="0" layoutInCell="1" allowOverlap="1" wp14:anchorId="044E9F89" wp14:editId="1F929A75">
            <wp:simplePos x="0" y="0"/>
            <wp:positionH relativeFrom="column">
              <wp:posOffset>0</wp:posOffset>
            </wp:positionH>
            <wp:positionV relativeFrom="paragraph">
              <wp:posOffset>0</wp:posOffset>
            </wp:positionV>
            <wp:extent cx="3785870" cy="3554095"/>
            <wp:effectExtent l="0" t="0" r="0" b="1905"/>
            <wp:wrapSquare wrapText="bothSides"/>
            <wp:docPr id="65757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76058" name=""/>
                    <pic:cNvPicPr/>
                  </pic:nvPicPr>
                  <pic:blipFill rotWithShape="1">
                    <a:blip r:embed="rId8">
                      <a:extLst>
                        <a:ext uri="{28A0092B-C50C-407E-A947-70E740481C1C}">
                          <a14:useLocalDpi xmlns:a14="http://schemas.microsoft.com/office/drawing/2010/main" val="0"/>
                        </a:ext>
                      </a:extLst>
                    </a:blip>
                    <a:srcRect t="4604" r="18997"/>
                    <a:stretch/>
                  </pic:blipFill>
                  <pic:spPr bwMode="auto">
                    <a:xfrm>
                      <a:off x="0" y="0"/>
                      <a:ext cx="3785870" cy="355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9673B3" w14:textId="54649153" w:rsidR="005C7B60" w:rsidRPr="006C2AD5" w:rsidRDefault="002E1183" w:rsidP="00123DA7">
      <w:pPr>
        <w:spacing w:line="480" w:lineRule="auto"/>
        <w:rPr>
          <w:sz w:val="20"/>
          <w:szCs w:val="20"/>
        </w:rPr>
      </w:pPr>
      <w:r w:rsidRPr="006C2AD5">
        <w:rPr>
          <w:b/>
          <w:bCs/>
          <w:sz w:val="20"/>
          <w:szCs w:val="20"/>
        </w:rPr>
        <w:t>Figure 1.</w:t>
      </w:r>
      <w:r w:rsidRPr="006C2AD5">
        <w:rPr>
          <w:sz w:val="20"/>
          <w:szCs w:val="20"/>
        </w:rPr>
        <w:t xml:space="preserve"> Impact of “air pump” on the final volume extract using the HyperPen. The Box plot is divided based on the number of air pump conducted during the HyperKit SOP. N= 5 reps per group. Blue line: smooth curve.  A black dot indicates a recorded volume. Star indicates significant (P&lt;0.01) lower extracted volume between 0 “air pump” group and the 2-10 “air pump” groups.</w:t>
      </w:r>
    </w:p>
    <w:sectPr w:rsidR="005C7B60" w:rsidRPr="006C2AD5" w:rsidSect="00FE3A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2493F"/>
    <w:multiLevelType w:val="hybridMultilevel"/>
    <w:tmpl w:val="4EBE4304"/>
    <w:lvl w:ilvl="0" w:tplc="177A01F4">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6E7AFB"/>
    <w:multiLevelType w:val="multilevel"/>
    <w:tmpl w:val="9420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A14E2"/>
    <w:multiLevelType w:val="multilevel"/>
    <w:tmpl w:val="D3504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2687352">
    <w:abstractNumId w:val="0"/>
  </w:num>
  <w:num w:numId="2" w16cid:durableId="698242649">
    <w:abstractNumId w:val="2"/>
  </w:num>
  <w:num w:numId="3" w16cid:durableId="152339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60"/>
    <w:rsid w:val="000A3D61"/>
    <w:rsid w:val="000B4A9C"/>
    <w:rsid w:val="00123DA7"/>
    <w:rsid w:val="001635D6"/>
    <w:rsid w:val="001D14F6"/>
    <w:rsid w:val="002034C2"/>
    <w:rsid w:val="002E1183"/>
    <w:rsid w:val="003701E7"/>
    <w:rsid w:val="00563146"/>
    <w:rsid w:val="005C3D3E"/>
    <w:rsid w:val="005C7B60"/>
    <w:rsid w:val="006C2AD5"/>
    <w:rsid w:val="00941C13"/>
    <w:rsid w:val="00957597"/>
    <w:rsid w:val="00AF26CC"/>
    <w:rsid w:val="00C150EF"/>
    <w:rsid w:val="00C266D7"/>
    <w:rsid w:val="00CD52C0"/>
    <w:rsid w:val="00D9102F"/>
    <w:rsid w:val="00E221F5"/>
    <w:rsid w:val="00F35595"/>
    <w:rsid w:val="00FE3A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21D3"/>
  <w15:chartTrackingRefBased/>
  <w15:docId w15:val="{16FC619D-2A03-45D2-A530-2A7B777F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83"/>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C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60"/>
    <w:rPr>
      <w:rFonts w:eastAsiaTheme="majorEastAsia" w:cstheme="majorBidi"/>
      <w:color w:val="272727" w:themeColor="text1" w:themeTint="D8"/>
    </w:rPr>
  </w:style>
  <w:style w:type="paragraph" w:styleId="Title">
    <w:name w:val="Title"/>
    <w:basedOn w:val="Normal"/>
    <w:next w:val="Normal"/>
    <w:link w:val="TitleChar"/>
    <w:uiPriority w:val="10"/>
    <w:qFormat/>
    <w:rsid w:val="005C7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60"/>
    <w:pPr>
      <w:spacing w:before="160"/>
      <w:jc w:val="center"/>
    </w:pPr>
    <w:rPr>
      <w:i/>
      <w:iCs/>
      <w:color w:val="404040" w:themeColor="text1" w:themeTint="BF"/>
    </w:rPr>
  </w:style>
  <w:style w:type="character" w:customStyle="1" w:styleId="QuoteChar">
    <w:name w:val="Quote Char"/>
    <w:basedOn w:val="DefaultParagraphFont"/>
    <w:link w:val="Quote"/>
    <w:uiPriority w:val="29"/>
    <w:rsid w:val="005C7B60"/>
    <w:rPr>
      <w:i/>
      <w:iCs/>
      <w:color w:val="404040" w:themeColor="text1" w:themeTint="BF"/>
    </w:rPr>
  </w:style>
  <w:style w:type="paragraph" w:styleId="ListParagraph">
    <w:name w:val="List Paragraph"/>
    <w:basedOn w:val="Normal"/>
    <w:uiPriority w:val="34"/>
    <w:qFormat/>
    <w:rsid w:val="005C7B60"/>
    <w:pPr>
      <w:ind w:left="720"/>
      <w:contextualSpacing/>
    </w:pPr>
  </w:style>
  <w:style w:type="character" w:styleId="IntenseEmphasis">
    <w:name w:val="Intense Emphasis"/>
    <w:basedOn w:val="DefaultParagraphFont"/>
    <w:uiPriority w:val="21"/>
    <w:qFormat/>
    <w:rsid w:val="005C7B60"/>
    <w:rPr>
      <w:i/>
      <w:iCs/>
      <w:color w:val="0F4761" w:themeColor="accent1" w:themeShade="BF"/>
    </w:rPr>
  </w:style>
  <w:style w:type="paragraph" w:styleId="IntenseQuote">
    <w:name w:val="Intense Quote"/>
    <w:basedOn w:val="Normal"/>
    <w:next w:val="Normal"/>
    <w:link w:val="IntenseQuoteChar"/>
    <w:uiPriority w:val="30"/>
    <w:qFormat/>
    <w:rsid w:val="005C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B60"/>
    <w:rPr>
      <w:i/>
      <w:iCs/>
      <w:color w:val="0F4761" w:themeColor="accent1" w:themeShade="BF"/>
    </w:rPr>
  </w:style>
  <w:style w:type="character" w:styleId="IntenseReference">
    <w:name w:val="Intense Reference"/>
    <w:basedOn w:val="DefaultParagraphFont"/>
    <w:uiPriority w:val="32"/>
    <w:qFormat/>
    <w:rsid w:val="005C7B60"/>
    <w:rPr>
      <w:b/>
      <w:bCs/>
      <w:smallCaps/>
      <w:color w:val="0F4761" w:themeColor="accent1" w:themeShade="BF"/>
      <w:spacing w:val="5"/>
    </w:rPr>
  </w:style>
  <w:style w:type="character" w:styleId="Strong">
    <w:name w:val="Strong"/>
    <w:basedOn w:val="DefaultParagraphFont"/>
    <w:uiPriority w:val="22"/>
    <w:qFormat/>
    <w:rsid w:val="002E1183"/>
    <w:rPr>
      <w:b/>
      <w:bCs/>
    </w:rPr>
  </w:style>
  <w:style w:type="character" w:styleId="Emphasis">
    <w:name w:val="Emphasis"/>
    <w:basedOn w:val="DefaultParagraphFont"/>
    <w:uiPriority w:val="20"/>
    <w:qFormat/>
    <w:rsid w:val="002E1183"/>
    <w:rPr>
      <w:i/>
      <w:iCs/>
    </w:rPr>
  </w:style>
  <w:style w:type="character" w:styleId="CommentReference">
    <w:name w:val="annotation reference"/>
    <w:basedOn w:val="DefaultParagraphFont"/>
    <w:uiPriority w:val="99"/>
    <w:semiHidden/>
    <w:unhideWhenUsed/>
    <w:rsid w:val="002E1183"/>
    <w:rPr>
      <w:sz w:val="18"/>
      <w:szCs w:val="18"/>
    </w:rPr>
  </w:style>
  <w:style w:type="paragraph" w:styleId="CommentText">
    <w:name w:val="annotation text"/>
    <w:basedOn w:val="Normal"/>
    <w:link w:val="CommentTextChar"/>
    <w:uiPriority w:val="99"/>
    <w:unhideWhenUsed/>
    <w:rsid w:val="002E1183"/>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2E1183"/>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852</Words>
  <Characters>4863</Characters>
  <Application>Microsoft Office Word</Application>
  <DocSecurity>0</DocSecurity>
  <Lines>40</Lines>
  <Paragraphs>11</Paragraphs>
  <ScaleCrop>false</ScaleCrop>
  <Company>HP</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Sathish Kumar, Anitha</dc:creator>
  <cp:keywords/>
  <dc:description/>
  <cp:lastModifiedBy>Loïc DEBLAIS</cp:lastModifiedBy>
  <cp:revision>20</cp:revision>
  <dcterms:created xsi:type="dcterms:W3CDTF">2025-07-03T18:19:00Z</dcterms:created>
  <dcterms:modified xsi:type="dcterms:W3CDTF">2025-10-23T22:05:00Z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d42c2f39-f1d9-4bf5-9546-16011991e798</vt:lpwstr>
  </property>
</Properties>
</file>