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C9FE" w14:textId="2251F6AF" w:rsidR="002E203A" w:rsidRPr="00F609F7" w:rsidRDefault="002E203A">
      <w:pPr>
        <w:rPr>
          <w:rFonts w:cstheme="minorHAnsi"/>
          <w:b/>
          <w:sz w:val="24"/>
          <w:szCs w:val="24"/>
          <w:lang w:val="en-GB"/>
        </w:rPr>
      </w:pPr>
      <w:r w:rsidRPr="00F609F7">
        <w:rPr>
          <w:rFonts w:cstheme="minorHAnsi"/>
          <w:b/>
          <w:sz w:val="24"/>
          <w:szCs w:val="24"/>
          <w:lang w:val="en-GB"/>
        </w:rPr>
        <w:t>SUPPLEMENTARY MATERIAL</w:t>
      </w:r>
    </w:p>
    <w:p w14:paraId="4349CA7E" w14:textId="77777777" w:rsidR="002E203A" w:rsidRPr="00F609F7" w:rsidRDefault="002E203A">
      <w:pPr>
        <w:rPr>
          <w:rFonts w:cstheme="minorHAnsi"/>
          <w:lang w:val="en-GB"/>
        </w:rPr>
      </w:pPr>
    </w:p>
    <w:p w14:paraId="31F50660" w14:textId="5DE70557" w:rsidR="002E203A" w:rsidRPr="00F609F7" w:rsidRDefault="002E203A">
      <w:pPr>
        <w:rPr>
          <w:rFonts w:cstheme="minorHAnsi"/>
          <w:b/>
          <w:sz w:val="20"/>
          <w:szCs w:val="20"/>
          <w:lang w:val="en-GB"/>
        </w:rPr>
      </w:pPr>
      <w:r w:rsidRPr="00F609F7">
        <w:rPr>
          <w:rFonts w:cstheme="minorHAnsi"/>
          <w:b/>
          <w:sz w:val="20"/>
          <w:szCs w:val="20"/>
          <w:lang w:val="en-GB"/>
        </w:rPr>
        <w:t>Table of contents</w:t>
      </w:r>
      <w:r w:rsidR="00DE090D" w:rsidRPr="00F609F7">
        <w:rPr>
          <w:rFonts w:cstheme="minorHAnsi"/>
          <w:b/>
          <w:sz w:val="20"/>
          <w:szCs w:val="20"/>
          <w:lang w:val="en-GB"/>
        </w:rPr>
        <w:tab/>
      </w:r>
      <w:r w:rsidR="00DE090D" w:rsidRPr="00F609F7">
        <w:rPr>
          <w:rFonts w:cstheme="minorHAnsi"/>
          <w:b/>
          <w:sz w:val="20"/>
          <w:szCs w:val="20"/>
          <w:lang w:val="en-GB"/>
        </w:rPr>
        <w:tab/>
      </w:r>
      <w:r w:rsidR="00DE090D" w:rsidRPr="00F609F7">
        <w:rPr>
          <w:rFonts w:cstheme="minorHAnsi"/>
          <w:b/>
          <w:sz w:val="20"/>
          <w:szCs w:val="20"/>
          <w:lang w:val="en-GB"/>
        </w:rPr>
        <w:tab/>
      </w:r>
      <w:r w:rsidR="00DE090D" w:rsidRPr="00F609F7">
        <w:rPr>
          <w:rFonts w:cstheme="minorHAnsi"/>
          <w:b/>
          <w:sz w:val="20"/>
          <w:szCs w:val="20"/>
          <w:lang w:val="en-GB"/>
        </w:rPr>
        <w:tab/>
      </w:r>
      <w:r w:rsidR="00DE090D" w:rsidRPr="00F609F7">
        <w:rPr>
          <w:rFonts w:cstheme="minorHAnsi"/>
          <w:b/>
          <w:sz w:val="20"/>
          <w:szCs w:val="20"/>
          <w:lang w:val="en-GB"/>
        </w:rPr>
        <w:tab/>
      </w:r>
      <w:r w:rsidR="00DE090D" w:rsidRPr="00F609F7">
        <w:rPr>
          <w:rFonts w:cstheme="minorHAnsi"/>
          <w:b/>
          <w:sz w:val="20"/>
          <w:szCs w:val="20"/>
          <w:lang w:val="en-GB"/>
        </w:rPr>
        <w:tab/>
      </w:r>
      <w:r w:rsidR="00DE090D" w:rsidRPr="00F609F7">
        <w:rPr>
          <w:rFonts w:cstheme="minorHAnsi"/>
          <w:b/>
          <w:sz w:val="20"/>
          <w:szCs w:val="20"/>
          <w:lang w:val="en-GB"/>
        </w:rPr>
        <w:tab/>
      </w:r>
      <w:r w:rsidR="00DE090D" w:rsidRPr="00F609F7">
        <w:rPr>
          <w:rFonts w:cstheme="minorHAnsi"/>
          <w:b/>
          <w:sz w:val="20"/>
          <w:szCs w:val="20"/>
          <w:lang w:val="en-GB"/>
        </w:rPr>
        <w:tab/>
      </w:r>
      <w:r w:rsidR="00DE090D" w:rsidRPr="00F609F7">
        <w:rPr>
          <w:rFonts w:cstheme="minorHAnsi"/>
          <w:b/>
          <w:sz w:val="20"/>
          <w:szCs w:val="20"/>
          <w:lang w:val="en-GB"/>
        </w:rPr>
        <w:tab/>
      </w:r>
      <w:r w:rsidR="00DE090D" w:rsidRPr="00F609F7">
        <w:rPr>
          <w:rFonts w:cstheme="minorHAnsi"/>
          <w:b/>
          <w:sz w:val="20"/>
          <w:szCs w:val="20"/>
          <w:lang w:val="en-GB"/>
        </w:rPr>
        <w:tab/>
        <w:t>Page</w:t>
      </w:r>
    </w:p>
    <w:tbl>
      <w:tblPr>
        <w:tblStyle w:val="Tabellenraster"/>
        <w:tblW w:w="9173" w:type="dxa"/>
        <w:tblLayout w:type="fixed"/>
        <w:tblLook w:val="04A0" w:firstRow="1" w:lastRow="0" w:firstColumn="1" w:lastColumn="0" w:noHBand="0" w:noVBand="1"/>
      </w:tblPr>
      <w:tblGrid>
        <w:gridCol w:w="8657"/>
        <w:gridCol w:w="516"/>
      </w:tblGrid>
      <w:tr w:rsidR="00E8340B" w:rsidRPr="00F609F7" w14:paraId="41007D05" w14:textId="77777777" w:rsidTr="00F609F7">
        <w:trPr>
          <w:trHeight w:val="227"/>
        </w:trPr>
        <w:tc>
          <w:tcPr>
            <w:tcW w:w="8657" w:type="dxa"/>
          </w:tcPr>
          <w:p w14:paraId="2120C2F4" w14:textId="163C8A85" w:rsidR="00E8340B" w:rsidRPr="00F609F7" w:rsidRDefault="00E8340B" w:rsidP="00A97225">
            <w:pPr>
              <w:pStyle w:val="KeinLeerraum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F609F7">
              <w:rPr>
                <w:rFonts w:cstheme="minorHAnsi"/>
                <w:sz w:val="20"/>
                <w:szCs w:val="20"/>
                <w:lang w:val="en-GB"/>
              </w:rPr>
              <w:t>Data sources</w:t>
            </w:r>
          </w:p>
        </w:tc>
        <w:tc>
          <w:tcPr>
            <w:tcW w:w="516" w:type="dxa"/>
          </w:tcPr>
          <w:p w14:paraId="00E3DF77" w14:textId="7E780842" w:rsidR="00E8340B" w:rsidRPr="00F609F7" w:rsidRDefault="0027489E" w:rsidP="00A97225">
            <w:pPr>
              <w:pStyle w:val="KeinLeerraum"/>
              <w:rPr>
                <w:rFonts w:cstheme="minorHAnsi"/>
                <w:sz w:val="20"/>
                <w:szCs w:val="20"/>
                <w:lang w:val="en-GB"/>
              </w:rPr>
            </w:pPr>
            <w:r w:rsidRPr="00F609F7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</w:tr>
      <w:tr w:rsidR="00F609F7" w:rsidRPr="00F609F7" w14:paraId="1376E812" w14:textId="77777777" w:rsidTr="00F609F7">
        <w:trPr>
          <w:trHeight w:val="227"/>
        </w:trPr>
        <w:tc>
          <w:tcPr>
            <w:tcW w:w="8657" w:type="dxa"/>
          </w:tcPr>
          <w:p w14:paraId="0D54FCCA" w14:textId="6F263F21" w:rsidR="00F609F7" w:rsidRPr="00F609F7" w:rsidRDefault="00F609F7" w:rsidP="00F609F7">
            <w:pPr>
              <w:pStyle w:val="KeinLeerraum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F609F7">
              <w:rPr>
                <w:rFonts w:cstheme="minorHAnsi"/>
                <w:sz w:val="20"/>
                <w:szCs w:val="20"/>
                <w:lang w:val="en-GB"/>
              </w:rPr>
              <w:t>Applied equations</w:t>
            </w:r>
          </w:p>
        </w:tc>
        <w:tc>
          <w:tcPr>
            <w:tcW w:w="516" w:type="dxa"/>
          </w:tcPr>
          <w:p w14:paraId="10727ECB" w14:textId="745F40AE" w:rsidR="00F609F7" w:rsidRPr="00F609F7" w:rsidRDefault="00F609F7" w:rsidP="00F609F7">
            <w:pPr>
              <w:pStyle w:val="KeinLeerraum"/>
              <w:rPr>
                <w:rFonts w:cstheme="minorHAnsi"/>
                <w:sz w:val="20"/>
                <w:szCs w:val="20"/>
                <w:lang w:val="en-GB"/>
              </w:rPr>
            </w:pPr>
            <w:r w:rsidRPr="00F609F7">
              <w:rPr>
                <w:rFonts w:cstheme="minorHAnsi"/>
                <w:sz w:val="20"/>
                <w:szCs w:val="20"/>
                <w:lang w:val="en-GB"/>
              </w:rPr>
              <w:t>3</w:t>
            </w:r>
          </w:p>
        </w:tc>
      </w:tr>
    </w:tbl>
    <w:p w14:paraId="694212E5" w14:textId="77777777" w:rsidR="005A389C" w:rsidRPr="00F609F7" w:rsidRDefault="005A389C" w:rsidP="008451C3">
      <w:pPr>
        <w:jc w:val="both"/>
        <w:rPr>
          <w:rFonts w:eastAsiaTheme="minorEastAsia" w:cstheme="minorHAnsi"/>
          <w:b/>
          <w:sz w:val="20"/>
          <w:szCs w:val="20"/>
          <w:lang w:val="en-GB"/>
        </w:rPr>
      </w:pPr>
    </w:p>
    <w:p w14:paraId="21FCBCD6" w14:textId="56B54568" w:rsidR="005A389C" w:rsidRPr="00F609F7" w:rsidRDefault="005A389C" w:rsidP="005A389C">
      <w:pPr>
        <w:rPr>
          <w:rFonts w:eastAsiaTheme="minorEastAsia" w:cstheme="minorHAnsi"/>
          <w:b/>
          <w:sz w:val="20"/>
          <w:szCs w:val="20"/>
          <w:lang w:val="en-GB"/>
        </w:rPr>
      </w:pPr>
      <w:r w:rsidRPr="00F609F7">
        <w:rPr>
          <w:rFonts w:eastAsiaTheme="minorEastAsia" w:cstheme="minorHAnsi"/>
          <w:b/>
          <w:sz w:val="20"/>
          <w:szCs w:val="20"/>
          <w:lang w:val="en-GB"/>
        </w:rPr>
        <w:br w:type="page"/>
      </w:r>
      <w:r w:rsidRPr="00F609F7">
        <w:rPr>
          <w:rFonts w:eastAsiaTheme="minorEastAsia" w:cstheme="minorHAnsi"/>
          <w:b/>
          <w:sz w:val="20"/>
          <w:szCs w:val="20"/>
          <w:lang w:val="en-GB"/>
        </w:rPr>
        <w:lastRenderedPageBreak/>
        <w:t>D</w:t>
      </w:r>
      <w:r w:rsidR="006825BA" w:rsidRPr="00F609F7">
        <w:rPr>
          <w:rFonts w:eastAsiaTheme="minorEastAsia" w:cstheme="minorHAnsi"/>
          <w:b/>
          <w:sz w:val="20"/>
          <w:szCs w:val="20"/>
          <w:lang w:val="en-GB"/>
        </w:rPr>
        <w:t>ata sources</w:t>
      </w:r>
      <w:r w:rsidRPr="00F609F7">
        <w:rPr>
          <w:rFonts w:eastAsiaTheme="minorEastAsia" w:cstheme="minorHAnsi"/>
          <w:b/>
          <w:sz w:val="20"/>
          <w:szCs w:val="20"/>
          <w:lang w:val="en-GB"/>
        </w:rPr>
        <w:t>:</w:t>
      </w:r>
    </w:p>
    <w:p w14:paraId="781BC051" w14:textId="7CBED15A" w:rsidR="008451C3" w:rsidRPr="00F609F7" w:rsidRDefault="005A389C" w:rsidP="008451C3">
      <w:pPr>
        <w:jc w:val="both"/>
        <w:rPr>
          <w:rFonts w:eastAsiaTheme="minorEastAsia" w:cstheme="minorHAnsi"/>
          <w:sz w:val="20"/>
          <w:szCs w:val="20"/>
          <w:lang w:val="en-GB"/>
        </w:rPr>
      </w:pPr>
      <w:r w:rsidRPr="00F609F7">
        <w:rPr>
          <w:rFonts w:eastAsiaTheme="minorEastAsia" w:cstheme="minorHAnsi"/>
          <w:sz w:val="20"/>
          <w:szCs w:val="20"/>
          <w:lang w:val="en-GB"/>
        </w:rPr>
        <w:t xml:space="preserve">Used sources to </w:t>
      </w:r>
      <w:proofErr w:type="spellStart"/>
      <w:r w:rsidRPr="00F609F7">
        <w:rPr>
          <w:rFonts w:eastAsiaTheme="minorEastAsia" w:cstheme="minorHAnsi"/>
          <w:sz w:val="20"/>
          <w:szCs w:val="20"/>
          <w:lang w:val="en-GB"/>
        </w:rPr>
        <w:t>analyze</w:t>
      </w:r>
      <w:proofErr w:type="spellEnd"/>
      <w:r w:rsidR="006825BA" w:rsidRPr="00F609F7">
        <w:rPr>
          <w:rFonts w:eastAsiaTheme="minorEastAsia" w:cstheme="minorHAnsi"/>
          <w:sz w:val="20"/>
          <w:szCs w:val="20"/>
          <w:lang w:val="en-GB"/>
        </w:rPr>
        <w:t xml:space="preserve"> the risk of carrying haemoglobinopathies in pregnancy in Germany and the German </w:t>
      </w:r>
      <w:r w:rsidR="00E8340B" w:rsidRPr="00F609F7">
        <w:rPr>
          <w:rFonts w:eastAsiaTheme="minorEastAsia" w:cstheme="minorHAnsi"/>
          <w:sz w:val="20"/>
          <w:szCs w:val="20"/>
          <w:lang w:val="en-GB"/>
        </w:rPr>
        <w:t>federal states</w:t>
      </w:r>
      <w:r w:rsidR="006825BA" w:rsidRPr="00F609F7">
        <w:rPr>
          <w:rFonts w:eastAsiaTheme="minorEastAsia" w:cstheme="minorHAnsi"/>
          <w:sz w:val="20"/>
          <w:szCs w:val="20"/>
          <w:lang w:val="en-GB"/>
        </w:rPr>
        <w:t xml:space="preserve"> (</w:t>
      </w:r>
      <w:r w:rsidR="00F609F7">
        <w:rPr>
          <w:rFonts w:eastAsiaTheme="minorEastAsia" w:cstheme="minorHAnsi"/>
          <w:sz w:val="20"/>
          <w:szCs w:val="20"/>
          <w:lang w:val="en-GB"/>
        </w:rPr>
        <w:t>figures and supplementary tables</w:t>
      </w:r>
      <w:r w:rsidR="006825BA" w:rsidRPr="00F609F7">
        <w:rPr>
          <w:rFonts w:eastAsiaTheme="minorEastAsia" w:cstheme="minorHAnsi"/>
          <w:sz w:val="20"/>
          <w:szCs w:val="20"/>
          <w:lang w:val="en-GB"/>
        </w:rPr>
        <w:t>):</w:t>
      </w:r>
    </w:p>
    <w:p w14:paraId="460E6798" w14:textId="77777777" w:rsidR="00615D0D" w:rsidRPr="00F609F7" w:rsidRDefault="00615D0D" w:rsidP="00615D0D">
      <w:pPr>
        <w:pStyle w:val="Listenabsatz"/>
        <w:jc w:val="both"/>
        <w:rPr>
          <w:rFonts w:eastAsiaTheme="minorEastAsia" w:cstheme="minorHAnsi"/>
          <w:sz w:val="20"/>
          <w:szCs w:val="20"/>
          <w:lang w:val="en-GB"/>
        </w:rPr>
      </w:pPr>
    </w:p>
    <w:p w14:paraId="5BADD803" w14:textId="77777777" w:rsidR="008451C3" w:rsidRPr="00F609F7" w:rsidRDefault="008451C3" w:rsidP="008451C3">
      <w:pPr>
        <w:pStyle w:val="Listenabsatz"/>
        <w:numPr>
          <w:ilvl w:val="0"/>
          <w:numId w:val="3"/>
        </w:numPr>
        <w:jc w:val="both"/>
        <w:rPr>
          <w:rFonts w:eastAsiaTheme="minorEastAsia" w:cstheme="minorHAnsi"/>
          <w:sz w:val="20"/>
          <w:szCs w:val="20"/>
          <w:u w:val="single"/>
          <w:lang w:val="en-GB"/>
        </w:rPr>
      </w:pPr>
      <w:r w:rsidRPr="00F609F7">
        <w:rPr>
          <w:rFonts w:eastAsiaTheme="minorEastAsia" w:cstheme="minorHAnsi"/>
          <w:sz w:val="20"/>
          <w:szCs w:val="20"/>
          <w:u w:val="single"/>
          <w:lang w:val="en-GB"/>
        </w:rPr>
        <w:t xml:space="preserve">Number of women in childbearing age in Germany and in German federal states by country-of-origin: </w:t>
      </w:r>
    </w:p>
    <w:p w14:paraId="3744DD35" w14:textId="0DA40B5E" w:rsidR="008451C3" w:rsidRPr="00B56E9E" w:rsidRDefault="008451C3" w:rsidP="00B56E9E">
      <w:pPr>
        <w:pStyle w:val="Listenabsatz"/>
        <w:jc w:val="both"/>
        <w:rPr>
          <w:rFonts w:eastAsiaTheme="minorEastAsia" w:cstheme="minorHAnsi"/>
          <w:sz w:val="20"/>
          <w:szCs w:val="20"/>
        </w:rPr>
      </w:pPr>
      <w:r w:rsidRPr="00F609F7">
        <w:rPr>
          <w:rFonts w:eastAsiaTheme="minorEastAsia" w:cstheme="minorHAnsi"/>
          <w:sz w:val="20"/>
          <w:szCs w:val="20"/>
          <w:lang w:val="en-GB"/>
        </w:rPr>
        <w:t xml:space="preserve">online database of the German Federal Statistical Office (GENESIS): https://www-genesis.destatis.de/genesis/online. </w:t>
      </w:r>
      <w:r w:rsidRPr="00F609F7">
        <w:rPr>
          <w:rFonts w:eastAsiaTheme="minorEastAsia" w:cstheme="minorHAnsi"/>
          <w:sz w:val="20"/>
          <w:szCs w:val="20"/>
        </w:rPr>
        <w:t xml:space="preserve">Table </w:t>
      </w:r>
      <w:proofErr w:type="spellStart"/>
      <w:r w:rsidRPr="00F609F7">
        <w:rPr>
          <w:rFonts w:eastAsiaTheme="minorEastAsia" w:cstheme="minorHAnsi"/>
          <w:sz w:val="20"/>
          <w:szCs w:val="20"/>
        </w:rPr>
        <w:t>number</w:t>
      </w:r>
      <w:proofErr w:type="spellEnd"/>
      <w:r w:rsidRPr="00F609F7">
        <w:rPr>
          <w:rFonts w:eastAsiaTheme="minorEastAsia" w:cstheme="minorHAnsi"/>
          <w:sz w:val="20"/>
          <w:szCs w:val="20"/>
        </w:rPr>
        <w:t>: 12521-0022. Title: “</w:t>
      </w:r>
      <w:r w:rsidRPr="00F609F7">
        <w:rPr>
          <w:rFonts w:eastAsiaTheme="minorEastAsia" w:cstheme="minorHAnsi"/>
          <w:i/>
          <w:sz w:val="20"/>
          <w:szCs w:val="20"/>
        </w:rPr>
        <w:t>Ausländer: Bundesländer, Stichtag, Geschlecht, Altersjahre, Ländergruppierungen/Staatsangehörigkeit</w:t>
      </w:r>
      <w:r w:rsidRPr="00F609F7">
        <w:rPr>
          <w:rFonts w:eastAsiaTheme="minorEastAsia" w:cstheme="minorHAnsi"/>
          <w:sz w:val="20"/>
          <w:szCs w:val="20"/>
        </w:rPr>
        <w:t xml:space="preserve">”. </w:t>
      </w:r>
      <w:r w:rsidRPr="00F30AD3">
        <w:rPr>
          <w:rFonts w:eastAsiaTheme="minorEastAsia" w:cstheme="minorHAnsi"/>
          <w:sz w:val="20"/>
          <w:szCs w:val="20"/>
        </w:rPr>
        <w:t xml:space="preserve">Access date: </w:t>
      </w:r>
      <w:r w:rsidR="00F30AD3" w:rsidRPr="00F30AD3">
        <w:rPr>
          <w:rFonts w:eastAsiaTheme="minorEastAsia" w:cstheme="minorHAnsi"/>
          <w:sz w:val="20"/>
          <w:szCs w:val="20"/>
        </w:rPr>
        <w:t>18</w:t>
      </w:r>
      <w:r w:rsidRPr="00F30AD3">
        <w:rPr>
          <w:rFonts w:eastAsiaTheme="minorEastAsia" w:cstheme="minorHAnsi"/>
          <w:sz w:val="20"/>
          <w:szCs w:val="20"/>
        </w:rPr>
        <w:t>.0</w:t>
      </w:r>
      <w:r w:rsidR="00F30AD3" w:rsidRPr="00F30AD3">
        <w:rPr>
          <w:rFonts w:eastAsiaTheme="minorEastAsia" w:cstheme="minorHAnsi"/>
          <w:sz w:val="20"/>
          <w:szCs w:val="20"/>
        </w:rPr>
        <w:t>7</w:t>
      </w:r>
      <w:r w:rsidRPr="00F30AD3">
        <w:rPr>
          <w:rFonts w:eastAsiaTheme="minorEastAsia" w:cstheme="minorHAnsi"/>
          <w:sz w:val="20"/>
          <w:szCs w:val="20"/>
        </w:rPr>
        <w:t>.202</w:t>
      </w:r>
      <w:r w:rsidR="00F30AD3" w:rsidRPr="00F30AD3">
        <w:rPr>
          <w:rFonts w:eastAsiaTheme="minorEastAsia" w:cstheme="minorHAnsi"/>
          <w:sz w:val="20"/>
          <w:szCs w:val="20"/>
        </w:rPr>
        <w:t xml:space="preserve">5. </w:t>
      </w:r>
      <w:r w:rsidR="00F30AD3" w:rsidRPr="00F609F7">
        <w:rPr>
          <w:rFonts w:eastAsiaTheme="minorEastAsia" w:cstheme="minorHAnsi"/>
          <w:sz w:val="20"/>
          <w:szCs w:val="20"/>
        </w:rPr>
        <w:t xml:space="preserve">Table </w:t>
      </w:r>
      <w:proofErr w:type="spellStart"/>
      <w:r w:rsidR="00F30AD3" w:rsidRPr="00F609F7">
        <w:rPr>
          <w:rFonts w:eastAsiaTheme="minorEastAsia" w:cstheme="minorHAnsi"/>
          <w:sz w:val="20"/>
          <w:szCs w:val="20"/>
        </w:rPr>
        <w:t>number</w:t>
      </w:r>
      <w:proofErr w:type="spellEnd"/>
      <w:r w:rsidR="00F30AD3" w:rsidRPr="00F609F7">
        <w:rPr>
          <w:rFonts w:eastAsiaTheme="minorEastAsia" w:cstheme="minorHAnsi"/>
          <w:sz w:val="20"/>
          <w:szCs w:val="20"/>
        </w:rPr>
        <w:t xml:space="preserve">: </w:t>
      </w:r>
      <w:r w:rsidR="00F30AD3">
        <w:rPr>
          <w:rFonts w:eastAsiaTheme="minorEastAsia" w:cstheme="minorHAnsi"/>
          <w:sz w:val="20"/>
          <w:szCs w:val="20"/>
        </w:rPr>
        <w:t>12411</w:t>
      </w:r>
      <w:r w:rsidR="00F30AD3" w:rsidRPr="00F609F7">
        <w:rPr>
          <w:rFonts w:eastAsiaTheme="minorEastAsia" w:cstheme="minorHAnsi"/>
          <w:sz w:val="20"/>
          <w:szCs w:val="20"/>
        </w:rPr>
        <w:t>-00</w:t>
      </w:r>
      <w:r w:rsidR="00F30AD3">
        <w:rPr>
          <w:rFonts w:eastAsiaTheme="minorEastAsia" w:cstheme="minorHAnsi"/>
          <w:sz w:val="20"/>
          <w:szCs w:val="20"/>
        </w:rPr>
        <w:t>06</w:t>
      </w:r>
      <w:r w:rsidR="00F30AD3" w:rsidRPr="00F609F7">
        <w:rPr>
          <w:rFonts w:eastAsiaTheme="minorEastAsia" w:cstheme="minorHAnsi"/>
          <w:sz w:val="20"/>
          <w:szCs w:val="20"/>
        </w:rPr>
        <w:t>. Title: “</w:t>
      </w:r>
      <w:r w:rsidR="00F30AD3" w:rsidRPr="00F30AD3">
        <w:t xml:space="preserve"> </w:t>
      </w:r>
      <w:r w:rsidR="00F30AD3" w:rsidRPr="00F30AD3">
        <w:rPr>
          <w:rFonts w:eastAsiaTheme="minorEastAsia" w:cstheme="minorHAnsi"/>
          <w:i/>
          <w:sz w:val="20"/>
          <w:szCs w:val="20"/>
        </w:rPr>
        <w:t>Bevölkerung: Deutschland, Stichtag, Altersjahre,</w:t>
      </w:r>
      <w:r w:rsidR="00B56E9E">
        <w:rPr>
          <w:rFonts w:eastAsiaTheme="minorEastAsia" w:cstheme="minorHAnsi"/>
          <w:i/>
          <w:sz w:val="20"/>
          <w:szCs w:val="20"/>
        </w:rPr>
        <w:t xml:space="preserve"> </w:t>
      </w:r>
      <w:r w:rsidR="00F30AD3" w:rsidRPr="00F30AD3">
        <w:rPr>
          <w:rFonts w:eastAsiaTheme="minorEastAsia" w:cstheme="minorHAnsi"/>
          <w:i/>
          <w:sz w:val="20"/>
          <w:szCs w:val="20"/>
        </w:rPr>
        <w:t>Nationalität/Geschlecht/Familienstand</w:t>
      </w:r>
      <w:r w:rsidR="00F30AD3" w:rsidRPr="00F609F7">
        <w:rPr>
          <w:rFonts w:eastAsiaTheme="minorEastAsia" w:cstheme="minorHAnsi"/>
          <w:sz w:val="20"/>
          <w:szCs w:val="20"/>
        </w:rPr>
        <w:t xml:space="preserve">”. </w:t>
      </w:r>
      <w:r w:rsidR="00F30AD3" w:rsidRPr="00F30AD3">
        <w:rPr>
          <w:rFonts w:eastAsiaTheme="minorEastAsia" w:cstheme="minorHAnsi"/>
          <w:sz w:val="20"/>
          <w:szCs w:val="20"/>
        </w:rPr>
        <w:t xml:space="preserve">Access date: </w:t>
      </w:r>
      <w:r w:rsidR="00F30AD3">
        <w:rPr>
          <w:rFonts w:eastAsiaTheme="minorEastAsia" w:cstheme="minorHAnsi"/>
          <w:sz w:val="20"/>
          <w:szCs w:val="20"/>
        </w:rPr>
        <w:t>28</w:t>
      </w:r>
      <w:r w:rsidR="00F30AD3" w:rsidRPr="00F30AD3">
        <w:rPr>
          <w:rFonts w:eastAsiaTheme="minorEastAsia" w:cstheme="minorHAnsi"/>
          <w:sz w:val="20"/>
          <w:szCs w:val="20"/>
        </w:rPr>
        <w:t>.0</w:t>
      </w:r>
      <w:r w:rsidR="00F30AD3">
        <w:rPr>
          <w:rFonts w:eastAsiaTheme="minorEastAsia" w:cstheme="minorHAnsi"/>
          <w:sz w:val="20"/>
          <w:szCs w:val="20"/>
        </w:rPr>
        <w:t>8</w:t>
      </w:r>
      <w:r w:rsidR="00F30AD3" w:rsidRPr="00F30AD3">
        <w:rPr>
          <w:rFonts w:eastAsiaTheme="minorEastAsia" w:cstheme="minorHAnsi"/>
          <w:sz w:val="20"/>
          <w:szCs w:val="20"/>
        </w:rPr>
        <w:t>.2025</w:t>
      </w:r>
      <w:r w:rsidR="00B56E9E">
        <w:rPr>
          <w:rFonts w:eastAsiaTheme="minorEastAsia" w:cstheme="minorHAnsi"/>
          <w:sz w:val="20"/>
          <w:szCs w:val="20"/>
        </w:rPr>
        <w:t xml:space="preserve">. </w:t>
      </w:r>
      <w:r w:rsidR="00B56E9E" w:rsidRPr="00F609F7">
        <w:rPr>
          <w:rFonts w:eastAsiaTheme="minorEastAsia" w:cstheme="minorHAnsi"/>
          <w:sz w:val="20"/>
          <w:szCs w:val="20"/>
        </w:rPr>
        <w:t xml:space="preserve">Table </w:t>
      </w:r>
      <w:proofErr w:type="spellStart"/>
      <w:r w:rsidR="00B56E9E" w:rsidRPr="00F609F7">
        <w:rPr>
          <w:rFonts w:eastAsiaTheme="minorEastAsia" w:cstheme="minorHAnsi"/>
          <w:sz w:val="20"/>
          <w:szCs w:val="20"/>
        </w:rPr>
        <w:t>number</w:t>
      </w:r>
      <w:proofErr w:type="spellEnd"/>
      <w:r w:rsidR="00B56E9E" w:rsidRPr="00F609F7">
        <w:rPr>
          <w:rFonts w:eastAsiaTheme="minorEastAsia" w:cstheme="minorHAnsi"/>
          <w:sz w:val="20"/>
          <w:szCs w:val="20"/>
        </w:rPr>
        <w:t xml:space="preserve">: </w:t>
      </w:r>
      <w:r w:rsidR="00B56E9E">
        <w:rPr>
          <w:rFonts w:eastAsiaTheme="minorEastAsia" w:cstheme="minorHAnsi"/>
          <w:sz w:val="20"/>
          <w:szCs w:val="20"/>
        </w:rPr>
        <w:t>12411</w:t>
      </w:r>
      <w:r w:rsidR="00B56E9E" w:rsidRPr="00F609F7">
        <w:rPr>
          <w:rFonts w:eastAsiaTheme="minorEastAsia" w:cstheme="minorHAnsi"/>
          <w:sz w:val="20"/>
          <w:szCs w:val="20"/>
        </w:rPr>
        <w:t>-00</w:t>
      </w:r>
      <w:r w:rsidR="00B56E9E">
        <w:rPr>
          <w:rFonts w:eastAsiaTheme="minorEastAsia" w:cstheme="minorHAnsi"/>
          <w:sz w:val="20"/>
          <w:szCs w:val="20"/>
        </w:rPr>
        <w:t>13</w:t>
      </w:r>
      <w:r w:rsidR="00B56E9E" w:rsidRPr="00F609F7">
        <w:rPr>
          <w:rFonts w:eastAsiaTheme="minorEastAsia" w:cstheme="minorHAnsi"/>
          <w:sz w:val="20"/>
          <w:szCs w:val="20"/>
        </w:rPr>
        <w:t>. Title: “</w:t>
      </w:r>
      <w:r w:rsidR="00B56E9E" w:rsidRPr="00B56E9E">
        <w:rPr>
          <w:rFonts w:eastAsiaTheme="minorEastAsia" w:cstheme="minorHAnsi"/>
          <w:i/>
          <w:sz w:val="20"/>
          <w:szCs w:val="20"/>
        </w:rPr>
        <w:t>Bevölkerung: Bundesländer, Stichtag, Geschlecht, Altersjahre</w:t>
      </w:r>
      <w:r w:rsidR="00B56E9E" w:rsidRPr="00F609F7">
        <w:rPr>
          <w:rFonts w:eastAsiaTheme="minorEastAsia" w:cstheme="minorHAnsi"/>
          <w:sz w:val="20"/>
          <w:szCs w:val="20"/>
        </w:rPr>
        <w:t xml:space="preserve">”. </w:t>
      </w:r>
      <w:r w:rsidR="00B56E9E" w:rsidRPr="00F30AD3">
        <w:rPr>
          <w:rFonts w:eastAsiaTheme="minorEastAsia" w:cstheme="minorHAnsi"/>
          <w:sz w:val="20"/>
          <w:szCs w:val="20"/>
        </w:rPr>
        <w:t xml:space="preserve">Access date: </w:t>
      </w:r>
      <w:r w:rsidR="00B56E9E">
        <w:rPr>
          <w:rFonts w:eastAsiaTheme="minorEastAsia" w:cstheme="minorHAnsi"/>
          <w:sz w:val="20"/>
          <w:szCs w:val="20"/>
        </w:rPr>
        <w:t>28</w:t>
      </w:r>
      <w:r w:rsidR="00B56E9E" w:rsidRPr="00F30AD3">
        <w:rPr>
          <w:rFonts w:eastAsiaTheme="minorEastAsia" w:cstheme="minorHAnsi"/>
          <w:sz w:val="20"/>
          <w:szCs w:val="20"/>
        </w:rPr>
        <w:t>.0</w:t>
      </w:r>
      <w:r w:rsidR="00B56E9E">
        <w:rPr>
          <w:rFonts w:eastAsiaTheme="minorEastAsia" w:cstheme="minorHAnsi"/>
          <w:sz w:val="20"/>
          <w:szCs w:val="20"/>
        </w:rPr>
        <w:t>8</w:t>
      </w:r>
      <w:r w:rsidR="00B56E9E" w:rsidRPr="00F30AD3">
        <w:rPr>
          <w:rFonts w:eastAsiaTheme="minorEastAsia" w:cstheme="minorHAnsi"/>
          <w:sz w:val="20"/>
          <w:szCs w:val="20"/>
        </w:rPr>
        <w:t>.2025</w:t>
      </w:r>
    </w:p>
    <w:p w14:paraId="67E7063B" w14:textId="77777777" w:rsidR="008451C3" w:rsidRPr="00F30AD3" w:rsidRDefault="008451C3" w:rsidP="008451C3">
      <w:pPr>
        <w:pStyle w:val="Listenabsatz"/>
        <w:jc w:val="both"/>
        <w:rPr>
          <w:rFonts w:eastAsiaTheme="minorEastAsia" w:cstheme="minorHAnsi"/>
          <w:sz w:val="20"/>
          <w:szCs w:val="20"/>
        </w:rPr>
      </w:pPr>
    </w:p>
    <w:p w14:paraId="24E6E651" w14:textId="5E4F4006" w:rsidR="008451C3" w:rsidRPr="00F609F7" w:rsidRDefault="008451C3" w:rsidP="008451C3">
      <w:pPr>
        <w:pStyle w:val="Listenabsatz"/>
        <w:numPr>
          <w:ilvl w:val="0"/>
          <w:numId w:val="3"/>
        </w:numPr>
        <w:jc w:val="both"/>
        <w:rPr>
          <w:rFonts w:eastAsiaTheme="minorEastAsia" w:cstheme="minorHAnsi"/>
          <w:sz w:val="20"/>
          <w:szCs w:val="20"/>
          <w:u w:val="single"/>
          <w:lang w:val="en-GB"/>
        </w:rPr>
      </w:pPr>
      <w:r w:rsidRPr="00F609F7">
        <w:rPr>
          <w:rFonts w:eastAsiaTheme="minorEastAsia" w:cstheme="minorHAnsi"/>
          <w:sz w:val="20"/>
          <w:szCs w:val="20"/>
          <w:u w:val="single"/>
          <w:lang w:val="en-GB"/>
        </w:rPr>
        <w:t>Number of live births in Germany and in German federal states by mother’s nationality</w:t>
      </w:r>
      <w:r w:rsidR="00F46490" w:rsidRPr="00F609F7">
        <w:rPr>
          <w:rFonts w:eastAsiaTheme="minorEastAsia" w:cstheme="minorHAnsi"/>
          <w:sz w:val="20"/>
          <w:szCs w:val="20"/>
          <w:u w:val="single"/>
          <w:lang w:val="en-GB"/>
        </w:rPr>
        <w:t xml:space="preserve"> (German / Non-German)</w:t>
      </w:r>
      <w:r w:rsidRPr="00F609F7">
        <w:rPr>
          <w:rFonts w:eastAsiaTheme="minorEastAsia" w:cstheme="minorHAnsi"/>
          <w:sz w:val="20"/>
          <w:szCs w:val="20"/>
          <w:u w:val="single"/>
          <w:lang w:val="en-GB"/>
        </w:rPr>
        <w:t xml:space="preserve">: </w:t>
      </w:r>
    </w:p>
    <w:p w14:paraId="491E85F2" w14:textId="3B5CC5DE" w:rsidR="008451C3" w:rsidRPr="00F609F7" w:rsidRDefault="008451C3" w:rsidP="008451C3">
      <w:pPr>
        <w:pStyle w:val="Listenabsatz"/>
        <w:jc w:val="both"/>
        <w:rPr>
          <w:rFonts w:eastAsiaTheme="minorEastAsia" w:cstheme="minorHAnsi"/>
          <w:sz w:val="20"/>
          <w:szCs w:val="20"/>
          <w:lang w:val="en-GB"/>
        </w:rPr>
      </w:pPr>
      <w:r w:rsidRPr="00F609F7">
        <w:rPr>
          <w:rFonts w:eastAsiaTheme="minorEastAsia" w:cstheme="minorHAnsi"/>
          <w:sz w:val="20"/>
          <w:szCs w:val="20"/>
          <w:lang w:val="en-GB"/>
        </w:rPr>
        <w:t xml:space="preserve">online database of the German Federal Statistical Office (GENESIS): https://www-genesis.destatis.de/genesis/online. </w:t>
      </w:r>
      <w:r w:rsidRPr="00F609F7">
        <w:rPr>
          <w:rFonts w:eastAsiaTheme="minorEastAsia" w:cstheme="minorHAnsi"/>
          <w:sz w:val="20"/>
          <w:szCs w:val="20"/>
        </w:rPr>
        <w:t xml:space="preserve">Table </w:t>
      </w:r>
      <w:proofErr w:type="spellStart"/>
      <w:r w:rsidRPr="00F609F7">
        <w:rPr>
          <w:rFonts w:eastAsiaTheme="minorEastAsia" w:cstheme="minorHAnsi"/>
          <w:sz w:val="20"/>
          <w:szCs w:val="20"/>
        </w:rPr>
        <w:t>number</w:t>
      </w:r>
      <w:proofErr w:type="spellEnd"/>
      <w:r w:rsidRPr="00F609F7">
        <w:rPr>
          <w:rFonts w:eastAsiaTheme="minorEastAsia" w:cstheme="minorHAnsi"/>
          <w:sz w:val="20"/>
          <w:szCs w:val="20"/>
        </w:rPr>
        <w:t>: 12612-0103. Title: “</w:t>
      </w:r>
      <w:r w:rsidRPr="00F609F7">
        <w:rPr>
          <w:rFonts w:cstheme="minorHAnsi"/>
          <w:sz w:val="20"/>
          <w:szCs w:val="20"/>
        </w:rPr>
        <w:t xml:space="preserve"> </w:t>
      </w:r>
      <w:r w:rsidRPr="00F609F7">
        <w:rPr>
          <w:rFonts w:eastAsiaTheme="minorEastAsia" w:cstheme="minorHAnsi"/>
          <w:i/>
          <w:sz w:val="20"/>
          <w:szCs w:val="20"/>
        </w:rPr>
        <w:t>Lebendgeborene: Bundesländer, Jahre, Staatsangehörigkeit des Kindes und der Eltern</w:t>
      </w:r>
      <w:r w:rsidRPr="00F609F7">
        <w:rPr>
          <w:rFonts w:eastAsiaTheme="minorEastAsia" w:cstheme="minorHAnsi"/>
          <w:sz w:val="20"/>
          <w:szCs w:val="20"/>
        </w:rPr>
        <w:t xml:space="preserve">”. </w:t>
      </w:r>
      <w:r w:rsidRPr="00F609F7">
        <w:rPr>
          <w:rFonts w:eastAsiaTheme="minorEastAsia" w:cstheme="minorHAnsi"/>
          <w:sz w:val="20"/>
          <w:szCs w:val="20"/>
          <w:lang w:val="en-GB"/>
        </w:rPr>
        <w:t xml:space="preserve">Access date: </w:t>
      </w:r>
      <w:r w:rsidR="00F30AD3">
        <w:rPr>
          <w:rFonts w:eastAsiaTheme="minorEastAsia" w:cstheme="minorHAnsi"/>
          <w:sz w:val="20"/>
          <w:szCs w:val="20"/>
          <w:lang w:val="en-GB"/>
        </w:rPr>
        <w:t>26</w:t>
      </w:r>
      <w:r w:rsidRPr="00F609F7">
        <w:rPr>
          <w:rFonts w:eastAsiaTheme="minorEastAsia" w:cstheme="minorHAnsi"/>
          <w:sz w:val="20"/>
          <w:szCs w:val="20"/>
          <w:lang w:val="en-GB"/>
        </w:rPr>
        <w:t>.</w:t>
      </w:r>
      <w:r w:rsidR="00F30AD3">
        <w:rPr>
          <w:rFonts w:eastAsiaTheme="minorEastAsia" w:cstheme="minorHAnsi"/>
          <w:sz w:val="20"/>
          <w:szCs w:val="20"/>
          <w:lang w:val="en-GB"/>
        </w:rPr>
        <w:t>08</w:t>
      </w:r>
      <w:r w:rsidRPr="00F609F7">
        <w:rPr>
          <w:rFonts w:eastAsiaTheme="minorEastAsia" w:cstheme="minorHAnsi"/>
          <w:sz w:val="20"/>
          <w:szCs w:val="20"/>
          <w:lang w:val="en-GB"/>
        </w:rPr>
        <w:t>.202</w:t>
      </w:r>
      <w:r w:rsidR="00F30AD3">
        <w:rPr>
          <w:rFonts w:eastAsiaTheme="minorEastAsia" w:cstheme="minorHAnsi"/>
          <w:sz w:val="20"/>
          <w:szCs w:val="20"/>
          <w:lang w:val="en-GB"/>
        </w:rPr>
        <w:t>5</w:t>
      </w:r>
    </w:p>
    <w:p w14:paraId="33056A8F" w14:textId="77777777" w:rsidR="008451C3" w:rsidRPr="00F609F7" w:rsidRDefault="008451C3" w:rsidP="008451C3">
      <w:pPr>
        <w:pStyle w:val="Listenabsatz"/>
        <w:jc w:val="both"/>
        <w:rPr>
          <w:rFonts w:eastAsiaTheme="minorEastAsia" w:cstheme="minorHAnsi"/>
          <w:sz w:val="20"/>
          <w:szCs w:val="20"/>
          <w:lang w:val="en-GB"/>
        </w:rPr>
      </w:pPr>
    </w:p>
    <w:p w14:paraId="71D5BB06" w14:textId="77777777" w:rsidR="008451C3" w:rsidRPr="00F609F7" w:rsidRDefault="008451C3" w:rsidP="008451C3">
      <w:pPr>
        <w:pStyle w:val="Listenabsatz"/>
        <w:numPr>
          <w:ilvl w:val="0"/>
          <w:numId w:val="3"/>
        </w:numPr>
        <w:jc w:val="both"/>
        <w:rPr>
          <w:rFonts w:eastAsiaTheme="minorEastAsia" w:cstheme="minorHAnsi"/>
          <w:sz w:val="20"/>
          <w:szCs w:val="20"/>
          <w:u w:val="single"/>
          <w:lang w:val="en-GB"/>
        </w:rPr>
      </w:pPr>
      <w:r w:rsidRPr="00F609F7">
        <w:rPr>
          <w:rFonts w:eastAsiaTheme="minorEastAsia" w:cstheme="minorHAnsi"/>
          <w:sz w:val="20"/>
          <w:szCs w:val="20"/>
          <w:u w:val="single"/>
          <w:lang w:val="en-GB"/>
        </w:rPr>
        <w:t>Haemoglobinopathies carrier frequencies among pregnancies in countries-of-origin:</w:t>
      </w:r>
    </w:p>
    <w:p w14:paraId="2F74D588" w14:textId="7AC0410E" w:rsidR="008451C3" w:rsidRPr="00F609F7" w:rsidRDefault="008451C3" w:rsidP="008451C3">
      <w:pPr>
        <w:pStyle w:val="Listenabsatz"/>
        <w:jc w:val="both"/>
        <w:rPr>
          <w:rFonts w:eastAsiaTheme="minorEastAsia" w:cstheme="minorHAnsi"/>
          <w:sz w:val="20"/>
          <w:szCs w:val="20"/>
          <w:lang w:val="en-GB"/>
        </w:rPr>
      </w:pPr>
      <w:r w:rsidRPr="00F609F7">
        <w:rPr>
          <w:rFonts w:eastAsiaTheme="minorEastAsia" w:cstheme="minorHAnsi"/>
          <w:sz w:val="20"/>
          <w:szCs w:val="20"/>
          <w:lang w:val="en-GB"/>
        </w:rPr>
        <w:t xml:space="preserve">online database “Modell's </w:t>
      </w:r>
      <w:proofErr w:type="spellStart"/>
      <w:r w:rsidRPr="00F609F7">
        <w:rPr>
          <w:rFonts w:eastAsiaTheme="minorEastAsia" w:cstheme="minorHAnsi"/>
          <w:sz w:val="20"/>
          <w:szCs w:val="20"/>
          <w:lang w:val="en-GB"/>
        </w:rPr>
        <w:t>Haemoglobinopathologist's</w:t>
      </w:r>
      <w:proofErr w:type="spellEnd"/>
      <w:r w:rsidRPr="00F609F7">
        <w:rPr>
          <w:rFonts w:eastAsiaTheme="minorEastAsia" w:cstheme="minorHAnsi"/>
          <w:sz w:val="20"/>
          <w:szCs w:val="20"/>
          <w:lang w:val="en-GB"/>
        </w:rPr>
        <w:t xml:space="preserve"> Almanac”, a dataset based on supplementary materials for: Modell B &amp; </w:t>
      </w:r>
      <w:proofErr w:type="spellStart"/>
      <w:r w:rsidRPr="00F609F7">
        <w:rPr>
          <w:rFonts w:eastAsiaTheme="minorEastAsia" w:cstheme="minorHAnsi"/>
          <w:sz w:val="20"/>
          <w:szCs w:val="20"/>
          <w:lang w:val="en-GB"/>
        </w:rPr>
        <w:t>Darlison</w:t>
      </w:r>
      <w:proofErr w:type="spellEnd"/>
      <w:r w:rsidRPr="00F609F7">
        <w:rPr>
          <w:rFonts w:eastAsiaTheme="minorEastAsia" w:cstheme="minorHAnsi"/>
          <w:sz w:val="20"/>
          <w:szCs w:val="20"/>
          <w:lang w:val="en-GB"/>
        </w:rPr>
        <w:t xml:space="preserve"> M. Global epidemiology of haemoglobin disorders and derived service indicators. Bulletin of the World Health Organisation 2008 Jun; 86(6): 480-7: http://www.modell-almanac.net/</w:t>
      </w:r>
      <w:r w:rsidRPr="00F609F7">
        <w:rPr>
          <w:rFonts w:cstheme="minorHAnsi"/>
          <w:sz w:val="20"/>
          <w:szCs w:val="20"/>
          <w:lang w:val="en-GB"/>
        </w:rPr>
        <w:t>.</w:t>
      </w:r>
      <w:r w:rsidRPr="00F609F7">
        <w:rPr>
          <w:rFonts w:eastAsiaTheme="minorEastAsia" w:cstheme="minorHAnsi"/>
          <w:sz w:val="20"/>
          <w:szCs w:val="20"/>
          <w:lang w:val="en-GB"/>
        </w:rPr>
        <w:t xml:space="preserve"> Title: “Data table in Excel format”. Data used for our analysis were included in “DEMO sheet”, column name “Total % carrying significant variants (allowing for a/b coincidence)”. Access date: </w:t>
      </w:r>
      <w:r w:rsidR="00F30AD3">
        <w:rPr>
          <w:rFonts w:eastAsiaTheme="minorEastAsia" w:cstheme="minorHAnsi"/>
          <w:sz w:val="20"/>
          <w:szCs w:val="20"/>
          <w:lang w:val="en-GB"/>
        </w:rPr>
        <w:t>21</w:t>
      </w:r>
      <w:r w:rsidRPr="00F609F7">
        <w:rPr>
          <w:rFonts w:eastAsiaTheme="minorEastAsia" w:cstheme="minorHAnsi"/>
          <w:sz w:val="20"/>
          <w:szCs w:val="20"/>
          <w:lang w:val="en-GB"/>
        </w:rPr>
        <w:t>.0</w:t>
      </w:r>
      <w:r w:rsidR="00F30AD3">
        <w:rPr>
          <w:rFonts w:eastAsiaTheme="minorEastAsia" w:cstheme="minorHAnsi"/>
          <w:sz w:val="20"/>
          <w:szCs w:val="20"/>
          <w:lang w:val="en-GB"/>
        </w:rPr>
        <w:t>8</w:t>
      </w:r>
      <w:r w:rsidRPr="00F609F7">
        <w:rPr>
          <w:rFonts w:eastAsiaTheme="minorEastAsia" w:cstheme="minorHAnsi"/>
          <w:sz w:val="20"/>
          <w:szCs w:val="20"/>
          <w:lang w:val="en-GB"/>
        </w:rPr>
        <w:t>.202</w:t>
      </w:r>
      <w:r w:rsidR="00F30AD3">
        <w:rPr>
          <w:rFonts w:eastAsiaTheme="minorEastAsia" w:cstheme="minorHAnsi"/>
          <w:sz w:val="20"/>
          <w:szCs w:val="20"/>
          <w:lang w:val="en-GB"/>
        </w:rPr>
        <w:t>5</w:t>
      </w:r>
    </w:p>
    <w:p w14:paraId="3030A217" w14:textId="77777777" w:rsidR="008451C3" w:rsidRPr="00F609F7" w:rsidRDefault="008451C3" w:rsidP="008451C3">
      <w:pPr>
        <w:pStyle w:val="Listenabsatz"/>
        <w:jc w:val="both"/>
        <w:rPr>
          <w:rFonts w:eastAsiaTheme="minorEastAsia" w:cstheme="minorHAnsi"/>
          <w:sz w:val="20"/>
          <w:szCs w:val="20"/>
          <w:lang w:val="en-GB"/>
        </w:rPr>
      </w:pPr>
    </w:p>
    <w:p w14:paraId="54C72478" w14:textId="77777777" w:rsidR="008451C3" w:rsidRPr="00F609F7" w:rsidRDefault="008451C3" w:rsidP="008451C3">
      <w:pPr>
        <w:pStyle w:val="Listenabsatz"/>
        <w:numPr>
          <w:ilvl w:val="0"/>
          <w:numId w:val="3"/>
        </w:numPr>
        <w:jc w:val="both"/>
        <w:rPr>
          <w:rFonts w:eastAsiaTheme="minorEastAsia" w:cstheme="minorHAnsi"/>
          <w:sz w:val="20"/>
          <w:szCs w:val="20"/>
          <w:u w:val="single"/>
          <w:lang w:val="en-GB"/>
        </w:rPr>
      </w:pPr>
      <w:r w:rsidRPr="00F609F7">
        <w:rPr>
          <w:rFonts w:eastAsiaTheme="minorEastAsia" w:cstheme="minorHAnsi"/>
          <w:sz w:val="20"/>
          <w:szCs w:val="20"/>
          <w:u w:val="single"/>
          <w:lang w:val="en-GB"/>
        </w:rPr>
        <w:t>Fertility rates for women by country-of-origin:</w:t>
      </w:r>
    </w:p>
    <w:p w14:paraId="76CF00CF" w14:textId="3025D111" w:rsidR="00105E25" w:rsidRDefault="008451C3" w:rsidP="008451C3">
      <w:pPr>
        <w:pStyle w:val="Listenabsatz"/>
        <w:jc w:val="both"/>
        <w:rPr>
          <w:rFonts w:eastAsiaTheme="minorEastAsia" w:cstheme="minorHAnsi"/>
          <w:sz w:val="20"/>
          <w:szCs w:val="20"/>
          <w:lang w:val="en-GB"/>
        </w:rPr>
      </w:pPr>
      <w:r w:rsidRPr="00F609F7">
        <w:rPr>
          <w:rFonts w:eastAsiaTheme="minorEastAsia" w:cstheme="minorHAnsi"/>
          <w:sz w:val="20"/>
          <w:szCs w:val="20"/>
          <w:lang w:val="en-GB"/>
        </w:rPr>
        <w:t xml:space="preserve">online database of the World Bank: https://data.worldbank.org/indicator/SP.DYN.TFRT.IN. Title: “Fertility rate, total (births per women)”. Access date: </w:t>
      </w:r>
      <w:r w:rsidR="00F30AD3">
        <w:rPr>
          <w:rFonts w:eastAsiaTheme="minorEastAsia" w:cstheme="minorHAnsi"/>
          <w:sz w:val="20"/>
          <w:szCs w:val="20"/>
          <w:lang w:val="en-GB"/>
        </w:rPr>
        <w:t>22</w:t>
      </w:r>
      <w:r w:rsidRPr="00F609F7">
        <w:rPr>
          <w:rFonts w:eastAsiaTheme="minorEastAsia" w:cstheme="minorHAnsi"/>
          <w:sz w:val="20"/>
          <w:szCs w:val="20"/>
          <w:lang w:val="en-GB"/>
        </w:rPr>
        <w:t>.</w:t>
      </w:r>
      <w:r w:rsidR="00F30AD3">
        <w:rPr>
          <w:rFonts w:eastAsiaTheme="minorEastAsia" w:cstheme="minorHAnsi"/>
          <w:sz w:val="20"/>
          <w:szCs w:val="20"/>
          <w:lang w:val="en-GB"/>
        </w:rPr>
        <w:t>08</w:t>
      </w:r>
      <w:r w:rsidRPr="00F609F7">
        <w:rPr>
          <w:rFonts w:eastAsiaTheme="minorEastAsia" w:cstheme="minorHAnsi"/>
          <w:sz w:val="20"/>
          <w:szCs w:val="20"/>
          <w:lang w:val="en-GB"/>
        </w:rPr>
        <w:t>.202</w:t>
      </w:r>
      <w:r w:rsidR="00F30AD3">
        <w:rPr>
          <w:rFonts w:eastAsiaTheme="minorEastAsia" w:cstheme="minorHAnsi"/>
          <w:sz w:val="20"/>
          <w:szCs w:val="20"/>
          <w:lang w:val="en-GB"/>
        </w:rPr>
        <w:t>5</w:t>
      </w:r>
    </w:p>
    <w:p w14:paraId="63DE910A" w14:textId="77777777" w:rsidR="00684AFA" w:rsidRDefault="00684AFA" w:rsidP="008451C3">
      <w:pPr>
        <w:pStyle w:val="Listenabsatz"/>
        <w:jc w:val="both"/>
        <w:rPr>
          <w:rFonts w:eastAsiaTheme="minorEastAsia" w:cstheme="minorHAnsi"/>
          <w:sz w:val="20"/>
          <w:szCs w:val="20"/>
          <w:lang w:val="en-GB"/>
        </w:rPr>
      </w:pPr>
    </w:p>
    <w:p w14:paraId="6253D7E6" w14:textId="77777777" w:rsidR="006B3D35" w:rsidRPr="00F30AD3" w:rsidRDefault="006B3D35" w:rsidP="006B3D35">
      <w:pPr>
        <w:pStyle w:val="Listenabsatz"/>
        <w:jc w:val="both"/>
        <w:rPr>
          <w:rFonts w:eastAsiaTheme="minorEastAsia" w:cstheme="minorHAnsi"/>
          <w:sz w:val="20"/>
          <w:szCs w:val="20"/>
        </w:rPr>
      </w:pPr>
    </w:p>
    <w:p w14:paraId="458E845F" w14:textId="4E0D886C" w:rsidR="006B3D35" w:rsidRPr="00F609F7" w:rsidRDefault="006B3D35" w:rsidP="006B3D35">
      <w:pPr>
        <w:pStyle w:val="Listenabsatz"/>
        <w:numPr>
          <w:ilvl w:val="0"/>
          <w:numId w:val="3"/>
        </w:numPr>
        <w:jc w:val="both"/>
        <w:rPr>
          <w:rFonts w:eastAsiaTheme="minorEastAsia" w:cstheme="minorHAnsi"/>
          <w:sz w:val="20"/>
          <w:szCs w:val="20"/>
          <w:u w:val="single"/>
          <w:lang w:val="en-GB"/>
        </w:rPr>
      </w:pPr>
      <w:r w:rsidRPr="00F609F7">
        <w:rPr>
          <w:rFonts w:eastAsiaTheme="minorEastAsia" w:cstheme="minorHAnsi"/>
          <w:sz w:val="20"/>
          <w:szCs w:val="20"/>
          <w:u w:val="single"/>
          <w:lang w:val="en-GB"/>
        </w:rPr>
        <w:t xml:space="preserve">Number of </w:t>
      </w:r>
      <w:r>
        <w:rPr>
          <w:rFonts w:eastAsiaTheme="minorEastAsia" w:cstheme="minorHAnsi"/>
          <w:sz w:val="20"/>
          <w:szCs w:val="20"/>
          <w:u w:val="single"/>
          <w:lang w:val="en-GB"/>
        </w:rPr>
        <w:t xml:space="preserve">total German population and the population with migration background in </w:t>
      </w:r>
      <w:r w:rsidRPr="00F609F7">
        <w:rPr>
          <w:rFonts w:eastAsiaTheme="minorEastAsia" w:cstheme="minorHAnsi"/>
          <w:sz w:val="20"/>
          <w:szCs w:val="20"/>
          <w:u w:val="single"/>
          <w:lang w:val="en-GB"/>
        </w:rPr>
        <w:t>Germany in</w:t>
      </w:r>
      <w:r>
        <w:rPr>
          <w:rFonts w:eastAsiaTheme="minorEastAsia" w:cstheme="minorHAnsi"/>
          <w:sz w:val="20"/>
          <w:szCs w:val="20"/>
          <w:u w:val="single"/>
          <w:lang w:val="en-GB"/>
        </w:rPr>
        <w:t xml:space="preserve"> 2024</w:t>
      </w:r>
      <w:r w:rsidRPr="00F609F7">
        <w:rPr>
          <w:rFonts w:eastAsiaTheme="minorEastAsia" w:cstheme="minorHAnsi"/>
          <w:sz w:val="20"/>
          <w:szCs w:val="20"/>
          <w:u w:val="single"/>
          <w:lang w:val="en-GB"/>
        </w:rPr>
        <w:t xml:space="preserve">: </w:t>
      </w:r>
    </w:p>
    <w:p w14:paraId="077906FC" w14:textId="22947556" w:rsidR="006B3D35" w:rsidRPr="006B3D35" w:rsidRDefault="006B3D35" w:rsidP="006B3D35">
      <w:pPr>
        <w:pStyle w:val="Listenabsatz"/>
        <w:jc w:val="both"/>
        <w:rPr>
          <w:rFonts w:eastAsiaTheme="minorEastAsia" w:cstheme="minorHAnsi"/>
          <w:sz w:val="20"/>
          <w:szCs w:val="20"/>
        </w:rPr>
      </w:pPr>
      <w:r w:rsidRPr="00F609F7">
        <w:rPr>
          <w:rFonts w:eastAsiaTheme="minorEastAsia" w:cstheme="minorHAnsi"/>
          <w:sz w:val="20"/>
          <w:szCs w:val="20"/>
          <w:lang w:val="en-GB"/>
        </w:rPr>
        <w:t xml:space="preserve">online database of the German Federal Statistical Office (GENESIS): https://www-genesis.destatis.de/genesis/online. </w:t>
      </w:r>
      <w:r w:rsidRPr="00F609F7">
        <w:rPr>
          <w:rFonts w:eastAsiaTheme="minorEastAsia" w:cstheme="minorHAnsi"/>
          <w:sz w:val="20"/>
          <w:szCs w:val="20"/>
        </w:rPr>
        <w:t xml:space="preserve">Table </w:t>
      </w:r>
      <w:proofErr w:type="spellStart"/>
      <w:r w:rsidRPr="00F609F7">
        <w:rPr>
          <w:rFonts w:eastAsiaTheme="minorEastAsia" w:cstheme="minorHAnsi"/>
          <w:sz w:val="20"/>
          <w:szCs w:val="20"/>
        </w:rPr>
        <w:t>number</w:t>
      </w:r>
      <w:proofErr w:type="spellEnd"/>
      <w:r w:rsidRPr="00F609F7">
        <w:rPr>
          <w:rFonts w:eastAsiaTheme="minorEastAsia" w:cstheme="minorHAnsi"/>
          <w:sz w:val="20"/>
          <w:szCs w:val="20"/>
        </w:rPr>
        <w:t xml:space="preserve">: </w:t>
      </w:r>
      <w:r w:rsidRPr="00F30AD3">
        <w:rPr>
          <w:rFonts w:eastAsiaTheme="minorEastAsia" w:cstheme="minorHAnsi"/>
          <w:sz w:val="20"/>
          <w:szCs w:val="20"/>
        </w:rPr>
        <w:t>12211-0202</w:t>
      </w:r>
      <w:r w:rsidRPr="00F609F7">
        <w:rPr>
          <w:rFonts w:eastAsiaTheme="minorEastAsia" w:cstheme="minorHAnsi"/>
          <w:sz w:val="20"/>
          <w:szCs w:val="20"/>
        </w:rPr>
        <w:t>. Title: “</w:t>
      </w:r>
      <w:r w:rsidRPr="006B3D35">
        <w:rPr>
          <w:rFonts w:eastAsiaTheme="minorEastAsia" w:cstheme="minorHAnsi"/>
          <w:i/>
          <w:sz w:val="20"/>
          <w:szCs w:val="20"/>
        </w:rPr>
        <w:t>Personen mit Migrationshintergrund (</w:t>
      </w:r>
      <w:proofErr w:type="spellStart"/>
      <w:r w:rsidRPr="006B3D35">
        <w:rPr>
          <w:rFonts w:eastAsiaTheme="minorEastAsia" w:cstheme="minorHAnsi"/>
          <w:i/>
          <w:sz w:val="20"/>
          <w:szCs w:val="20"/>
        </w:rPr>
        <w:t>i.w.S</w:t>
      </w:r>
      <w:proofErr w:type="spellEnd"/>
      <w:r w:rsidRPr="006B3D35">
        <w:rPr>
          <w:rFonts w:eastAsiaTheme="minorEastAsia" w:cstheme="minorHAnsi"/>
          <w:i/>
          <w:sz w:val="20"/>
          <w:szCs w:val="20"/>
        </w:rPr>
        <w:t>.) aus Hauptwohnsitzhaushalten: Deutschland, Jahre, Geschlecht, Geburtsland bzw. Geburtsland der Eltern</w:t>
      </w:r>
      <w:r w:rsidRPr="006B3D35">
        <w:rPr>
          <w:rFonts w:eastAsiaTheme="minorEastAsia" w:cstheme="minorHAnsi"/>
          <w:sz w:val="20"/>
          <w:szCs w:val="20"/>
        </w:rPr>
        <w:t xml:space="preserve">”. Access date: </w:t>
      </w:r>
      <w:r>
        <w:rPr>
          <w:rFonts w:eastAsiaTheme="minorEastAsia" w:cstheme="minorHAnsi"/>
          <w:sz w:val="20"/>
          <w:szCs w:val="20"/>
        </w:rPr>
        <w:t>05</w:t>
      </w:r>
      <w:r w:rsidRPr="006B3D35">
        <w:rPr>
          <w:rFonts w:eastAsiaTheme="minorEastAsia" w:cstheme="minorHAnsi"/>
          <w:sz w:val="20"/>
          <w:szCs w:val="20"/>
        </w:rPr>
        <w:t>.</w:t>
      </w:r>
      <w:r>
        <w:rPr>
          <w:rFonts w:eastAsiaTheme="minorEastAsia" w:cstheme="minorHAnsi"/>
          <w:sz w:val="20"/>
          <w:szCs w:val="20"/>
        </w:rPr>
        <w:t>09</w:t>
      </w:r>
      <w:r w:rsidRPr="006B3D35">
        <w:rPr>
          <w:rFonts w:eastAsiaTheme="minorEastAsia" w:cstheme="minorHAnsi"/>
          <w:sz w:val="20"/>
          <w:szCs w:val="20"/>
        </w:rPr>
        <w:t>.2025</w:t>
      </w:r>
    </w:p>
    <w:p w14:paraId="29478276" w14:textId="77777777" w:rsidR="006B3D35" w:rsidRDefault="006B3D35" w:rsidP="00F30AD3">
      <w:pPr>
        <w:pStyle w:val="Listenabsatz"/>
        <w:rPr>
          <w:rFonts w:eastAsiaTheme="minorEastAsia" w:cstheme="minorHAnsi"/>
          <w:sz w:val="20"/>
          <w:szCs w:val="20"/>
        </w:rPr>
      </w:pPr>
    </w:p>
    <w:p w14:paraId="092927BF" w14:textId="77777777" w:rsidR="00F30AD3" w:rsidRPr="006B3D35" w:rsidRDefault="00F30AD3" w:rsidP="006B3D35">
      <w:pPr>
        <w:jc w:val="both"/>
        <w:rPr>
          <w:rFonts w:eastAsiaTheme="minorEastAsia" w:cstheme="minorHAnsi"/>
          <w:sz w:val="20"/>
          <w:szCs w:val="20"/>
        </w:rPr>
      </w:pPr>
    </w:p>
    <w:p w14:paraId="160A4C03" w14:textId="747DEF25" w:rsidR="00CB2D29" w:rsidRPr="00684AFA" w:rsidRDefault="00CB2D29" w:rsidP="00F609F7">
      <w:pPr>
        <w:jc w:val="both"/>
        <w:rPr>
          <w:rFonts w:eastAsiaTheme="minorEastAsia" w:cstheme="minorHAnsi"/>
          <w:sz w:val="20"/>
          <w:szCs w:val="20"/>
        </w:rPr>
      </w:pPr>
    </w:p>
    <w:p w14:paraId="008EA9D4" w14:textId="77777777" w:rsidR="008651A5" w:rsidRDefault="008651A5">
      <w:pPr>
        <w:rPr>
          <w:rFonts w:eastAsiaTheme="minorEastAsia" w:cstheme="minorHAnsi"/>
          <w:b/>
          <w:sz w:val="20"/>
          <w:szCs w:val="20"/>
          <w:lang w:val="en-GB"/>
        </w:rPr>
      </w:pPr>
      <w:r>
        <w:rPr>
          <w:rFonts w:eastAsiaTheme="minorEastAsia" w:cstheme="minorHAnsi"/>
          <w:b/>
          <w:sz w:val="20"/>
          <w:szCs w:val="20"/>
          <w:lang w:val="en-GB"/>
        </w:rPr>
        <w:br w:type="page"/>
      </w:r>
    </w:p>
    <w:p w14:paraId="69190789" w14:textId="7419102E" w:rsidR="00454840" w:rsidRPr="00F609F7" w:rsidRDefault="004C22D6" w:rsidP="004C22D6">
      <w:pPr>
        <w:jc w:val="both"/>
        <w:rPr>
          <w:rFonts w:eastAsiaTheme="minorEastAsia" w:cstheme="minorHAnsi"/>
          <w:b/>
          <w:sz w:val="20"/>
          <w:szCs w:val="20"/>
          <w:lang w:val="en-GB"/>
        </w:rPr>
      </w:pPr>
      <w:r w:rsidRPr="00F609F7">
        <w:rPr>
          <w:rFonts w:eastAsiaTheme="minorEastAsia" w:cstheme="minorHAnsi"/>
          <w:b/>
          <w:sz w:val="20"/>
          <w:szCs w:val="20"/>
          <w:lang w:val="en-GB"/>
        </w:rPr>
        <w:lastRenderedPageBreak/>
        <w:t>Applied equations</w:t>
      </w:r>
      <w:r w:rsidR="00454840" w:rsidRPr="00F609F7">
        <w:rPr>
          <w:rFonts w:eastAsiaTheme="minorEastAsia" w:cstheme="minorHAnsi"/>
          <w:b/>
          <w:sz w:val="20"/>
          <w:szCs w:val="20"/>
          <w:lang w:val="en-GB"/>
        </w:rPr>
        <w:t>:</w:t>
      </w:r>
      <w:r w:rsidRPr="00F609F7">
        <w:rPr>
          <w:rFonts w:eastAsiaTheme="minorEastAsia" w:cstheme="minorHAnsi"/>
          <w:b/>
          <w:sz w:val="20"/>
          <w:szCs w:val="20"/>
          <w:lang w:val="en-GB"/>
        </w:rPr>
        <w:t xml:space="preserve"> </w:t>
      </w:r>
    </w:p>
    <w:p w14:paraId="315BF374" w14:textId="47126931" w:rsidR="004C22D6" w:rsidRPr="00F609F7" w:rsidRDefault="00454840" w:rsidP="004C22D6">
      <w:pPr>
        <w:jc w:val="both"/>
        <w:rPr>
          <w:rFonts w:eastAsiaTheme="minorEastAsia" w:cstheme="minorHAnsi"/>
          <w:sz w:val="20"/>
          <w:szCs w:val="20"/>
          <w:lang w:val="en-GB"/>
        </w:rPr>
      </w:pPr>
      <w:r w:rsidRPr="00F609F7">
        <w:rPr>
          <w:rFonts w:eastAsiaTheme="minorEastAsia" w:cstheme="minorHAnsi"/>
          <w:sz w:val="20"/>
          <w:szCs w:val="20"/>
          <w:lang w:val="en-GB"/>
        </w:rPr>
        <w:t xml:space="preserve">Used equations </w:t>
      </w:r>
      <w:r w:rsidR="004C22D6" w:rsidRPr="00F609F7">
        <w:rPr>
          <w:rFonts w:eastAsiaTheme="minorEastAsia" w:cstheme="minorHAnsi"/>
          <w:sz w:val="20"/>
          <w:szCs w:val="20"/>
          <w:lang w:val="en-GB"/>
        </w:rPr>
        <w:t xml:space="preserve">to calculate the estimated proportions of pregnant women at risk for carrying a haemoglobinopathy at federal state and national level: </w:t>
      </w:r>
    </w:p>
    <w:p w14:paraId="2F9769A8" w14:textId="77777777" w:rsidR="004C22D6" w:rsidRPr="00F609F7" w:rsidRDefault="004C22D6" w:rsidP="004C22D6">
      <w:pPr>
        <w:pStyle w:val="Listenabsatz"/>
        <w:numPr>
          <w:ilvl w:val="0"/>
          <w:numId w:val="5"/>
        </w:numPr>
        <w:spacing w:line="254" w:lineRule="auto"/>
        <w:ind w:left="284" w:hanging="284"/>
        <w:jc w:val="both"/>
        <w:rPr>
          <w:rFonts w:eastAsiaTheme="minorEastAsia" w:cstheme="minorHAnsi"/>
          <w:bCs/>
          <w:lang w:val="en-GB"/>
        </w:rPr>
      </w:pPr>
      <w:r w:rsidRPr="00F609F7">
        <w:rPr>
          <w:rFonts w:eastAsiaTheme="minorEastAsia" w:cstheme="minorHAnsi"/>
          <w:sz w:val="20"/>
          <w:szCs w:val="20"/>
          <w:lang w:val="en-GB"/>
        </w:rPr>
        <w:t xml:space="preserve">Estimated annual proportion of pregnant women at risk of carrying a significant haemoglobin variant </w:t>
      </w:r>
      <m:oMath>
        <m:r>
          <w:rPr>
            <w:rFonts w:ascii="Cambria Math" w:eastAsiaTheme="minorEastAsia" w:hAnsi="Cambria Math" w:cstheme="minorHAnsi"/>
            <w:lang w:val="en-GB"/>
          </w:rPr>
          <m:t>(</m:t>
        </m:r>
        <m:sSub>
          <m:sSubPr>
            <m:ctrlPr>
              <w:rPr>
                <w:rFonts w:ascii="Cambria Math" w:hAnsi="Cambria Math" w:cstheme="minorHAnsi"/>
                <w:bCs/>
                <w:i/>
                <w:lang w:val="en-GB"/>
              </w:rPr>
            </m:ctrlPr>
          </m:sSubPr>
          <m:e>
            <m:r>
              <w:rPr>
                <w:rFonts w:ascii="Cambria Math" w:hAnsi="Cambria Math" w:cstheme="minorHAnsi"/>
                <w:lang w:val="en-GB"/>
              </w:rPr>
              <m:t>P</m:t>
            </m:r>
          </m:e>
          <m:sub>
            <m:r>
              <w:rPr>
                <w:rFonts w:ascii="Cambria Math" w:hAnsi="Cambria Math" w:cstheme="minorHAnsi"/>
                <w:lang w:val="en-GB"/>
              </w:rPr>
              <m:t>1</m:t>
            </m:r>
          </m:sub>
        </m:sSub>
        <m:r>
          <w:rPr>
            <w:rFonts w:ascii="Cambria Math" w:hAnsi="Cambria Math" w:cstheme="minorHAnsi"/>
            <w:lang w:val="en-GB"/>
          </w:rPr>
          <m:t>)</m:t>
        </m:r>
      </m:oMath>
    </w:p>
    <w:p w14:paraId="5EBD1491" w14:textId="569B4E84" w:rsidR="004C22D6" w:rsidRPr="00F609F7" w:rsidRDefault="00000000" w:rsidP="004C22D6">
      <w:pPr>
        <w:ind w:left="284" w:hanging="284"/>
        <w:jc w:val="both"/>
        <w:rPr>
          <w:rFonts w:eastAsiaTheme="minorEastAsia" w:cstheme="minorHAnsi"/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 w:cstheme="minorHAnsi"/>
                  <w:lang w:val="en-GB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n-GB"/>
                </w:rPr>
                <m:t>1</m:t>
              </m:r>
            </m:sub>
          </m:sSub>
          <m:r>
            <w:rPr>
              <w:rFonts w:ascii="Cambria Math" w:hAnsi="Cambria Math" w:cstheme="minorHAnsi"/>
              <w:lang w:val="en-GB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naryPr>
            <m:sub>
              <m:r>
                <w:rPr>
                  <w:rFonts w:ascii="Cambria Math" w:hAnsi="Cambria Math" w:cstheme="minorHAnsi"/>
                  <w:lang w:val="en-GB"/>
                </w:rPr>
                <m:t>i=1</m:t>
              </m:r>
            </m:sub>
            <m:sup>
              <m:r>
                <w:rPr>
                  <w:rFonts w:ascii="Cambria Math" w:hAnsi="Cambria Math" w:cstheme="minorHAnsi"/>
                  <w:lang w:val="en-GB"/>
                </w:rPr>
                <m:t>20</m:t>
              </m:r>
              <m:r>
                <w:rPr>
                  <w:rFonts w:ascii="Cambria Math" w:hAnsi="Cambria Math" w:cstheme="minorHAnsi"/>
                  <w:lang w:val="en-GB"/>
                </w:rPr>
                <m:t>8</m:t>
              </m:r>
            </m:sup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GB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theme="minorHAnsi"/>
              <w:lang w:val="en-GB"/>
            </w:rPr>
            <m:t>*</m:t>
          </m:r>
          <m:d>
            <m:d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fPr>
                <m:num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non-G.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total</m:t>
                          </m:r>
                        </m:sub>
                      </m:sSub>
                    </m:den>
                  </m:f>
                </m:num>
                <m:den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non-G.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total</m:t>
                          </m:r>
                        </m:sub>
                      </m:sSub>
                    </m:den>
                  </m:f>
                </m:den>
              </m:f>
            </m:e>
          </m:d>
          <m:r>
            <w:rPr>
              <w:rFonts w:ascii="Cambria Math" w:hAnsi="Cambria Math" w:cstheme="minorHAnsi"/>
              <w:lang w:val="en-GB"/>
            </w:rPr>
            <m:t xml:space="preserve"> ; where: </m:t>
          </m:r>
          <m:sSub>
            <m:sSub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 w:cstheme="minorHAnsi"/>
                  <w:lang w:val="en-GB"/>
                </w:rPr>
                <m:t>x</m:t>
              </m:r>
            </m:e>
            <m:sub>
              <m:r>
                <w:rPr>
                  <w:rFonts w:ascii="Cambria Math" w:hAnsi="Cambria Math" w:cstheme="minorHAnsi"/>
                  <w:lang w:val="en-GB"/>
                </w:rPr>
                <m:t>i</m:t>
              </m:r>
            </m:sub>
          </m:sSub>
          <m:r>
            <w:rPr>
              <w:rFonts w:ascii="Cambria Math" w:hAnsi="Cambria Math" w:cstheme="minorHAnsi"/>
              <w:lang w:val="en-GB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i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total</m:t>
                      </m:r>
                    </m:sub>
                  </m:sSub>
                </m:den>
              </m:f>
              <m:r>
                <w:rPr>
                  <w:rFonts w:ascii="Cambria Math" w:hAnsi="Cambria Math" w:cstheme="minorHAnsi"/>
                  <w:lang w:val="en-GB"/>
                </w:rPr>
                <m:t>*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GB"/>
                    </w:rPr>
                    <m:t>C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en-GB"/>
                    </w:rPr>
                    <m:t>SV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i</m:t>
                      </m:r>
                    </m:sub>
                  </m:sSub>
                </m:sub>
              </m:sSub>
            </m:e>
          </m:d>
        </m:oMath>
      </m:oMathPara>
    </w:p>
    <w:p w14:paraId="16CAE3E8" w14:textId="77777777" w:rsidR="004C22D6" w:rsidRPr="00F609F7" w:rsidRDefault="004C22D6" w:rsidP="004C22D6">
      <w:pPr>
        <w:ind w:left="284" w:hanging="284"/>
        <w:rPr>
          <w:rFonts w:cstheme="minorHAnsi"/>
          <w:sz w:val="14"/>
          <w:szCs w:val="14"/>
          <w:lang w:val="en-GB"/>
        </w:rPr>
      </w:pPr>
    </w:p>
    <w:p w14:paraId="0095FDF9" w14:textId="77777777" w:rsidR="004C22D6" w:rsidRPr="00F609F7" w:rsidRDefault="004C22D6" w:rsidP="004C22D6">
      <w:pPr>
        <w:pStyle w:val="Listenabsatz"/>
        <w:numPr>
          <w:ilvl w:val="0"/>
          <w:numId w:val="5"/>
        </w:numPr>
        <w:spacing w:line="254" w:lineRule="auto"/>
        <w:ind w:left="284" w:hanging="284"/>
        <w:jc w:val="both"/>
        <w:rPr>
          <w:rFonts w:eastAsiaTheme="minorEastAsia" w:cstheme="minorHAnsi"/>
          <w:bCs/>
          <w:sz w:val="20"/>
          <w:szCs w:val="20"/>
          <w:lang w:val="en-GB"/>
        </w:rPr>
      </w:pPr>
      <w:r w:rsidRPr="00F609F7">
        <w:rPr>
          <w:rFonts w:eastAsiaTheme="minorEastAsia" w:cstheme="minorHAnsi"/>
          <w:sz w:val="20"/>
          <w:szCs w:val="20"/>
          <w:lang w:val="en-GB"/>
        </w:rPr>
        <w:t xml:space="preserve">Estimated annual proportion of pregnant women at risk of carrying any haemoglobin variant </w:t>
      </w:r>
      <m:oMath>
        <m:r>
          <w:rPr>
            <w:rFonts w:ascii="Cambria Math" w:eastAsiaTheme="minorEastAsia" w:hAnsi="Cambria Math" w:cstheme="minorHAnsi"/>
            <w:sz w:val="20"/>
            <w:szCs w:val="20"/>
            <w:lang w:val="en-GB"/>
          </w:rPr>
          <m:t>(</m:t>
        </m:r>
        <m:sSub>
          <m:sSubPr>
            <m:ctrlPr>
              <w:rPr>
                <w:rFonts w:ascii="Cambria Math" w:hAnsi="Cambria Math" w:cstheme="minorHAnsi"/>
                <w:bCs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  <w:lang w:val="en-GB"/>
              </w:rPr>
              <m:t>P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  <w:lang w:val="en-GB"/>
              </w:rPr>
              <m:t>2</m:t>
            </m:r>
          </m:sub>
        </m:sSub>
        <m:r>
          <w:rPr>
            <w:rFonts w:ascii="Cambria Math" w:hAnsi="Cambria Math" w:cstheme="minorHAnsi"/>
            <w:sz w:val="20"/>
            <w:szCs w:val="20"/>
            <w:lang w:val="en-GB"/>
          </w:rPr>
          <m:t>)</m:t>
        </m:r>
      </m:oMath>
    </w:p>
    <w:p w14:paraId="153CDFE6" w14:textId="4AC87A6A" w:rsidR="004C22D6" w:rsidRPr="00F609F7" w:rsidRDefault="00000000" w:rsidP="004C22D6">
      <w:pPr>
        <w:ind w:left="284" w:hanging="284"/>
        <w:jc w:val="both"/>
        <w:rPr>
          <w:rFonts w:eastAsiaTheme="minorEastAsia" w:cstheme="minorHAnsi"/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 w:cstheme="minorHAnsi"/>
                  <w:lang w:val="en-GB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n-GB"/>
                </w:rPr>
                <m:t>2</m:t>
              </m:r>
            </m:sub>
          </m:sSub>
          <m:r>
            <w:rPr>
              <w:rFonts w:ascii="Cambria Math" w:hAnsi="Cambria Math" w:cstheme="minorHAnsi"/>
              <w:lang w:val="en-GB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naryPr>
            <m:sub>
              <m:r>
                <w:rPr>
                  <w:rFonts w:ascii="Cambria Math" w:hAnsi="Cambria Math" w:cstheme="minorHAnsi"/>
                  <w:lang w:val="en-GB"/>
                </w:rPr>
                <m:t>i=1</m:t>
              </m:r>
            </m:sub>
            <m:sup>
              <m:r>
                <w:rPr>
                  <w:rFonts w:ascii="Cambria Math" w:hAnsi="Cambria Math" w:cstheme="minorHAnsi"/>
                  <w:lang w:val="en-GB"/>
                </w:rPr>
                <m:t>20</m:t>
              </m:r>
              <m:r>
                <w:rPr>
                  <w:rFonts w:ascii="Cambria Math" w:hAnsi="Cambria Math" w:cstheme="minorHAnsi"/>
                  <w:lang w:val="en-GB"/>
                </w:rPr>
                <m:t>8</m:t>
              </m:r>
            </m:sup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GB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theme="minorHAnsi"/>
              <w:lang w:val="en-GB"/>
            </w:rPr>
            <m:t>*</m:t>
          </m:r>
          <m:d>
            <m:d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fPr>
                <m:num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non-G.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total</m:t>
                          </m:r>
                        </m:sub>
                      </m:sSub>
                    </m:den>
                  </m:f>
                </m:num>
                <m:den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non-G.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total</m:t>
                          </m:r>
                        </m:sub>
                      </m:sSub>
                    </m:den>
                  </m:f>
                </m:den>
              </m:f>
            </m:e>
          </m:d>
          <m:r>
            <w:rPr>
              <w:rFonts w:ascii="Cambria Math" w:hAnsi="Cambria Math" w:cstheme="minorHAnsi"/>
              <w:lang w:val="en-GB"/>
            </w:rPr>
            <m:t xml:space="preserve">; where: </m:t>
          </m:r>
          <m:sSub>
            <m:sSub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 w:cstheme="minorHAnsi"/>
                  <w:lang w:val="en-GB"/>
                </w:rPr>
                <m:t>x</m:t>
              </m:r>
            </m:e>
            <m:sub>
              <m:r>
                <w:rPr>
                  <w:rFonts w:ascii="Cambria Math" w:hAnsi="Cambria Math" w:cstheme="minorHAnsi"/>
                  <w:lang w:val="en-GB"/>
                </w:rPr>
                <m:t>i</m:t>
              </m:r>
            </m:sub>
          </m:sSub>
          <m:r>
            <w:rPr>
              <w:rFonts w:ascii="Cambria Math" w:hAnsi="Cambria Math" w:cstheme="minorHAnsi"/>
              <w:lang w:val="en-GB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i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total</m:t>
                      </m:r>
                    </m:sub>
                  </m:sSub>
                </m:den>
              </m:f>
              <m:r>
                <w:rPr>
                  <w:rFonts w:ascii="Cambria Math" w:hAnsi="Cambria Math" w:cstheme="minorHAnsi"/>
                  <w:lang w:val="en-GB"/>
                </w:rPr>
                <m:t>*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GB"/>
                    </w:rPr>
                    <m:t>C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en-GB"/>
                    </w:rPr>
                    <m:t>AV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i</m:t>
                      </m:r>
                    </m:sub>
                  </m:sSub>
                </m:sub>
              </m:sSub>
            </m:e>
          </m:d>
        </m:oMath>
      </m:oMathPara>
    </w:p>
    <w:p w14:paraId="5B663500" w14:textId="77777777" w:rsidR="004C22D6" w:rsidRPr="00F609F7" w:rsidRDefault="004C22D6" w:rsidP="004C22D6">
      <w:pPr>
        <w:ind w:left="284" w:hanging="284"/>
        <w:rPr>
          <w:rFonts w:cstheme="minorHAnsi"/>
          <w:sz w:val="14"/>
          <w:szCs w:val="14"/>
          <w:lang w:val="en-GB"/>
        </w:rPr>
      </w:pPr>
    </w:p>
    <w:p w14:paraId="7B0C1A0D" w14:textId="77777777" w:rsidR="004C22D6" w:rsidRPr="00F609F7" w:rsidRDefault="004C22D6" w:rsidP="004C22D6">
      <w:pPr>
        <w:pStyle w:val="Listenabsatz"/>
        <w:numPr>
          <w:ilvl w:val="0"/>
          <w:numId w:val="5"/>
        </w:numPr>
        <w:spacing w:line="254" w:lineRule="auto"/>
        <w:ind w:left="284" w:hanging="284"/>
        <w:jc w:val="both"/>
        <w:rPr>
          <w:rFonts w:eastAsiaTheme="minorEastAsia" w:cstheme="minorHAnsi"/>
          <w:bCs/>
          <w:sz w:val="20"/>
          <w:szCs w:val="20"/>
          <w:lang w:val="en-GB"/>
        </w:rPr>
      </w:pPr>
      <w:r w:rsidRPr="00F609F7">
        <w:rPr>
          <w:rFonts w:eastAsiaTheme="minorEastAsia" w:cstheme="minorHAnsi"/>
          <w:sz w:val="20"/>
          <w:szCs w:val="20"/>
          <w:lang w:val="en-GB"/>
        </w:rPr>
        <w:t>Estimated annual proportion of pregnant women at risk of carrying a significant haemoglobin variant</w:t>
      </w:r>
      <w:r w:rsidRPr="00F609F7">
        <w:rPr>
          <w:rFonts w:eastAsiaTheme="minorEastAsia" w:cstheme="minorHAnsi"/>
          <w:bCs/>
          <w:sz w:val="20"/>
          <w:szCs w:val="20"/>
          <w:lang w:val="en-GB"/>
        </w:rPr>
        <w:t xml:space="preserve">, adjusted to fertility rate in country-of-origin </w:t>
      </w:r>
      <m:oMath>
        <m:r>
          <w:rPr>
            <w:rFonts w:ascii="Cambria Math" w:eastAsiaTheme="minorEastAsia" w:hAnsi="Cambria Math" w:cstheme="minorHAnsi"/>
            <w:sz w:val="20"/>
            <w:szCs w:val="20"/>
            <w:lang w:val="en-GB"/>
          </w:rPr>
          <m:t>(</m:t>
        </m:r>
        <m:sSub>
          <m:sSubPr>
            <m:ctrlPr>
              <w:rPr>
                <w:rFonts w:ascii="Cambria Math" w:hAnsi="Cambria Math" w:cstheme="minorHAnsi"/>
                <w:bCs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  <w:lang w:val="en-GB"/>
              </w:rPr>
              <m:t>P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  <w:lang w:val="en-GB"/>
              </w:rPr>
              <m:t>3</m:t>
            </m:r>
          </m:sub>
        </m:sSub>
        <m:r>
          <w:rPr>
            <w:rFonts w:ascii="Cambria Math" w:hAnsi="Cambria Math" w:cstheme="minorHAnsi"/>
            <w:sz w:val="20"/>
            <w:szCs w:val="20"/>
            <w:lang w:val="en-GB"/>
          </w:rPr>
          <m:t>)</m:t>
        </m:r>
      </m:oMath>
    </w:p>
    <w:p w14:paraId="1A504D2D" w14:textId="29B6C9CE" w:rsidR="004C22D6" w:rsidRPr="00F609F7" w:rsidRDefault="00000000" w:rsidP="004C22D6">
      <w:pPr>
        <w:ind w:left="284" w:hanging="284"/>
        <w:jc w:val="both"/>
        <w:rPr>
          <w:rFonts w:eastAsiaTheme="minorEastAsia" w:cstheme="minorHAnsi"/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 w:cstheme="minorHAnsi"/>
                  <w:lang w:val="en-GB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n-GB"/>
                </w:rPr>
                <m:t>3</m:t>
              </m:r>
            </m:sub>
          </m:sSub>
          <m:r>
            <w:rPr>
              <w:rFonts w:ascii="Cambria Math" w:hAnsi="Cambria Math" w:cstheme="minorHAnsi"/>
              <w:lang w:val="en-GB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naryPr>
            <m:sub>
              <m:r>
                <w:rPr>
                  <w:rFonts w:ascii="Cambria Math" w:hAnsi="Cambria Math" w:cstheme="minorHAnsi"/>
                  <w:lang w:val="en-GB"/>
                </w:rPr>
                <m:t>i=1</m:t>
              </m:r>
            </m:sub>
            <m:sup>
              <m:r>
                <w:rPr>
                  <w:rFonts w:ascii="Cambria Math" w:hAnsi="Cambria Math" w:cstheme="minorHAnsi"/>
                  <w:lang w:val="en-GB"/>
                </w:rPr>
                <m:t>20</m:t>
              </m:r>
              <m:r>
                <w:rPr>
                  <w:rFonts w:ascii="Cambria Math" w:hAnsi="Cambria Math" w:cstheme="minorHAnsi"/>
                  <w:lang w:val="en-GB"/>
                </w:rPr>
                <m:t>8</m:t>
              </m:r>
            </m:sup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GB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theme="minorHAnsi"/>
              <w:lang w:val="en-GB"/>
            </w:rPr>
            <m:t>*</m:t>
          </m:r>
          <m:d>
            <m:d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fPr>
                <m:num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non-G.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total</m:t>
                          </m:r>
                        </m:sub>
                      </m:sSub>
                    </m:den>
                  </m:f>
                </m:num>
                <m:den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non-G.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total</m:t>
                          </m:r>
                        </m:sub>
                      </m:sSub>
                    </m:den>
                  </m:f>
                </m:den>
              </m:f>
            </m:e>
          </m:d>
          <m:r>
            <w:rPr>
              <w:rFonts w:ascii="Cambria Math" w:hAnsi="Cambria Math" w:cstheme="minorHAnsi"/>
              <w:lang w:val="en-GB"/>
            </w:rPr>
            <m:t>*</m:t>
          </m:r>
          <m:d>
            <m:d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TFR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i</m:t>
                          </m:r>
                        </m:sub>
                      </m:sSub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lang w:val="en-GB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TFR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all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theme="minorHAnsi"/>
              <w:lang w:val="en-GB"/>
            </w:rPr>
            <m:t xml:space="preserve">; where: </m:t>
          </m:r>
          <m:sSub>
            <m:sSub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 w:cstheme="minorHAnsi"/>
                  <w:lang w:val="en-GB"/>
                </w:rPr>
                <m:t>x</m:t>
              </m:r>
            </m:e>
            <m:sub>
              <m:r>
                <w:rPr>
                  <w:rFonts w:ascii="Cambria Math" w:hAnsi="Cambria Math" w:cstheme="minorHAnsi"/>
                  <w:lang w:val="en-GB"/>
                </w:rPr>
                <m:t>i</m:t>
              </m:r>
            </m:sub>
          </m:sSub>
          <m:r>
            <w:rPr>
              <w:rFonts w:ascii="Cambria Math" w:hAnsi="Cambria Math" w:cstheme="minorHAnsi"/>
              <w:lang w:val="en-GB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i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total</m:t>
                      </m:r>
                    </m:sub>
                  </m:sSub>
                </m:den>
              </m:f>
              <m:r>
                <w:rPr>
                  <w:rFonts w:ascii="Cambria Math" w:hAnsi="Cambria Math" w:cstheme="minorHAnsi"/>
                  <w:lang w:val="en-GB"/>
                </w:rPr>
                <m:t>*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GB"/>
                    </w:rPr>
                    <m:t>C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en-GB"/>
                    </w:rPr>
                    <m:t>SV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i</m:t>
                      </m:r>
                    </m:sub>
                  </m:sSub>
                </m:sub>
              </m:sSub>
            </m:e>
          </m:d>
        </m:oMath>
      </m:oMathPara>
    </w:p>
    <w:p w14:paraId="15AD72EB" w14:textId="77777777" w:rsidR="004C22D6" w:rsidRPr="00F609F7" w:rsidRDefault="004C22D6" w:rsidP="004C22D6">
      <w:pPr>
        <w:ind w:left="284" w:hanging="284"/>
        <w:rPr>
          <w:rFonts w:cstheme="minorHAnsi"/>
          <w:sz w:val="14"/>
          <w:szCs w:val="14"/>
          <w:lang w:val="en-GB"/>
        </w:rPr>
      </w:pPr>
    </w:p>
    <w:p w14:paraId="3A1E645C" w14:textId="77777777" w:rsidR="004C22D6" w:rsidRPr="00F609F7" w:rsidRDefault="004C22D6" w:rsidP="004C22D6">
      <w:pPr>
        <w:pStyle w:val="Listenabsatz"/>
        <w:numPr>
          <w:ilvl w:val="0"/>
          <w:numId w:val="5"/>
        </w:numPr>
        <w:spacing w:line="254" w:lineRule="auto"/>
        <w:ind w:left="284" w:hanging="284"/>
        <w:jc w:val="both"/>
        <w:rPr>
          <w:rFonts w:eastAsiaTheme="minorEastAsia" w:cstheme="minorHAnsi"/>
          <w:bCs/>
          <w:sz w:val="20"/>
          <w:szCs w:val="20"/>
          <w:lang w:val="en-GB"/>
        </w:rPr>
      </w:pPr>
      <w:r w:rsidRPr="00F609F7">
        <w:rPr>
          <w:rFonts w:eastAsiaTheme="minorEastAsia" w:cstheme="minorHAnsi"/>
          <w:sz w:val="20"/>
          <w:szCs w:val="20"/>
          <w:lang w:val="en-GB"/>
        </w:rPr>
        <w:t>Estimated annual proportion of pregnant women at risk of carrying any haemoglobin variant</w:t>
      </w:r>
      <w:r w:rsidRPr="00F609F7">
        <w:rPr>
          <w:rFonts w:eastAsiaTheme="minorEastAsia" w:cstheme="minorHAnsi"/>
          <w:bCs/>
          <w:sz w:val="20"/>
          <w:szCs w:val="20"/>
          <w:lang w:val="en-GB"/>
        </w:rPr>
        <w:t xml:space="preserve">, adjusted to fertility rate in country-of-origin </w:t>
      </w:r>
      <m:oMath>
        <m:r>
          <w:rPr>
            <w:rFonts w:ascii="Cambria Math" w:eastAsiaTheme="minorEastAsia" w:hAnsi="Cambria Math" w:cstheme="minorHAnsi"/>
            <w:sz w:val="20"/>
            <w:szCs w:val="20"/>
            <w:lang w:val="en-GB"/>
          </w:rPr>
          <m:t>(</m:t>
        </m:r>
        <m:sSub>
          <m:sSubPr>
            <m:ctrlPr>
              <w:rPr>
                <w:rFonts w:ascii="Cambria Math" w:hAnsi="Cambria Math" w:cstheme="minorHAnsi"/>
                <w:bCs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  <w:lang w:val="en-GB"/>
              </w:rPr>
              <m:t>P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  <w:lang w:val="en-GB"/>
              </w:rPr>
              <m:t>4</m:t>
            </m:r>
          </m:sub>
        </m:sSub>
        <m:r>
          <w:rPr>
            <w:rFonts w:ascii="Cambria Math" w:hAnsi="Cambria Math" w:cstheme="minorHAnsi"/>
            <w:sz w:val="20"/>
            <w:szCs w:val="20"/>
            <w:lang w:val="en-GB"/>
          </w:rPr>
          <m:t>)</m:t>
        </m:r>
      </m:oMath>
    </w:p>
    <w:p w14:paraId="3AFCDFBC" w14:textId="03E6FC87" w:rsidR="004C22D6" w:rsidRPr="00F609F7" w:rsidRDefault="00000000" w:rsidP="004C22D6">
      <w:pPr>
        <w:ind w:left="284" w:hanging="284"/>
        <w:jc w:val="both"/>
        <w:rPr>
          <w:rFonts w:eastAsiaTheme="minorEastAsia" w:cstheme="minorHAnsi"/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 w:cstheme="minorHAnsi"/>
                  <w:lang w:val="en-GB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n-GB"/>
                </w:rPr>
                <m:t>4</m:t>
              </m:r>
            </m:sub>
          </m:sSub>
          <m:r>
            <w:rPr>
              <w:rFonts w:ascii="Cambria Math" w:hAnsi="Cambria Math" w:cstheme="minorHAnsi"/>
              <w:lang w:val="en-GB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naryPr>
            <m:sub>
              <m:r>
                <w:rPr>
                  <w:rFonts w:ascii="Cambria Math" w:hAnsi="Cambria Math" w:cstheme="minorHAnsi"/>
                  <w:lang w:val="en-GB"/>
                </w:rPr>
                <m:t>i=1</m:t>
              </m:r>
            </m:sub>
            <m:sup>
              <m:r>
                <w:rPr>
                  <w:rFonts w:ascii="Cambria Math" w:hAnsi="Cambria Math" w:cstheme="minorHAnsi"/>
                  <w:lang w:val="en-GB"/>
                </w:rPr>
                <m:t>20</m:t>
              </m:r>
              <m:r>
                <w:rPr>
                  <w:rFonts w:ascii="Cambria Math" w:hAnsi="Cambria Math" w:cstheme="minorHAnsi"/>
                  <w:lang w:val="en-GB"/>
                </w:rPr>
                <m:t>8</m:t>
              </m:r>
            </m:sup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GB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theme="minorHAnsi"/>
              <w:lang w:val="en-GB"/>
            </w:rPr>
            <m:t>*</m:t>
          </m:r>
          <m:d>
            <m:d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fPr>
                <m:num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non-G.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total</m:t>
                          </m:r>
                        </m:sub>
                      </m:sSub>
                    </m:den>
                  </m:f>
                </m:num>
                <m:den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non-G.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total</m:t>
                          </m:r>
                        </m:sub>
                      </m:sSub>
                    </m:den>
                  </m:f>
                </m:den>
              </m:f>
            </m:e>
          </m:d>
          <m:r>
            <w:rPr>
              <w:rFonts w:ascii="Cambria Math" w:hAnsi="Cambria Math" w:cstheme="minorHAnsi"/>
              <w:lang w:val="en-GB"/>
            </w:rPr>
            <m:t xml:space="preserve"> *</m:t>
          </m:r>
          <m:d>
            <m:d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n-GB"/>
                    </w:rPr>
                    <m:t>T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FR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i</m:t>
                          </m:r>
                        </m:sub>
                      </m:sSub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lang w:val="en-GB"/>
                    </w:rPr>
                    <m:t>mT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FR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all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theme="minorHAnsi"/>
              <w:lang w:val="en-GB"/>
            </w:rPr>
            <m:t xml:space="preserve">; where: </m:t>
          </m:r>
          <m:sSub>
            <m:sSub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 w:cstheme="minorHAnsi"/>
                  <w:lang w:val="en-GB"/>
                </w:rPr>
                <m:t>x</m:t>
              </m:r>
            </m:e>
            <m:sub>
              <m:r>
                <w:rPr>
                  <w:rFonts w:ascii="Cambria Math" w:hAnsi="Cambria Math" w:cstheme="minorHAnsi"/>
                  <w:lang w:val="en-GB"/>
                </w:rPr>
                <m:t>i</m:t>
              </m:r>
            </m:sub>
          </m:sSub>
          <m:r>
            <w:rPr>
              <w:rFonts w:ascii="Cambria Math" w:hAnsi="Cambria Math" w:cstheme="minorHAnsi"/>
              <w:lang w:val="en-GB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en-GB"/>
                            </w:rPr>
                            <m:t>i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total</m:t>
                      </m:r>
                    </m:sub>
                  </m:sSub>
                </m:den>
              </m:f>
              <m:r>
                <w:rPr>
                  <w:rFonts w:ascii="Cambria Math" w:hAnsi="Cambria Math" w:cstheme="minorHAnsi"/>
                  <w:lang w:val="en-GB"/>
                </w:rPr>
                <m:t>*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GB"/>
                    </w:rPr>
                    <m:t>C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en-GB"/>
                    </w:rPr>
                    <m:t>AV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i</m:t>
                      </m:r>
                    </m:sub>
                  </m:sSub>
                </m:sub>
              </m:sSub>
            </m:e>
          </m:d>
        </m:oMath>
      </m:oMathPara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2"/>
        <w:gridCol w:w="8068"/>
      </w:tblGrid>
      <w:tr w:rsidR="004C22D6" w:rsidRPr="00F609F7" w14:paraId="40EDF7AF" w14:textId="77777777" w:rsidTr="005D6AA4">
        <w:tc>
          <w:tcPr>
            <w:tcW w:w="992" w:type="dxa"/>
            <w:hideMark/>
          </w:tcPr>
          <w:p w14:paraId="709E45CF" w14:textId="77777777" w:rsidR="004C22D6" w:rsidRPr="00F609F7" w:rsidRDefault="00000000" w:rsidP="006456E9">
            <w:pPr>
              <w:jc w:val="both"/>
              <w:rPr>
                <w:rFonts w:eastAsiaTheme="minorEastAsia" w:cstheme="minorHAnsi"/>
                <w:bCs/>
                <w:sz w:val="16"/>
                <w:szCs w:val="16"/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16"/>
                      <w:szCs w:val="16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16"/>
                          <w:szCs w:val="16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16"/>
                          <w:szCs w:val="16"/>
                          <w:lang w:val="en-GB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16"/>
                          <w:szCs w:val="16"/>
                          <w:lang w:val="en-GB"/>
                        </w:rPr>
                        <m:t>i</m:t>
                      </m:r>
                    </m:sub>
                  </m:sSub>
                </m:sub>
              </m:sSub>
            </m:oMath>
            <w:r w:rsidR="004C22D6" w:rsidRPr="00F609F7">
              <w:rPr>
                <w:rFonts w:eastAsiaTheme="minorEastAsia" w:cstheme="minorHAnsi"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8068" w:type="dxa"/>
            <w:hideMark/>
          </w:tcPr>
          <w:p w14:paraId="02E9083F" w14:textId="2ABAE359" w:rsidR="004C22D6" w:rsidRPr="00F609F7" w:rsidRDefault="004C22D6" w:rsidP="006456E9">
            <w:pPr>
              <w:pStyle w:val="Formatvorlage10"/>
              <w:jc w:val="both"/>
              <w:rPr>
                <w:rFonts w:cstheme="minorHAnsi"/>
                <w:lang w:val="en-GB"/>
              </w:rPr>
            </w:pPr>
            <w:bookmarkStart w:id="0" w:name="OLE_LINK3"/>
            <w:r w:rsidRPr="00F609F7">
              <w:rPr>
                <w:rFonts w:cstheme="minorHAnsi"/>
                <w:lang w:val="en-GB"/>
              </w:rPr>
              <w:t>number of women of childbearing age (15-50 years) from a given country-of-origin (</w:t>
            </w:r>
            <m:oMath>
              <m:r>
                <w:rPr>
                  <w:rFonts w:ascii="Cambria Math" w:hAnsi="Cambria Math" w:cstheme="minorHAnsi"/>
                  <w:lang w:val="en-GB"/>
                </w:rPr>
                <m:t>i</m:t>
              </m:r>
            </m:oMath>
            <w:r w:rsidRPr="00F609F7">
              <w:rPr>
                <w:rFonts w:cstheme="minorHAnsi"/>
                <w:lang w:val="en-GB"/>
              </w:rPr>
              <w:t xml:space="preserve">) in a given German federal state or in Germany and </w:t>
            </w:r>
            <w:proofErr w:type="gramStart"/>
            <w:r w:rsidRPr="00F609F7">
              <w:rPr>
                <w:rFonts w:cstheme="minorHAnsi"/>
                <w:lang w:val="en-GB"/>
              </w:rPr>
              <w:t>in a given year</w:t>
            </w:r>
            <w:proofErr w:type="gramEnd"/>
            <w:r w:rsidRPr="00F609F7">
              <w:rPr>
                <w:rFonts w:cstheme="minorHAnsi"/>
                <w:lang w:val="en-GB"/>
              </w:rPr>
              <w:t xml:space="preserve"> (2010-</w:t>
            </w:r>
            <w:r w:rsidR="001468CB">
              <w:rPr>
                <w:rFonts w:cstheme="minorHAnsi"/>
                <w:lang w:val="en-GB"/>
              </w:rPr>
              <w:t>2024</w:t>
            </w:r>
            <w:r w:rsidRPr="00F609F7">
              <w:rPr>
                <w:rFonts w:cstheme="minorHAnsi"/>
                <w:lang w:val="en-GB"/>
              </w:rPr>
              <w:t>)</w:t>
            </w:r>
            <w:bookmarkEnd w:id="0"/>
          </w:p>
        </w:tc>
      </w:tr>
      <w:tr w:rsidR="004C22D6" w:rsidRPr="00F609F7" w14:paraId="164F21C1" w14:textId="77777777" w:rsidTr="005D6AA4">
        <w:tc>
          <w:tcPr>
            <w:tcW w:w="992" w:type="dxa"/>
            <w:hideMark/>
          </w:tcPr>
          <w:p w14:paraId="0443C128" w14:textId="77777777" w:rsidR="004C22D6" w:rsidRPr="00F609F7" w:rsidRDefault="00000000" w:rsidP="006456E9">
            <w:pPr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  <w:sz w:val="16"/>
                      <w:szCs w:val="16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>W</m:t>
                  </m:r>
                </m:e>
                <m:sub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>non-G.</m:t>
                  </m:r>
                </m:sub>
              </m:sSub>
            </m:oMath>
            <w:r w:rsidR="004C22D6" w:rsidRPr="00F609F7">
              <w:rPr>
                <w:rFonts w:eastAsiaTheme="minorEastAsia" w:cstheme="minorHAnsi"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8068" w:type="dxa"/>
            <w:hideMark/>
          </w:tcPr>
          <w:p w14:paraId="3655D813" w14:textId="59A9D179" w:rsidR="004C22D6" w:rsidRPr="00F609F7" w:rsidRDefault="004C22D6" w:rsidP="006456E9">
            <w:pPr>
              <w:pStyle w:val="Formatvorlage10"/>
              <w:jc w:val="both"/>
              <w:rPr>
                <w:rFonts w:cstheme="minorHAnsi"/>
                <w:lang w:val="en-GB"/>
              </w:rPr>
            </w:pPr>
            <w:r w:rsidRPr="00F609F7">
              <w:rPr>
                <w:rFonts w:cstheme="minorHAnsi"/>
                <w:lang w:val="en-GB"/>
              </w:rPr>
              <w:t xml:space="preserve">number of all non-German women of childbearing age (15-50 years) in a given German federal state or in Germany and </w:t>
            </w:r>
            <w:proofErr w:type="gramStart"/>
            <w:r w:rsidRPr="00F609F7">
              <w:rPr>
                <w:rFonts w:cstheme="minorHAnsi"/>
                <w:lang w:val="en-GB"/>
              </w:rPr>
              <w:t>in a given year</w:t>
            </w:r>
            <w:proofErr w:type="gramEnd"/>
            <w:r w:rsidRPr="00F609F7">
              <w:rPr>
                <w:rFonts w:cstheme="minorHAnsi"/>
                <w:lang w:val="en-GB"/>
              </w:rPr>
              <w:t xml:space="preserve"> (2010-</w:t>
            </w:r>
            <w:r w:rsidR="001468CB">
              <w:rPr>
                <w:rFonts w:cstheme="minorHAnsi"/>
                <w:lang w:val="en-GB"/>
              </w:rPr>
              <w:t>2024</w:t>
            </w:r>
            <w:r w:rsidRPr="00F609F7">
              <w:rPr>
                <w:rFonts w:cstheme="minorHAnsi"/>
                <w:lang w:val="en-GB"/>
              </w:rPr>
              <w:t>)</w:t>
            </w:r>
          </w:p>
        </w:tc>
      </w:tr>
      <w:tr w:rsidR="004C22D6" w:rsidRPr="00F609F7" w14:paraId="35F1E90E" w14:textId="77777777" w:rsidTr="005D6AA4">
        <w:tc>
          <w:tcPr>
            <w:tcW w:w="992" w:type="dxa"/>
            <w:hideMark/>
          </w:tcPr>
          <w:p w14:paraId="74CE9C36" w14:textId="77777777" w:rsidR="004C22D6" w:rsidRPr="00F609F7" w:rsidRDefault="00000000" w:rsidP="006456E9">
            <w:pPr>
              <w:jc w:val="both"/>
              <w:rPr>
                <w:rFonts w:eastAsiaTheme="minorEastAsia" w:cstheme="minorHAnsi"/>
                <w:bCs/>
                <w:sz w:val="16"/>
                <w:szCs w:val="16"/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  <w:sz w:val="16"/>
                      <w:szCs w:val="16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>W</m:t>
                  </m:r>
                </m:e>
                <m:sub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>total</m:t>
                  </m:r>
                </m:sub>
              </m:sSub>
            </m:oMath>
            <w:r w:rsidR="004C22D6" w:rsidRPr="00F609F7">
              <w:rPr>
                <w:rFonts w:eastAsiaTheme="minorEastAsia" w:cstheme="minorHAnsi"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8068" w:type="dxa"/>
            <w:hideMark/>
          </w:tcPr>
          <w:p w14:paraId="354BBF2D" w14:textId="42E090D3" w:rsidR="004C22D6" w:rsidRPr="00F609F7" w:rsidRDefault="004C22D6" w:rsidP="006456E9">
            <w:pPr>
              <w:pStyle w:val="Formatvorlage10"/>
              <w:jc w:val="both"/>
              <w:rPr>
                <w:rFonts w:eastAsiaTheme="minorEastAsia" w:cstheme="minorHAnsi"/>
                <w:bCs/>
                <w:lang w:val="en-GB"/>
              </w:rPr>
            </w:pPr>
            <w:r w:rsidRPr="00F609F7">
              <w:rPr>
                <w:rFonts w:eastAsiaTheme="minorEastAsia" w:cstheme="minorHAnsi"/>
                <w:bCs/>
                <w:lang w:val="en-GB"/>
              </w:rPr>
              <w:t xml:space="preserve">number of all women of childbearing age (15-50 years) in a </w:t>
            </w:r>
            <w:r w:rsidRPr="00F609F7">
              <w:rPr>
                <w:rFonts w:cstheme="minorHAnsi"/>
                <w:lang w:val="en-GB"/>
              </w:rPr>
              <w:t xml:space="preserve">given </w:t>
            </w:r>
            <w:r w:rsidRPr="00F609F7">
              <w:rPr>
                <w:rFonts w:eastAsiaTheme="minorEastAsia" w:cstheme="minorHAnsi"/>
                <w:bCs/>
                <w:lang w:val="en-GB"/>
              </w:rPr>
              <w:t xml:space="preserve">German federal state or in Germany and </w:t>
            </w:r>
            <w:proofErr w:type="gramStart"/>
            <w:r w:rsidRPr="00F609F7">
              <w:rPr>
                <w:rFonts w:eastAsiaTheme="minorEastAsia" w:cstheme="minorHAnsi"/>
                <w:bCs/>
                <w:lang w:val="en-GB"/>
              </w:rPr>
              <w:t xml:space="preserve">in a </w:t>
            </w:r>
            <w:r w:rsidRPr="00F609F7">
              <w:rPr>
                <w:rFonts w:cstheme="minorHAnsi"/>
                <w:lang w:val="en-GB"/>
              </w:rPr>
              <w:t xml:space="preserve">given </w:t>
            </w:r>
            <w:r w:rsidRPr="00F609F7">
              <w:rPr>
                <w:rFonts w:eastAsiaTheme="minorEastAsia" w:cstheme="minorHAnsi"/>
                <w:bCs/>
                <w:lang w:val="en-GB"/>
              </w:rPr>
              <w:t>year</w:t>
            </w:r>
            <w:proofErr w:type="gramEnd"/>
            <w:r w:rsidRPr="00F609F7">
              <w:rPr>
                <w:rFonts w:eastAsiaTheme="minorEastAsia" w:cstheme="minorHAnsi"/>
                <w:bCs/>
                <w:lang w:val="en-GB"/>
              </w:rPr>
              <w:t xml:space="preserve"> (2010-</w:t>
            </w:r>
            <w:r w:rsidR="001468CB">
              <w:rPr>
                <w:rFonts w:cstheme="minorHAnsi"/>
                <w:lang w:val="en-GB"/>
              </w:rPr>
              <w:t>2024</w:t>
            </w:r>
            <w:r w:rsidRPr="00F609F7">
              <w:rPr>
                <w:rFonts w:eastAsiaTheme="minorEastAsia" w:cstheme="minorHAnsi"/>
                <w:bCs/>
                <w:lang w:val="en-GB"/>
              </w:rPr>
              <w:t>)</w:t>
            </w:r>
          </w:p>
        </w:tc>
      </w:tr>
      <w:tr w:rsidR="004C22D6" w:rsidRPr="00F609F7" w14:paraId="1A90D279" w14:textId="77777777" w:rsidTr="005D6AA4">
        <w:tc>
          <w:tcPr>
            <w:tcW w:w="992" w:type="dxa"/>
            <w:hideMark/>
          </w:tcPr>
          <w:p w14:paraId="1C869169" w14:textId="26F56116" w:rsidR="004C22D6" w:rsidRPr="00F609F7" w:rsidRDefault="00000000" w:rsidP="006456E9">
            <w:pPr>
              <w:jc w:val="both"/>
              <w:rPr>
                <w:rFonts w:eastAsiaTheme="minorEastAsia" w:cstheme="minorHAnsi"/>
                <w:bCs/>
                <w:sz w:val="16"/>
                <w:szCs w:val="16"/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16"/>
                      <w:szCs w:val="16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>C</m:t>
                  </m:r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>SV</m:t>
                  </m:r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16"/>
                          <w:szCs w:val="16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16"/>
                          <w:szCs w:val="16"/>
                          <w:lang w:val="en-GB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16"/>
                          <w:szCs w:val="16"/>
                          <w:lang w:val="en-GB"/>
                        </w:rPr>
                        <m:t>i</m:t>
                      </m:r>
                    </m:sub>
                  </m:sSub>
                </m:sub>
              </m:sSub>
            </m:oMath>
            <w:r w:rsidR="004C22D6" w:rsidRPr="00F609F7">
              <w:rPr>
                <w:rFonts w:eastAsiaTheme="minorEastAsia" w:cstheme="minorHAnsi"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8068" w:type="dxa"/>
            <w:hideMark/>
          </w:tcPr>
          <w:p w14:paraId="71851C05" w14:textId="77777777" w:rsidR="004C22D6" w:rsidRPr="00F609F7" w:rsidRDefault="004C22D6" w:rsidP="006456E9">
            <w:pPr>
              <w:pStyle w:val="Formatvorlage10"/>
              <w:jc w:val="both"/>
              <w:rPr>
                <w:rFonts w:eastAsiaTheme="minorEastAsia" w:cstheme="minorHAnsi"/>
                <w:bCs/>
                <w:lang w:val="en-GB"/>
              </w:rPr>
            </w:pPr>
            <w:r w:rsidRPr="00F609F7">
              <w:rPr>
                <w:rFonts w:eastAsiaTheme="minorEastAsia" w:cstheme="minorHAnsi"/>
                <w:bCs/>
                <w:lang w:val="en-GB"/>
              </w:rPr>
              <w:t>carrier frequency of significant variants among pregnant women in country (</w:t>
            </w:r>
            <m:oMath>
              <m:r>
                <w:rPr>
                  <w:rFonts w:ascii="Cambria Math" w:eastAsiaTheme="minorEastAsia" w:hAnsi="Cambria Math" w:cstheme="minorHAnsi"/>
                  <w:lang w:val="en-GB"/>
                </w:rPr>
                <m:t>i</m:t>
              </m:r>
            </m:oMath>
            <w:r w:rsidRPr="00F609F7">
              <w:rPr>
                <w:rFonts w:eastAsiaTheme="minorEastAsia" w:cstheme="minorHAnsi"/>
                <w:bCs/>
                <w:lang w:val="en-GB"/>
              </w:rPr>
              <w:t xml:space="preserve">) according to „Modell's Haemoglobinopathologist's Almanac“ [URL: </w:t>
            </w:r>
            <w:hyperlink r:id="rId8" w:history="1">
              <w:r w:rsidRPr="00F609F7">
                <w:rPr>
                  <w:rStyle w:val="Hyperlink"/>
                  <w:rFonts w:eastAsiaTheme="minorEastAsia" w:cstheme="minorHAnsi"/>
                  <w:bCs/>
                  <w:color w:val="auto"/>
                  <w:u w:val="none"/>
                  <w:lang w:val="en-GB"/>
                </w:rPr>
                <w:t>http://www.modell-almanac.net/</w:t>
              </w:r>
            </w:hyperlink>
            <w:r w:rsidRPr="00F609F7">
              <w:rPr>
                <w:rFonts w:eastAsiaTheme="minorEastAsia" w:cstheme="minorHAnsi"/>
                <w:bCs/>
                <w:lang w:val="en-GB"/>
              </w:rPr>
              <w:t>; DEMO Excel Sheet, results in column: “Total % carrying significant variants (allowing for a/b coincidence)”]. If relevant for stratification, carrier frequency of single significant variants among pregnant women in country (</w:t>
            </w:r>
            <m:oMath>
              <m:r>
                <w:rPr>
                  <w:rFonts w:ascii="Cambria Math" w:eastAsiaTheme="minorEastAsia" w:hAnsi="Cambria Math" w:cstheme="minorHAnsi"/>
                  <w:lang w:val="en-GB"/>
                </w:rPr>
                <m:t>i</m:t>
              </m:r>
            </m:oMath>
            <w:r w:rsidRPr="00F609F7">
              <w:rPr>
                <w:rFonts w:eastAsiaTheme="minorEastAsia" w:cstheme="minorHAnsi"/>
                <w:bCs/>
                <w:lang w:val="en-GB"/>
              </w:rPr>
              <w:t>) were included instead of all significant variants (e.g., results in column: “% AC”, “% AS”, or “% beta thal” …etc.).</w:t>
            </w:r>
          </w:p>
        </w:tc>
      </w:tr>
      <w:tr w:rsidR="004C22D6" w:rsidRPr="00F609F7" w14:paraId="4F6ABE56" w14:textId="77777777" w:rsidTr="005D6AA4">
        <w:tc>
          <w:tcPr>
            <w:tcW w:w="992" w:type="dxa"/>
            <w:hideMark/>
          </w:tcPr>
          <w:p w14:paraId="40E719BD" w14:textId="5B7E43F9" w:rsidR="004C22D6" w:rsidRPr="00F609F7" w:rsidRDefault="00000000" w:rsidP="006456E9">
            <w:pPr>
              <w:rPr>
                <w:rFonts w:eastAsiaTheme="minorEastAsia" w:cstheme="minorHAnsi"/>
                <w:bCs/>
                <w:sz w:val="16"/>
                <w:szCs w:val="16"/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16"/>
                      <w:szCs w:val="16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>C</m:t>
                  </m:r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>AV</m:t>
                  </m:r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16"/>
                          <w:szCs w:val="16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16"/>
                          <w:szCs w:val="16"/>
                          <w:lang w:val="en-GB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16"/>
                          <w:szCs w:val="16"/>
                          <w:lang w:val="en-GB"/>
                        </w:rPr>
                        <m:t>i</m:t>
                      </m:r>
                    </m:sub>
                  </m:sSub>
                </m:sub>
              </m:sSub>
            </m:oMath>
            <w:r w:rsidR="004C22D6" w:rsidRPr="00F609F7">
              <w:rPr>
                <w:rFonts w:eastAsiaTheme="minorEastAsia" w:cstheme="minorHAnsi"/>
                <w:sz w:val="16"/>
                <w:szCs w:val="16"/>
                <w:lang w:val="en-GB"/>
              </w:rPr>
              <w:t>:</w:t>
            </w:r>
          </w:p>
        </w:tc>
        <w:tc>
          <w:tcPr>
            <w:tcW w:w="8068" w:type="dxa"/>
            <w:hideMark/>
          </w:tcPr>
          <w:p w14:paraId="7CD340D2" w14:textId="77777777" w:rsidR="004C22D6" w:rsidRPr="00F609F7" w:rsidRDefault="004C22D6" w:rsidP="006456E9">
            <w:pPr>
              <w:pStyle w:val="Formatvorlage10"/>
              <w:jc w:val="both"/>
              <w:rPr>
                <w:rFonts w:eastAsiaTheme="minorEastAsia" w:cstheme="minorHAnsi"/>
                <w:bCs/>
                <w:lang w:val="en-GB"/>
              </w:rPr>
            </w:pPr>
            <w:r w:rsidRPr="00F609F7">
              <w:rPr>
                <w:rFonts w:eastAsiaTheme="minorEastAsia" w:cstheme="minorHAnsi"/>
                <w:bCs/>
                <w:lang w:val="en-GB"/>
              </w:rPr>
              <w:t>carrier frequency of all variants among pregnant in country (</w:t>
            </w:r>
            <m:oMath>
              <m:r>
                <w:rPr>
                  <w:rFonts w:ascii="Cambria Math" w:hAnsi="Cambria Math" w:cstheme="minorHAnsi"/>
                  <w:lang w:val="en-GB"/>
                </w:rPr>
                <m:t>i</m:t>
              </m:r>
            </m:oMath>
            <w:r w:rsidRPr="00F609F7">
              <w:rPr>
                <w:rFonts w:eastAsiaTheme="minorEastAsia" w:cstheme="minorHAnsi"/>
                <w:bCs/>
                <w:lang w:val="en-GB"/>
              </w:rPr>
              <w:t xml:space="preserve">) according to „Modell's Haemoglobinopathologist's Almanac“ [URL: </w:t>
            </w:r>
            <w:hyperlink r:id="rId9" w:history="1">
              <w:r w:rsidRPr="00F609F7">
                <w:rPr>
                  <w:rStyle w:val="Hyperlink"/>
                  <w:rFonts w:eastAsiaTheme="minorEastAsia" w:cstheme="minorHAnsi"/>
                  <w:bCs/>
                  <w:color w:val="auto"/>
                  <w:u w:val="none"/>
                  <w:lang w:val="en-GB"/>
                </w:rPr>
                <w:t>http://www.modell-almanac.net/</w:t>
              </w:r>
            </w:hyperlink>
            <w:r w:rsidRPr="00F609F7">
              <w:rPr>
                <w:rFonts w:eastAsiaTheme="minorEastAsia" w:cstheme="minorHAnsi"/>
                <w:bCs/>
                <w:lang w:val="en-GB"/>
              </w:rPr>
              <w:t>; DEMO Excel Sheet, column: “total % carrying one or more variants (</w:t>
            </w:r>
            <w:proofErr w:type="spellStart"/>
            <w:r w:rsidRPr="00F609F7">
              <w:rPr>
                <w:rFonts w:eastAsiaTheme="minorEastAsia" w:cstheme="minorHAnsi"/>
                <w:bCs/>
                <w:lang w:val="en-GB"/>
              </w:rPr>
              <w:t>incl</w:t>
            </w:r>
            <w:proofErr w:type="spellEnd"/>
            <w:r w:rsidRPr="00F609F7">
              <w:rPr>
                <w:rFonts w:eastAsiaTheme="minorEastAsia" w:cstheme="minorHAnsi"/>
                <w:bCs/>
                <w:lang w:val="en-GB"/>
              </w:rPr>
              <w:t xml:space="preserve"> harmless combinations)”].</w:t>
            </w:r>
          </w:p>
        </w:tc>
      </w:tr>
      <w:tr w:rsidR="004C22D6" w:rsidRPr="00F609F7" w14:paraId="2AC61FC5" w14:textId="77777777" w:rsidTr="005D6AA4">
        <w:tc>
          <w:tcPr>
            <w:tcW w:w="992" w:type="dxa"/>
            <w:hideMark/>
          </w:tcPr>
          <w:p w14:paraId="4D14C16F" w14:textId="77777777" w:rsidR="004C22D6" w:rsidRPr="00F609F7" w:rsidRDefault="00000000" w:rsidP="006456E9">
            <w:pPr>
              <w:jc w:val="both"/>
              <w:rPr>
                <w:rFonts w:eastAsiaTheme="minorEastAsia" w:cstheme="minorHAnsi"/>
                <w:bCs/>
                <w:sz w:val="16"/>
                <w:szCs w:val="16"/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  <w:sz w:val="16"/>
                      <w:szCs w:val="16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16"/>
                      <w:szCs w:val="16"/>
                      <w:vertAlign w:val="subscript"/>
                      <w:lang w:val="en-GB"/>
                    </w:rPr>
                    <m:t>non-G.</m:t>
                  </m:r>
                </m:sub>
              </m:sSub>
            </m:oMath>
            <w:r w:rsidR="004C22D6" w:rsidRPr="00F609F7">
              <w:rPr>
                <w:rFonts w:eastAsiaTheme="minorEastAsia" w:cstheme="minorHAnsi"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8068" w:type="dxa"/>
            <w:hideMark/>
          </w:tcPr>
          <w:p w14:paraId="304D9126" w14:textId="0752C217" w:rsidR="004C22D6" w:rsidRPr="00F609F7" w:rsidRDefault="004C22D6" w:rsidP="006456E9">
            <w:pPr>
              <w:pStyle w:val="Formatvorlage10"/>
              <w:jc w:val="both"/>
              <w:rPr>
                <w:rFonts w:eastAsiaTheme="minorEastAsia" w:cstheme="minorHAnsi"/>
                <w:bCs/>
                <w:lang w:val="en-GB"/>
              </w:rPr>
            </w:pPr>
            <w:r w:rsidRPr="00F609F7">
              <w:rPr>
                <w:rFonts w:eastAsiaTheme="minorEastAsia" w:cstheme="minorHAnsi"/>
                <w:bCs/>
                <w:lang w:val="en-GB"/>
              </w:rPr>
              <w:t xml:space="preserve">number of live births from non-German mothers in a </w:t>
            </w:r>
            <w:r w:rsidRPr="00F609F7">
              <w:rPr>
                <w:rFonts w:cstheme="minorHAnsi"/>
                <w:lang w:val="en-GB"/>
              </w:rPr>
              <w:t xml:space="preserve">given </w:t>
            </w:r>
            <w:r w:rsidRPr="00F609F7">
              <w:rPr>
                <w:rFonts w:eastAsiaTheme="minorEastAsia" w:cstheme="minorHAnsi"/>
                <w:bCs/>
                <w:lang w:val="en-GB"/>
              </w:rPr>
              <w:t xml:space="preserve">German federal state or in Germany and </w:t>
            </w:r>
            <w:proofErr w:type="gramStart"/>
            <w:r w:rsidRPr="00F609F7">
              <w:rPr>
                <w:rFonts w:eastAsiaTheme="minorEastAsia" w:cstheme="minorHAnsi"/>
                <w:bCs/>
                <w:lang w:val="en-GB"/>
              </w:rPr>
              <w:t xml:space="preserve">in a </w:t>
            </w:r>
            <w:r w:rsidRPr="00F609F7">
              <w:rPr>
                <w:rFonts w:cstheme="minorHAnsi"/>
                <w:lang w:val="en-GB"/>
              </w:rPr>
              <w:t xml:space="preserve">given </w:t>
            </w:r>
            <w:r w:rsidRPr="00F609F7">
              <w:rPr>
                <w:rFonts w:eastAsiaTheme="minorEastAsia" w:cstheme="minorHAnsi"/>
                <w:bCs/>
                <w:lang w:val="en-GB"/>
              </w:rPr>
              <w:t>year</w:t>
            </w:r>
            <w:proofErr w:type="gramEnd"/>
            <w:r w:rsidRPr="00F609F7">
              <w:rPr>
                <w:rFonts w:eastAsiaTheme="minorEastAsia" w:cstheme="minorHAnsi"/>
                <w:bCs/>
                <w:lang w:val="en-GB"/>
              </w:rPr>
              <w:t xml:space="preserve"> (2010-</w:t>
            </w:r>
            <w:r w:rsidR="001468CB">
              <w:rPr>
                <w:rFonts w:cstheme="minorHAnsi"/>
                <w:lang w:val="en-GB"/>
              </w:rPr>
              <w:t>2024</w:t>
            </w:r>
            <w:r w:rsidRPr="00F609F7">
              <w:rPr>
                <w:rFonts w:eastAsiaTheme="minorEastAsia" w:cstheme="minorHAnsi"/>
                <w:bCs/>
                <w:lang w:val="en-GB"/>
              </w:rPr>
              <w:t>)</w:t>
            </w:r>
          </w:p>
        </w:tc>
      </w:tr>
      <w:tr w:rsidR="004C22D6" w:rsidRPr="00F609F7" w14:paraId="2D543B81" w14:textId="77777777" w:rsidTr="005D6AA4">
        <w:tc>
          <w:tcPr>
            <w:tcW w:w="992" w:type="dxa"/>
            <w:hideMark/>
          </w:tcPr>
          <w:p w14:paraId="0DBD8E8E" w14:textId="77777777" w:rsidR="004C22D6" w:rsidRPr="00F609F7" w:rsidRDefault="00000000" w:rsidP="006456E9">
            <w:pPr>
              <w:jc w:val="both"/>
              <w:rPr>
                <w:rFonts w:eastAsiaTheme="minorEastAsia" w:cstheme="minorHAnsi"/>
                <w:bCs/>
                <w:sz w:val="16"/>
                <w:szCs w:val="16"/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  <w:sz w:val="16"/>
                      <w:szCs w:val="16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>total</m:t>
                  </m:r>
                </m:sub>
              </m:sSub>
            </m:oMath>
            <w:r w:rsidR="004C22D6" w:rsidRPr="00F609F7">
              <w:rPr>
                <w:rFonts w:eastAsiaTheme="minorEastAsia" w:cstheme="minorHAnsi"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8068" w:type="dxa"/>
            <w:hideMark/>
          </w:tcPr>
          <w:p w14:paraId="3C1283BA" w14:textId="736E1883" w:rsidR="004C22D6" w:rsidRPr="00F609F7" w:rsidRDefault="004C22D6" w:rsidP="006456E9">
            <w:pPr>
              <w:pStyle w:val="Formatvorlage10"/>
              <w:jc w:val="both"/>
              <w:rPr>
                <w:rFonts w:cstheme="minorHAnsi"/>
                <w:lang w:val="en-GB"/>
              </w:rPr>
            </w:pPr>
            <w:r w:rsidRPr="00F609F7">
              <w:rPr>
                <w:rFonts w:cstheme="minorHAnsi"/>
                <w:lang w:val="en-GB"/>
              </w:rPr>
              <w:t xml:space="preserve">total number of live births in a given German federal state or in Germany and </w:t>
            </w:r>
            <w:proofErr w:type="gramStart"/>
            <w:r w:rsidRPr="00F609F7">
              <w:rPr>
                <w:rFonts w:cstheme="minorHAnsi"/>
                <w:lang w:val="en-GB"/>
              </w:rPr>
              <w:t>in a given year</w:t>
            </w:r>
            <w:proofErr w:type="gramEnd"/>
            <w:r w:rsidRPr="00F609F7">
              <w:rPr>
                <w:rFonts w:cstheme="minorHAnsi"/>
                <w:lang w:val="en-GB"/>
              </w:rPr>
              <w:t xml:space="preserve"> (2010-</w:t>
            </w:r>
            <w:r w:rsidR="001468CB">
              <w:rPr>
                <w:rFonts w:cstheme="minorHAnsi"/>
                <w:lang w:val="en-GB"/>
              </w:rPr>
              <w:t>2024</w:t>
            </w:r>
            <w:r w:rsidRPr="00F609F7">
              <w:rPr>
                <w:rFonts w:cstheme="minorHAnsi"/>
                <w:lang w:val="en-GB"/>
              </w:rPr>
              <w:t>)</w:t>
            </w:r>
          </w:p>
        </w:tc>
      </w:tr>
      <w:tr w:rsidR="004C22D6" w:rsidRPr="00F609F7" w14:paraId="32046D15" w14:textId="77777777" w:rsidTr="005D6AA4">
        <w:tc>
          <w:tcPr>
            <w:tcW w:w="992" w:type="dxa"/>
            <w:hideMark/>
          </w:tcPr>
          <w:p w14:paraId="137BA1E7" w14:textId="77777777" w:rsidR="004C22D6" w:rsidRPr="00F609F7" w:rsidRDefault="00000000" w:rsidP="006456E9">
            <w:pPr>
              <w:jc w:val="both"/>
              <w:rPr>
                <w:rFonts w:eastAsiaTheme="minorEastAsia" w:cstheme="minorHAnsi"/>
                <w:bCs/>
                <w:sz w:val="16"/>
                <w:szCs w:val="16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16"/>
                        <w:szCs w:val="16"/>
                        <w:lang w:val="en-GB"/>
                      </w:rPr>
                      <m:t>TFR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16"/>
                            <w:szCs w:val="16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16"/>
                            <w:szCs w:val="16"/>
                            <w:lang w:val="en-GB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16"/>
                            <w:szCs w:val="16"/>
                            <w:lang w:val="en-GB"/>
                          </w:rPr>
                          <m:t>i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theme="minorHAnsi"/>
                    <w:sz w:val="16"/>
                    <w:szCs w:val="16"/>
                    <w:lang w:val="en-GB"/>
                  </w:rPr>
                  <m:t>:</m:t>
                </m:r>
              </m:oMath>
            </m:oMathPara>
          </w:p>
        </w:tc>
        <w:tc>
          <w:tcPr>
            <w:tcW w:w="8068" w:type="dxa"/>
            <w:hideMark/>
          </w:tcPr>
          <w:p w14:paraId="08FECCD3" w14:textId="77777777" w:rsidR="004C22D6" w:rsidRPr="00F609F7" w:rsidRDefault="004C22D6" w:rsidP="006456E9">
            <w:pPr>
              <w:pStyle w:val="Formatvorlage10"/>
              <w:jc w:val="both"/>
              <w:rPr>
                <w:rFonts w:eastAsiaTheme="minorEastAsia" w:cstheme="minorHAnsi"/>
                <w:bCs/>
                <w:lang w:val="en-GB"/>
              </w:rPr>
            </w:pPr>
            <w:r w:rsidRPr="00F609F7">
              <w:rPr>
                <w:rFonts w:eastAsiaTheme="minorEastAsia" w:cstheme="minorHAnsi"/>
                <w:bCs/>
                <w:iCs/>
                <w:lang w:val="en-GB"/>
              </w:rPr>
              <w:t>total fertility rate in country (</w:t>
            </w:r>
            <m:oMath>
              <m:r>
                <w:rPr>
                  <w:rFonts w:ascii="Cambria Math" w:hAnsi="Cambria Math" w:cstheme="minorHAnsi"/>
                  <w:lang w:val="en-GB"/>
                </w:rPr>
                <m:t>i</m:t>
              </m:r>
            </m:oMath>
            <w:r w:rsidRPr="00F609F7">
              <w:rPr>
                <w:rFonts w:eastAsiaTheme="minorEastAsia" w:cstheme="minorHAnsi"/>
                <w:bCs/>
                <w:iCs/>
                <w:lang w:val="en-GB"/>
              </w:rPr>
              <w:t>)</w:t>
            </w:r>
          </w:p>
        </w:tc>
      </w:tr>
      <w:tr w:rsidR="004C22D6" w:rsidRPr="00F609F7" w14:paraId="6953C77B" w14:textId="77777777" w:rsidTr="005D6AA4">
        <w:tc>
          <w:tcPr>
            <w:tcW w:w="992" w:type="dxa"/>
            <w:hideMark/>
          </w:tcPr>
          <w:p w14:paraId="6ED97B78" w14:textId="77777777" w:rsidR="004C22D6" w:rsidRPr="00F609F7" w:rsidRDefault="004C22D6" w:rsidP="006456E9">
            <w:pPr>
              <w:jc w:val="both"/>
              <w:rPr>
                <w:rFonts w:eastAsiaTheme="minorEastAsia" w:cstheme="minorHAnsi"/>
                <w:bCs/>
                <w:sz w:val="16"/>
                <w:szCs w:val="16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16"/>
                  <w:szCs w:val="16"/>
                  <w:lang w:val="en-GB"/>
                </w:rPr>
                <m:t>m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16"/>
                      <w:szCs w:val="16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>TFR</m:t>
                  </m:r>
                </m:e>
                <m:sub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GB"/>
                    </w:rPr>
                    <m:t>all</m:t>
                  </m:r>
                </m:sub>
              </m:sSub>
            </m:oMath>
            <w:r w:rsidRPr="00F609F7">
              <w:rPr>
                <w:rFonts w:eastAsiaTheme="minorEastAsia" w:cstheme="minorHAnsi"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8068" w:type="dxa"/>
            <w:hideMark/>
          </w:tcPr>
          <w:p w14:paraId="28629751" w14:textId="3BD96B28" w:rsidR="004C22D6" w:rsidRPr="00F609F7" w:rsidRDefault="004C22D6" w:rsidP="004D66BF">
            <w:pPr>
              <w:pStyle w:val="Formatvorlage10"/>
              <w:jc w:val="both"/>
              <w:rPr>
                <w:rFonts w:eastAsiaTheme="minorEastAsia" w:cstheme="minorHAnsi"/>
                <w:bCs/>
                <w:lang w:val="en-GB"/>
              </w:rPr>
            </w:pPr>
            <w:r w:rsidRPr="00F609F7">
              <w:rPr>
                <w:rFonts w:eastAsiaTheme="minorEastAsia" w:cstheme="minorHAnsi"/>
                <w:bCs/>
                <w:iCs/>
                <w:lang w:val="en-GB"/>
              </w:rPr>
              <w:t>the</w:t>
            </w:r>
            <w:r w:rsidRPr="00F609F7">
              <w:rPr>
                <w:rFonts w:eastAsiaTheme="minorEastAsia" w:cstheme="minorHAnsi"/>
                <w:bCs/>
                <w:i/>
                <w:iCs/>
                <w:lang w:val="en-GB"/>
              </w:rPr>
              <w:t xml:space="preserve"> </w:t>
            </w:r>
            <w:r w:rsidRPr="00F609F7">
              <w:rPr>
                <w:rFonts w:eastAsiaTheme="minorEastAsia" w:cstheme="minorHAnsi"/>
                <w:bCs/>
                <w:lang w:val="en-GB"/>
              </w:rPr>
              <w:t xml:space="preserve">median value of all total fertility rates published for countries-of-origin (n= </w:t>
            </w:r>
            <w:r w:rsidR="004D66BF">
              <w:rPr>
                <w:rFonts w:eastAsiaTheme="minorEastAsia" w:cstheme="minorHAnsi"/>
                <w:bCs/>
                <w:lang w:val="en-GB"/>
              </w:rPr>
              <w:t>208</w:t>
            </w:r>
            <w:r w:rsidRPr="00F609F7">
              <w:rPr>
                <w:rFonts w:eastAsiaTheme="minorEastAsia" w:cstheme="minorHAnsi"/>
                <w:bCs/>
                <w:lang w:val="en-GB"/>
              </w:rPr>
              <w:t>) of non-German women resident in Germany: Data on fertility rates in 20</w:t>
            </w:r>
            <w:r w:rsidR="004D66BF">
              <w:rPr>
                <w:rFonts w:eastAsiaTheme="minorEastAsia" w:cstheme="minorHAnsi"/>
                <w:bCs/>
                <w:lang w:val="en-GB"/>
              </w:rPr>
              <w:t>23</w:t>
            </w:r>
            <w:r w:rsidRPr="00F609F7">
              <w:rPr>
                <w:rFonts w:eastAsiaTheme="minorEastAsia" w:cstheme="minorHAnsi"/>
                <w:bCs/>
                <w:lang w:val="en-GB"/>
              </w:rPr>
              <w:t xml:space="preserve"> only available for </w:t>
            </w:r>
            <w:r w:rsidR="004D66BF">
              <w:rPr>
                <w:rFonts w:eastAsiaTheme="minorEastAsia" w:cstheme="minorHAnsi"/>
                <w:bCs/>
                <w:lang w:val="en-GB"/>
              </w:rPr>
              <w:t>200</w:t>
            </w:r>
            <w:r w:rsidRPr="00F609F7">
              <w:rPr>
                <w:rFonts w:eastAsiaTheme="minorEastAsia" w:cstheme="minorHAnsi"/>
                <w:bCs/>
                <w:lang w:val="en-GB"/>
              </w:rPr>
              <w:t xml:space="preserve"> countries. </w:t>
            </w:r>
            <w:r w:rsidR="004D66BF">
              <w:rPr>
                <w:rFonts w:eastAsiaTheme="minorEastAsia" w:cstheme="minorHAnsi"/>
                <w:bCs/>
                <w:lang w:val="en-GB"/>
              </w:rPr>
              <w:t>Eight</w:t>
            </w:r>
            <w:r w:rsidRPr="00F609F7">
              <w:rPr>
                <w:rFonts w:eastAsiaTheme="minorEastAsia" w:cstheme="minorHAnsi"/>
                <w:bCs/>
                <w:lang w:val="en-GB"/>
              </w:rPr>
              <w:t xml:space="preserve"> countries reported in the database of the Federal Statistical Office of Germany (GENESIS) had no updated fertility rates in the World Bank database (listed as “not applicable” = “</w:t>
            </w:r>
            <w:proofErr w:type="spellStart"/>
            <w:r w:rsidR="001468CB">
              <w:rPr>
                <w:rFonts w:eastAsiaTheme="minorEastAsia" w:cstheme="minorHAnsi"/>
                <w:bCs/>
                <w:lang w:val="en-GB"/>
              </w:rPr>
              <w:t>n.a.</w:t>
            </w:r>
            <w:proofErr w:type="spellEnd"/>
            <w:r w:rsidRPr="00F609F7">
              <w:rPr>
                <w:rFonts w:eastAsiaTheme="minorEastAsia" w:cstheme="minorHAnsi"/>
                <w:bCs/>
                <w:lang w:val="en-GB"/>
              </w:rPr>
              <w:t>” in the</w:t>
            </w:r>
            <w:r w:rsidR="001468CB">
              <w:rPr>
                <w:rFonts w:eastAsiaTheme="minorEastAsia" w:cstheme="minorHAnsi"/>
                <w:bCs/>
                <w:lang w:val="en-GB"/>
              </w:rPr>
              <w:t xml:space="preserve"> supplementary</w:t>
            </w:r>
            <w:r w:rsidRPr="00F609F7">
              <w:rPr>
                <w:rFonts w:eastAsiaTheme="minorEastAsia" w:cstheme="minorHAnsi"/>
                <w:bCs/>
                <w:lang w:val="en-GB"/>
              </w:rPr>
              <w:t xml:space="preserve"> tables), so they were not included in our estimations</w:t>
            </w:r>
          </w:p>
        </w:tc>
      </w:tr>
    </w:tbl>
    <w:p w14:paraId="012A4F61" w14:textId="766C0FF3" w:rsidR="001F5209" w:rsidRPr="00F609F7" w:rsidRDefault="001F5209" w:rsidP="008651A5">
      <w:pPr>
        <w:spacing w:after="0"/>
        <w:jc w:val="both"/>
        <w:rPr>
          <w:rFonts w:cstheme="minorHAnsi"/>
          <w:b/>
          <w:bCs/>
          <w:sz w:val="20"/>
          <w:szCs w:val="20"/>
          <w:lang w:val="en-GB"/>
        </w:rPr>
      </w:pPr>
    </w:p>
    <w:sectPr w:rsidR="001F5209" w:rsidRPr="00F609F7" w:rsidSect="008651A5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C47D" w14:textId="77777777" w:rsidR="00A469BA" w:rsidRDefault="00A469BA" w:rsidP="006D45B8">
      <w:pPr>
        <w:spacing w:after="0" w:line="240" w:lineRule="auto"/>
      </w:pPr>
      <w:r>
        <w:separator/>
      </w:r>
    </w:p>
  </w:endnote>
  <w:endnote w:type="continuationSeparator" w:id="0">
    <w:p w14:paraId="29B6E340" w14:textId="77777777" w:rsidR="00A469BA" w:rsidRDefault="00A469BA" w:rsidP="006D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</w:rPr>
      <w:id w:val="1159038496"/>
      <w:docPartObj>
        <w:docPartGallery w:val="Page Numbers (Bottom of Page)"/>
        <w:docPartUnique/>
      </w:docPartObj>
    </w:sdtPr>
    <w:sdtContent>
      <w:p w14:paraId="3A7624EC" w14:textId="0E9D364D" w:rsidR="002E203A" w:rsidRPr="002E203A" w:rsidRDefault="002E203A">
        <w:pPr>
          <w:pStyle w:val="Fuzeile"/>
          <w:jc w:val="right"/>
          <w:rPr>
            <w:rFonts w:asciiTheme="majorBidi" w:hAnsiTheme="majorBidi" w:cstheme="majorBidi"/>
          </w:rPr>
        </w:pPr>
        <w:r w:rsidRPr="002E203A">
          <w:rPr>
            <w:rFonts w:asciiTheme="majorBidi" w:hAnsiTheme="majorBidi" w:cstheme="majorBidi"/>
          </w:rPr>
          <w:fldChar w:fldCharType="begin"/>
        </w:r>
        <w:r w:rsidRPr="002E203A">
          <w:rPr>
            <w:rFonts w:asciiTheme="majorBidi" w:hAnsiTheme="majorBidi" w:cstheme="majorBidi"/>
          </w:rPr>
          <w:instrText>PAGE   \* MERGEFORMAT</w:instrText>
        </w:r>
        <w:r w:rsidRPr="002E203A">
          <w:rPr>
            <w:rFonts w:asciiTheme="majorBidi" w:hAnsiTheme="majorBidi" w:cstheme="majorBidi"/>
          </w:rPr>
          <w:fldChar w:fldCharType="separate"/>
        </w:r>
        <w:r w:rsidRPr="002E203A">
          <w:rPr>
            <w:rFonts w:asciiTheme="majorBidi" w:hAnsiTheme="majorBidi" w:cstheme="majorBidi"/>
          </w:rPr>
          <w:t>2</w:t>
        </w:r>
        <w:r w:rsidRPr="002E203A">
          <w:rPr>
            <w:rFonts w:asciiTheme="majorBidi" w:hAnsiTheme="majorBidi" w:cstheme="majorBidi"/>
          </w:rPr>
          <w:fldChar w:fldCharType="end"/>
        </w:r>
      </w:p>
    </w:sdtContent>
  </w:sdt>
  <w:p w14:paraId="336FBAB9" w14:textId="77777777" w:rsidR="002E203A" w:rsidRDefault="002E20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CC3B" w14:textId="77777777" w:rsidR="00A469BA" w:rsidRDefault="00A469BA" w:rsidP="006D45B8">
      <w:pPr>
        <w:spacing w:after="0" w:line="240" w:lineRule="auto"/>
      </w:pPr>
      <w:r>
        <w:separator/>
      </w:r>
    </w:p>
  </w:footnote>
  <w:footnote w:type="continuationSeparator" w:id="0">
    <w:p w14:paraId="120710C1" w14:textId="77777777" w:rsidR="00A469BA" w:rsidRDefault="00A469BA" w:rsidP="006D4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663D"/>
    <w:multiLevelType w:val="hybridMultilevel"/>
    <w:tmpl w:val="FF40C11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21423"/>
    <w:multiLevelType w:val="hybridMultilevel"/>
    <w:tmpl w:val="403CC6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2086"/>
    <w:multiLevelType w:val="hybridMultilevel"/>
    <w:tmpl w:val="8C5AF922"/>
    <w:lvl w:ilvl="0" w:tplc="3D6847D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931F0"/>
    <w:multiLevelType w:val="hybridMultilevel"/>
    <w:tmpl w:val="B30441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862AC"/>
    <w:multiLevelType w:val="hybridMultilevel"/>
    <w:tmpl w:val="CBEEF080"/>
    <w:lvl w:ilvl="0" w:tplc="80C0D4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21705"/>
    <w:multiLevelType w:val="hybridMultilevel"/>
    <w:tmpl w:val="A51A7F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652640">
    <w:abstractNumId w:val="3"/>
  </w:num>
  <w:num w:numId="2" w16cid:durableId="872231623">
    <w:abstractNumId w:val="1"/>
  </w:num>
  <w:num w:numId="3" w16cid:durableId="63918967">
    <w:abstractNumId w:val="5"/>
  </w:num>
  <w:num w:numId="4" w16cid:durableId="1163736993">
    <w:abstractNumId w:val="4"/>
  </w:num>
  <w:num w:numId="5" w16cid:durableId="1081371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4824033">
    <w:abstractNumId w:val="0"/>
  </w:num>
  <w:num w:numId="7" w16cid:durableId="2121871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4C"/>
    <w:rsid w:val="00012CF1"/>
    <w:rsid w:val="00013E46"/>
    <w:rsid w:val="0002561C"/>
    <w:rsid w:val="00034535"/>
    <w:rsid w:val="00040A73"/>
    <w:rsid w:val="00053485"/>
    <w:rsid w:val="000603C9"/>
    <w:rsid w:val="00064F34"/>
    <w:rsid w:val="00070A67"/>
    <w:rsid w:val="000777C9"/>
    <w:rsid w:val="000A31B8"/>
    <w:rsid w:val="000A7985"/>
    <w:rsid w:val="000B6FA2"/>
    <w:rsid w:val="000C0779"/>
    <w:rsid w:val="000C2D61"/>
    <w:rsid w:val="000C348E"/>
    <w:rsid w:val="000C7C1B"/>
    <w:rsid w:val="000D0C03"/>
    <w:rsid w:val="000F309A"/>
    <w:rsid w:val="000F4AA8"/>
    <w:rsid w:val="000F793E"/>
    <w:rsid w:val="001008C5"/>
    <w:rsid w:val="00105E25"/>
    <w:rsid w:val="001141AC"/>
    <w:rsid w:val="0011573A"/>
    <w:rsid w:val="00127612"/>
    <w:rsid w:val="0013352F"/>
    <w:rsid w:val="00134259"/>
    <w:rsid w:val="00136EC9"/>
    <w:rsid w:val="00143CA9"/>
    <w:rsid w:val="0014655A"/>
    <w:rsid w:val="001468CB"/>
    <w:rsid w:val="001809CB"/>
    <w:rsid w:val="001874CB"/>
    <w:rsid w:val="001874D2"/>
    <w:rsid w:val="001910E2"/>
    <w:rsid w:val="0019405B"/>
    <w:rsid w:val="001A453A"/>
    <w:rsid w:val="001A637D"/>
    <w:rsid w:val="001C5950"/>
    <w:rsid w:val="001C6DA6"/>
    <w:rsid w:val="001C7D77"/>
    <w:rsid w:val="001D7FA0"/>
    <w:rsid w:val="001E08CC"/>
    <w:rsid w:val="001F2484"/>
    <w:rsid w:val="001F40CE"/>
    <w:rsid w:val="001F5209"/>
    <w:rsid w:val="00205795"/>
    <w:rsid w:val="00214065"/>
    <w:rsid w:val="002146EA"/>
    <w:rsid w:val="00215A6F"/>
    <w:rsid w:val="00227674"/>
    <w:rsid w:val="00237054"/>
    <w:rsid w:val="0024679D"/>
    <w:rsid w:val="00251DE3"/>
    <w:rsid w:val="00257F15"/>
    <w:rsid w:val="002601EB"/>
    <w:rsid w:val="00273297"/>
    <w:rsid w:val="0027489E"/>
    <w:rsid w:val="00280C15"/>
    <w:rsid w:val="00281C4C"/>
    <w:rsid w:val="00281C8B"/>
    <w:rsid w:val="00286A4A"/>
    <w:rsid w:val="002902CC"/>
    <w:rsid w:val="002B4367"/>
    <w:rsid w:val="002B7F5A"/>
    <w:rsid w:val="002C750B"/>
    <w:rsid w:val="002D067C"/>
    <w:rsid w:val="002D0D9F"/>
    <w:rsid w:val="002E203A"/>
    <w:rsid w:val="002E3FAD"/>
    <w:rsid w:val="002F758F"/>
    <w:rsid w:val="00311C28"/>
    <w:rsid w:val="00313CCF"/>
    <w:rsid w:val="00316E34"/>
    <w:rsid w:val="00325B67"/>
    <w:rsid w:val="00350222"/>
    <w:rsid w:val="00350C50"/>
    <w:rsid w:val="00354061"/>
    <w:rsid w:val="00360B68"/>
    <w:rsid w:val="0036195A"/>
    <w:rsid w:val="00366E83"/>
    <w:rsid w:val="00371852"/>
    <w:rsid w:val="00377E3A"/>
    <w:rsid w:val="0038582A"/>
    <w:rsid w:val="00385836"/>
    <w:rsid w:val="00394065"/>
    <w:rsid w:val="003A0D3C"/>
    <w:rsid w:val="003B1370"/>
    <w:rsid w:val="003B2133"/>
    <w:rsid w:val="003B765D"/>
    <w:rsid w:val="003C21CC"/>
    <w:rsid w:val="003C738A"/>
    <w:rsid w:val="003D7E3D"/>
    <w:rsid w:val="00423A10"/>
    <w:rsid w:val="00425F20"/>
    <w:rsid w:val="00427571"/>
    <w:rsid w:val="0043038B"/>
    <w:rsid w:val="00431BE7"/>
    <w:rsid w:val="0043308F"/>
    <w:rsid w:val="0044005A"/>
    <w:rsid w:val="00454840"/>
    <w:rsid w:val="00455D28"/>
    <w:rsid w:val="004561C1"/>
    <w:rsid w:val="00475300"/>
    <w:rsid w:val="0047546A"/>
    <w:rsid w:val="0047557A"/>
    <w:rsid w:val="00475B23"/>
    <w:rsid w:val="0048054F"/>
    <w:rsid w:val="00483195"/>
    <w:rsid w:val="00483A9C"/>
    <w:rsid w:val="00495335"/>
    <w:rsid w:val="004A6BA4"/>
    <w:rsid w:val="004C22D6"/>
    <w:rsid w:val="004C2ADF"/>
    <w:rsid w:val="004D189A"/>
    <w:rsid w:val="004D66BF"/>
    <w:rsid w:val="004E5588"/>
    <w:rsid w:val="004E65BF"/>
    <w:rsid w:val="004E789C"/>
    <w:rsid w:val="004F086F"/>
    <w:rsid w:val="004F0EAA"/>
    <w:rsid w:val="004F1BDF"/>
    <w:rsid w:val="005024F6"/>
    <w:rsid w:val="00503FAA"/>
    <w:rsid w:val="00510DC1"/>
    <w:rsid w:val="005221E8"/>
    <w:rsid w:val="00527024"/>
    <w:rsid w:val="00531C58"/>
    <w:rsid w:val="00533AFD"/>
    <w:rsid w:val="0054571B"/>
    <w:rsid w:val="00551E7B"/>
    <w:rsid w:val="00557E49"/>
    <w:rsid w:val="00561917"/>
    <w:rsid w:val="00570581"/>
    <w:rsid w:val="005813CD"/>
    <w:rsid w:val="005A10A4"/>
    <w:rsid w:val="005A389C"/>
    <w:rsid w:val="005A3AF5"/>
    <w:rsid w:val="005C4518"/>
    <w:rsid w:val="005D22FC"/>
    <w:rsid w:val="005D48A8"/>
    <w:rsid w:val="005D6AA4"/>
    <w:rsid w:val="005D7883"/>
    <w:rsid w:val="005E1806"/>
    <w:rsid w:val="005E6E67"/>
    <w:rsid w:val="00603176"/>
    <w:rsid w:val="00604515"/>
    <w:rsid w:val="00606FAD"/>
    <w:rsid w:val="00607F63"/>
    <w:rsid w:val="006118D0"/>
    <w:rsid w:val="00612081"/>
    <w:rsid w:val="00615D0D"/>
    <w:rsid w:val="00620BF6"/>
    <w:rsid w:val="006266E5"/>
    <w:rsid w:val="006437E4"/>
    <w:rsid w:val="006452BE"/>
    <w:rsid w:val="0066560D"/>
    <w:rsid w:val="006825BA"/>
    <w:rsid w:val="00683B1C"/>
    <w:rsid w:val="00684AFA"/>
    <w:rsid w:val="006877B1"/>
    <w:rsid w:val="00691D27"/>
    <w:rsid w:val="006A06D5"/>
    <w:rsid w:val="006B17A1"/>
    <w:rsid w:val="006B3D35"/>
    <w:rsid w:val="006B60DA"/>
    <w:rsid w:val="006C2DA4"/>
    <w:rsid w:val="006D45B8"/>
    <w:rsid w:val="006E3D7B"/>
    <w:rsid w:val="006E6E35"/>
    <w:rsid w:val="006F19ED"/>
    <w:rsid w:val="006F2FAB"/>
    <w:rsid w:val="00701892"/>
    <w:rsid w:val="0072242A"/>
    <w:rsid w:val="00726E85"/>
    <w:rsid w:val="00743592"/>
    <w:rsid w:val="00743969"/>
    <w:rsid w:val="00747C13"/>
    <w:rsid w:val="007616C9"/>
    <w:rsid w:val="00763416"/>
    <w:rsid w:val="00771CAF"/>
    <w:rsid w:val="00784EB2"/>
    <w:rsid w:val="007922EE"/>
    <w:rsid w:val="007978E9"/>
    <w:rsid w:val="007A2A2C"/>
    <w:rsid w:val="007B65A7"/>
    <w:rsid w:val="007B6C07"/>
    <w:rsid w:val="007E1A5C"/>
    <w:rsid w:val="007F6F9A"/>
    <w:rsid w:val="00817D22"/>
    <w:rsid w:val="0082073C"/>
    <w:rsid w:val="00833943"/>
    <w:rsid w:val="008451C3"/>
    <w:rsid w:val="008452B7"/>
    <w:rsid w:val="008452F9"/>
    <w:rsid w:val="00847CD6"/>
    <w:rsid w:val="0085383B"/>
    <w:rsid w:val="00861527"/>
    <w:rsid w:val="00863A22"/>
    <w:rsid w:val="00863BD4"/>
    <w:rsid w:val="00864F75"/>
    <w:rsid w:val="008651A5"/>
    <w:rsid w:val="00866166"/>
    <w:rsid w:val="008820A4"/>
    <w:rsid w:val="00893D97"/>
    <w:rsid w:val="008A68B9"/>
    <w:rsid w:val="008B1F65"/>
    <w:rsid w:val="008B7180"/>
    <w:rsid w:val="008C0AC1"/>
    <w:rsid w:val="008C2A95"/>
    <w:rsid w:val="008D2AB3"/>
    <w:rsid w:val="008E526D"/>
    <w:rsid w:val="008E7505"/>
    <w:rsid w:val="008F0493"/>
    <w:rsid w:val="008F1769"/>
    <w:rsid w:val="008F534B"/>
    <w:rsid w:val="00901EC1"/>
    <w:rsid w:val="00904AB1"/>
    <w:rsid w:val="00905B90"/>
    <w:rsid w:val="009079FC"/>
    <w:rsid w:val="00916687"/>
    <w:rsid w:val="00917A6B"/>
    <w:rsid w:val="0093194F"/>
    <w:rsid w:val="00941080"/>
    <w:rsid w:val="00941ADF"/>
    <w:rsid w:val="009448E3"/>
    <w:rsid w:val="00951C35"/>
    <w:rsid w:val="009531EB"/>
    <w:rsid w:val="009616E2"/>
    <w:rsid w:val="009632B0"/>
    <w:rsid w:val="00965E42"/>
    <w:rsid w:val="009778F8"/>
    <w:rsid w:val="0099018C"/>
    <w:rsid w:val="009A01E4"/>
    <w:rsid w:val="009A230B"/>
    <w:rsid w:val="009A3223"/>
    <w:rsid w:val="009A3375"/>
    <w:rsid w:val="009A6488"/>
    <w:rsid w:val="009B1AD6"/>
    <w:rsid w:val="009B3752"/>
    <w:rsid w:val="009B6A65"/>
    <w:rsid w:val="009C2161"/>
    <w:rsid w:val="009C4813"/>
    <w:rsid w:val="009F4ECC"/>
    <w:rsid w:val="009F72F3"/>
    <w:rsid w:val="00A009C7"/>
    <w:rsid w:val="00A13F9E"/>
    <w:rsid w:val="00A17E6C"/>
    <w:rsid w:val="00A2041B"/>
    <w:rsid w:val="00A31EF5"/>
    <w:rsid w:val="00A45C8B"/>
    <w:rsid w:val="00A469BA"/>
    <w:rsid w:val="00A5395A"/>
    <w:rsid w:val="00A572DB"/>
    <w:rsid w:val="00A606A2"/>
    <w:rsid w:val="00A6120B"/>
    <w:rsid w:val="00A703BB"/>
    <w:rsid w:val="00A81293"/>
    <w:rsid w:val="00A92800"/>
    <w:rsid w:val="00A97225"/>
    <w:rsid w:val="00AB023A"/>
    <w:rsid w:val="00AB195A"/>
    <w:rsid w:val="00AB30E8"/>
    <w:rsid w:val="00AB6281"/>
    <w:rsid w:val="00AB7DD4"/>
    <w:rsid w:val="00AE0D5F"/>
    <w:rsid w:val="00AF1C42"/>
    <w:rsid w:val="00AF4FFA"/>
    <w:rsid w:val="00B00474"/>
    <w:rsid w:val="00B00AF4"/>
    <w:rsid w:val="00B0116B"/>
    <w:rsid w:val="00B04BF2"/>
    <w:rsid w:val="00B10AFE"/>
    <w:rsid w:val="00B16996"/>
    <w:rsid w:val="00B200AE"/>
    <w:rsid w:val="00B30156"/>
    <w:rsid w:val="00B475F7"/>
    <w:rsid w:val="00B50C42"/>
    <w:rsid w:val="00B56E9E"/>
    <w:rsid w:val="00B6406D"/>
    <w:rsid w:val="00B6518A"/>
    <w:rsid w:val="00B74650"/>
    <w:rsid w:val="00B813E2"/>
    <w:rsid w:val="00B85D7D"/>
    <w:rsid w:val="00B95B30"/>
    <w:rsid w:val="00BB1170"/>
    <w:rsid w:val="00BC7786"/>
    <w:rsid w:val="00BD2DD2"/>
    <w:rsid w:val="00BD6204"/>
    <w:rsid w:val="00BE3499"/>
    <w:rsid w:val="00BE75DE"/>
    <w:rsid w:val="00C05A9A"/>
    <w:rsid w:val="00C1169F"/>
    <w:rsid w:val="00C15F08"/>
    <w:rsid w:val="00C37351"/>
    <w:rsid w:val="00C504FB"/>
    <w:rsid w:val="00C55E1D"/>
    <w:rsid w:val="00C562B5"/>
    <w:rsid w:val="00C67EA1"/>
    <w:rsid w:val="00C70BF2"/>
    <w:rsid w:val="00C7114D"/>
    <w:rsid w:val="00C722DC"/>
    <w:rsid w:val="00C810F1"/>
    <w:rsid w:val="00C86DDB"/>
    <w:rsid w:val="00C9207D"/>
    <w:rsid w:val="00CB2D29"/>
    <w:rsid w:val="00CB406C"/>
    <w:rsid w:val="00CB4CA6"/>
    <w:rsid w:val="00CB6331"/>
    <w:rsid w:val="00CC1096"/>
    <w:rsid w:val="00CC55F4"/>
    <w:rsid w:val="00CD00EC"/>
    <w:rsid w:val="00CD23C6"/>
    <w:rsid w:val="00CE3B57"/>
    <w:rsid w:val="00CF0291"/>
    <w:rsid w:val="00CF0E8A"/>
    <w:rsid w:val="00CF0F01"/>
    <w:rsid w:val="00CF223C"/>
    <w:rsid w:val="00CF519D"/>
    <w:rsid w:val="00CF7C4C"/>
    <w:rsid w:val="00D06189"/>
    <w:rsid w:val="00D12CC4"/>
    <w:rsid w:val="00D140DC"/>
    <w:rsid w:val="00D3145E"/>
    <w:rsid w:val="00D40B89"/>
    <w:rsid w:val="00D448E0"/>
    <w:rsid w:val="00D56815"/>
    <w:rsid w:val="00D57793"/>
    <w:rsid w:val="00D71B6E"/>
    <w:rsid w:val="00D82895"/>
    <w:rsid w:val="00D93570"/>
    <w:rsid w:val="00D94B22"/>
    <w:rsid w:val="00DA1B82"/>
    <w:rsid w:val="00DA5987"/>
    <w:rsid w:val="00DB1B4D"/>
    <w:rsid w:val="00DB3975"/>
    <w:rsid w:val="00DB7C96"/>
    <w:rsid w:val="00DE090D"/>
    <w:rsid w:val="00DE78C2"/>
    <w:rsid w:val="00DF0E1F"/>
    <w:rsid w:val="00DF68AE"/>
    <w:rsid w:val="00E05714"/>
    <w:rsid w:val="00E05FC9"/>
    <w:rsid w:val="00E0798A"/>
    <w:rsid w:val="00E134A9"/>
    <w:rsid w:val="00E13B72"/>
    <w:rsid w:val="00E15152"/>
    <w:rsid w:val="00E378E6"/>
    <w:rsid w:val="00E46655"/>
    <w:rsid w:val="00E500B3"/>
    <w:rsid w:val="00E513CB"/>
    <w:rsid w:val="00E60061"/>
    <w:rsid w:val="00E74091"/>
    <w:rsid w:val="00E74393"/>
    <w:rsid w:val="00E8340B"/>
    <w:rsid w:val="00EA1F0A"/>
    <w:rsid w:val="00EA30CA"/>
    <w:rsid w:val="00EC2190"/>
    <w:rsid w:val="00EC3EF8"/>
    <w:rsid w:val="00ED1B8C"/>
    <w:rsid w:val="00EE114F"/>
    <w:rsid w:val="00EF5630"/>
    <w:rsid w:val="00F10990"/>
    <w:rsid w:val="00F1246B"/>
    <w:rsid w:val="00F2077D"/>
    <w:rsid w:val="00F2715B"/>
    <w:rsid w:val="00F30003"/>
    <w:rsid w:val="00F30AD3"/>
    <w:rsid w:val="00F32F52"/>
    <w:rsid w:val="00F36149"/>
    <w:rsid w:val="00F46490"/>
    <w:rsid w:val="00F609F7"/>
    <w:rsid w:val="00F87DA1"/>
    <w:rsid w:val="00FB08B0"/>
    <w:rsid w:val="00FC7A82"/>
    <w:rsid w:val="00FD5495"/>
    <w:rsid w:val="00FD6807"/>
    <w:rsid w:val="00FD7C65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DBC0"/>
  <w15:chartTrackingRefBased/>
  <w15:docId w15:val="{A938EE29-7DED-43EB-AAA7-F6F32006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340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81C4C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81C4C"/>
    <w:rPr>
      <w:color w:val="954F72"/>
      <w:u w:val="single"/>
    </w:rPr>
  </w:style>
  <w:style w:type="paragraph" w:customStyle="1" w:styleId="msonormal0">
    <w:name w:val="msonormal"/>
    <w:basedOn w:val="Standard"/>
    <w:rsid w:val="0028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281C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28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de-DE"/>
    </w:rPr>
  </w:style>
  <w:style w:type="paragraph" w:customStyle="1" w:styleId="xl68">
    <w:name w:val="xl68"/>
    <w:basedOn w:val="Standard"/>
    <w:rsid w:val="00281C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de-DE"/>
    </w:rPr>
  </w:style>
  <w:style w:type="paragraph" w:customStyle="1" w:styleId="xl69">
    <w:name w:val="xl69"/>
    <w:basedOn w:val="Standard"/>
    <w:rsid w:val="0028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de-DE"/>
    </w:rPr>
  </w:style>
  <w:style w:type="paragraph" w:customStyle="1" w:styleId="xl70">
    <w:name w:val="xl70"/>
    <w:basedOn w:val="Standard"/>
    <w:rsid w:val="0028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de-DE"/>
    </w:rPr>
  </w:style>
  <w:style w:type="paragraph" w:customStyle="1" w:styleId="xl71">
    <w:name w:val="xl71"/>
    <w:basedOn w:val="Standard"/>
    <w:rsid w:val="00281C4C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de-DE"/>
    </w:rPr>
  </w:style>
  <w:style w:type="paragraph" w:customStyle="1" w:styleId="xl72">
    <w:name w:val="xl72"/>
    <w:basedOn w:val="Standard"/>
    <w:rsid w:val="00281C4C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de-DE"/>
    </w:rPr>
  </w:style>
  <w:style w:type="paragraph" w:customStyle="1" w:styleId="xl73">
    <w:name w:val="xl73"/>
    <w:basedOn w:val="Standard"/>
    <w:rsid w:val="0028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de-DE"/>
    </w:rPr>
  </w:style>
  <w:style w:type="paragraph" w:customStyle="1" w:styleId="xl74">
    <w:name w:val="xl74"/>
    <w:basedOn w:val="Standard"/>
    <w:rsid w:val="0028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de-DE"/>
    </w:rPr>
  </w:style>
  <w:style w:type="paragraph" w:customStyle="1" w:styleId="xl75">
    <w:name w:val="xl75"/>
    <w:basedOn w:val="Standard"/>
    <w:rsid w:val="0028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de-DE"/>
    </w:rPr>
  </w:style>
  <w:style w:type="paragraph" w:customStyle="1" w:styleId="xl76">
    <w:name w:val="xl76"/>
    <w:basedOn w:val="Standard"/>
    <w:rsid w:val="0028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de-DE"/>
    </w:rPr>
  </w:style>
  <w:style w:type="paragraph" w:customStyle="1" w:styleId="xl77">
    <w:name w:val="xl77"/>
    <w:basedOn w:val="Standard"/>
    <w:rsid w:val="00281C4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de-DE"/>
    </w:rPr>
  </w:style>
  <w:style w:type="paragraph" w:customStyle="1" w:styleId="xl78">
    <w:name w:val="xl78"/>
    <w:basedOn w:val="Standard"/>
    <w:rsid w:val="00281C4C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de-DE"/>
    </w:rPr>
  </w:style>
  <w:style w:type="paragraph" w:customStyle="1" w:styleId="xl79">
    <w:name w:val="xl79"/>
    <w:basedOn w:val="Standard"/>
    <w:rsid w:val="00281C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de-DE"/>
    </w:rPr>
  </w:style>
  <w:style w:type="paragraph" w:customStyle="1" w:styleId="xl80">
    <w:name w:val="xl80"/>
    <w:basedOn w:val="Standard"/>
    <w:rsid w:val="00281C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de-DE"/>
    </w:rPr>
  </w:style>
  <w:style w:type="paragraph" w:customStyle="1" w:styleId="xl81">
    <w:name w:val="xl81"/>
    <w:basedOn w:val="Standard"/>
    <w:rsid w:val="00281C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281C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83">
    <w:name w:val="xl83"/>
    <w:basedOn w:val="Standard"/>
    <w:rsid w:val="00281C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B475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B475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B47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de-DE"/>
    </w:rPr>
  </w:style>
  <w:style w:type="paragraph" w:customStyle="1" w:styleId="xl87">
    <w:name w:val="xl87"/>
    <w:basedOn w:val="Standard"/>
    <w:rsid w:val="00B475F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64">
    <w:name w:val="xl64"/>
    <w:basedOn w:val="Standard"/>
    <w:rsid w:val="0002561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02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F309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B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01892"/>
    <w:pPr>
      <w:ind w:left="720"/>
      <w:contextualSpacing/>
    </w:pPr>
  </w:style>
  <w:style w:type="paragraph" w:styleId="KeinLeerraum">
    <w:name w:val="No Spacing"/>
    <w:uiPriority w:val="1"/>
    <w:qFormat/>
    <w:rsid w:val="00E0798A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45B8"/>
  </w:style>
  <w:style w:type="paragraph" w:styleId="Fuzeile">
    <w:name w:val="footer"/>
    <w:basedOn w:val="Standard"/>
    <w:link w:val="FuzeileZchn"/>
    <w:uiPriority w:val="99"/>
    <w:unhideWhenUsed/>
    <w:rsid w:val="006D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45B8"/>
  </w:style>
  <w:style w:type="character" w:customStyle="1" w:styleId="Formatvorlage10Zchn">
    <w:name w:val="Formatvorlage10 Zchn"/>
    <w:basedOn w:val="Absatz-Standardschriftart"/>
    <w:link w:val="Formatvorlage10"/>
    <w:locked/>
    <w:rsid w:val="008E526D"/>
    <w:rPr>
      <w:sz w:val="16"/>
      <w:szCs w:val="16"/>
      <w:lang w:val="en-US"/>
    </w:rPr>
  </w:style>
  <w:style w:type="paragraph" w:customStyle="1" w:styleId="Formatvorlage10">
    <w:name w:val="Formatvorlage10"/>
    <w:basedOn w:val="KeinLeerraum"/>
    <w:link w:val="Formatvorlage10Zchn"/>
    <w:qFormat/>
    <w:rsid w:val="008E526D"/>
    <w:pPr>
      <w:spacing w:after="60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ell-almanac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dell-almanac.ne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E0B8D-9410-4916-9E14-805C5988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Hakimeh, Dani</dc:creator>
  <cp:keywords/>
  <dc:description/>
  <cp:lastModifiedBy>Hakimeh, Dani</cp:lastModifiedBy>
  <cp:revision>12</cp:revision>
  <cp:lastPrinted>2023-01-18T21:29:00Z</cp:lastPrinted>
  <dcterms:created xsi:type="dcterms:W3CDTF">2025-08-31T17:53:00Z</dcterms:created>
  <dcterms:modified xsi:type="dcterms:W3CDTF">2025-10-05T12:55:00Z</dcterms:modified>
</cp:coreProperties>
</file>