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5D0B1" w14:textId="77777777" w:rsidR="00E379A3" w:rsidRDefault="00EA2DAB">
      <w:pPr>
        <w:pStyle w:val="Titre1"/>
        <w:numPr>
          <w:ilvl w:val="0"/>
          <w:numId w:val="0"/>
        </w:numPr>
        <w:ind w:left="432" w:hanging="432"/>
        <w:jc w:val="center"/>
        <w:rPr>
          <w:b/>
          <w:bCs/>
          <w:sz w:val="40"/>
          <w:szCs w:val="40"/>
          <w:lang w:eastAsia="en-GB"/>
        </w:rPr>
      </w:pPr>
      <w:r>
        <w:rPr>
          <w:b/>
          <w:bCs/>
          <w:sz w:val="40"/>
          <w:szCs w:val="40"/>
          <w:lang w:eastAsia="en-GB"/>
        </w:rPr>
        <w:t>Supplementary Information</w:t>
      </w:r>
    </w:p>
    <w:p w14:paraId="1DE41229" w14:textId="77777777" w:rsidR="00E379A3" w:rsidRDefault="00E379A3">
      <w:pPr>
        <w:rPr>
          <w:lang w:eastAsia="en-GB"/>
        </w:rPr>
      </w:pPr>
    </w:p>
    <w:p w14:paraId="51996C1C" w14:textId="77777777" w:rsidR="00E379A3" w:rsidRDefault="00EA2DAB">
      <w:pPr>
        <w:pStyle w:val="Titre1"/>
        <w:numPr>
          <w:ilvl w:val="0"/>
          <w:numId w:val="0"/>
        </w:numPr>
      </w:pPr>
      <w:r>
        <w:t>SI.1 - Baseline Data Collection</w:t>
      </w:r>
    </w:p>
    <w:p w14:paraId="05D55760" w14:textId="1CFB6F4B" w:rsidR="00E379A3" w:rsidRDefault="00EA2DAB">
      <w:pPr>
        <w:jc w:val="both"/>
      </w:pPr>
      <w:r>
        <w:t xml:space="preserve">In line with the results of our previous studies </w:t>
      </w:r>
      <w:r>
        <w:fldChar w:fldCharType="begin"/>
      </w:r>
      <w:r w:rsidR="00570C1C">
        <w:instrText xml:space="preserve"> ADDIN ZOTERO_ITEM CSL_CITATION {"citationID":"nBvb9far","properties":{"formattedCitation":"\\super 1,11,20\\nosupersub{}","plainCitation":"1,11,20","noteIndex":0},"citationItems":[{"id":3588,"uris":["http://zotero.org/users/local/ZvR3nIZ9/items/IEJB7GCX","http://zotero.org/users/17538995/items/IEJB7GCX"],"itemData":{"id":3588,"type":"article-journal","abstract":"To perform goal-oriented hand movement, humans combine multiple sensory signals (e.g., vision and proprioception) that can be encoded in various reference frames (body centered and/or exo-centered). In a previous study (Tagliabue M, McIntyre J. PLoS One 8: e68438, 2013), we showed that, when aligning a hand to a remembered target orientation, the brain encodes both target and response in visual space when the target is sensed by one hand and the response is performed by the other, even though both are sensed only through proprioception. Here we ask whether such visual encoding is due 1) to the necessity of transferring sensory information across the brain hemispheres, or 2) to the necessity, due to the arms' anatomical mirror symmetry, of transforming the joint signals of one limb into the reference frame of the other. To answer this question, we asked subjects to perform purely proprioceptive tasks in different conditions: Intra, the same arm sensing the target and performing the movement; Inter/Parallel, one arm sensing the target and the other reproducing its orientation; and Inter/Mirror, one arm sensing the target and the other mirroring its orientation. Performance was very similar between Intra and Inter/Mirror (conditions not requiring joint-signal transformations), while both differed from Inter/Parallel. Manipulation of the visual scene in a virtual reality paradigm showed visual encoding of proprioceptive information only in the latter condition. These results suggest that the visual encoding of purely proprioceptive tasks is not due to interhemispheric transfer of the proprioceptive information per se, but to the necessity of transforming joint signals between mirror-symmetric limbs.NEW &amp; NOTEWORTHY Why does the brain encode goal-oriented, intermanual tasks in a visual space, even in the absence of visual feedback about the target and the hand? We show that the visual encoding is not due to the transfer of proprioceptive signals between brain hemispheres per se, but to the need, due to the mirror symmetry of the two limbs, of transforming joint angle signals of one arm in different joint signals of the other.","container-title":"Journal of neurophysiology","DOI":"10.1152/jn.00140.2017","ISSN":"1522-1598","issue":"3","note":"PMID: 28615330","page":"1598–1608","title":"The visual encoding of purely proprioceptive intermanual tasks is due to the need of transforming joint signals, not to their interhemispheric transfer.","volume":"118","author":[{"family":"Arnoux","given":"Léo"},{"family":"Fromentin","given":"Sebastien"},{"family":"Farotto","given":"Dario"},{"family":"Beraneck","given":"Mathieu"},{"family":"McIntyre","given":"Joseph"},{"family":"Tagliabue","given":"Michele"}],"issued":{"date-parts":[["2017",9]]}}},{"id":3791,"uris":["http://zotero.org/users/local/ZvR3nIZ9/items/HWA4WBGV","http://zotero.org/users/17538995/items/HWA4WBGV"],"itemData":{"id":3791,"type":"article-journal","abstract":"To correctly position the hand with respect to the spatial location and orientation of an object to be reached/grasped, visual information about the target and proprioceptive information from the hand must be compared. Since visual and proprioceptive sensory modalities are inherently encoded in a retinal and musculo-skeletal reference frame, respectively, this comparison requires cross-modal sensory transformations. Previous studies have shown that lateral tilts of the head interfere with the visuo-proprioceptive transformations. It is unclear, however, whether this phenomenon is related to the neck flexion or to the head-gravity misalignment. To answer to this question, we performed three virtual reality experiments in which we compared a grasping-like movement with lateral neck flexions executed in an upright seated position and while lying supine. In the main experiment, the task requires cross-modal transformations, because the target information is visually acquired, and the hand is sensed through proprioception only. In the other two control experiments, the task is unimodal, because both target and hand are sensed through one, and the same, sensory channel (vision and proprioception, respectively), and, hence, cross-modal processing is unnecessary. The results show that lateral neck flexions have considerably different effects in the seated and supine posture, but only for the cross-modal task. More precisely, the subjects' response variability and the importance associated to the visual encoding of the information significantly increased when supine. We show that these findings are consistent with the idea that head-gravity misalignment interferes with the visuo-proprioceptive cross-modal processing. Indeed, the principle of statistical optimality in multisensory integration predicts the observed results if the noise associated to the visuo-proprioceptive transformations is assumed to be affected by gravitational signals, and not by neck proprioceptive signals per se. This finding is also consistent with the observation of otolithic projections in the posterior parietal cortex, which is involved in the visuo-proprioceptive processing. Altogether these findings represent a clear evidence of the theorized central role of gravity in spatial perception. More precisely, otolithic signals would contribute to reciprocally align the reference frames in which the available sensory information can be encoded.","container-title":"Frontiers in Integrative Neuroscience","DOI":"10.3389/fnint.2022.788905","ISSN":"1662-5145","title":"How Tilting the Head Interferes With Eye-Hand Coordination: The Role of Gravity in Visuo-Proprioceptive, Cross-Modal Sensory Transformations","URL":"https://www.frontiersin.org/article/10.3389/fnint.2022.788905","volume":"16","author":[{"family":"Bernard-Espina","given":"Jules"},{"family":"Dal Canto","given":"Daniele"},{"family":"Beraneck","given":"Mathieu"},{"family":"McIntyre","given":"Joseph"},{"family":"Tagliabue","given":"Michele"}],"issued":{"date-parts":[["2022"]]}}},{"id":2989,"uris":["http://zotero.org/users/local/ZvR3nIZ9/items/D4YZYNN2","http://zotero.org/users/17538995/items/D4YZYNN2"],"itemData":{"id":2989,"type":"article-journal","abstract":"When aligning the hand to grasp an object, the CNS combines multiple sensory inputs encoded in multiple reference frames. Previous studies suggest that when a direct comparison of target and hand is possible via a single sensory modality, the CNS avoids performing unnecessary coordinate transformations that add noise. But when target and hand do not share a common sensory modality (e.g., aligning the unseen hand to a visual target), at least one coordinate transformation is required. Similarly, body movements may occur between target acquisition and manual response, requiring that egocentric target information be updated or transformed to external reference frames to compensate. Here, we asked subjects to align the hand to an external target, where the target could be presented visually or kinesthetically and feedback about the hand was visual, kinesthetic, or both. We used a novel technique of imposing conflict between external visual and gravito-kinesthetic reference frames when subjects tilted the head during an instructed memory delay. By comparing experimental results to analytical models based on principles of maximum likelihood, we showed that multiple transformations above the strict minimum may be performed, but only if the task precludes a unimodal comparison of egocentric target and hand information. Thus, for cross-modal tasks, or when head movements are involved, the CNS creates and uses both kinesthetic and visual representations. We conclude that the necessity of producing at least one coordinate transformation activates multiple, concurrent internal representations, the functionality of which depends on the alignment of the head with respect to gravity.","container-title":"J Neurosci","DOI":"10.1523/JNEUROSCI.0623-10.2011","issue":"4","note":"publisher: Centre d'Etude de la Sensorimotricité (CESeM UMR 8194), Institut des Neurosciences et de la Cognition, Université Paris Descartes and Centre National de la Recherche Scientifique, 75006 Paris, France.\nPMID: 21273424","page":"1397–1409","title":"Necessity is the Mother of Invention: Reconstructing Missing Sensory Information in Multiple, Concurrent Reference Frames for Eye-Hand Coordination.","volume":"31","author":[{"family":"Tagliabue","given":"Michele"},{"family":"McIntyre","given":"Joseph"}],"issued":{"date-parts":[["2011",1]]}}}],"schema":"https://github.com/citation-style-language/schema/raw/master/csl-citation.json"} </w:instrText>
      </w:r>
      <w:r>
        <w:fldChar w:fldCharType="separate"/>
      </w:r>
      <w:r w:rsidR="00570C1C" w:rsidRPr="004033CF">
        <w:rPr>
          <w:rFonts w:ascii="Calibri" w:cs="Calibri"/>
          <w:vertAlign w:val="superscript"/>
        </w:rPr>
        <w:t>1,11,20</w:t>
      </w:r>
      <w:r>
        <w:fldChar w:fldCharType="end"/>
      </w:r>
      <w:r>
        <w:rPr>
          <w:color w:val="FF0000"/>
        </w:rPr>
        <w:t xml:space="preserve"> </w:t>
      </w:r>
      <w:r>
        <w:t xml:space="preserve">subjects’ performance at the baseline data collection seven days prior to the bedrest (BDC-7) were characterized by large between-subject differences, both in terms of initial response accuracy and precision, as well as visual dependency. </w:t>
      </w:r>
      <w:r>
        <w:rPr>
          <w:rFonts w:cstheme="minorHAnsi"/>
        </w:rPr>
        <w:fldChar w:fldCharType="begin"/>
      </w:r>
      <w:r>
        <w:rPr>
          <w:rFonts w:cstheme="minorHAnsi"/>
        </w:rPr>
        <w:instrText xml:space="preserve"> REF _Ref143698448 \h  \* MERGEFORMAT </w:instrText>
      </w:r>
      <w:r>
        <w:rPr>
          <w:rFonts w:cstheme="minorHAnsi"/>
        </w:rPr>
      </w:r>
      <w:r>
        <w:rPr>
          <w:rFonts w:cstheme="minorHAnsi"/>
        </w:rPr>
        <w:fldChar w:fldCharType="separate"/>
      </w:r>
      <w:r w:rsidR="00401318">
        <w:rPr>
          <w:rFonts w:cstheme="minorHAnsi"/>
          <w:color w:val="000000" w:themeColor="text1"/>
        </w:rPr>
        <w:t>Figure</w:t>
      </w:r>
      <w:r>
        <w:rPr>
          <w:rFonts w:cstheme="minorHAnsi"/>
        </w:rPr>
        <w:fldChar w:fldCharType="end"/>
      </w:r>
      <w:r w:rsidR="00401318">
        <w:rPr>
          <w:rFonts w:cstheme="minorHAnsi"/>
        </w:rPr>
        <w:t xml:space="preserve"> S1</w:t>
      </w:r>
      <w:r>
        <w:t xml:space="preserve"> shows that, despite this heterogeneity, the subjects’ performance at </w:t>
      </w:r>
      <w:r w:rsidR="00CA66FF">
        <w:t>BDC</w:t>
      </w:r>
      <w:r>
        <w:t>-7 consistently var</w:t>
      </w:r>
      <w:r w:rsidR="00DE0B7E">
        <w:t>ied</w:t>
      </w:r>
      <w:r>
        <w:t xml:space="preserve"> between sensory conditions: effect of sensory condition is significant on response </w:t>
      </w:r>
      <w:r w:rsidR="007B16AE">
        <w:t xml:space="preserve">total deviation </w:t>
      </w:r>
      <w:r>
        <w:t>(</w:t>
      </w:r>
      <w:r w:rsidRPr="00EB2BBB">
        <w:t>χ</w:t>
      </w:r>
      <w:r w:rsidRPr="00EB2BBB">
        <w:rPr>
          <w:vertAlign w:val="superscript"/>
        </w:rPr>
        <w:t>2</w:t>
      </w:r>
      <w:r w:rsidRPr="00EB2BBB">
        <w:t>(</w:t>
      </w:r>
      <w:proofErr w:type="gramStart"/>
      <w:r w:rsidRPr="00EB2BBB">
        <w:t>2)=</w:t>
      </w:r>
      <w:proofErr w:type="gramEnd"/>
      <w:r w:rsidRPr="00EB2BBB">
        <w:t>47.71 p=4e</w:t>
      </w:r>
      <w:r w:rsidRPr="00EB2BBB">
        <w:rPr>
          <w:vertAlign w:val="superscript"/>
        </w:rPr>
        <w:t>-11</w:t>
      </w:r>
      <w:r>
        <w:t xml:space="preserve">), on response </w:t>
      </w:r>
      <w:r w:rsidR="007B16AE">
        <w:t xml:space="preserve">variability </w:t>
      </w:r>
      <w:r>
        <w:t>(χ</w:t>
      </w:r>
      <w:r>
        <w:rPr>
          <w:vertAlign w:val="superscript"/>
        </w:rPr>
        <w:t>2</w:t>
      </w:r>
      <w:r>
        <w:t>(2)=43.12 p=4e</w:t>
      </w:r>
      <w:r>
        <w:rPr>
          <w:vertAlign w:val="superscript"/>
        </w:rPr>
        <w:t>-10</w:t>
      </w:r>
      <w:r>
        <w:t>) and on the visual weight (χ</w:t>
      </w:r>
      <w:r>
        <w:rPr>
          <w:vertAlign w:val="superscript"/>
        </w:rPr>
        <w:t>2</w:t>
      </w:r>
      <w:r>
        <w:t>(2)=28.47 p=7e</w:t>
      </w:r>
      <w:r>
        <w:rPr>
          <w:vertAlign w:val="superscript"/>
        </w:rPr>
        <w:t>-07</w:t>
      </w:r>
      <w:r>
        <w:t xml:space="preserve">). </w:t>
      </w:r>
    </w:p>
    <w:p w14:paraId="6485B23F" w14:textId="77777777" w:rsidR="00E379A3" w:rsidRDefault="00E379A3">
      <w:pPr>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8"/>
        <w:gridCol w:w="3708"/>
      </w:tblGrid>
      <w:tr w:rsidR="00E379A3" w14:paraId="4C19C4DE" w14:textId="77777777">
        <w:tc>
          <w:tcPr>
            <w:tcW w:w="4508" w:type="dxa"/>
          </w:tcPr>
          <w:p w14:paraId="781419D0" w14:textId="1B8098E9" w:rsidR="00E379A3" w:rsidRDefault="00EB2BBB">
            <w:pPr>
              <w:jc w:val="both"/>
            </w:pPr>
            <w:r w:rsidRPr="00EB2BBB">
              <w:rPr>
                <w:noProof/>
                <w:lang w:val="fr-FR" w:eastAsia="fr-FR"/>
              </w:rPr>
              <w:drawing>
                <wp:inline distT="0" distB="0" distL="0" distR="0" wp14:anchorId="2F76D3F3" wp14:editId="04DBE054">
                  <wp:extent cx="3240000" cy="1942708"/>
                  <wp:effectExtent l="0" t="0" r="0" b="635"/>
                  <wp:docPr id="5360677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7718" name=""/>
                          <pic:cNvPicPr/>
                        </pic:nvPicPr>
                        <pic:blipFill>
                          <a:blip r:embed="rId8"/>
                          <a:stretch>
                            <a:fillRect/>
                          </a:stretch>
                        </pic:blipFill>
                        <pic:spPr>
                          <a:xfrm>
                            <a:off x="0" y="0"/>
                            <a:ext cx="3240000" cy="1942708"/>
                          </a:xfrm>
                          <a:prstGeom prst="rect">
                            <a:avLst/>
                          </a:prstGeom>
                        </pic:spPr>
                      </pic:pic>
                    </a:graphicData>
                  </a:graphic>
                </wp:inline>
              </w:drawing>
            </w:r>
          </w:p>
        </w:tc>
        <w:tc>
          <w:tcPr>
            <w:tcW w:w="4508" w:type="dxa"/>
          </w:tcPr>
          <w:p w14:paraId="362F353A" w14:textId="302A9038" w:rsidR="00E379A3" w:rsidRDefault="00EA2DAB">
            <w:pPr>
              <w:pStyle w:val="Lgende"/>
              <w:rPr>
                <w:rFonts w:asciiTheme="majorHAnsi" w:hAnsiTheme="majorHAnsi" w:cstheme="majorHAnsi"/>
                <w:i w:val="0"/>
                <w:iCs w:val="0"/>
                <w:color w:val="000000" w:themeColor="text1"/>
                <w:sz w:val="22"/>
                <w:szCs w:val="22"/>
              </w:rPr>
            </w:pPr>
            <w:bookmarkStart w:id="0" w:name="_Ref143698448"/>
            <w:r>
              <w:rPr>
                <w:rFonts w:asciiTheme="majorHAnsi" w:hAnsiTheme="majorHAnsi" w:cstheme="majorHAnsi"/>
                <w:b/>
                <w:bCs/>
                <w:i w:val="0"/>
                <w:iCs w:val="0"/>
                <w:color w:val="000000" w:themeColor="text1"/>
                <w:sz w:val="22"/>
                <w:szCs w:val="22"/>
              </w:rPr>
              <w:t>Figure S</w:t>
            </w:r>
            <w:r w:rsidR="00401318">
              <w:rPr>
                <w:rFonts w:asciiTheme="majorHAnsi" w:hAnsiTheme="majorHAnsi" w:cstheme="majorHAnsi"/>
                <w:b/>
                <w:bCs/>
                <w:i w:val="0"/>
                <w:iCs w:val="0"/>
                <w:color w:val="000000" w:themeColor="text1"/>
                <w:sz w:val="22"/>
                <w:szCs w:val="22"/>
              </w:rPr>
              <w:t>1</w:t>
            </w:r>
            <w:bookmarkEnd w:id="0"/>
            <w:r>
              <w:rPr>
                <w:rFonts w:asciiTheme="majorHAnsi" w:hAnsiTheme="majorHAnsi" w:cstheme="majorHAnsi"/>
                <w:color w:val="000000" w:themeColor="text1"/>
                <w:sz w:val="22"/>
                <w:szCs w:val="22"/>
              </w:rPr>
              <w:t>.</w:t>
            </w:r>
            <w:r>
              <w:rPr>
                <w:rFonts w:asciiTheme="majorHAnsi" w:hAnsiTheme="majorHAnsi" w:cstheme="majorHAnsi"/>
                <w:i w:val="0"/>
                <w:iCs w:val="0"/>
                <w:color w:val="000000" w:themeColor="text1"/>
                <w:sz w:val="22"/>
                <w:szCs w:val="22"/>
              </w:rPr>
              <w:t xml:space="preserve"> Initial individual performances at BDC for: cross-modal (V-P) and unimodal (V-V, P-P) sensory conditions. Circles and crosses represent control and bedrest subjects respectively. </w:t>
            </w:r>
            <w:r>
              <w:rPr>
                <w:rFonts w:asciiTheme="majorHAnsi" w:hAnsiTheme="majorHAnsi" w:cstheme="majorHAnsi"/>
                <w:b/>
                <w:bCs/>
                <w:i w:val="0"/>
                <w:iCs w:val="0"/>
                <w:color w:val="000000" w:themeColor="text1"/>
                <w:sz w:val="22"/>
                <w:szCs w:val="22"/>
              </w:rPr>
              <w:t>A</w:t>
            </w:r>
            <w:r>
              <w:rPr>
                <w:rFonts w:asciiTheme="majorHAnsi" w:hAnsiTheme="majorHAnsi" w:cstheme="majorHAnsi"/>
                <w:i w:val="0"/>
                <w:iCs w:val="0"/>
                <w:color w:val="000000" w:themeColor="text1"/>
                <w:sz w:val="22"/>
                <w:szCs w:val="22"/>
              </w:rPr>
              <w:t xml:space="preserve">) </w:t>
            </w:r>
            <w:r w:rsidR="007B16AE">
              <w:rPr>
                <w:rFonts w:asciiTheme="majorHAnsi" w:hAnsiTheme="majorHAnsi" w:cstheme="majorHAnsi"/>
                <w:i w:val="0"/>
                <w:iCs w:val="0"/>
                <w:color w:val="000000" w:themeColor="text1"/>
                <w:sz w:val="22"/>
                <w:szCs w:val="22"/>
              </w:rPr>
              <w:t xml:space="preserve">Total deviation of the responses, </w:t>
            </w:r>
            <w:proofErr w:type="spellStart"/>
            <w:r w:rsidR="007B16AE">
              <w:rPr>
                <w:rFonts w:asciiTheme="majorHAnsi" w:hAnsiTheme="majorHAnsi" w:cstheme="majorHAnsi"/>
                <w:i w:val="0"/>
                <w:iCs w:val="0"/>
                <w:color w:val="000000" w:themeColor="text1"/>
                <w:sz w:val="22"/>
                <w:szCs w:val="22"/>
              </w:rPr>
              <w:t>TDev</w:t>
            </w:r>
            <w:proofErr w:type="spellEnd"/>
            <w:r w:rsidR="007B16AE">
              <w:rPr>
                <w:rFonts w:asciiTheme="majorHAnsi" w:hAnsiTheme="majorHAnsi" w:cstheme="majorHAnsi"/>
                <w:i w:val="0"/>
                <w:iCs w:val="0"/>
                <w:color w:val="000000" w:themeColor="text1"/>
                <w:sz w:val="22"/>
                <w:szCs w:val="22"/>
              </w:rPr>
              <w:t xml:space="preserve">, </w:t>
            </w:r>
            <w:r>
              <w:rPr>
                <w:rFonts w:asciiTheme="majorHAnsi" w:hAnsiTheme="majorHAnsi" w:cstheme="majorHAnsi"/>
                <w:i w:val="0"/>
                <w:iCs w:val="0"/>
                <w:color w:val="000000" w:themeColor="text1"/>
                <w:sz w:val="22"/>
                <w:szCs w:val="22"/>
              </w:rPr>
              <w:t xml:space="preserve">representing the </w:t>
            </w:r>
            <w:r w:rsidR="007B16AE">
              <w:rPr>
                <w:rFonts w:asciiTheme="majorHAnsi" w:hAnsiTheme="majorHAnsi" w:cstheme="majorHAnsi"/>
                <w:i w:val="0"/>
                <w:iCs w:val="0"/>
                <w:color w:val="000000" w:themeColor="text1"/>
                <w:sz w:val="22"/>
                <w:szCs w:val="22"/>
              </w:rPr>
              <w:t xml:space="preserve">subject </w:t>
            </w:r>
            <w:r>
              <w:rPr>
                <w:rFonts w:asciiTheme="majorHAnsi" w:hAnsiTheme="majorHAnsi" w:cstheme="majorHAnsi"/>
                <w:i w:val="0"/>
                <w:iCs w:val="0"/>
                <w:color w:val="000000" w:themeColor="text1"/>
                <w:sz w:val="22"/>
                <w:szCs w:val="22"/>
              </w:rPr>
              <w:t xml:space="preserve">accuracy. </w:t>
            </w:r>
            <w:r>
              <w:rPr>
                <w:rFonts w:asciiTheme="majorHAnsi" w:hAnsiTheme="majorHAnsi" w:cstheme="majorHAnsi"/>
                <w:b/>
                <w:bCs/>
                <w:i w:val="0"/>
                <w:iCs w:val="0"/>
                <w:color w:val="000000" w:themeColor="text1"/>
                <w:sz w:val="22"/>
                <w:szCs w:val="22"/>
              </w:rPr>
              <w:t>B</w:t>
            </w:r>
            <w:r>
              <w:rPr>
                <w:rFonts w:asciiTheme="majorHAnsi" w:hAnsiTheme="majorHAnsi" w:cstheme="majorHAnsi"/>
                <w:i w:val="0"/>
                <w:iCs w:val="0"/>
                <w:color w:val="000000" w:themeColor="text1"/>
                <w:sz w:val="22"/>
                <w:szCs w:val="22"/>
              </w:rPr>
              <w:t xml:space="preserve">) Response precision computed as the variability around the average response, MSD. </w:t>
            </w:r>
            <w:r>
              <w:rPr>
                <w:rFonts w:asciiTheme="majorHAnsi" w:hAnsiTheme="majorHAnsi" w:cstheme="majorHAnsi"/>
                <w:b/>
                <w:bCs/>
                <w:i w:val="0"/>
                <w:iCs w:val="0"/>
                <w:color w:val="000000" w:themeColor="text1"/>
                <w:sz w:val="22"/>
                <w:szCs w:val="22"/>
              </w:rPr>
              <w:t>C</w:t>
            </w:r>
            <w:r>
              <w:rPr>
                <w:rFonts w:asciiTheme="majorHAnsi" w:hAnsiTheme="majorHAnsi" w:cstheme="majorHAnsi"/>
                <w:i w:val="0"/>
                <w:iCs w:val="0"/>
                <w:color w:val="000000" w:themeColor="text1"/>
                <w:sz w:val="22"/>
                <w:szCs w:val="22"/>
              </w:rPr>
              <w:t>) Visual dependency, that is the relative weight associated to visual information, W</w:t>
            </w:r>
            <w:r>
              <w:rPr>
                <w:rFonts w:asciiTheme="majorHAnsi" w:hAnsiTheme="majorHAnsi" w:cstheme="majorHAnsi"/>
                <w:i w:val="0"/>
                <w:iCs w:val="0"/>
                <w:color w:val="000000" w:themeColor="text1"/>
                <w:sz w:val="22"/>
                <w:szCs w:val="22"/>
                <w:vertAlign w:val="subscript"/>
              </w:rPr>
              <w:t>V</w:t>
            </w:r>
            <w:r>
              <w:rPr>
                <w:rFonts w:asciiTheme="majorHAnsi" w:hAnsiTheme="majorHAnsi" w:cstheme="majorHAnsi"/>
                <w:i w:val="0"/>
                <w:iCs w:val="0"/>
                <w:color w:val="000000" w:themeColor="text1"/>
                <w:sz w:val="22"/>
                <w:szCs w:val="22"/>
              </w:rPr>
              <w:t xml:space="preserve">. * and *** represent statistical significance of </w:t>
            </w:r>
            <w:r w:rsidRPr="00EB2BBB">
              <w:rPr>
                <w:rFonts w:asciiTheme="majorHAnsi" w:hAnsiTheme="majorHAnsi" w:cstheme="majorHAnsi"/>
                <w:i w:val="0"/>
                <w:iCs w:val="0"/>
                <w:color w:val="000000" w:themeColor="text1"/>
                <w:sz w:val="22"/>
                <w:szCs w:val="22"/>
              </w:rPr>
              <w:t>Tukey-Kramer</w:t>
            </w:r>
            <w:r>
              <w:rPr>
                <w:rFonts w:asciiTheme="majorHAnsi" w:hAnsiTheme="majorHAnsi" w:cstheme="majorHAnsi"/>
                <w:i w:val="0"/>
                <w:iCs w:val="0"/>
                <w:color w:val="000000" w:themeColor="text1"/>
                <w:sz w:val="22"/>
                <w:szCs w:val="22"/>
              </w:rPr>
              <w:t xml:space="preserve"> </w:t>
            </w:r>
            <w:proofErr w:type="spellStart"/>
            <w:r>
              <w:rPr>
                <w:rFonts w:asciiTheme="majorHAnsi" w:hAnsiTheme="majorHAnsi" w:cstheme="majorHAnsi"/>
                <w:i w:val="0"/>
                <w:iCs w:val="0"/>
                <w:color w:val="000000" w:themeColor="text1"/>
                <w:sz w:val="22"/>
                <w:szCs w:val="22"/>
              </w:rPr>
              <w:t>Posthoc</w:t>
            </w:r>
            <w:proofErr w:type="spellEnd"/>
            <w:r>
              <w:rPr>
                <w:rFonts w:asciiTheme="majorHAnsi" w:hAnsiTheme="majorHAnsi" w:cstheme="majorHAnsi"/>
                <w:i w:val="0"/>
                <w:iCs w:val="0"/>
                <w:color w:val="000000" w:themeColor="text1"/>
                <w:sz w:val="22"/>
                <w:szCs w:val="22"/>
              </w:rPr>
              <w:t xml:space="preserve"> tests, with p&lt;0.05 and p&lt;0.001 respectively.</w:t>
            </w:r>
          </w:p>
        </w:tc>
      </w:tr>
    </w:tbl>
    <w:p w14:paraId="13A2477A" w14:textId="3C4B083F" w:rsidR="00E379A3" w:rsidRDefault="00EA2DAB">
      <w:pPr>
        <w:jc w:val="both"/>
      </w:pPr>
      <w:r>
        <w:t xml:space="preserve">Despite the between-subjects variability, the results appear consistent within subjects. For instance, </w:t>
      </w:r>
      <w:r>
        <w:rPr>
          <w:color w:val="000000" w:themeColor="text1"/>
        </w:rPr>
        <w:t>as predicted by our Concurrent Model of multi-sensory integration</w:t>
      </w:r>
      <w:r>
        <w:rPr>
          <w:color w:val="000000" w:themeColor="text1"/>
        </w:rPr>
        <w:fldChar w:fldCharType="begin"/>
      </w:r>
      <w:r w:rsidR="00570C1C">
        <w:rPr>
          <w:color w:val="000000" w:themeColor="text1"/>
        </w:rPr>
        <w:instrText xml:space="preserve"> ADDIN ZOTERO_ITEM CSL_CITATION {"citationID":"NgqKqpX9","properties":{"formattedCitation":"\\super 11\\nosupersub{}","plainCitation":"11","noteIndex":0},"citationItems":[{"id":2989,"uris":["http://zotero.org/users/local/ZvR3nIZ9/items/D4YZYNN2","http://zotero.org/users/17538995/items/D4YZYNN2"],"itemData":{"id":2989,"type":"article-journal","abstract":"When aligning the hand to grasp an object, the CNS combines multiple sensory inputs encoded in multiple reference frames. Previous studies suggest that when a direct comparison of target and hand is possible via a single sensory modality, the CNS avoids performing unnecessary coordinate transformations that add noise. But when target and hand do not share a common sensory modality (e.g., aligning the unseen hand to a visual target), at least one coordinate transformation is required. Similarly, body movements may occur between target acquisition and manual response, requiring that egocentric target information be updated or transformed to external reference frames to compensate. Here, we asked subjects to align the hand to an external target, where the target could be presented visually or kinesthetically and feedback about the hand was visual, kinesthetic, or both. We used a novel technique of imposing conflict between external visual and gravito-kinesthetic reference frames when subjects tilted the head during an instructed memory delay. By comparing experimental results to analytical models based on principles of maximum likelihood, we showed that multiple transformations above the strict minimum may be performed, but only if the task precludes a unimodal comparison of egocentric target and hand information. Thus, for cross-modal tasks, or when head movements are involved, the CNS creates and uses both kinesthetic and visual representations. We conclude that the necessity of producing at least one coordinate transformation activates multiple, concurrent internal representations, the functionality of which depends on the alignment of the head with respect to gravity.","container-title":"J Neurosci","DOI":"10.1523/JNEUROSCI.0623-10.2011","issue":"4","note":"publisher: Centre d'Etude de la Sensorimotricité (CESeM UMR 8194), Institut des Neurosciences et de la Cognition, Université Paris Descartes and Centre National de la Recherche Scientifique, 75006 Paris, France.\nPMID: 21273424","page":"1397–1409","title":"Necessity is the Mother of Invention: Reconstructing Missing Sensory Information in Multiple, Concurrent Reference Frames for Eye-Hand Coordination.","volume":"31","author":[{"family":"Tagliabue","given":"Michele"},{"family":"McIntyre","given":"Joseph"}],"issued":{"date-parts":[["2011",1]]}}}],"schema":"https://github.com/citation-style-language/schema/raw/master/csl-citation.json"} </w:instrText>
      </w:r>
      <w:r>
        <w:rPr>
          <w:color w:val="000000" w:themeColor="text1"/>
        </w:rPr>
        <w:fldChar w:fldCharType="separate"/>
      </w:r>
      <w:r w:rsidR="00570C1C" w:rsidRPr="004033CF">
        <w:rPr>
          <w:rFonts w:ascii="Calibri" w:cs="Calibri"/>
          <w:color w:val="000000"/>
          <w:vertAlign w:val="superscript"/>
        </w:rPr>
        <w:t>11</w:t>
      </w:r>
      <w:r>
        <w:rPr>
          <w:color w:val="000000" w:themeColor="text1"/>
        </w:rPr>
        <w:fldChar w:fldCharType="end"/>
      </w:r>
      <w:r>
        <w:rPr>
          <w:color w:val="000000" w:themeColor="text1"/>
          <w:vertAlign w:val="superscript"/>
        </w:rPr>
        <w:t>,</w:t>
      </w:r>
      <w:r>
        <w:rPr>
          <w:color w:val="000000" w:themeColor="text1"/>
        </w:rPr>
        <w:fldChar w:fldCharType="begin"/>
      </w:r>
      <w:r w:rsidR="008F29F8">
        <w:rPr>
          <w:color w:val="000000" w:themeColor="text1"/>
        </w:rPr>
        <w:instrText xml:space="preserve"> ADDIN ZOTERO_ITEM CSL_CITATION {"citationID":"MbG00ClD","properties":{"formattedCitation":"\\super 6\\nosupersub{}","plainCitation":"6","noteIndex":0},"citationItems":[{"id":2982,"uris":["http://zotero.org/users/local/ZvR3nIZ9/items/SRAHHV82","http://zotero.org/users/17538995/items/SRAHHV82"],"itemData":{"id":2982,"type":"article-journal","abstract":"To control targeted movements, such as reaching to grasp an object or hammering a nail, the brain can use divers sources of sensory information, such as vision and proprioception. Although a variety of studies have shown that sensory signals are optimally combined according to principles of maximum likelihood, increasing evidence indicates that the CNS does not compute a single, optimal estimation of the target's position to be compared with a single optimal estimation of the hand. Rather, it employs a more modular approach in which the overall behavior is built by computing multiple concurrent comparisons carried out simultaneously in a number of different reference frames. The results of these individual comparisons are then optimally combined in order to drive the hand. In this article we examine at a computational level two formulations of concurrent models for sensory integration and compare this to the more conventional model of converging multi-sensory signals. Through a review of published studies, both our own and those performed by others, we produce evidence favoring the concurrent formulations. We then examine in detail the effects of additive signal noise as information flows through the sensorimotor system. By taking into account the noise added by sensorimotor transformations, one can explain why the CNS may shift its reliance on one sensory modality toward a greater reliance on another and investigate under what conditions those sensory transformations occur. Careful consideration of how transformed signals will co-vary with the original source also provides insight into how the CNS chooses one sensory modality over another. These concepts can be used to explain why the CNS might, for instance, create a visual representation of a task that is otherwise limited to the kinesthetic domain (e.g., pointing with one hand to a finger on the other) and why the CNS might choose to recode sensory information in an external reference frame.","container-title":"Front Comput Neurosci","DOI":"10.3389/fncom.2014.00001","language":"eng","note":"publisher: Centre d'Étude de la Sensorimotricité, (CNRS UMR 8194), Institut des Neurosciences et de la Cognition, Université Paris Descartes, Sorbonne Paris Cité Paris, France.\nPMID: 24550816","page":"1","title":"A modular theory of multisensory integration for motor control.","volume":"8","author":[{"family":"Tagliabue","given":"Michele"},{"family":"McIntyre","given":"Joseph"}],"issued":{"date-parts":[["2014"]]}}}],"schema":"https://github.com/citation-style-language/schema/raw/master/csl-citation.json"} </w:instrText>
      </w:r>
      <w:r>
        <w:rPr>
          <w:color w:val="000000" w:themeColor="text1"/>
        </w:rPr>
        <w:fldChar w:fldCharType="separate"/>
      </w:r>
      <w:r w:rsidR="008F29F8" w:rsidRPr="004033CF">
        <w:rPr>
          <w:rFonts w:ascii="Calibri" w:cs="Calibri"/>
          <w:color w:val="000000"/>
          <w:vertAlign w:val="superscript"/>
        </w:rPr>
        <w:t>6</w:t>
      </w:r>
      <w:r>
        <w:rPr>
          <w:color w:val="000000" w:themeColor="text1"/>
        </w:rPr>
        <w:fldChar w:fldCharType="end"/>
      </w:r>
      <w:r w:rsidR="00EB2BBB">
        <w:rPr>
          <w:color w:val="000000" w:themeColor="text1"/>
        </w:rPr>
        <w:t xml:space="preserve"> (see </w:t>
      </w:r>
      <w:r w:rsidR="00EB2BBB" w:rsidRPr="00EB2BBB">
        <w:rPr>
          <w:color w:val="000000" w:themeColor="text1"/>
        </w:rPr>
        <w:t>SI.3</w:t>
      </w:r>
      <w:r w:rsidR="00EB2BBB">
        <w:rPr>
          <w:color w:val="000000" w:themeColor="text1"/>
        </w:rPr>
        <w:t>)</w:t>
      </w:r>
      <w:r>
        <w:t>, the subjects’ precision in the V-P condition correlated significantly with the precision of both unimodal conditions: V-V (R=0.5, p=0.002) and P-P (R=0.65, p=3e</w:t>
      </w:r>
      <w:r>
        <w:rPr>
          <w:vertAlign w:val="superscript"/>
        </w:rPr>
        <w:t>-5</w:t>
      </w:r>
      <w:r>
        <w:t>). These correlations simply support the idea that subjects with better visual and proprioceptive acuity were more precise in the cross-modal task compared to subjects with lower sensory acuity.</w:t>
      </w:r>
    </w:p>
    <w:p w14:paraId="539CCA18" w14:textId="5738F8C1" w:rsidR="00E379A3" w:rsidRDefault="00EA2DAB">
      <w:pPr>
        <w:jc w:val="both"/>
      </w:pPr>
      <w:r>
        <w:rPr>
          <w:color w:val="000000" w:themeColor="text1"/>
        </w:rPr>
        <w:t xml:space="preserve">Although the Concurrent Model does not provide clear predictions about possible correlations between the visual weight in the three sensory conditions, it </w:t>
      </w:r>
      <w:r>
        <w:t xml:space="preserve">is interesting to notice that, no significant correlations could be experimentally observed. This would mean that visuo-dependency is not necessary an invariant characteristic of an individual, which affects the performances in all conditions, but it is very specific </w:t>
      </w:r>
      <w:r w:rsidR="00A45374">
        <w:t xml:space="preserve">to </w:t>
      </w:r>
      <w:r>
        <w:t>the available sensory cues.</w:t>
      </w:r>
    </w:p>
    <w:p w14:paraId="4101CC17" w14:textId="77777777" w:rsidR="00E379A3" w:rsidRDefault="00EA2DAB">
      <w:pPr>
        <w:pStyle w:val="Titre1"/>
        <w:numPr>
          <w:ilvl w:val="0"/>
          <w:numId w:val="0"/>
        </w:numPr>
      </w:pPr>
      <w:r>
        <w:t xml:space="preserve">SI.2 – Measurements’ consistency </w:t>
      </w:r>
    </w:p>
    <w:p w14:paraId="7CFF723B" w14:textId="2F3A9D1C" w:rsidR="00E379A3" w:rsidRDefault="00EA2DAB">
      <w:pPr>
        <w:jc w:val="both"/>
      </w:pPr>
      <w:r>
        <w:t xml:space="preserve">The individual results appear consistent also longitudinally. Table S1 shows that the subjects’ precision, accuracy and visual dependency in one experimental session strongly correlate </w:t>
      </w:r>
      <w:r>
        <w:lastRenderedPageBreak/>
        <w:t xml:space="preserve">with that of the following session, so that the ranking of the subjects in terms of their variable and constant errors, as well as visual weight, tends to remain the same over time. The same type of results is obtained </w:t>
      </w:r>
      <w:r w:rsidR="008646BB">
        <w:t xml:space="preserve">when </w:t>
      </w:r>
      <w:r>
        <w:t xml:space="preserve">the two group of subjects are analyzed </w:t>
      </w:r>
      <w:r w:rsidRPr="00EB2BBB">
        <w:t xml:space="preserve">separately (see </w:t>
      </w:r>
      <w:r w:rsidR="00AA4F0E" w:rsidRPr="00EB2BBB">
        <w:t>Table S2</w:t>
      </w:r>
      <w:r w:rsidRPr="00EB2BBB">
        <w:t>),</w:t>
      </w:r>
      <w:r>
        <w:t xml:space="preserve"> suggesting that persistence of the subject ranking in not ascribable to the differences between the two groups induced by the posture effect.</w:t>
      </w:r>
    </w:p>
    <w:p w14:paraId="6ECE4681" w14:textId="77777777" w:rsidR="00E379A3" w:rsidRDefault="00E379A3">
      <w:pPr>
        <w:jc w:val="both"/>
      </w:pPr>
    </w:p>
    <w:tbl>
      <w:tblPr>
        <w:tblpPr w:leftFromText="141" w:rightFromText="141" w:vertAnchor="text" w:tblpY="1"/>
        <w:tblOverlap w:val="never"/>
        <w:tblW w:w="5146" w:type="dxa"/>
        <w:tblLayout w:type="fixed"/>
        <w:tblLook w:val="04A0" w:firstRow="1" w:lastRow="0" w:firstColumn="1" w:lastColumn="0" w:noHBand="0" w:noVBand="1"/>
      </w:tblPr>
      <w:tblGrid>
        <w:gridCol w:w="545"/>
        <w:gridCol w:w="473"/>
        <w:gridCol w:w="245"/>
        <w:gridCol w:w="702"/>
        <w:gridCol w:w="815"/>
        <w:gridCol w:w="834"/>
        <w:gridCol w:w="835"/>
        <w:gridCol w:w="697"/>
      </w:tblGrid>
      <w:tr w:rsidR="00E379A3" w14:paraId="7B4DD172" w14:textId="77777777" w:rsidTr="00EB2BBB">
        <w:trPr>
          <w:trHeight w:val="600"/>
        </w:trPr>
        <w:tc>
          <w:tcPr>
            <w:tcW w:w="545" w:type="dxa"/>
            <w:tcBorders>
              <w:top w:val="none" w:sz="4" w:space="0" w:color="000000"/>
              <w:left w:val="none" w:sz="4" w:space="0" w:color="000000"/>
              <w:bottom w:val="single" w:sz="4" w:space="0" w:color="auto"/>
              <w:right w:val="none" w:sz="4" w:space="0" w:color="000000"/>
            </w:tcBorders>
            <w:shd w:val="clear" w:color="auto" w:fill="auto"/>
            <w:noWrap/>
          </w:tcPr>
          <w:p w14:paraId="7A73B37A"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 </w:t>
            </w:r>
          </w:p>
        </w:tc>
        <w:tc>
          <w:tcPr>
            <w:tcW w:w="473" w:type="dxa"/>
            <w:tcBorders>
              <w:top w:val="none" w:sz="4" w:space="0" w:color="000000"/>
              <w:left w:val="none" w:sz="4" w:space="0" w:color="000000"/>
              <w:bottom w:val="single" w:sz="4" w:space="0" w:color="auto"/>
              <w:right w:val="none" w:sz="4" w:space="0" w:color="000000"/>
            </w:tcBorders>
            <w:shd w:val="clear" w:color="auto" w:fill="auto"/>
            <w:noWrap/>
          </w:tcPr>
          <w:p w14:paraId="43B94FD3"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 </w:t>
            </w:r>
          </w:p>
        </w:tc>
        <w:tc>
          <w:tcPr>
            <w:tcW w:w="245" w:type="dxa"/>
            <w:tcBorders>
              <w:top w:val="none" w:sz="4" w:space="0" w:color="000000"/>
              <w:left w:val="none" w:sz="4" w:space="0" w:color="000000"/>
              <w:bottom w:val="single" w:sz="4" w:space="0" w:color="auto"/>
              <w:right w:val="none" w:sz="4" w:space="0" w:color="000000"/>
            </w:tcBorders>
            <w:shd w:val="clear" w:color="auto" w:fill="auto"/>
            <w:noWrap/>
            <w:tcMar>
              <w:left w:w="28" w:type="dxa"/>
            </w:tcMar>
          </w:tcPr>
          <w:p w14:paraId="373818E9"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 </w:t>
            </w:r>
          </w:p>
        </w:tc>
        <w:tc>
          <w:tcPr>
            <w:tcW w:w="702" w:type="dxa"/>
            <w:tcBorders>
              <w:top w:val="none" w:sz="4" w:space="0" w:color="000000"/>
              <w:left w:val="none" w:sz="4" w:space="0" w:color="000000"/>
              <w:bottom w:val="single" w:sz="4" w:space="0" w:color="auto"/>
              <w:right w:val="none" w:sz="4" w:space="0" w:color="000000"/>
            </w:tcBorders>
            <w:shd w:val="clear" w:color="auto" w:fill="auto"/>
            <w:tcMar>
              <w:left w:w="28" w:type="dxa"/>
            </w:tcMar>
          </w:tcPr>
          <w:p w14:paraId="7E207284"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BDC-7 HTD+2</w:t>
            </w:r>
          </w:p>
        </w:tc>
        <w:tc>
          <w:tcPr>
            <w:tcW w:w="815" w:type="dxa"/>
            <w:tcBorders>
              <w:top w:val="none" w:sz="4" w:space="0" w:color="000000"/>
              <w:left w:val="none" w:sz="4" w:space="0" w:color="000000"/>
              <w:bottom w:val="single" w:sz="4" w:space="0" w:color="auto"/>
              <w:right w:val="none" w:sz="4" w:space="0" w:color="000000"/>
            </w:tcBorders>
            <w:shd w:val="clear" w:color="auto" w:fill="auto"/>
            <w:tcMar>
              <w:left w:w="28" w:type="dxa"/>
            </w:tcMar>
          </w:tcPr>
          <w:p w14:paraId="3DD623EB"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HTD+2 HTD+30</w:t>
            </w:r>
          </w:p>
        </w:tc>
        <w:tc>
          <w:tcPr>
            <w:tcW w:w="834" w:type="dxa"/>
            <w:tcBorders>
              <w:top w:val="none" w:sz="4" w:space="0" w:color="000000"/>
              <w:left w:val="none" w:sz="4" w:space="0" w:color="000000"/>
              <w:bottom w:val="single" w:sz="4" w:space="0" w:color="auto"/>
              <w:right w:val="none" w:sz="4" w:space="0" w:color="000000"/>
            </w:tcBorders>
            <w:shd w:val="clear" w:color="auto" w:fill="auto"/>
            <w:tcMar>
              <w:left w:w="28" w:type="dxa"/>
            </w:tcMar>
          </w:tcPr>
          <w:p w14:paraId="5B2CD2D9"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HTD+30 HTD+59</w:t>
            </w:r>
          </w:p>
        </w:tc>
        <w:tc>
          <w:tcPr>
            <w:tcW w:w="835" w:type="dxa"/>
            <w:tcBorders>
              <w:top w:val="none" w:sz="4" w:space="0" w:color="000000"/>
              <w:left w:val="none" w:sz="4" w:space="0" w:color="000000"/>
              <w:bottom w:val="single" w:sz="4" w:space="0" w:color="auto"/>
              <w:right w:val="none" w:sz="4" w:space="0" w:color="000000"/>
            </w:tcBorders>
            <w:shd w:val="clear" w:color="auto" w:fill="auto"/>
            <w:tcMar>
              <w:left w:w="28" w:type="dxa"/>
            </w:tcMar>
          </w:tcPr>
          <w:p w14:paraId="61A1BEEC"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HTD+59 R+2</w:t>
            </w:r>
          </w:p>
        </w:tc>
        <w:tc>
          <w:tcPr>
            <w:tcW w:w="697" w:type="dxa"/>
            <w:tcBorders>
              <w:top w:val="none" w:sz="4" w:space="0" w:color="000000"/>
              <w:left w:val="none" w:sz="4" w:space="0" w:color="000000"/>
              <w:bottom w:val="single" w:sz="4" w:space="0" w:color="auto"/>
              <w:right w:val="none" w:sz="4" w:space="0" w:color="000000"/>
            </w:tcBorders>
            <w:shd w:val="clear" w:color="auto" w:fill="auto"/>
            <w:tcMar>
              <w:left w:w="28" w:type="dxa"/>
            </w:tcMar>
          </w:tcPr>
          <w:p w14:paraId="152659C0"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R+2 R+13</w:t>
            </w:r>
          </w:p>
        </w:tc>
      </w:tr>
      <w:tr w:rsidR="00E379A3" w14:paraId="56E8982F" w14:textId="77777777" w:rsidTr="00EB2BBB">
        <w:trPr>
          <w:trHeight w:val="320"/>
        </w:trPr>
        <w:tc>
          <w:tcPr>
            <w:tcW w:w="545" w:type="dxa"/>
            <w:vMerge w:val="restart"/>
            <w:tcBorders>
              <w:top w:val="none" w:sz="4" w:space="0" w:color="000000"/>
              <w:left w:val="none" w:sz="4" w:space="0" w:color="000000"/>
              <w:bottom w:val="single" w:sz="4" w:space="0" w:color="000000"/>
              <w:right w:val="none" w:sz="4" w:space="0" w:color="000000"/>
            </w:tcBorders>
            <w:shd w:val="clear" w:color="auto" w:fill="auto"/>
            <w:noWrap/>
            <w:tcMar>
              <w:left w:w="0" w:type="dxa"/>
              <w:right w:w="0" w:type="dxa"/>
            </w:tcMar>
            <w:textDirection w:val="btLr"/>
            <w:vAlign w:val="center"/>
          </w:tcPr>
          <w:p w14:paraId="7368F32E" w14:textId="77777777" w:rsidR="00E379A3" w:rsidRDefault="00EA2DAB" w:rsidP="00EB2BBB">
            <w:pPr>
              <w:jc w:val="center"/>
              <w:rPr>
                <w:rFonts w:ascii="Calibri" w:hAnsi="Calibri" w:cs="Calibri"/>
                <w:i/>
                <w:iCs/>
                <w:color w:val="000000"/>
                <w:sz w:val="20"/>
                <w:szCs w:val="20"/>
              </w:rPr>
            </w:pPr>
            <w:r>
              <w:rPr>
                <w:rFonts w:ascii="Calibri" w:hAnsi="Calibri" w:cs="Calibri"/>
                <w:i/>
                <w:iCs/>
                <w:color w:val="000000"/>
                <w:sz w:val="20"/>
                <w:szCs w:val="20"/>
              </w:rPr>
              <w:t>MSD</w:t>
            </w:r>
          </w:p>
        </w:tc>
        <w:tc>
          <w:tcPr>
            <w:tcW w:w="473" w:type="dxa"/>
            <w:vMerge w:val="restart"/>
            <w:tcBorders>
              <w:top w:val="none" w:sz="4" w:space="0" w:color="000000"/>
              <w:left w:val="none" w:sz="4" w:space="0" w:color="000000"/>
              <w:bottom w:val="none" w:sz="4" w:space="0" w:color="000000"/>
              <w:right w:val="none" w:sz="4" w:space="0" w:color="000000"/>
            </w:tcBorders>
            <w:shd w:val="clear" w:color="auto" w:fill="auto"/>
            <w:noWrap/>
            <w:textDirection w:val="btLr"/>
            <w:vAlign w:val="center"/>
          </w:tcPr>
          <w:p w14:paraId="1C4613CA"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V-P</w:t>
            </w:r>
          </w:p>
        </w:tc>
        <w:tc>
          <w:tcPr>
            <w:tcW w:w="24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4771EB66"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R</w:t>
            </w:r>
          </w:p>
        </w:tc>
        <w:tc>
          <w:tcPr>
            <w:tcW w:w="702"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786078AD"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0.55</w:t>
            </w:r>
          </w:p>
        </w:tc>
        <w:tc>
          <w:tcPr>
            <w:tcW w:w="81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28026FC6"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0.55</w:t>
            </w:r>
          </w:p>
        </w:tc>
        <w:tc>
          <w:tcPr>
            <w:tcW w:w="834"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0086BA34"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0.84</w:t>
            </w:r>
          </w:p>
        </w:tc>
        <w:tc>
          <w:tcPr>
            <w:tcW w:w="83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4BA20401"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0.80</w:t>
            </w:r>
          </w:p>
        </w:tc>
        <w:tc>
          <w:tcPr>
            <w:tcW w:w="697"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21806D2A"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0.85</w:t>
            </w:r>
          </w:p>
        </w:tc>
      </w:tr>
      <w:tr w:rsidR="00E379A3" w14:paraId="3D02D667" w14:textId="77777777" w:rsidTr="00EB2BBB">
        <w:trPr>
          <w:trHeight w:val="355"/>
        </w:trPr>
        <w:tc>
          <w:tcPr>
            <w:tcW w:w="545" w:type="dxa"/>
            <w:vMerge/>
            <w:tcBorders>
              <w:top w:val="none" w:sz="4" w:space="0" w:color="000000"/>
              <w:left w:val="none" w:sz="4" w:space="0" w:color="000000"/>
              <w:bottom w:val="single" w:sz="4" w:space="0" w:color="000000"/>
              <w:right w:val="none" w:sz="4" w:space="0" w:color="000000"/>
            </w:tcBorders>
            <w:tcMar>
              <w:left w:w="0" w:type="dxa"/>
              <w:right w:w="0" w:type="dxa"/>
            </w:tcMar>
            <w:vAlign w:val="center"/>
          </w:tcPr>
          <w:p w14:paraId="34231832" w14:textId="77777777" w:rsidR="00E379A3" w:rsidRDefault="00E379A3" w:rsidP="00EB2BBB">
            <w:pPr>
              <w:jc w:val="center"/>
              <w:rPr>
                <w:rFonts w:ascii="Calibri" w:hAnsi="Calibri" w:cs="Calibri"/>
                <w:i/>
                <w:iCs/>
                <w:color w:val="000000"/>
                <w:sz w:val="20"/>
                <w:szCs w:val="20"/>
              </w:rPr>
            </w:pPr>
          </w:p>
        </w:tc>
        <w:tc>
          <w:tcPr>
            <w:tcW w:w="473" w:type="dxa"/>
            <w:vMerge/>
            <w:tcBorders>
              <w:top w:val="none" w:sz="4" w:space="0" w:color="000000"/>
              <w:left w:val="none" w:sz="4" w:space="0" w:color="000000"/>
              <w:bottom w:val="none" w:sz="4" w:space="0" w:color="000000"/>
              <w:right w:val="none" w:sz="4" w:space="0" w:color="000000"/>
            </w:tcBorders>
            <w:noWrap/>
            <w:vAlign w:val="center"/>
          </w:tcPr>
          <w:p w14:paraId="4163F6D4" w14:textId="77777777" w:rsidR="00E379A3" w:rsidRDefault="00E379A3" w:rsidP="00EB2BBB">
            <w:pPr>
              <w:rPr>
                <w:rFonts w:ascii="Calibri" w:hAnsi="Calibri" w:cs="Calibri"/>
                <w:color w:val="000000"/>
                <w:sz w:val="20"/>
                <w:szCs w:val="20"/>
              </w:rPr>
            </w:pPr>
          </w:p>
        </w:tc>
        <w:tc>
          <w:tcPr>
            <w:tcW w:w="24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3300F37D"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p</w:t>
            </w:r>
          </w:p>
        </w:tc>
        <w:tc>
          <w:tcPr>
            <w:tcW w:w="702"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4689DF65"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0.0007</w:t>
            </w:r>
          </w:p>
        </w:tc>
        <w:tc>
          <w:tcPr>
            <w:tcW w:w="81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324C0F7E"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0.0008</w:t>
            </w:r>
          </w:p>
        </w:tc>
        <w:tc>
          <w:tcPr>
            <w:tcW w:w="834"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2AFB1A89"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4e-10</w:t>
            </w:r>
          </w:p>
        </w:tc>
        <w:tc>
          <w:tcPr>
            <w:tcW w:w="83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7E35B15D"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1e-08</w:t>
            </w:r>
          </w:p>
        </w:tc>
        <w:tc>
          <w:tcPr>
            <w:tcW w:w="697"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6CE23471"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2e-10</w:t>
            </w:r>
          </w:p>
        </w:tc>
      </w:tr>
      <w:tr w:rsidR="00E379A3" w14:paraId="1DE8650D" w14:textId="77777777" w:rsidTr="00EB2BBB">
        <w:trPr>
          <w:trHeight w:val="320"/>
        </w:trPr>
        <w:tc>
          <w:tcPr>
            <w:tcW w:w="545" w:type="dxa"/>
            <w:vMerge/>
            <w:tcBorders>
              <w:top w:val="none" w:sz="4" w:space="0" w:color="000000"/>
              <w:left w:val="none" w:sz="4" w:space="0" w:color="000000"/>
              <w:bottom w:val="single" w:sz="4" w:space="0" w:color="000000"/>
              <w:right w:val="none" w:sz="4" w:space="0" w:color="000000"/>
            </w:tcBorders>
            <w:tcMar>
              <w:left w:w="0" w:type="dxa"/>
              <w:right w:w="0" w:type="dxa"/>
            </w:tcMar>
            <w:vAlign w:val="center"/>
          </w:tcPr>
          <w:p w14:paraId="30E7F0EE" w14:textId="77777777" w:rsidR="00E379A3" w:rsidRDefault="00E379A3" w:rsidP="00EB2BBB">
            <w:pPr>
              <w:jc w:val="center"/>
              <w:rPr>
                <w:rFonts w:ascii="Calibri" w:hAnsi="Calibri" w:cs="Calibri"/>
                <w:i/>
                <w:iCs/>
                <w:color w:val="000000"/>
                <w:sz w:val="20"/>
                <w:szCs w:val="20"/>
              </w:rPr>
            </w:pPr>
          </w:p>
        </w:tc>
        <w:tc>
          <w:tcPr>
            <w:tcW w:w="473" w:type="dxa"/>
            <w:vMerge w:val="restart"/>
            <w:tcBorders>
              <w:top w:val="none" w:sz="4" w:space="0" w:color="000000"/>
              <w:left w:val="none" w:sz="4" w:space="0" w:color="000000"/>
              <w:bottom w:val="none" w:sz="4" w:space="0" w:color="000000"/>
              <w:right w:val="none" w:sz="4" w:space="0" w:color="000000"/>
            </w:tcBorders>
            <w:shd w:val="clear" w:color="auto" w:fill="auto"/>
            <w:noWrap/>
            <w:textDirection w:val="btLr"/>
            <w:vAlign w:val="center"/>
          </w:tcPr>
          <w:p w14:paraId="4D12A730"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V-V</w:t>
            </w:r>
          </w:p>
        </w:tc>
        <w:tc>
          <w:tcPr>
            <w:tcW w:w="24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5FA4B646"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R</w:t>
            </w:r>
          </w:p>
        </w:tc>
        <w:tc>
          <w:tcPr>
            <w:tcW w:w="702"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4CF19377"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0.91</w:t>
            </w:r>
          </w:p>
        </w:tc>
        <w:tc>
          <w:tcPr>
            <w:tcW w:w="81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6AB3159E"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0.89</w:t>
            </w:r>
          </w:p>
        </w:tc>
        <w:tc>
          <w:tcPr>
            <w:tcW w:w="834"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735142FC"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0.89</w:t>
            </w:r>
          </w:p>
        </w:tc>
        <w:tc>
          <w:tcPr>
            <w:tcW w:w="83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0F83AFAA"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0.95</w:t>
            </w:r>
          </w:p>
        </w:tc>
        <w:tc>
          <w:tcPr>
            <w:tcW w:w="697"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49F6D8CF"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0.81</w:t>
            </w:r>
          </w:p>
        </w:tc>
      </w:tr>
      <w:tr w:rsidR="00E379A3" w14:paraId="2CBE0168" w14:textId="77777777" w:rsidTr="00EB2BBB">
        <w:trPr>
          <w:trHeight w:val="379"/>
        </w:trPr>
        <w:tc>
          <w:tcPr>
            <w:tcW w:w="545" w:type="dxa"/>
            <w:vMerge/>
            <w:tcBorders>
              <w:top w:val="none" w:sz="4" w:space="0" w:color="000000"/>
              <w:left w:val="none" w:sz="4" w:space="0" w:color="000000"/>
              <w:bottom w:val="single" w:sz="4" w:space="0" w:color="000000"/>
              <w:right w:val="none" w:sz="4" w:space="0" w:color="000000"/>
            </w:tcBorders>
            <w:tcMar>
              <w:left w:w="0" w:type="dxa"/>
              <w:right w:w="0" w:type="dxa"/>
            </w:tcMar>
            <w:vAlign w:val="center"/>
          </w:tcPr>
          <w:p w14:paraId="7779741E" w14:textId="77777777" w:rsidR="00E379A3" w:rsidRDefault="00E379A3" w:rsidP="00EB2BBB">
            <w:pPr>
              <w:jc w:val="center"/>
              <w:rPr>
                <w:rFonts w:ascii="Calibri" w:hAnsi="Calibri" w:cs="Calibri"/>
                <w:i/>
                <w:iCs/>
                <w:color w:val="000000"/>
                <w:sz w:val="20"/>
                <w:szCs w:val="20"/>
              </w:rPr>
            </w:pPr>
          </w:p>
        </w:tc>
        <w:tc>
          <w:tcPr>
            <w:tcW w:w="473" w:type="dxa"/>
            <w:vMerge/>
            <w:tcBorders>
              <w:top w:val="none" w:sz="4" w:space="0" w:color="000000"/>
              <w:left w:val="none" w:sz="4" w:space="0" w:color="000000"/>
              <w:bottom w:val="none" w:sz="4" w:space="0" w:color="000000"/>
              <w:right w:val="none" w:sz="4" w:space="0" w:color="000000"/>
            </w:tcBorders>
            <w:noWrap/>
            <w:vAlign w:val="center"/>
          </w:tcPr>
          <w:p w14:paraId="09689F48" w14:textId="77777777" w:rsidR="00E379A3" w:rsidRDefault="00E379A3" w:rsidP="00EB2BBB">
            <w:pPr>
              <w:rPr>
                <w:rFonts w:ascii="Calibri" w:hAnsi="Calibri" w:cs="Calibri"/>
                <w:color w:val="000000"/>
                <w:sz w:val="20"/>
                <w:szCs w:val="20"/>
              </w:rPr>
            </w:pPr>
          </w:p>
        </w:tc>
        <w:tc>
          <w:tcPr>
            <w:tcW w:w="24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0DB354B7"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p</w:t>
            </w:r>
          </w:p>
        </w:tc>
        <w:tc>
          <w:tcPr>
            <w:tcW w:w="702"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33C5B5DD"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7e-14</w:t>
            </w:r>
          </w:p>
        </w:tc>
        <w:tc>
          <w:tcPr>
            <w:tcW w:w="81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42DEC0C4"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1e-12</w:t>
            </w:r>
          </w:p>
        </w:tc>
        <w:tc>
          <w:tcPr>
            <w:tcW w:w="834"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7696051A"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1e-12</w:t>
            </w:r>
          </w:p>
        </w:tc>
        <w:tc>
          <w:tcPr>
            <w:tcW w:w="83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744EB7D8"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4e-17</w:t>
            </w:r>
          </w:p>
        </w:tc>
        <w:tc>
          <w:tcPr>
            <w:tcW w:w="697"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0AEFCDFC"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9e-09</w:t>
            </w:r>
          </w:p>
        </w:tc>
      </w:tr>
      <w:tr w:rsidR="00E379A3" w14:paraId="775365E6" w14:textId="77777777" w:rsidTr="00EB2BBB">
        <w:trPr>
          <w:trHeight w:val="320"/>
        </w:trPr>
        <w:tc>
          <w:tcPr>
            <w:tcW w:w="545" w:type="dxa"/>
            <w:vMerge/>
            <w:tcBorders>
              <w:top w:val="none" w:sz="4" w:space="0" w:color="000000"/>
              <w:left w:val="none" w:sz="4" w:space="0" w:color="000000"/>
              <w:bottom w:val="single" w:sz="4" w:space="0" w:color="000000"/>
              <w:right w:val="none" w:sz="4" w:space="0" w:color="000000"/>
            </w:tcBorders>
            <w:tcMar>
              <w:left w:w="0" w:type="dxa"/>
              <w:right w:w="0" w:type="dxa"/>
            </w:tcMar>
            <w:vAlign w:val="center"/>
          </w:tcPr>
          <w:p w14:paraId="1048C9DA" w14:textId="77777777" w:rsidR="00E379A3" w:rsidRDefault="00E379A3" w:rsidP="00EB2BBB">
            <w:pPr>
              <w:jc w:val="center"/>
              <w:rPr>
                <w:rFonts w:ascii="Calibri" w:hAnsi="Calibri" w:cs="Calibri"/>
                <w:i/>
                <w:iCs/>
                <w:color w:val="000000"/>
                <w:sz w:val="20"/>
                <w:szCs w:val="20"/>
              </w:rPr>
            </w:pPr>
          </w:p>
        </w:tc>
        <w:tc>
          <w:tcPr>
            <w:tcW w:w="473" w:type="dxa"/>
            <w:vMerge w:val="restart"/>
            <w:tcBorders>
              <w:top w:val="none" w:sz="4" w:space="0" w:color="000000"/>
              <w:left w:val="none" w:sz="4" w:space="0" w:color="000000"/>
              <w:bottom w:val="single" w:sz="4" w:space="0" w:color="000000"/>
              <w:right w:val="none" w:sz="4" w:space="0" w:color="000000"/>
            </w:tcBorders>
            <w:shd w:val="clear" w:color="auto" w:fill="auto"/>
            <w:noWrap/>
            <w:textDirection w:val="btLr"/>
            <w:vAlign w:val="center"/>
          </w:tcPr>
          <w:p w14:paraId="53746638"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P-P</w:t>
            </w:r>
          </w:p>
        </w:tc>
        <w:tc>
          <w:tcPr>
            <w:tcW w:w="24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33824AC3"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R</w:t>
            </w:r>
          </w:p>
        </w:tc>
        <w:tc>
          <w:tcPr>
            <w:tcW w:w="702"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287ADB34"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0.72</w:t>
            </w:r>
          </w:p>
        </w:tc>
        <w:tc>
          <w:tcPr>
            <w:tcW w:w="81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0C3834DB"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0.66</w:t>
            </w:r>
          </w:p>
        </w:tc>
        <w:tc>
          <w:tcPr>
            <w:tcW w:w="834"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63507CAA"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0.76</w:t>
            </w:r>
          </w:p>
        </w:tc>
        <w:tc>
          <w:tcPr>
            <w:tcW w:w="83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21CB6E0F"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0.74</w:t>
            </w:r>
          </w:p>
        </w:tc>
        <w:tc>
          <w:tcPr>
            <w:tcW w:w="697"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144A094C"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0.74</w:t>
            </w:r>
          </w:p>
        </w:tc>
      </w:tr>
      <w:tr w:rsidR="00E379A3" w14:paraId="007AAAA0" w14:textId="77777777" w:rsidTr="00EB2BBB">
        <w:trPr>
          <w:trHeight w:val="361"/>
        </w:trPr>
        <w:tc>
          <w:tcPr>
            <w:tcW w:w="545" w:type="dxa"/>
            <w:vMerge/>
            <w:tcBorders>
              <w:top w:val="none" w:sz="4" w:space="0" w:color="000000"/>
              <w:left w:val="none" w:sz="4" w:space="0" w:color="000000"/>
              <w:bottom w:val="single" w:sz="4" w:space="0" w:color="000000"/>
              <w:right w:val="none" w:sz="4" w:space="0" w:color="000000"/>
            </w:tcBorders>
            <w:tcMar>
              <w:left w:w="0" w:type="dxa"/>
              <w:right w:w="0" w:type="dxa"/>
            </w:tcMar>
            <w:vAlign w:val="center"/>
          </w:tcPr>
          <w:p w14:paraId="557918B9" w14:textId="77777777" w:rsidR="00E379A3" w:rsidRDefault="00E379A3" w:rsidP="00EB2BBB">
            <w:pPr>
              <w:jc w:val="center"/>
              <w:rPr>
                <w:rFonts w:ascii="Calibri" w:hAnsi="Calibri" w:cs="Calibri"/>
                <w:i/>
                <w:iCs/>
                <w:color w:val="000000"/>
                <w:sz w:val="20"/>
                <w:szCs w:val="20"/>
              </w:rPr>
            </w:pPr>
          </w:p>
        </w:tc>
        <w:tc>
          <w:tcPr>
            <w:tcW w:w="473" w:type="dxa"/>
            <w:vMerge/>
            <w:tcBorders>
              <w:top w:val="none" w:sz="4" w:space="0" w:color="000000"/>
              <w:left w:val="none" w:sz="4" w:space="0" w:color="000000"/>
              <w:bottom w:val="single" w:sz="4" w:space="0" w:color="000000"/>
              <w:right w:val="none" w:sz="4" w:space="0" w:color="000000"/>
            </w:tcBorders>
            <w:noWrap/>
            <w:vAlign w:val="center"/>
          </w:tcPr>
          <w:p w14:paraId="21B647E7" w14:textId="77777777" w:rsidR="00E379A3" w:rsidRDefault="00E379A3" w:rsidP="00EB2BBB">
            <w:pPr>
              <w:rPr>
                <w:rFonts w:ascii="Calibri" w:hAnsi="Calibri" w:cs="Calibri"/>
                <w:color w:val="000000"/>
                <w:sz w:val="20"/>
                <w:szCs w:val="20"/>
              </w:rPr>
            </w:pPr>
          </w:p>
        </w:tc>
        <w:tc>
          <w:tcPr>
            <w:tcW w:w="245" w:type="dxa"/>
            <w:tcBorders>
              <w:top w:val="none" w:sz="4" w:space="0" w:color="000000"/>
              <w:left w:val="none" w:sz="4" w:space="0" w:color="000000"/>
              <w:bottom w:val="single" w:sz="4" w:space="0" w:color="auto"/>
              <w:right w:val="none" w:sz="4" w:space="0" w:color="000000"/>
            </w:tcBorders>
            <w:shd w:val="clear" w:color="auto" w:fill="auto"/>
            <w:noWrap/>
            <w:tcMar>
              <w:left w:w="28" w:type="dxa"/>
            </w:tcMar>
          </w:tcPr>
          <w:p w14:paraId="68F12276"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p</w:t>
            </w:r>
          </w:p>
        </w:tc>
        <w:tc>
          <w:tcPr>
            <w:tcW w:w="702" w:type="dxa"/>
            <w:tcBorders>
              <w:top w:val="none" w:sz="4" w:space="0" w:color="000000"/>
              <w:left w:val="none" w:sz="4" w:space="0" w:color="000000"/>
              <w:bottom w:val="single" w:sz="4" w:space="0" w:color="auto"/>
              <w:right w:val="none" w:sz="4" w:space="0" w:color="000000"/>
            </w:tcBorders>
            <w:shd w:val="clear" w:color="auto" w:fill="auto"/>
            <w:noWrap/>
            <w:tcMar>
              <w:left w:w="28" w:type="dxa"/>
            </w:tcMar>
          </w:tcPr>
          <w:p w14:paraId="05C3F5E4"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2e-06</w:t>
            </w:r>
          </w:p>
        </w:tc>
        <w:tc>
          <w:tcPr>
            <w:tcW w:w="815" w:type="dxa"/>
            <w:tcBorders>
              <w:top w:val="none" w:sz="4" w:space="0" w:color="000000"/>
              <w:left w:val="none" w:sz="4" w:space="0" w:color="000000"/>
              <w:bottom w:val="single" w:sz="4" w:space="0" w:color="auto"/>
              <w:right w:val="none" w:sz="4" w:space="0" w:color="000000"/>
            </w:tcBorders>
            <w:shd w:val="clear" w:color="auto" w:fill="auto"/>
            <w:noWrap/>
            <w:tcMar>
              <w:left w:w="28" w:type="dxa"/>
            </w:tcMar>
          </w:tcPr>
          <w:p w14:paraId="49BCEA51"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2e-05</w:t>
            </w:r>
          </w:p>
        </w:tc>
        <w:tc>
          <w:tcPr>
            <w:tcW w:w="834" w:type="dxa"/>
            <w:tcBorders>
              <w:top w:val="none" w:sz="4" w:space="0" w:color="000000"/>
              <w:left w:val="none" w:sz="4" w:space="0" w:color="000000"/>
              <w:bottom w:val="single" w:sz="4" w:space="0" w:color="auto"/>
              <w:right w:val="none" w:sz="4" w:space="0" w:color="000000"/>
            </w:tcBorders>
            <w:shd w:val="clear" w:color="auto" w:fill="auto"/>
            <w:noWrap/>
            <w:tcMar>
              <w:left w:w="28" w:type="dxa"/>
            </w:tcMar>
          </w:tcPr>
          <w:p w14:paraId="6F7611FF"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2e-07</w:t>
            </w:r>
          </w:p>
        </w:tc>
        <w:tc>
          <w:tcPr>
            <w:tcW w:w="835" w:type="dxa"/>
            <w:tcBorders>
              <w:top w:val="none" w:sz="4" w:space="0" w:color="000000"/>
              <w:left w:val="none" w:sz="4" w:space="0" w:color="000000"/>
              <w:bottom w:val="single" w:sz="4" w:space="0" w:color="auto"/>
              <w:right w:val="none" w:sz="4" w:space="0" w:color="000000"/>
            </w:tcBorders>
            <w:shd w:val="clear" w:color="auto" w:fill="auto"/>
            <w:noWrap/>
            <w:tcMar>
              <w:left w:w="28" w:type="dxa"/>
            </w:tcMar>
          </w:tcPr>
          <w:p w14:paraId="1F9D450C"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5e-07</w:t>
            </w:r>
          </w:p>
        </w:tc>
        <w:tc>
          <w:tcPr>
            <w:tcW w:w="697" w:type="dxa"/>
            <w:tcBorders>
              <w:top w:val="none" w:sz="4" w:space="0" w:color="000000"/>
              <w:left w:val="none" w:sz="4" w:space="0" w:color="000000"/>
              <w:bottom w:val="single" w:sz="4" w:space="0" w:color="auto"/>
              <w:right w:val="none" w:sz="4" w:space="0" w:color="000000"/>
            </w:tcBorders>
            <w:shd w:val="clear" w:color="auto" w:fill="auto"/>
            <w:noWrap/>
            <w:tcMar>
              <w:left w:w="28" w:type="dxa"/>
            </w:tcMar>
          </w:tcPr>
          <w:p w14:paraId="6F6E95ED"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5e-07</w:t>
            </w:r>
          </w:p>
        </w:tc>
      </w:tr>
      <w:tr w:rsidR="00E379A3" w14:paraId="71A710D0" w14:textId="77777777" w:rsidTr="00EB2BBB">
        <w:trPr>
          <w:trHeight w:val="320"/>
        </w:trPr>
        <w:tc>
          <w:tcPr>
            <w:tcW w:w="545" w:type="dxa"/>
            <w:vMerge w:val="restart"/>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extDirection w:val="btLr"/>
            <w:vAlign w:val="center"/>
          </w:tcPr>
          <w:p w14:paraId="7CF06375" w14:textId="117F4EF3" w:rsidR="00E379A3" w:rsidRDefault="00EB2BBB" w:rsidP="00EB2BBB">
            <w:pPr>
              <w:jc w:val="center"/>
              <w:rPr>
                <w:rFonts w:ascii="Calibri" w:hAnsi="Calibri" w:cs="Calibri"/>
                <w:i/>
                <w:iCs/>
                <w:color w:val="000000"/>
                <w:sz w:val="20"/>
                <w:szCs w:val="20"/>
              </w:rPr>
            </w:pPr>
            <w:proofErr w:type="spellStart"/>
            <w:r>
              <w:rPr>
                <w:rFonts w:ascii="Calibri" w:hAnsi="Calibri" w:cs="Calibri"/>
                <w:i/>
                <w:iCs/>
                <w:color w:val="000000"/>
                <w:sz w:val="20"/>
                <w:szCs w:val="20"/>
              </w:rPr>
              <w:t>TDev</w:t>
            </w:r>
            <w:proofErr w:type="spellEnd"/>
          </w:p>
        </w:tc>
        <w:tc>
          <w:tcPr>
            <w:tcW w:w="473" w:type="dxa"/>
            <w:vMerge w:val="restart"/>
            <w:tcBorders>
              <w:top w:val="none" w:sz="4" w:space="0" w:color="000000"/>
              <w:left w:val="none" w:sz="4" w:space="0" w:color="000000"/>
              <w:bottom w:val="none" w:sz="4" w:space="0" w:color="000000"/>
              <w:right w:val="none" w:sz="4" w:space="0" w:color="000000"/>
            </w:tcBorders>
            <w:shd w:val="clear" w:color="auto" w:fill="auto"/>
            <w:noWrap/>
            <w:textDirection w:val="btLr"/>
            <w:vAlign w:val="center"/>
          </w:tcPr>
          <w:p w14:paraId="2D248D92"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V-P</w:t>
            </w:r>
          </w:p>
        </w:tc>
        <w:tc>
          <w:tcPr>
            <w:tcW w:w="24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6E57E809"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R</w:t>
            </w:r>
          </w:p>
        </w:tc>
        <w:tc>
          <w:tcPr>
            <w:tcW w:w="702"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3D6DA4D8"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0.66</w:t>
            </w:r>
          </w:p>
        </w:tc>
        <w:tc>
          <w:tcPr>
            <w:tcW w:w="81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3259CACF"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0.53</w:t>
            </w:r>
          </w:p>
        </w:tc>
        <w:tc>
          <w:tcPr>
            <w:tcW w:w="834"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39C646F5"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0.66</w:t>
            </w:r>
          </w:p>
        </w:tc>
        <w:tc>
          <w:tcPr>
            <w:tcW w:w="83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069D0417"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0.50</w:t>
            </w:r>
          </w:p>
        </w:tc>
        <w:tc>
          <w:tcPr>
            <w:tcW w:w="697"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50B2AD16"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0.64</w:t>
            </w:r>
          </w:p>
        </w:tc>
      </w:tr>
      <w:tr w:rsidR="00E379A3" w14:paraId="71EDECC7" w14:textId="77777777" w:rsidTr="00EB2BBB">
        <w:trPr>
          <w:trHeight w:val="381"/>
        </w:trPr>
        <w:tc>
          <w:tcPr>
            <w:tcW w:w="545" w:type="dxa"/>
            <w:vMerge/>
            <w:tcBorders>
              <w:top w:val="none" w:sz="4" w:space="0" w:color="000000"/>
              <w:left w:val="none" w:sz="4" w:space="0" w:color="000000"/>
              <w:bottom w:val="none" w:sz="4" w:space="0" w:color="000000"/>
              <w:right w:val="none" w:sz="4" w:space="0" w:color="000000"/>
            </w:tcBorders>
            <w:vAlign w:val="center"/>
          </w:tcPr>
          <w:p w14:paraId="313CE404" w14:textId="77777777" w:rsidR="00E379A3" w:rsidRDefault="00E379A3" w:rsidP="00EB2BBB">
            <w:pPr>
              <w:rPr>
                <w:rFonts w:ascii="Calibri" w:hAnsi="Calibri" w:cs="Calibri"/>
                <w:i/>
                <w:iCs/>
                <w:color w:val="000000"/>
                <w:sz w:val="20"/>
                <w:szCs w:val="20"/>
              </w:rPr>
            </w:pPr>
          </w:p>
        </w:tc>
        <w:tc>
          <w:tcPr>
            <w:tcW w:w="473" w:type="dxa"/>
            <w:vMerge/>
            <w:tcBorders>
              <w:top w:val="none" w:sz="4" w:space="0" w:color="000000"/>
              <w:left w:val="none" w:sz="4" w:space="0" w:color="000000"/>
              <w:bottom w:val="none" w:sz="4" w:space="0" w:color="000000"/>
              <w:right w:val="none" w:sz="4" w:space="0" w:color="000000"/>
            </w:tcBorders>
            <w:noWrap/>
            <w:vAlign w:val="center"/>
          </w:tcPr>
          <w:p w14:paraId="080428E0" w14:textId="77777777" w:rsidR="00E379A3" w:rsidRDefault="00E379A3" w:rsidP="00EB2BBB">
            <w:pPr>
              <w:rPr>
                <w:rFonts w:ascii="Calibri" w:hAnsi="Calibri" w:cs="Calibri"/>
                <w:color w:val="000000"/>
                <w:sz w:val="20"/>
                <w:szCs w:val="20"/>
              </w:rPr>
            </w:pPr>
          </w:p>
        </w:tc>
        <w:tc>
          <w:tcPr>
            <w:tcW w:w="24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22A0CE6D"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p</w:t>
            </w:r>
          </w:p>
        </w:tc>
        <w:tc>
          <w:tcPr>
            <w:tcW w:w="702"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0E1BF628"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2e-05</w:t>
            </w:r>
          </w:p>
        </w:tc>
        <w:tc>
          <w:tcPr>
            <w:tcW w:w="81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61BF05BD"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0.0011</w:t>
            </w:r>
          </w:p>
        </w:tc>
        <w:tc>
          <w:tcPr>
            <w:tcW w:w="834"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784C201D"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2e-05</w:t>
            </w:r>
          </w:p>
        </w:tc>
        <w:tc>
          <w:tcPr>
            <w:tcW w:w="83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1B78ED6D"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0.0024</w:t>
            </w:r>
          </w:p>
        </w:tc>
        <w:tc>
          <w:tcPr>
            <w:tcW w:w="697"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09392FDD"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4e-05</w:t>
            </w:r>
          </w:p>
        </w:tc>
      </w:tr>
      <w:tr w:rsidR="00E379A3" w14:paraId="2F4ACB0E" w14:textId="77777777" w:rsidTr="00EB2BBB">
        <w:trPr>
          <w:trHeight w:val="320"/>
        </w:trPr>
        <w:tc>
          <w:tcPr>
            <w:tcW w:w="545" w:type="dxa"/>
            <w:vMerge/>
            <w:tcBorders>
              <w:top w:val="none" w:sz="4" w:space="0" w:color="000000"/>
              <w:left w:val="none" w:sz="4" w:space="0" w:color="000000"/>
              <w:bottom w:val="none" w:sz="4" w:space="0" w:color="000000"/>
              <w:right w:val="none" w:sz="4" w:space="0" w:color="000000"/>
            </w:tcBorders>
            <w:vAlign w:val="center"/>
          </w:tcPr>
          <w:p w14:paraId="4FA170AC" w14:textId="77777777" w:rsidR="00E379A3" w:rsidRDefault="00E379A3" w:rsidP="00EB2BBB">
            <w:pPr>
              <w:rPr>
                <w:rFonts w:ascii="Calibri" w:hAnsi="Calibri" w:cs="Calibri"/>
                <w:i/>
                <w:iCs/>
                <w:color w:val="000000"/>
                <w:sz w:val="20"/>
                <w:szCs w:val="20"/>
              </w:rPr>
            </w:pPr>
          </w:p>
        </w:tc>
        <w:tc>
          <w:tcPr>
            <w:tcW w:w="473" w:type="dxa"/>
            <w:vMerge w:val="restart"/>
            <w:tcBorders>
              <w:top w:val="none" w:sz="4" w:space="0" w:color="000000"/>
              <w:left w:val="none" w:sz="4" w:space="0" w:color="000000"/>
              <w:bottom w:val="none" w:sz="4" w:space="0" w:color="000000"/>
              <w:right w:val="none" w:sz="4" w:space="0" w:color="000000"/>
            </w:tcBorders>
            <w:shd w:val="clear" w:color="auto" w:fill="auto"/>
            <w:noWrap/>
            <w:textDirection w:val="btLr"/>
            <w:vAlign w:val="center"/>
          </w:tcPr>
          <w:p w14:paraId="7F6C635A"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V-V</w:t>
            </w:r>
          </w:p>
        </w:tc>
        <w:tc>
          <w:tcPr>
            <w:tcW w:w="24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7C2C70F9"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R</w:t>
            </w:r>
          </w:p>
        </w:tc>
        <w:tc>
          <w:tcPr>
            <w:tcW w:w="702"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4FF6F545"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0.35</w:t>
            </w:r>
          </w:p>
        </w:tc>
        <w:tc>
          <w:tcPr>
            <w:tcW w:w="81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502C38CC"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0.60</w:t>
            </w:r>
          </w:p>
        </w:tc>
        <w:tc>
          <w:tcPr>
            <w:tcW w:w="834"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4B8BD70E"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0.57</w:t>
            </w:r>
          </w:p>
        </w:tc>
        <w:tc>
          <w:tcPr>
            <w:tcW w:w="83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4EC611F8"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0.51</w:t>
            </w:r>
          </w:p>
        </w:tc>
        <w:tc>
          <w:tcPr>
            <w:tcW w:w="697"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1FAC47CA"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0.60</w:t>
            </w:r>
          </w:p>
        </w:tc>
      </w:tr>
      <w:tr w:rsidR="00E379A3" w14:paraId="67CB44BC" w14:textId="77777777" w:rsidTr="00EB2BBB">
        <w:trPr>
          <w:trHeight w:val="391"/>
        </w:trPr>
        <w:tc>
          <w:tcPr>
            <w:tcW w:w="545" w:type="dxa"/>
            <w:vMerge/>
            <w:tcBorders>
              <w:top w:val="none" w:sz="4" w:space="0" w:color="000000"/>
              <w:left w:val="none" w:sz="4" w:space="0" w:color="000000"/>
              <w:bottom w:val="none" w:sz="4" w:space="0" w:color="000000"/>
              <w:right w:val="none" w:sz="4" w:space="0" w:color="000000"/>
            </w:tcBorders>
            <w:vAlign w:val="center"/>
          </w:tcPr>
          <w:p w14:paraId="635C942D" w14:textId="77777777" w:rsidR="00E379A3" w:rsidRDefault="00E379A3" w:rsidP="00EB2BBB">
            <w:pPr>
              <w:rPr>
                <w:rFonts w:ascii="Calibri" w:hAnsi="Calibri" w:cs="Calibri"/>
                <w:i/>
                <w:iCs/>
                <w:color w:val="000000"/>
                <w:sz w:val="20"/>
                <w:szCs w:val="20"/>
              </w:rPr>
            </w:pPr>
          </w:p>
        </w:tc>
        <w:tc>
          <w:tcPr>
            <w:tcW w:w="473" w:type="dxa"/>
            <w:vMerge/>
            <w:tcBorders>
              <w:top w:val="none" w:sz="4" w:space="0" w:color="000000"/>
              <w:left w:val="none" w:sz="4" w:space="0" w:color="000000"/>
              <w:bottom w:val="none" w:sz="4" w:space="0" w:color="000000"/>
              <w:right w:val="none" w:sz="4" w:space="0" w:color="000000"/>
            </w:tcBorders>
            <w:noWrap/>
            <w:vAlign w:val="center"/>
          </w:tcPr>
          <w:p w14:paraId="71AD761C" w14:textId="77777777" w:rsidR="00E379A3" w:rsidRDefault="00E379A3" w:rsidP="00EB2BBB">
            <w:pPr>
              <w:rPr>
                <w:rFonts w:ascii="Calibri" w:hAnsi="Calibri" w:cs="Calibri"/>
                <w:color w:val="000000"/>
                <w:sz w:val="20"/>
                <w:szCs w:val="20"/>
              </w:rPr>
            </w:pPr>
          </w:p>
        </w:tc>
        <w:tc>
          <w:tcPr>
            <w:tcW w:w="24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2699025D"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p</w:t>
            </w:r>
          </w:p>
        </w:tc>
        <w:tc>
          <w:tcPr>
            <w:tcW w:w="702"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56FC7CBB"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0.0424</w:t>
            </w:r>
          </w:p>
        </w:tc>
        <w:tc>
          <w:tcPr>
            <w:tcW w:w="81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2F49EEB2"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0.0002</w:t>
            </w:r>
          </w:p>
        </w:tc>
        <w:tc>
          <w:tcPr>
            <w:tcW w:w="834"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4256F78F"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0.0005</w:t>
            </w:r>
          </w:p>
        </w:tc>
        <w:tc>
          <w:tcPr>
            <w:tcW w:w="83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1D63FB13"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0.0022</w:t>
            </w:r>
          </w:p>
        </w:tc>
        <w:tc>
          <w:tcPr>
            <w:tcW w:w="697"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1FA3BE61" w14:textId="77777777" w:rsidR="00E379A3" w:rsidRDefault="00EA2DAB" w:rsidP="00EB2BBB">
            <w:pPr>
              <w:rPr>
                <w:rFonts w:ascii="Calibri" w:hAnsi="Calibri" w:cs="Calibri"/>
                <w:b/>
                <w:bCs/>
                <w:color w:val="000000"/>
                <w:sz w:val="20"/>
                <w:szCs w:val="20"/>
              </w:rPr>
            </w:pPr>
            <w:r>
              <w:rPr>
                <w:rFonts w:ascii="Calibri" w:hAnsi="Calibri" w:cs="Calibri"/>
                <w:b/>
                <w:bCs/>
                <w:color w:val="000000"/>
                <w:sz w:val="20"/>
                <w:szCs w:val="20"/>
              </w:rPr>
              <w:t>0.0002</w:t>
            </w:r>
          </w:p>
        </w:tc>
      </w:tr>
      <w:tr w:rsidR="00E379A3" w14:paraId="7A4900BC" w14:textId="77777777" w:rsidTr="00EB2BBB">
        <w:trPr>
          <w:trHeight w:val="320"/>
        </w:trPr>
        <w:tc>
          <w:tcPr>
            <w:tcW w:w="545" w:type="dxa"/>
            <w:vMerge/>
            <w:tcBorders>
              <w:top w:val="none" w:sz="4" w:space="0" w:color="000000"/>
              <w:left w:val="none" w:sz="4" w:space="0" w:color="000000"/>
              <w:bottom w:val="none" w:sz="4" w:space="0" w:color="000000"/>
              <w:right w:val="none" w:sz="4" w:space="0" w:color="000000"/>
            </w:tcBorders>
            <w:vAlign w:val="center"/>
          </w:tcPr>
          <w:p w14:paraId="7C18D4A8" w14:textId="77777777" w:rsidR="00E379A3" w:rsidRDefault="00E379A3" w:rsidP="00EB2BBB">
            <w:pPr>
              <w:rPr>
                <w:rFonts w:ascii="Calibri" w:hAnsi="Calibri" w:cs="Calibri"/>
                <w:i/>
                <w:iCs/>
                <w:color w:val="000000"/>
                <w:sz w:val="20"/>
                <w:szCs w:val="20"/>
              </w:rPr>
            </w:pPr>
          </w:p>
        </w:tc>
        <w:tc>
          <w:tcPr>
            <w:tcW w:w="473" w:type="dxa"/>
            <w:vMerge w:val="restart"/>
            <w:tcBorders>
              <w:top w:val="none" w:sz="4" w:space="0" w:color="000000"/>
              <w:left w:val="none" w:sz="4" w:space="0" w:color="000000"/>
              <w:bottom w:val="none" w:sz="4" w:space="0" w:color="000000"/>
              <w:right w:val="none" w:sz="4" w:space="0" w:color="000000"/>
            </w:tcBorders>
            <w:shd w:val="clear" w:color="auto" w:fill="auto"/>
            <w:noWrap/>
            <w:textDirection w:val="btLr"/>
            <w:vAlign w:val="center"/>
          </w:tcPr>
          <w:p w14:paraId="5FA3349B"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P-P</w:t>
            </w:r>
          </w:p>
        </w:tc>
        <w:tc>
          <w:tcPr>
            <w:tcW w:w="24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1325F6A7"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R</w:t>
            </w:r>
          </w:p>
        </w:tc>
        <w:tc>
          <w:tcPr>
            <w:tcW w:w="702"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32741E10"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-0.09</w:t>
            </w:r>
          </w:p>
        </w:tc>
        <w:tc>
          <w:tcPr>
            <w:tcW w:w="81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2BB22AE6"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0.16</w:t>
            </w:r>
          </w:p>
        </w:tc>
        <w:tc>
          <w:tcPr>
            <w:tcW w:w="834"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6D248049"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0.19</w:t>
            </w:r>
          </w:p>
        </w:tc>
        <w:tc>
          <w:tcPr>
            <w:tcW w:w="83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2C5A5C58"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0.04</w:t>
            </w:r>
          </w:p>
        </w:tc>
        <w:tc>
          <w:tcPr>
            <w:tcW w:w="697"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21955E22"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0.18</w:t>
            </w:r>
          </w:p>
        </w:tc>
      </w:tr>
      <w:tr w:rsidR="00E379A3" w14:paraId="5559E8B8" w14:textId="77777777" w:rsidTr="00EB2BBB">
        <w:trPr>
          <w:trHeight w:val="74"/>
        </w:trPr>
        <w:tc>
          <w:tcPr>
            <w:tcW w:w="545" w:type="dxa"/>
            <w:vMerge/>
            <w:tcBorders>
              <w:top w:val="none" w:sz="4" w:space="0" w:color="000000"/>
              <w:left w:val="none" w:sz="4" w:space="0" w:color="000000"/>
              <w:bottom w:val="single" w:sz="4" w:space="0" w:color="auto"/>
              <w:right w:val="none" w:sz="4" w:space="0" w:color="000000"/>
            </w:tcBorders>
            <w:vAlign w:val="center"/>
          </w:tcPr>
          <w:p w14:paraId="5DAE29F3" w14:textId="77777777" w:rsidR="00E379A3" w:rsidRDefault="00E379A3" w:rsidP="00EB2BBB">
            <w:pPr>
              <w:rPr>
                <w:rFonts w:ascii="Calibri" w:hAnsi="Calibri" w:cs="Calibri"/>
                <w:i/>
                <w:iCs/>
                <w:color w:val="000000"/>
                <w:sz w:val="20"/>
                <w:szCs w:val="20"/>
              </w:rPr>
            </w:pPr>
          </w:p>
        </w:tc>
        <w:tc>
          <w:tcPr>
            <w:tcW w:w="473" w:type="dxa"/>
            <w:vMerge/>
            <w:tcBorders>
              <w:top w:val="none" w:sz="4" w:space="0" w:color="000000"/>
              <w:left w:val="none" w:sz="4" w:space="0" w:color="000000"/>
              <w:bottom w:val="single" w:sz="4" w:space="0" w:color="auto"/>
              <w:right w:val="none" w:sz="4" w:space="0" w:color="000000"/>
            </w:tcBorders>
          </w:tcPr>
          <w:p w14:paraId="7D8C40A4" w14:textId="77777777" w:rsidR="00E379A3" w:rsidRDefault="00E379A3" w:rsidP="00EB2BBB">
            <w:pPr>
              <w:rPr>
                <w:rFonts w:ascii="Calibri" w:hAnsi="Calibri" w:cs="Calibri"/>
                <w:color w:val="000000"/>
                <w:sz w:val="20"/>
                <w:szCs w:val="20"/>
              </w:rPr>
            </w:pPr>
          </w:p>
        </w:tc>
        <w:tc>
          <w:tcPr>
            <w:tcW w:w="245" w:type="dxa"/>
            <w:tcBorders>
              <w:top w:val="none" w:sz="4" w:space="0" w:color="000000"/>
              <w:left w:val="none" w:sz="4" w:space="0" w:color="000000"/>
              <w:bottom w:val="single" w:sz="4" w:space="0" w:color="auto"/>
              <w:right w:val="none" w:sz="4" w:space="0" w:color="000000"/>
            </w:tcBorders>
            <w:shd w:val="clear" w:color="auto" w:fill="auto"/>
            <w:noWrap/>
            <w:tcMar>
              <w:left w:w="28" w:type="dxa"/>
            </w:tcMar>
          </w:tcPr>
          <w:p w14:paraId="0898CCF7"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p</w:t>
            </w:r>
          </w:p>
        </w:tc>
        <w:tc>
          <w:tcPr>
            <w:tcW w:w="702" w:type="dxa"/>
            <w:tcBorders>
              <w:top w:val="none" w:sz="4" w:space="0" w:color="000000"/>
              <w:left w:val="none" w:sz="4" w:space="0" w:color="000000"/>
              <w:bottom w:val="single" w:sz="4" w:space="0" w:color="auto"/>
              <w:right w:val="none" w:sz="4" w:space="0" w:color="000000"/>
            </w:tcBorders>
            <w:shd w:val="clear" w:color="auto" w:fill="auto"/>
            <w:noWrap/>
            <w:tcMar>
              <w:left w:w="28" w:type="dxa"/>
            </w:tcMar>
          </w:tcPr>
          <w:p w14:paraId="68FBDD18"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0.5934</w:t>
            </w:r>
          </w:p>
        </w:tc>
        <w:tc>
          <w:tcPr>
            <w:tcW w:w="815" w:type="dxa"/>
            <w:tcBorders>
              <w:top w:val="none" w:sz="4" w:space="0" w:color="000000"/>
              <w:left w:val="none" w:sz="4" w:space="0" w:color="000000"/>
              <w:bottom w:val="single" w:sz="4" w:space="0" w:color="auto"/>
              <w:right w:val="none" w:sz="4" w:space="0" w:color="000000"/>
            </w:tcBorders>
            <w:shd w:val="clear" w:color="auto" w:fill="auto"/>
            <w:noWrap/>
            <w:tcMar>
              <w:left w:w="28" w:type="dxa"/>
            </w:tcMar>
          </w:tcPr>
          <w:p w14:paraId="215DD8DB"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0.3621</w:t>
            </w:r>
          </w:p>
        </w:tc>
        <w:tc>
          <w:tcPr>
            <w:tcW w:w="834" w:type="dxa"/>
            <w:tcBorders>
              <w:top w:val="none" w:sz="4" w:space="0" w:color="000000"/>
              <w:left w:val="none" w:sz="4" w:space="0" w:color="000000"/>
              <w:bottom w:val="single" w:sz="4" w:space="0" w:color="auto"/>
              <w:right w:val="none" w:sz="4" w:space="0" w:color="000000"/>
            </w:tcBorders>
            <w:shd w:val="clear" w:color="auto" w:fill="auto"/>
            <w:noWrap/>
            <w:tcMar>
              <w:left w:w="28" w:type="dxa"/>
            </w:tcMar>
          </w:tcPr>
          <w:p w14:paraId="28551C0E"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0.2904</w:t>
            </w:r>
          </w:p>
        </w:tc>
        <w:tc>
          <w:tcPr>
            <w:tcW w:w="835" w:type="dxa"/>
            <w:tcBorders>
              <w:top w:val="none" w:sz="4" w:space="0" w:color="000000"/>
              <w:left w:val="none" w:sz="4" w:space="0" w:color="000000"/>
              <w:bottom w:val="single" w:sz="4" w:space="0" w:color="auto"/>
              <w:right w:val="none" w:sz="4" w:space="0" w:color="000000"/>
            </w:tcBorders>
            <w:shd w:val="clear" w:color="auto" w:fill="auto"/>
            <w:noWrap/>
            <w:tcMar>
              <w:left w:w="28" w:type="dxa"/>
            </w:tcMar>
          </w:tcPr>
          <w:p w14:paraId="64221E66"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0.8306</w:t>
            </w:r>
          </w:p>
        </w:tc>
        <w:tc>
          <w:tcPr>
            <w:tcW w:w="697" w:type="dxa"/>
            <w:tcBorders>
              <w:top w:val="none" w:sz="4" w:space="0" w:color="000000"/>
              <w:left w:val="none" w:sz="4" w:space="0" w:color="000000"/>
              <w:bottom w:val="single" w:sz="4" w:space="0" w:color="auto"/>
              <w:right w:val="none" w:sz="4" w:space="0" w:color="000000"/>
            </w:tcBorders>
            <w:shd w:val="clear" w:color="auto" w:fill="auto"/>
            <w:noWrap/>
            <w:tcMar>
              <w:left w:w="28" w:type="dxa"/>
            </w:tcMar>
          </w:tcPr>
          <w:p w14:paraId="0BF51CAE"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0.3037</w:t>
            </w:r>
          </w:p>
        </w:tc>
      </w:tr>
      <w:tr w:rsidR="00E379A3" w14:paraId="7A2DC62D" w14:textId="77777777" w:rsidTr="00EB2BBB">
        <w:trPr>
          <w:trHeight w:val="74"/>
        </w:trPr>
        <w:tc>
          <w:tcPr>
            <w:tcW w:w="545" w:type="dxa"/>
            <w:vMerge w:val="restart"/>
            <w:tcBorders>
              <w:top w:val="single" w:sz="4" w:space="0" w:color="auto"/>
              <w:left w:val="none" w:sz="4" w:space="0" w:color="000000"/>
              <w:right w:val="none" w:sz="4" w:space="0" w:color="000000"/>
            </w:tcBorders>
            <w:textDirection w:val="btLr"/>
            <w:vAlign w:val="center"/>
          </w:tcPr>
          <w:p w14:paraId="7541CCCF" w14:textId="77777777" w:rsidR="00E379A3" w:rsidRDefault="00EA2DAB" w:rsidP="00EB2BBB">
            <w:pPr>
              <w:jc w:val="center"/>
              <w:rPr>
                <w:rFonts w:ascii="Calibri" w:hAnsi="Calibri" w:cs="Calibri"/>
                <w:i/>
                <w:iCs/>
                <w:color w:val="000000"/>
                <w:sz w:val="20"/>
                <w:szCs w:val="20"/>
                <w:vertAlign w:val="subscript"/>
              </w:rPr>
            </w:pPr>
            <w:proofErr w:type="spellStart"/>
            <w:r>
              <w:rPr>
                <w:rFonts w:ascii="Calibri" w:hAnsi="Calibri" w:cs="Calibri"/>
                <w:i/>
                <w:iCs/>
                <w:color w:val="000000"/>
                <w:sz w:val="20"/>
                <w:szCs w:val="20"/>
              </w:rPr>
              <w:t>ω</w:t>
            </w:r>
            <w:r>
              <w:rPr>
                <w:rFonts w:ascii="Calibri" w:hAnsi="Calibri" w:cs="Calibri"/>
                <w:i/>
                <w:iCs/>
                <w:color w:val="000000"/>
                <w:sz w:val="20"/>
                <w:szCs w:val="20"/>
                <w:vertAlign w:val="subscript"/>
              </w:rPr>
              <w:t>V</w:t>
            </w:r>
            <w:proofErr w:type="spellEnd"/>
          </w:p>
        </w:tc>
        <w:tc>
          <w:tcPr>
            <w:tcW w:w="473" w:type="dxa"/>
            <w:vMerge w:val="restart"/>
            <w:tcBorders>
              <w:top w:val="single" w:sz="4" w:space="0" w:color="auto"/>
              <w:left w:val="none" w:sz="4" w:space="0" w:color="000000"/>
              <w:right w:val="none" w:sz="4" w:space="0" w:color="000000"/>
            </w:tcBorders>
            <w:textDirection w:val="btLr"/>
            <w:vAlign w:val="center"/>
          </w:tcPr>
          <w:p w14:paraId="785B059A"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V-P</w:t>
            </w:r>
          </w:p>
        </w:tc>
        <w:tc>
          <w:tcPr>
            <w:tcW w:w="245" w:type="dxa"/>
            <w:tcBorders>
              <w:top w:val="single" w:sz="4" w:space="0" w:color="auto"/>
              <w:left w:val="none" w:sz="4" w:space="0" w:color="000000"/>
              <w:bottom w:val="none" w:sz="4" w:space="0" w:color="000000"/>
              <w:right w:val="none" w:sz="4" w:space="0" w:color="000000"/>
            </w:tcBorders>
            <w:shd w:val="clear" w:color="auto" w:fill="auto"/>
            <w:noWrap/>
            <w:tcMar>
              <w:left w:w="28" w:type="dxa"/>
            </w:tcMar>
            <w:vAlign w:val="bottom"/>
          </w:tcPr>
          <w:p w14:paraId="56F2CE12"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R</w:t>
            </w:r>
          </w:p>
        </w:tc>
        <w:tc>
          <w:tcPr>
            <w:tcW w:w="702" w:type="dxa"/>
            <w:tcBorders>
              <w:top w:val="single" w:sz="4" w:space="0" w:color="auto"/>
              <w:left w:val="none" w:sz="4" w:space="0" w:color="000000"/>
              <w:bottom w:val="none" w:sz="4" w:space="0" w:color="000000"/>
              <w:right w:val="none" w:sz="4" w:space="0" w:color="000000"/>
            </w:tcBorders>
            <w:shd w:val="clear" w:color="auto" w:fill="auto"/>
            <w:noWrap/>
            <w:tcMar>
              <w:left w:w="28" w:type="dxa"/>
            </w:tcMar>
            <w:vAlign w:val="bottom"/>
          </w:tcPr>
          <w:p w14:paraId="3BD85C62"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0.33</w:t>
            </w:r>
          </w:p>
        </w:tc>
        <w:tc>
          <w:tcPr>
            <w:tcW w:w="815" w:type="dxa"/>
            <w:tcBorders>
              <w:top w:val="single" w:sz="4" w:space="0" w:color="auto"/>
              <w:left w:val="none" w:sz="4" w:space="0" w:color="000000"/>
              <w:bottom w:val="none" w:sz="4" w:space="0" w:color="000000"/>
              <w:right w:val="none" w:sz="4" w:space="0" w:color="000000"/>
            </w:tcBorders>
            <w:shd w:val="clear" w:color="auto" w:fill="auto"/>
            <w:noWrap/>
            <w:tcMar>
              <w:left w:w="28" w:type="dxa"/>
            </w:tcMar>
            <w:vAlign w:val="bottom"/>
          </w:tcPr>
          <w:p w14:paraId="765CFF41"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0.64</w:t>
            </w:r>
          </w:p>
        </w:tc>
        <w:tc>
          <w:tcPr>
            <w:tcW w:w="834" w:type="dxa"/>
            <w:tcBorders>
              <w:top w:val="single" w:sz="4" w:space="0" w:color="auto"/>
              <w:left w:val="none" w:sz="4" w:space="0" w:color="000000"/>
              <w:bottom w:val="none" w:sz="4" w:space="0" w:color="000000"/>
              <w:right w:val="none" w:sz="4" w:space="0" w:color="000000"/>
            </w:tcBorders>
            <w:shd w:val="clear" w:color="auto" w:fill="auto"/>
            <w:noWrap/>
            <w:tcMar>
              <w:left w:w="28" w:type="dxa"/>
            </w:tcMar>
            <w:vAlign w:val="bottom"/>
          </w:tcPr>
          <w:p w14:paraId="68B950C7"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0.73</w:t>
            </w:r>
          </w:p>
        </w:tc>
        <w:tc>
          <w:tcPr>
            <w:tcW w:w="835" w:type="dxa"/>
            <w:tcBorders>
              <w:top w:val="single" w:sz="4" w:space="0" w:color="auto"/>
              <w:left w:val="none" w:sz="4" w:space="0" w:color="000000"/>
              <w:bottom w:val="none" w:sz="4" w:space="0" w:color="000000"/>
              <w:right w:val="none" w:sz="4" w:space="0" w:color="000000"/>
            </w:tcBorders>
            <w:shd w:val="clear" w:color="auto" w:fill="auto"/>
            <w:noWrap/>
            <w:tcMar>
              <w:left w:w="28" w:type="dxa"/>
            </w:tcMar>
            <w:vAlign w:val="bottom"/>
          </w:tcPr>
          <w:p w14:paraId="285CDF5A"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0.47</w:t>
            </w:r>
          </w:p>
        </w:tc>
        <w:tc>
          <w:tcPr>
            <w:tcW w:w="697" w:type="dxa"/>
            <w:tcBorders>
              <w:top w:val="single" w:sz="4" w:space="0" w:color="auto"/>
              <w:left w:val="none" w:sz="4" w:space="0" w:color="000000"/>
              <w:bottom w:val="none" w:sz="4" w:space="0" w:color="000000"/>
              <w:right w:val="none" w:sz="4" w:space="0" w:color="000000"/>
            </w:tcBorders>
            <w:shd w:val="clear" w:color="auto" w:fill="auto"/>
            <w:noWrap/>
            <w:tcMar>
              <w:left w:w="28" w:type="dxa"/>
            </w:tcMar>
            <w:vAlign w:val="bottom"/>
          </w:tcPr>
          <w:p w14:paraId="0DF1393E"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0.70</w:t>
            </w:r>
          </w:p>
        </w:tc>
      </w:tr>
      <w:tr w:rsidR="00E379A3" w14:paraId="45833562" w14:textId="77777777" w:rsidTr="00EB2BBB">
        <w:trPr>
          <w:trHeight w:val="348"/>
        </w:trPr>
        <w:tc>
          <w:tcPr>
            <w:tcW w:w="545" w:type="dxa"/>
            <w:vMerge/>
            <w:tcBorders>
              <w:left w:val="none" w:sz="4" w:space="0" w:color="000000"/>
              <w:right w:val="none" w:sz="4" w:space="0" w:color="000000"/>
            </w:tcBorders>
            <w:vAlign w:val="center"/>
          </w:tcPr>
          <w:p w14:paraId="4918B790" w14:textId="77777777" w:rsidR="00E379A3" w:rsidRDefault="00E379A3" w:rsidP="00EB2BBB">
            <w:pPr>
              <w:rPr>
                <w:rFonts w:ascii="Calibri" w:hAnsi="Calibri" w:cs="Calibri"/>
                <w:i/>
                <w:iCs/>
                <w:color w:val="000000"/>
                <w:sz w:val="20"/>
                <w:szCs w:val="20"/>
              </w:rPr>
            </w:pPr>
          </w:p>
        </w:tc>
        <w:tc>
          <w:tcPr>
            <w:tcW w:w="473" w:type="dxa"/>
            <w:vMerge/>
            <w:tcBorders>
              <w:left w:val="none" w:sz="4" w:space="0" w:color="000000"/>
              <w:bottom w:val="none" w:sz="4" w:space="0" w:color="000000"/>
              <w:right w:val="none" w:sz="4" w:space="0" w:color="000000"/>
            </w:tcBorders>
            <w:vAlign w:val="center"/>
          </w:tcPr>
          <w:p w14:paraId="5446FBE2" w14:textId="77777777" w:rsidR="00E379A3" w:rsidRDefault="00E379A3" w:rsidP="00EB2BBB">
            <w:pPr>
              <w:jc w:val="center"/>
              <w:rPr>
                <w:rFonts w:ascii="Calibri" w:hAnsi="Calibri" w:cs="Calibri"/>
                <w:color w:val="000000"/>
                <w:sz w:val="20"/>
                <w:szCs w:val="20"/>
              </w:rPr>
            </w:pPr>
          </w:p>
        </w:tc>
        <w:tc>
          <w:tcPr>
            <w:tcW w:w="24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4239EE82"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p</w:t>
            </w:r>
          </w:p>
        </w:tc>
        <w:tc>
          <w:tcPr>
            <w:tcW w:w="702"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437FD029"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0.058</w:t>
            </w:r>
          </w:p>
        </w:tc>
        <w:tc>
          <w:tcPr>
            <w:tcW w:w="81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1961940E" w14:textId="77777777" w:rsidR="00E379A3" w:rsidRDefault="00EA2DAB" w:rsidP="00EB2BBB">
            <w:pPr>
              <w:rPr>
                <w:rFonts w:ascii="Calibri" w:hAnsi="Calibri" w:cs="Calibri"/>
                <w:color w:val="000000"/>
                <w:sz w:val="20"/>
                <w:szCs w:val="20"/>
              </w:rPr>
            </w:pPr>
            <w:r>
              <w:rPr>
                <w:rFonts w:ascii="Calibri" w:hAnsi="Calibri" w:cs="Calibri"/>
                <w:b/>
                <w:bCs/>
                <w:color w:val="000000"/>
                <w:sz w:val="20"/>
                <w:szCs w:val="20"/>
              </w:rPr>
              <w:t>5e-05</w:t>
            </w:r>
          </w:p>
        </w:tc>
        <w:tc>
          <w:tcPr>
            <w:tcW w:w="834"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4F79AAC9" w14:textId="77777777" w:rsidR="00E379A3" w:rsidRDefault="00EA2DAB" w:rsidP="00EB2BBB">
            <w:pPr>
              <w:rPr>
                <w:rFonts w:ascii="Calibri" w:hAnsi="Calibri" w:cs="Calibri"/>
                <w:color w:val="000000"/>
                <w:sz w:val="20"/>
                <w:szCs w:val="20"/>
              </w:rPr>
            </w:pPr>
            <w:r>
              <w:rPr>
                <w:rFonts w:ascii="Calibri" w:hAnsi="Calibri" w:cs="Calibri"/>
                <w:b/>
                <w:bCs/>
                <w:color w:val="000000"/>
                <w:sz w:val="20"/>
                <w:szCs w:val="20"/>
              </w:rPr>
              <w:t>1e-06</w:t>
            </w:r>
          </w:p>
        </w:tc>
        <w:tc>
          <w:tcPr>
            <w:tcW w:w="83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0999C8B9" w14:textId="77777777" w:rsidR="00E379A3" w:rsidRDefault="00EA2DAB" w:rsidP="00EB2BBB">
            <w:pPr>
              <w:rPr>
                <w:rFonts w:ascii="Calibri" w:hAnsi="Calibri" w:cs="Calibri"/>
                <w:color w:val="000000"/>
                <w:sz w:val="20"/>
                <w:szCs w:val="20"/>
              </w:rPr>
            </w:pPr>
            <w:r>
              <w:rPr>
                <w:rFonts w:ascii="Calibri" w:hAnsi="Calibri" w:cs="Calibri"/>
                <w:b/>
                <w:bCs/>
                <w:color w:val="000000"/>
                <w:sz w:val="20"/>
                <w:szCs w:val="20"/>
              </w:rPr>
              <w:t>0.0046</w:t>
            </w:r>
          </w:p>
        </w:tc>
        <w:tc>
          <w:tcPr>
            <w:tcW w:w="697"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6BB623AB" w14:textId="77777777" w:rsidR="00E379A3" w:rsidRDefault="00EA2DAB" w:rsidP="00EB2BBB">
            <w:pPr>
              <w:rPr>
                <w:rFonts w:ascii="Calibri" w:hAnsi="Calibri" w:cs="Calibri"/>
                <w:color w:val="000000"/>
                <w:sz w:val="20"/>
                <w:szCs w:val="20"/>
              </w:rPr>
            </w:pPr>
            <w:r>
              <w:rPr>
                <w:rFonts w:ascii="Calibri" w:hAnsi="Calibri" w:cs="Calibri"/>
                <w:b/>
                <w:bCs/>
                <w:color w:val="000000"/>
                <w:sz w:val="20"/>
                <w:szCs w:val="20"/>
              </w:rPr>
              <w:t>5e-06</w:t>
            </w:r>
          </w:p>
        </w:tc>
      </w:tr>
      <w:tr w:rsidR="00E379A3" w14:paraId="60F96CD7" w14:textId="77777777" w:rsidTr="00EB2BBB">
        <w:trPr>
          <w:trHeight w:val="244"/>
        </w:trPr>
        <w:tc>
          <w:tcPr>
            <w:tcW w:w="545" w:type="dxa"/>
            <w:vMerge/>
            <w:tcBorders>
              <w:left w:val="none" w:sz="4" w:space="0" w:color="000000"/>
              <w:right w:val="none" w:sz="4" w:space="0" w:color="000000"/>
            </w:tcBorders>
            <w:vAlign w:val="center"/>
          </w:tcPr>
          <w:p w14:paraId="55A3B768" w14:textId="77777777" w:rsidR="00E379A3" w:rsidRDefault="00E379A3" w:rsidP="00EB2BBB">
            <w:pPr>
              <w:rPr>
                <w:rFonts w:ascii="Calibri" w:hAnsi="Calibri" w:cs="Calibri"/>
                <w:i/>
                <w:iCs/>
                <w:color w:val="000000"/>
                <w:sz w:val="20"/>
                <w:szCs w:val="20"/>
              </w:rPr>
            </w:pPr>
          </w:p>
        </w:tc>
        <w:tc>
          <w:tcPr>
            <w:tcW w:w="473" w:type="dxa"/>
            <w:vMerge w:val="restart"/>
            <w:tcBorders>
              <w:top w:val="none" w:sz="4" w:space="0" w:color="000000"/>
              <w:left w:val="none" w:sz="4" w:space="0" w:color="000000"/>
              <w:right w:val="none" w:sz="4" w:space="0" w:color="000000"/>
            </w:tcBorders>
            <w:textDirection w:val="btLr"/>
            <w:vAlign w:val="center"/>
          </w:tcPr>
          <w:p w14:paraId="04C00393"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V-V</w:t>
            </w:r>
          </w:p>
        </w:tc>
        <w:tc>
          <w:tcPr>
            <w:tcW w:w="24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5555DC5E"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R</w:t>
            </w:r>
          </w:p>
        </w:tc>
        <w:tc>
          <w:tcPr>
            <w:tcW w:w="702"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59F3E44E" w14:textId="77777777" w:rsidR="00E379A3" w:rsidRDefault="00EA2DAB" w:rsidP="00EB2BBB">
            <w:pPr>
              <w:rPr>
                <w:rFonts w:ascii="Calibri" w:hAnsi="Calibri" w:cs="Calibri"/>
                <w:b/>
                <w:bCs/>
                <w:color w:val="000000"/>
                <w:sz w:val="20"/>
                <w:szCs w:val="20"/>
              </w:rPr>
            </w:pPr>
            <w:r>
              <w:rPr>
                <w:rFonts w:ascii="Calibri" w:hAnsi="Calibri" w:cs="Calibri"/>
                <w:color w:val="000000"/>
                <w:sz w:val="20"/>
                <w:szCs w:val="20"/>
              </w:rPr>
              <w:t>0.65</w:t>
            </w:r>
          </w:p>
        </w:tc>
        <w:tc>
          <w:tcPr>
            <w:tcW w:w="81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7C8A5C39" w14:textId="77777777" w:rsidR="00E379A3" w:rsidRDefault="00EA2DAB" w:rsidP="00EB2BBB">
            <w:pPr>
              <w:rPr>
                <w:rFonts w:ascii="Calibri" w:hAnsi="Calibri" w:cs="Calibri"/>
                <w:b/>
                <w:bCs/>
                <w:color w:val="000000"/>
                <w:sz w:val="20"/>
                <w:szCs w:val="20"/>
              </w:rPr>
            </w:pPr>
            <w:r>
              <w:rPr>
                <w:rFonts w:ascii="Calibri" w:hAnsi="Calibri" w:cs="Calibri"/>
                <w:color w:val="000000"/>
                <w:sz w:val="20"/>
                <w:szCs w:val="20"/>
              </w:rPr>
              <w:t>0.79</w:t>
            </w:r>
          </w:p>
        </w:tc>
        <w:tc>
          <w:tcPr>
            <w:tcW w:w="834"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6300F961" w14:textId="77777777" w:rsidR="00E379A3" w:rsidRDefault="00EA2DAB" w:rsidP="00EB2BBB">
            <w:pPr>
              <w:rPr>
                <w:rFonts w:ascii="Calibri" w:hAnsi="Calibri" w:cs="Calibri"/>
                <w:b/>
                <w:bCs/>
                <w:color w:val="000000"/>
                <w:sz w:val="20"/>
                <w:szCs w:val="20"/>
              </w:rPr>
            </w:pPr>
            <w:r>
              <w:rPr>
                <w:rFonts w:ascii="Calibri" w:hAnsi="Calibri" w:cs="Calibri"/>
                <w:color w:val="000000"/>
                <w:sz w:val="20"/>
                <w:szCs w:val="20"/>
              </w:rPr>
              <w:t>0.86</w:t>
            </w:r>
          </w:p>
        </w:tc>
        <w:tc>
          <w:tcPr>
            <w:tcW w:w="83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376BF60D" w14:textId="77777777" w:rsidR="00E379A3" w:rsidRDefault="00EA2DAB" w:rsidP="00EB2BBB">
            <w:pPr>
              <w:rPr>
                <w:rFonts w:ascii="Calibri" w:hAnsi="Calibri" w:cs="Calibri"/>
                <w:b/>
                <w:bCs/>
                <w:color w:val="000000"/>
                <w:sz w:val="20"/>
                <w:szCs w:val="20"/>
              </w:rPr>
            </w:pPr>
            <w:r>
              <w:rPr>
                <w:rFonts w:ascii="Calibri" w:hAnsi="Calibri" w:cs="Calibri"/>
                <w:color w:val="000000"/>
                <w:sz w:val="20"/>
                <w:szCs w:val="20"/>
              </w:rPr>
              <w:t>0.80</w:t>
            </w:r>
          </w:p>
        </w:tc>
        <w:tc>
          <w:tcPr>
            <w:tcW w:w="697"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43CB1535" w14:textId="77777777" w:rsidR="00E379A3" w:rsidRDefault="00EA2DAB" w:rsidP="00EB2BBB">
            <w:pPr>
              <w:rPr>
                <w:rFonts w:ascii="Calibri" w:hAnsi="Calibri" w:cs="Calibri"/>
                <w:b/>
                <w:bCs/>
                <w:color w:val="000000"/>
                <w:sz w:val="20"/>
                <w:szCs w:val="20"/>
              </w:rPr>
            </w:pPr>
            <w:r>
              <w:rPr>
                <w:rFonts w:ascii="Calibri" w:hAnsi="Calibri" w:cs="Calibri"/>
                <w:color w:val="000000"/>
                <w:sz w:val="20"/>
                <w:szCs w:val="20"/>
              </w:rPr>
              <w:t>0.86</w:t>
            </w:r>
          </w:p>
        </w:tc>
      </w:tr>
      <w:tr w:rsidR="00E379A3" w14:paraId="1C553085" w14:textId="77777777" w:rsidTr="00EB2BBB">
        <w:trPr>
          <w:trHeight w:val="328"/>
        </w:trPr>
        <w:tc>
          <w:tcPr>
            <w:tcW w:w="545" w:type="dxa"/>
            <w:vMerge/>
            <w:tcBorders>
              <w:left w:val="none" w:sz="4" w:space="0" w:color="000000"/>
              <w:right w:val="none" w:sz="4" w:space="0" w:color="000000"/>
            </w:tcBorders>
            <w:vAlign w:val="center"/>
          </w:tcPr>
          <w:p w14:paraId="5BD16519" w14:textId="77777777" w:rsidR="00E379A3" w:rsidRDefault="00E379A3" w:rsidP="00EB2BBB">
            <w:pPr>
              <w:rPr>
                <w:rFonts w:ascii="Calibri" w:hAnsi="Calibri" w:cs="Calibri"/>
                <w:i/>
                <w:iCs/>
                <w:color w:val="000000"/>
                <w:sz w:val="20"/>
                <w:szCs w:val="20"/>
              </w:rPr>
            </w:pPr>
          </w:p>
        </w:tc>
        <w:tc>
          <w:tcPr>
            <w:tcW w:w="473" w:type="dxa"/>
            <w:vMerge/>
            <w:tcBorders>
              <w:left w:val="none" w:sz="4" w:space="0" w:color="000000"/>
              <w:bottom w:val="none" w:sz="4" w:space="0" w:color="000000"/>
              <w:right w:val="none" w:sz="4" w:space="0" w:color="000000"/>
            </w:tcBorders>
            <w:vAlign w:val="center"/>
          </w:tcPr>
          <w:p w14:paraId="0B2046A1" w14:textId="77777777" w:rsidR="00E379A3" w:rsidRDefault="00E379A3" w:rsidP="00EB2BBB">
            <w:pPr>
              <w:jc w:val="center"/>
              <w:rPr>
                <w:rFonts w:ascii="Calibri" w:hAnsi="Calibri" w:cs="Calibri"/>
                <w:color w:val="000000"/>
                <w:sz w:val="20"/>
                <w:szCs w:val="20"/>
              </w:rPr>
            </w:pPr>
          </w:p>
        </w:tc>
        <w:tc>
          <w:tcPr>
            <w:tcW w:w="24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70423A18"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p</w:t>
            </w:r>
          </w:p>
        </w:tc>
        <w:tc>
          <w:tcPr>
            <w:tcW w:w="702"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37BB9FFB" w14:textId="77777777" w:rsidR="00E379A3" w:rsidRDefault="00EA2DAB" w:rsidP="00EB2BBB">
            <w:pPr>
              <w:rPr>
                <w:rFonts w:ascii="Calibri" w:hAnsi="Calibri" w:cs="Calibri"/>
                <w:color w:val="000000"/>
                <w:sz w:val="20"/>
                <w:szCs w:val="20"/>
              </w:rPr>
            </w:pPr>
            <w:r>
              <w:rPr>
                <w:rFonts w:ascii="Calibri" w:hAnsi="Calibri" w:cs="Calibri"/>
                <w:b/>
                <w:bCs/>
                <w:color w:val="000000"/>
                <w:sz w:val="20"/>
                <w:szCs w:val="20"/>
              </w:rPr>
              <w:t>4e-05</w:t>
            </w:r>
          </w:p>
        </w:tc>
        <w:tc>
          <w:tcPr>
            <w:tcW w:w="81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33F5445D" w14:textId="77777777" w:rsidR="00E379A3" w:rsidRDefault="00EA2DAB" w:rsidP="00EB2BBB">
            <w:pPr>
              <w:rPr>
                <w:rFonts w:ascii="Calibri" w:hAnsi="Calibri" w:cs="Calibri"/>
                <w:color w:val="000000"/>
                <w:sz w:val="20"/>
                <w:szCs w:val="20"/>
              </w:rPr>
            </w:pPr>
            <w:r>
              <w:rPr>
                <w:rFonts w:ascii="Calibri" w:hAnsi="Calibri" w:cs="Calibri"/>
                <w:b/>
                <w:bCs/>
                <w:color w:val="000000"/>
                <w:sz w:val="20"/>
                <w:szCs w:val="20"/>
              </w:rPr>
              <w:t>3e-08</w:t>
            </w:r>
          </w:p>
        </w:tc>
        <w:tc>
          <w:tcPr>
            <w:tcW w:w="834"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634C7801" w14:textId="77777777" w:rsidR="00E379A3" w:rsidRDefault="00EA2DAB" w:rsidP="00EB2BBB">
            <w:pPr>
              <w:rPr>
                <w:rFonts w:ascii="Calibri" w:hAnsi="Calibri" w:cs="Calibri"/>
                <w:color w:val="000000"/>
                <w:sz w:val="20"/>
                <w:szCs w:val="20"/>
              </w:rPr>
            </w:pPr>
            <w:r>
              <w:rPr>
                <w:rFonts w:ascii="Calibri" w:hAnsi="Calibri" w:cs="Calibri"/>
                <w:b/>
                <w:bCs/>
                <w:color w:val="000000"/>
                <w:sz w:val="20"/>
                <w:szCs w:val="20"/>
              </w:rPr>
              <w:t>8e-11</w:t>
            </w:r>
          </w:p>
        </w:tc>
        <w:tc>
          <w:tcPr>
            <w:tcW w:w="83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07A49E80" w14:textId="77777777" w:rsidR="00E379A3" w:rsidRDefault="00EA2DAB" w:rsidP="00EB2BBB">
            <w:pPr>
              <w:rPr>
                <w:rFonts w:ascii="Calibri" w:hAnsi="Calibri" w:cs="Calibri"/>
                <w:color w:val="000000"/>
                <w:sz w:val="20"/>
                <w:szCs w:val="20"/>
              </w:rPr>
            </w:pPr>
            <w:r>
              <w:rPr>
                <w:rFonts w:ascii="Calibri" w:hAnsi="Calibri" w:cs="Calibri"/>
                <w:b/>
                <w:bCs/>
                <w:color w:val="000000"/>
                <w:sz w:val="20"/>
                <w:szCs w:val="20"/>
              </w:rPr>
              <w:t>2e-08</w:t>
            </w:r>
          </w:p>
        </w:tc>
        <w:tc>
          <w:tcPr>
            <w:tcW w:w="697"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516149B3" w14:textId="77777777" w:rsidR="00E379A3" w:rsidRDefault="00EA2DAB" w:rsidP="00EB2BBB">
            <w:pPr>
              <w:rPr>
                <w:rFonts w:ascii="Calibri" w:hAnsi="Calibri" w:cs="Calibri"/>
                <w:color w:val="000000"/>
                <w:sz w:val="20"/>
                <w:szCs w:val="20"/>
              </w:rPr>
            </w:pPr>
            <w:r>
              <w:rPr>
                <w:rFonts w:ascii="Calibri" w:hAnsi="Calibri" w:cs="Calibri"/>
                <w:b/>
                <w:bCs/>
                <w:color w:val="000000"/>
                <w:sz w:val="20"/>
                <w:szCs w:val="20"/>
              </w:rPr>
              <w:t>4e-11</w:t>
            </w:r>
          </w:p>
        </w:tc>
      </w:tr>
      <w:tr w:rsidR="00E379A3" w14:paraId="0CE91D85" w14:textId="77777777" w:rsidTr="00EB2BBB">
        <w:trPr>
          <w:trHeight w:val="244"/>
        </w:trPr>
        <w:tc>
          <w:tcPr>
            <w:tcW w:w="545" w:type="dxa"/>
            <w:vMerge/>
            <w:tcBorders>
              <w:left w:val="none" w:sz="4" w:space="0" w:color="000000"/>
              <w:right w:val="none" w:sz="4" w:space="0" w:color="000000"/>
            </w:tcBorders>
            <w:vAlign w:val="center"/>
          </w:tcPr>
          <w:p w14:paraId="0B3325A7" w14:textId="77777777" w:rsidR="00E379A3" w:rsidRDefault="00E379A3" w:rsidP="00EB2BBB">
            <w:pPr>
              <w:rPr>
                <w:rFonts w:ascii="Calibri" w:hAnsi="Calibri" w:cs="Calibri"/>
                <w:i/>
                <w:iCs/>
                <w:color w:val="000000"/>
                <w:sz w:val="20"/>
                <w:szCs w:val="20"/>
              </w:rPr>
            </w:pPr>
          </w:p>
        </w:tc>
        <w:tc>
          <w:tcPr>
            <w:tcW w:w="473" w:type="dxa"/>
            <w:vMerge w:val="restart"/>
            <w:tcBorders>
              <w:top w:val="none" w:sz="4" w:space="0" w:color="000000"/>
              <w:left w:val="none" w:sz="4" w:space="0" w:color="000000"/>
              <w:right w:val="none" w:sz="4" w:space="0" w:color="000000"/>
            </w:tcBorders>
            <w:textDirection w:val="btLr"/>
            <w:vAlign w:val="center"/>
          </w:tcPr>
          <w:p w14:paraId="44382826"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P-P</w:t>
            </w:r>
          </w:p>
        </w:tc>
        <w:tc>
          <w:tcPr>
            <w:tcW w:w="24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39690149"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R</w:t>
            </w:r>
          </w:p>
        </w:tc>
        <w:tc>
          <w:tcPr>
            <w:tcW w:w="702"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0C63324D" w14:textId="77777777" w:rsidR="00E379A3" w:rsidRDefault="00EA2DAB" w:rsidP="00EB2BBB">
            <w:pPr>
              <w:rPr>
                <w:rFonts w:ascii="Calibri" w:hAnsi="Calibri" w:cs="Calibri"/>
                <w:b/>
                <w:bCs/>
                <w:color w:val="000000"/>
                <w:sz w:val="20"/>
                <w:szCs w:val="20"/>
              </w:rPr>
            </w:pPr>
            <w:r>
              <w:rPr>
                <w:rFonts w:ascii="Calibri" w:hAnsi="Calibri" w:cs="Calibri"/>
                <w:color w:val="000000"/>
                <w:sz w:val="20"/>
                <w:szCs w:val="20"/>
              </w:rPr>
              <w:t>0.41</w:t>
            </w:r>
          </w:p>
        </w:tc>
        <w:tc>
          <w:tcPr>
            <w:tcW w:w="81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548D7336" w14:textId="77777777" w:rsidR="00E379A3" w:rsidRDefault="00EA2DAB" w:rsidP="00EB2BBB">
            <w:pPr>
              <w:rPr>
                <w:rFonts w:ascii="Calibri" w:hAnsi="Calibri" w:cs="Calibri"/>
                <w:b/>
                <w:bCs/>
                <w:color w:val="000000"/>
                <w:sz w:val="20"/>
                <w:szCs w:val="20"/>
              </w:rPr>
            </w:pPr>
            <w:r>
              <w:rPr>
                <w:rFonts w:ascii="Calibri" w:hAnsi="Calibri" w:cs="Calibri"/>
                <w:color w:val="000000"/>
                <w:sz w:val="20"/>
                <w:szCs w:val="20"/>
              </w:rPr>
              <w:t>0.11</w:t>
            </w:r>
          </w:p>
        </w:tc>
        <w:tc>
          <w:tcPr>
            <w:tcW w:w="834"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5189C425" w14:textId="77777777" w:rsidR="00E379A3" w:rsidRDefault="00EA2DAB" w:rsidP="00EB2BBB">
            <w:pPr>
              <w:rPr>
                <w:rFonts w:ascii="Calibri" w:hAnsi="Calibri" w:cs="Calibri"/>
                <w:b/>
                <w:bCs/>
                <w:color w:val="000000"/>
                <w:sz w:val="20"/>
                <w:szCs w:val="20"/>
              </w:rPr>
            </w:pPr>
            <w:r>
              <w:rPr>
                <w:rFonts w:ascii="Calibri" w:hAnsi="Calibri" w:cs="Calibri"/>
                <w:color w:val="000000"/>
                <w:sz w:val="20"/>
                <w:szCs w:val="20"/>
              </w:rPr>
              <w:t>0.29</w:t>
            </w:r>
          </w:p>
        </w:tc>
        <w:tc>
          <w:tcPr>
            <w:tcW w:w="835"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2D369E01" w14:textId="77777777" w:rsidR="00E379A3" w:rsidRDefault="00EA2DAB" w:rsidP="00EB2BBB">
            <w:pPr>
              <w:rPr>
                <w:rFonts w:ascii="Calibri" w:hAnsi="Calibri" w:cs="Calibri"/>
                <w:b/>
                <w:bCs/>
                <w:color w:val="000000"/>
                <w:sz w:val="20"/>
                <w:szCs w:val="20"/>
              </w:rPr>
            </w:pPr>
            <w:r>
              <w:rPr>
                <w:rFonts w:ascii="Calibri" w:hAnsi="Calibri" w:cs="Calibri"/>
                <w:color w:val="000000"/>
                <w:sz w:val="20"/>
                <w:szCs w:val="20"/>
              </w:rPr>
              <w:t>0.35</w:t>
            </w:r>
          </w:p>
        </w:tc>
        <w:tc>
          <w:tcPr>
            <w:tcW w:w="697" w:type="dxa"/>
            <w:tcBorders>
              <w:top w:val="none" w:sz="4" w:space="0" w:color="000000"/>
              <w:left w:val="none" w:sz="4" w:space="0" w:color="000000"/>
              <w:bottom w:val="none" w:sz="4" w:space="0" w:color="000000"/>
              <w:right w:val="none" w:sz="4" w:space="0" w:color="000000"/>
            </w:tcBorders>
            <w:shd w:val="clear" w:color="auto" w:fill="auto"/>
            <w:noWrap/>
            <w:tcMar>
              <w:left w:w="28" w:type="dxa"/>
            </w:tcMar>
            <w:vAlign w:val="bottom"/>
          </w:tcPr>
          <w:p w14:paraId="235848AF" w14:textId="77777777" w:rsidR="00E379A3" w:rsidRDefault="00EA2DAB" w:rsidP="00EB2BBB">
            <w:pPr>
              <w:rPr>
                <w:rFonts w:ascii="Calibri" w:hAnsi="Calibri" w:cs="Calibri"/>
                <w:b/>
                <w:bCs/>
                <w:color w:val="000000"/>
                <w:sz w:val="20"/>
                <w:szCs w:val="20"/>
              </w:rPr>
            </w:pPr>
            <w:r>
              <w:rPr>
                <w:rFonts w:ascii="Calibri" w:hAnsi="Calibri" w:cs="Calibri"/>
                <w:color w:val="000000"/>
                <w:sz w:val="20"/>
                <w:szCs w:val="20"/>
              </w:rPr>
              <w:t>0.59</w:t>
            </w:r>
          </w:p>
        </w:tc>
      </w:tr>
      <w:tr w:rsidR="00E379A3" w14:paraId="4AC4759D" w14:textId="77777777" w:rsidTr="00EB2BBB">
        <w:trPr>
          <w:trHeight w:val="74"/>
        </w:trPr>
        <w:tc>
          <w:tcPr>
            <w:tcW w:w="545" w:type="dxa"/>
            <w:vMerge/>
            <w:tcBorders>
              <w:left w:val="none" w:sz="4" w:space="0" w:color="000000"/>
              <w:bottom w:val="none" w:sz="4" w:space="0" w:color="000000"/>
              <w:right w:val="none" w:sz="4" w:space="0" w:color="000000"/>
            </w:tcBorders>
            <w:vAlign w:val="center"/>
          </w:tcPr>
          <w:p w14:paraId="661E36C7" w14:textId="77777777" w:rsidR="00E379A3" w:rsidRDefault="00E379A3" w:rsidP="00EB2BBB">
            <w:pPr>
              <w:rPr>
                <w:rFonts w:ascii="Calibri" w:hAnsi="Calibri" w:cs="Calibri"/>
                <w:i/>
                <w:iCs/>
                <w:color w:val="000000"/>
                <w:sz w:val="20"/>
                <w:szCs w:val="20"/>
              </w:rPr>
            </w:pPr>
          </w:p>
        </w:tc>
        <w:tc>
          <w:tcPr>
            <w:tcW w:w="473" w:type="dxa"/>
            <w:vMerge/>
            <w:tcBorders>
              <w:left w:val="none" w:sz="4" w:space="0" w:color="000000"/>
              <w:bottom w:val="none" w:sz="4" w:space="0" w:color="000000"/>
              <w:right w:val="none" w:sz="4" w:space="0" w:color="000000"/>
            </w:tcBorders>
          </w:tcPr>
          <w:p w14:paraId="30286ABA" w14:textId="77777777" w:rsidR="00E379A3" w:rsidRDefault="00E379A3" w:rsidP="00EB2BBB">
            <w:pPr>
              <w:rPr>
                <w:rFonts w:ascii="Calibri" w:hAnsi="Calibri" w:cs="Calibri"/>
                <w:color w:val="000000"/>
                <w:sz w:val="20"/>
                <w:szCs w:val="20"/>
              </w:rPr>
            </w:pPr>
          </w:p>
        </w:tc>
        <w:tc>
          <w:tcPr>
            <w:tcW w:w="24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199333C5" w14:textId="77777777" w:rsidR="00E379A3" w:rsidRDefault="00EA2DAB" w:rsidP="00EB2BBB">
            <w:pPr>
              <w:jc w:val="center"/>
              <w:rPr>
                <w:rFonts w:ascii="Calibri" w:hAnsi="Calibri" w:cs="Calibri"/>
                <w:color w:val="000000"/>
                <w:sz w:val="20"/>
                <w:szCs w:val="20"/>
              </w:rPr>
            </w:pPr>
            <w:r>
              <w:rPr>
                <w:rFonts w:ascii="Calibri" w:hAnsi="Calibri" w:cs="Calibri"/>
                <w:color w:val="000000"/>
                <w:sz w:val="20"/>
                <w:szCs w:val="20"/>
              </w:rPr>
              <w:t>p</w:t>
            </w:r>
          </w:p>
        </w:tc>
        <w:tc>
          <w:tcPr>
            <w:tcW w:w="702"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3F35CA02" w14:textId="77777777" w:rsidR="00E379A3" w:rsidRDefault="00EA2DAB" w:rsidP="00EB2BBB">
            <w:pPr>
              <w:rPr>
                <w:rFonts w:ascii="Calibri" w:hAnsi="Calibri" w:cs="Calibri"/>
                <w:color w:val="000000"/>
                <w:sz w:val="20"/>
                <w:szCs w:val="20"/>
              </w:rPr>
            </w:pPr>
            <w:r>
              <w:rPr>
                <w:rFonts w:ascii="Calibri" w:hAnsi="Calibri" w:cs="Calibri"/>
                <w:b/>
                <w:bCs/>
                <w:color w:val="000000"/>
                <w:sz w:val="20"/>
                <w:szCs w:val="20"/>
              </w:rPr>
              <w:t>0.016</w:t>
            </w:r>
          </w:p>
        </w:tc>
        <w:tc>
          <w:tcPr>
            <w:tcW w:w="81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0D938679"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0.5359</w:t>
            </w:r>
          </w:p>
        </w:tc>
        <w:tc>
          <w:tcPr>
            <w:tcW w:w="834"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6F9A77F7" w14:textId="77777777" w:rsidR="00E379A3" w:rsidRDefault="00EA2DAB" w:rsidP="00EB2BBB">
            <w:pPr>
              <w:rPr>
                <w:rFonts w:ascii="Calibri" w:hAnsi="Calibri" w:cs="Calibri"/>
                <w:color w:val="000000"/>
                <w:sz w:val="20"/>
                <w:szCs w:val="20"/>
              </w:rPr>
            </w:pPr>
            <w:r>
              <w:rPr>
                <w:rFonts w:ascii="Calibri" w:hAnsi="Calibri" w:cs="Calibri"/>
                <w:color w:val="000000"/>
                <w:sz w:val="20"/>
                <w:szCs w:val="20"/>
              </w:rPr>
              <w:t>0.0949</w:t>
            </w:r>
          </w:p>
        </w:tc>
        <w:tc>
          <w:tcPr>
            <w:tcW w:w="835"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13F93EC9" w14:textId="77777777" w:rsidR="00E379A3" w:rsidRDefault="00EA2DAB" w:rsidP="00EB2BBB">
            <w:pPr>
              <w:rPr>
                <w:rFonts w:ascii="Calibri" w:hAnsi="Calibri" w:cs="Calibri"/>
                <w:color w:val="000000"/>
                <w:sz w:val="20"/>
                <w:szCs w:val="20"/>
              </w:rPr>
            </w:pPr>
            <w:r>
              <w:rPr>
                <w:rFonts w:ascii="Calibri" w:hAnsi="Calibri" w:cs="Calibri"/>
                <w:b/>
                <w:bCs/>
                <w:color w:val="000000"/>
                <w:sz w:val="20"/>
                <w:szCs w:val="20"/>
              </w:rPr>
              <w:t>0.0434</w:t>
            </w:r>
          </w:p>
        </w:tc>
        <w:tc>
          <w:tcPr>
            <w:tcW w:w="697" w:type="dxa"/>
            <w:tcBorders>
              <w:top w:val="none" w:sz="4" w:space="0" w:color="000000"/>
              <w:left w:val="none" w:sz="4" w:space="0" w:color="000000"/>
              <w:bottom w:val="none" w:sz="4" w:space="0" w:color="000000"/>
              <w:right w:val="none" w:sz="4" w:space="0" w:color="000000"/>
            </w:tcBorders>
            <w:shd w:val="clear" w:color="auto" w:fill="auto"/>
            <w:noWrap/>
            <w:tcMar>
              <w:left w:w="28" w:type="dxa"/>
            </w:tcMar>
          </w:tcPr>
          <w:p w14:paraId="5BEA68D4" w14:textId="77777777" w:rsidR="00E379A3" w:rsidRDefault="00EA2DAB" w:rsidP="00EB2BBB">
            <w:pPr>
              <w:rPr>
                <w:rFonts w:ascii="Calibri" w:hAnsi="Calibri" w:cs="Calibri"/>
                <w:color w:val="000000"/>
                <w:sz w:val="20"/>
                <w:szCs w:val="20"/>
              </w:rPr>
            </w:pPr>
            <w:r>
              <w:rPr>
                <w:rFonts w:ascii="Calibri" w:hAnsi="Calibri" w:cs="Calibri"/>
                <w:b/>
                <w:bCs/>
                <w:color w:val="000000"/>
                <w:sz w:val="20"/>
                <w:szCs w:val="20"/>
              </w:rPr>
              <w:t>0.0002</w:t>
            </w:r>
          </w:p>
        </w:tc>
      </w:tr>
    </w:tbl>
    <w:p w14:paraId="6DE0F7C0" w14:textId="2BC7D88D" w:rsidR="00E379A3" w:rsidRDefault="00EB2BBB">
      <w:pPr>
        <w:pStyle w:val="Lgende"/>
        <w:rPr>
          <w:rFonts w:asciiTheme="majorHAnsi" w:hAnsiTheme="majorHAnsi" w:cstheme="majorHAnsi"/>
          <w:b/>
          <w:bCs/>
          <w:i w:val="0"/>
          <w:iCs w:val="0"/>
          <w:color w:val="002060"/>
          <w:sz w:val="22"/>
          <w:szCs w:val="22"/>
        </w:rPr>
      </w:pPr>
      <w:r>
        <w:rPr>
          <w:rFonts w:asciiTheme="majorHAnsi" w:hAnsiTheme="majorHAnsi" w:cstheme="majorHAnsi"/>
          <w:b/>
          <w:bCs/>
          <w:i w:val="0"/>
          <w:iCs w:val="0"/>
          <w:color w:val="002060"/>
          <w:sz w:val="22"/>
          <w:szCs w:val="22"/>
        </w:rPr>
        <w:br w:type="textWrapping" w:clear="all"/>
      </w:r>
    </w:p>
    <w:p w14:paraId="00EC288F" w14:textId="72319E9C" w:rsidR="00AA4F0E" w:rsidRPr="00EB2BBB" w:rsidRDefault="00EA2DAB" w:rsidP="00EB2BBB">
      <w:pPr>
        <w:pStyle w:val="Lgende"/>
        <w:rPr>
          <w:rFonts w:asciiTheme="majorHAnsi" w:hAnsiTheme="majorHAnsi" w:cstheme="majorHAnsi"/>
          <w:color w:val="000000" w:themeColor="text1"/>
          <w:sz w:val="22"/>
          <w:szCs w:val="22"/>
        </w:rPr>
      </w:pPr>
      <w:bookmarkStart w:id="1" w:name="_Ref192864594"/>
      <w:r>
        <w:rPr>
          <w:rFonts w:asciiTheme="majorHAnsi" w:hAnsiTheme="majorHAnsi" w:cstheme="majorHAnsi"/>
          <w:b/>
          <w:bCs/>
          <w:i w:val="0"/>
          <w:iCs w:val="0"/>
          <w:color w:val="000000" w:themeColor="text1"/>
          <w:sz w:val="22"/>
          <w:szCs w:val="22"/>
        </w:rPr>
        <w:t>Table S</w:t>
      </w:r>
      <w:r>
        <w:rPr>
          <w:rFonts w:asciiTheme="majorHAnsi" w:hAnsiTheme="majorHAnsi" w:cstheme="majorHAnsi"/>
          <w:b/>
          <w:bCs/>
          <w:i w:val="0"/>
          <w:iCs w:val="0"/>
          <w:color w:val="000000" w:themeColor="text1"/>
          <w:sz w:val="22"/>
          <w:szCs w:val="22"/>
        </w:rPr>
        <w:fldChar w:fldCharType="begin"/>
      </w:r>
      <w:r>
        <w:rPr>
          <w:rFonts w:asciiTheme="majorHAnsi" w:hAnsiTheme="majorHAnsi" w:cstheme="majorHAnsi"/>
          <w:b/>
          <w:bCs/>
          <w:i w:val="0"/>
          <w:iCs w:val="0"/>
          <w:color w:val="000000" w:themeColor="text1"/>
          <w:sz w:val="22"/>
          <w:szCs w:val="22"/>
        </w:rPr>
        <w:instrText xml:space="preserve"> SEQ Table_S \* ARABIC </w:instrText>
      </w:r>
      <w:r>
        <w:rPr>
          <w:rFonts w:asciiTheme="majorHAnsi" w:hAnsiTheme="majorHAnsi" w:cstheme="majorHAnsi"/>
          <w:b/>
          <w:bCs/>
          <w:i w:val="0"/>
          <w:iCs w:val="0"/>
          <w:color w:val="000000" w:themeColor="text1"/>
          <w:sz w:val="22"/>
          <w:szCs w:val="22"/>
        </w:rPr>
        <w:fldChar w:fldCharType="separate"/>
      </w:r>
      <w:r w:rsidR="00646BA2">
        <w:rPr>
          <w:rFonts w:asciiTheme="majorHAnsi" w:hAnsiTheme="majorHAnsi" w:cstheme="majorHAnsi"/>
          <w:b/>
          <w:bCs/>
          <w:i w:val="0"/>
          <w:iCs w:val="0"/>
          <w:noProof/>
          <w:color w:val="000000" w:themeColor="text1"/>
          <w:sz w:val="22"/>
          <w:szCs w:val="22"/>
        </w:rPr>
        <w:t>1</w:t>
      </w:r>
      <w:r>
        <w:rPr>
          <w:rFonts w:asciiTheme="majorHAnsi" w:hAnsiTheme="majorHAnsi" w:cstheme="majorHAnsi"/>
          <w:b/>
          <w:bCs/>
          <w:i w:val="0"/>
          <w:iCs w:val="0"/>
          <w:color w:val="000000" w:themeColor="text1"/>
          <w:sz w:val="22"/>
          <w:szCs w:val="22"/>
        </w:rPr>
        <w:fldChar w:fldCharType="end"/>
      </w:r>
      <w:bookmarkEnd w:id="1"/>
      <w:r>
        <w:rPr>
          <w:rFonts w:asciiTheme="majorHAnsi" w:hAnsiTheme="majorHAnsi" w:cstheme="majorHAnsi"/>
          <w:i w:val="0"/>
          <w:iCs w:val="0"/>
          <w:color w:val="000000" w:themeColor="text1"/>
          <w:sz w:val="22"/>
          <w:szCs w:val="22"/>
        </w:rPr>
        <w:t xml:space="preserve">. Correlation of the individual response variability, MSD, </w:t>
      </w:r>
      <w:r w:rsidR="00EB2BBB">
        <w:rPr>
          <w:rFonts w:asciiTheme="majorHAnsi" w:hAnsiTheme="majorHAnsi" w:cstheme="majorHAnsi"/>
          <w:i w:val="0"/>
          <w:iCs w:val="0"/>
          <w:color w:val="000000" w:themeColor="text1"/>
          <w:sz w:val="22"/>
          <w:szCs w:val="22"/>
        </w:rPr>
        <w:t>total deviation</w:t>
      </w:r>
      <w:r>
        <w:rPr>
          <w:rFonts w:asciiTheme="majorHAnsi" w:hAnsiTheme="majorHAnsi" w:cstheme="majorHAnsi"/>
          <w:i w:val="0"/>
          <w:iCs w:val="0"/>
          <w:color w:val="000000" w:themeColor="text1"/>
          <w:sz w:val="22"/>
          <w:szCs w:val="22"/>
        </w:rPr>
        <w:t xml:space="preserve">, </w:t>
      </w:r>
      <w:proofErr w:type="spellStart"/>
      <w:r w:rsidR="00EB2BBB">
        <w:rPr>
          <w:rFonts w:asciiTheme="majorHAnsi" w:hAnsiTheme="majorHAnsi" w:cstheme="majorHAnsi"/>
          <w:i w:val="0"/>
          <w:iCs w:val="0"/>
          <w:color w:val="000000" w:themeColor="text1"/>
          <w:sz w:val="22"/>
          <w:szCs w:val="22"/>
        </w:rPr>
        <w:t>TDev</w:t>
      </w:r>
      <w:proofErr w:type="spellEnd"/>
      <w:r>
        <w:rPr>
          <w:rFonts w:asciiTheme="majorHAnsi" w:hAnsiTheme="majorHAnsi" w:cstheme="majorHAnsi"/>
          <w:i w:val="0"/>
          <w:iCs w:val="0"/>
          <w:color w:val="000000" w:themeColor="text1"/>
          <w:sz w:val="22"/>
          <w:szCs w:val="22"/>
        </w:rPr>
        <w:t xml:space="preserve">, and visual weight, </w:t>
      </w:r>
      <w:proofErr w:type="spellStart"/>
      <w:r>
        <w:rPr>
          <w:rFonts w:asciiTheme="majorHAnsi" w:hAnsiTheme="majorHAnsi" w:cstheme="majorHAnsi"/>
          <w:i w:val="0"/>
          <w:iCs w:val="0"/>
          <w:color w:val="000000" w:themeColor="text1"/>
          <w:sz w:val="22"/>
          <w:szCs w:val="22"/>
        </w:rPr>
        <w:t>ω</w:t>
      </w:r>
      <w:r>
        <w:rPr>
          <w:rFonts w:asciiTheme="majorHAnsi" w:hAnsiTheme="majorHAnsi" w:cstheme="majorHAnsi"/>
          <w:i w:val="0"/>
          <w:iCs w:val="0"/>
          <w:color w:val="000000" w:themeColor="text1"/>
          <w:sz w:val="22"/>
          <w:szCs w:val="22"/>
          <w:vertAlign w:val="subscript"/>
        </w:rPr>
        <w:t>V</w:t>
      </w:r>
      <w:proofErr w:type="spellEnd"/>
      <w:r>
        <w:rPr>
          <w:rFonts w:asciiTheme="majorHAnsi" w:hAnsiTheme="majorHAnsi" w:cstheme="majorHAnsi"/>
          <w:i w:val="0"/>
          <w:iCs w:val="0"/>
          <w:color w:val="000000" w:themeColor="text1"/>
          <w:sz w:val="22"/>
          <w:szCs w:val="22"/>
        </w:rPr>
        <w:t xml:space="preserve">, between consecutive experimental sessions for each of the three sensory conditions, V-P, V-V and P-P. Bolded fonts indicate significant correlations. </w:t>
      </w:r>
    </w:p>
    <w:p w14:paraId="21B384E2" w14:textId="0ACB21C2" w:rsidR="00AA4F0E" w:rsidRDefault="00EB2BBB" w:rsidP="00EB2BBB">
      <w:pPr>
        <w:spacing w:before="0"/>
      </w:pPr>
      <w:r>
        <w:br w:type="page"/>
      </w:r>
    </w:p>
    <w:tbl>
      <w:tblPr>
        <w:tblW w:w="9559" w:type="dxa"/>
        <w:tblLook w:val="04A0" w:firstRow="1" w:lastRow="0" w:firstColumn="1" w:lastColumn="0" w:noHBand="0" w:noVBand="1"/>
      </w:tblPr>
      <w:tblGrid>
        <w:gridCol w:w="799"/>
        <w:gridCol w:w="652"/>
        <w:gridCol w:w="777"/>
        <w:gridCol w:w="652"/>
        <w:gridCol w:w="836"/>
        <w:gridCol w:w="31"/>
        <w:gridCol w:w="709"/>
        <w:gridCol w:w="777"/>
        <w:gridCol w:w="640"/>
        <w:gridCol w:w="851"/>
        <w:gridCol w:w="571"/>
        <w:gridCol w:w="704"/>
        <w:gridCol w:w="571"/>
        <w:gridCol w:w="142"/>
        <w:gridCol w:w="847"/>
      </w:tblGrid>
      <w:tr w:rsidR="00EB2BBB" w:rsidRPr="00EB2BBB" w14:paraId="0AF35A66" w14:textId="77777777" w:rsidTr="00EB2BBB">
        <w:trPr>
          <w:trHeight w:val="320"/>
        </w:trPr>
        <w:tc>
          <w:tcPr>
            <w:tcW w:w="799" w:type="dxa"/>
            <w:shd w:val="clear" w:color="auto" w:fill="auto"/>
            <w:noWrap/>
            <w:vAlign w:val="bottom"/>
          </w:tcPr>
          <w:p w14:paraId="73B85C9F" w14:textId="77777777" w:rsidR="00EB2BBB" w:rsidRPr="00EB2BBB" w:rsidRDefault="00EB2BBB" w:rsidP="00EA2DAB">
            <w:r w:rsidRPr="00EB2BBB">
              <w:lastRenderedPageBreak/>
              <w:t>MSD</w:t>
            </w:r>
          </w:p>
        </w:tc>
        <w:tc>
          <w:tcPr>
            <w:tcW w:w="4434" w:type="dxa"/>
            <w:gridSpan w:val="7"/>
            <w:tcBorders>
              <w:right w:val="single" w:sz="4" w:space="0" w:color="auto"/>
            </w:tcBorders>
            <w:shd w:val="clear" w:color="auto" w:fill="auto"/>
            <w:noWrap/>
            <w:vAlign w:val="bottom"/>
          </w:tcPr>
          <w:p w14:paraId="02C624B2" w14:textId="77777777" w:rsidR="00EB2BBB" w:rsidRPr="00EB2BBB" w:rsidRDefault="00EB2BBB" w:rsidP="00EA2DAB">
            <w:pPr>
              <w:jc w:val="center"/>
              <w:rPr>
                <w:rFonts w:ascii="Calibri" w:hAnsi="Calibri" w:cs="Calibri"/>
                <w:color w:val="000000"/>
                <w:sz w:val="20"/>
                <w:szCs w:val="20"/>
              </w:rPr>
            </w:pPr>
            <w:r w:rsidRPr="00EB2BBB">
              <w:rPr>
                <w:rFonts w:ascii="Calibri" w:hAnsi="Calibri" w:cs="Calibri"/>
                <w:color w:val="000000"/>
                <w:sz w:val="20"/>
                <w:szCs w:val="20"/>
              </w:rPr>
              <w:t>Bedrest</w:t>
            </w:r>
          </w:p>
        </w:tc>
        <w:tc>
          <w:tcPr>
            <w:tcW w:w="4326" w:type="dxa"/>
            <w:gridSpan w:val="7"/>
            <w:tcBorders>
              <w:left w:val="single" w:sz="4" w:space="0" w:color="auto"/>
            </w:tcBorders>
            <w:shd w:val="clear" w:color="auto" w:fill="auto"/>
            <w:noWrap/>
            <w:vAlign w:val="bottom"/>
          </w:tcPr>
          <w:p w14:paraId="067A678E" w14:textId="77777777" w:rsidR="00EB2BBB" w:rsidRPr="00EB2BBB" w:rsidRDefault="00EB2BBB" w:rsidP="00EA2DAB">
            <w:pPr>
              <w:jc w:val="center"/>
              <w:rPr>
                <w:rFonts w:ascii="Calibri" w:hAnsi="Calibri" w:cs="Calibri"/>
                <w:color w:val="000000"/>
                <w:sz w:val="20"/>
                <w:szCs w:val="20"/>
              </w:rPr>
            </w:pPr>
            <w:r w:rsidRPr="00EB2BBB">
              <w:rPr>
                <w:rFonts w:ascii="Calibri" w:hAnsi="Calibri" w:cs="Calibri"/>
                <w:color w:val="000000"/>
                <w:sz w:val="20"/>
                <w:szCs w:val="20"/>
              </w:rPr>
              <w:t>Control</w:t>
            </w:r>
          </w:p>
        </w:tc>
      </w:tr>
      <w:tr w:rsidR="00EB2BBB" w:rsidRPr="00EB2BBB" w14:paraId="5062645B" w14:textId="77777777" w:rsidTr="00EB2BBB">
        <w:trPr>
          <w:trHeight w:val="320"/>
        </w:trPr>
        <w:tc>
          <w:tcPr>
            <w:tcW w:w="799" w:type="dxa"/>
            <w:shd w:val="clear" w:color="auto" w:fill="auto"/>
            <w:noWrap/>
            <w:vAlign w:val="bottom"/>
          </w:tcPr>
          <w:p w14:paraId="505EEA81" w14:textId="77777777" w:rsidR="00EB2BBB" w:rsidRPr="00EB2BBB" w:rsidRDefault="00EB2BBB" w:rsidP="00EA2DAB">
            <w:pPr>
              <w:jc w:val="center"/>
              <w:rPr>
                <w:rFonts w:ascii="Calibri" w:hAnsi="Calibri" w:cs="Calibri"/>
                <w:color w:val="000000"/>
                <w:sz w:val="20"/>
                <w:szCs w:val="20"/>
              </w:rPr>
            </w:pPr>
          </w:p>
        </w:tc>
        <w:tc>
          <w:tcPr>
            <w:tcW w:w="1429" w:type="dxa"/>
            <w:gridSpan w:val="2"/>
            <w:shd w:val="clear" w:color="auto" w:fill="auto"/>
            <w:noWrap/>
            <w:vAlign w:val="bottom"/>
          </w:tcPr>
          <w:p w14:paraId="64574887" w14:textId="77777777" w:rsidR="00EB2BBB" w:rsidRPr="00EB2BBB" w:rsidRDefault="00EB2BBB" w:rsidP="00EA2DAB">
            <w:pPr>
              <w:jc w:val="center"/>
              <w:rPr>
                <w:rFonts w:ascii="Calibri" w:hAnsi="Calibri" w:cs="Calibri"/>
                <w:color w:val="000000"/>
                <w:sz w:val="20"/>
                <w:szCs w:val="20"/>
              </w:rPr>
            </w:pPr>
            <w:r w:rsidRPr="00EB2BBB">
              <w:rPr>
                <w:rFonts w:ascii="Calibri" w:hAnsi="Calibri" w:cs="Calibri"/>
                <w:color w:val="000000"/>
                <w:sz w:val="20"/>
                <w:szCs w:val="20"/>
              </w:rPr>
              <w:t>V-P</w:t>
            </w:r>
          </w:p>
        </w:tc>
        <w:tc>
          <w:tcPr>
            <w:tcW w:w="1519" w:type="dxa"/>
            <w:gridSpan w:val="3"/>
            <w:shd w:val="clear" w:color="auto" w:fill="auto"/>
            <w:noWrap/>
            <w:vAlign w:val="bottom"/>
          </w:tcPr>
          <w:p w14:paraId="038651F1" w14:textId="77777777" w:rsidR="00EB2BBB" w:rsidRPr="00EB2BBB" w:rsidRDefault="00EB2BBB" w:rsidP="00EA2DAB">
            <w:pPr>
              <w:jc w:val="center"/>
              <w:rPr>
                <w:rFonts w:ascii="Calibri" w:hAnsi="Calibri" w:cs="Calibri"/>
                <w:color w:val="000000"/>
                <w:sz w:val="20"/>
                <w:szCs w:val="20"/>
              </w:rPr>
            </w:pPr>
            <w:r w:rsidRPr="00EB2BBB">
              <w:rPr>
                <w:rFonts w:ascii="Calibri" w:hAnsi="Calibri" w:cs="Calibri"/>
                <w:color w:val="000000"/>
                <w:sz w:val="20"/>
                <w:szCs w:val="20"/>
              </w:rPr>
              <w:t>V-V</w:t>
            </w:r>
          </w:p>
        </w:tc>
        <w:tc>
          <w:tcPr>
            <w:tcW w:w="1486" w:type="dxa"/>
            <w:gridSpan w:val="2"/>
            <w:tcBorders>
              <w:right w:val="single" w:sz="4" w:space="0" w:color="auto"/>
            </w:tcBorders>
            <w:shd w:val="clear" w:color="auto" w:fill="auto"/>
            <w:noWrap/>
            <w:vAlign w:val="bottom"/>
          </w:tcPr>
          <w:p w14:paraId="5302376F" w14:textId="77777777" w:rsidR="00EB2BBB" w:rsidRPr="00EB2BBB" w:rsidRDefault="00EB2BBB" w:rsidP="00EA2DAB">
            <w:pPr>
              <w:jc w:val="center"/>
              <w:rPr>
                <w:rFonts w:ascii="Calibri" w:hAnsi="Calibri" w:cs="Calibri"/>
                <w:color w:val="000000"/>
                <w:sz w:val="20"/>
                <w:szCs w:val="20"/>
              </w:rPr>
            </w:pPr>
            <w:r w:rsidRPr="00EB2BBB">
              <w:rPr>
                <w:rFonts w:ascii="Calibri" w:hAnsi="Calibri" w:cs="Calibri"/>
                <w:color w:val="000000"/>
                <w:sz w:val="20"/>
                <w:szCs w:val="20"/>
              </w:rPr>
              <w:t>P-P</w:t>
            </w:r>
          </w:p>
        </w:tc>
        <w:tc>
          <w:tcPr>
            <w:tcW w:w="1491" w:type="dxa"/>
            <w:gridSpan w:val="2"/>
            <w:tcBorders>
              <w:left w:val="single" w:sz="4" w:space="0" w:color="auto"/>
            </w:tcBorders>
            <w:shd w:val="clear" w:color="auto" w:fill="auto"/>
            <w:noWrap/>
            <w:vAlign w:val="bottom"/>
          </w:tcPr>
          <w:p w14:paraId="17156F99" w14:textId="77777777" w:rsidR="00EB2BBB" w:rsidRPr="00EB2BBB" w:rsidRDefault="00EB2BBB" w:rsidP="00EA2DAB">
            <w:pPr>
              <w:jc w:val="center"/>
              <w:rPr>
                <w:rFonts w:ascii="Calibri" w:hAnsi="Calibri" w:cs="Calibri"/>
                <w:color w:val="000000"/>
                <w:sz w:val="20"/>
                <w:szCs w:val="20"/>
              </w:rPr>
            </w:pPr>
            <w:r w:rsidRPr="00EB2BBB">
              <w:rPr>
                <w:rFonts w:ascii="Calibri" w:hAnsi="Calibri" w:cs="Calibri"/>
                <w:color w:val="000000"/>
                <w:sz w:val="20"/>
                <w:szCs w:val="20"/>
              </w:rPr>
              <w:t>V-P</w:t>
            </w:r>
          </w:p>
        </w:tc>
        <w:tc>
          <w:tcPr>
            <w:tcW w:w="1275" w:type="dxa"/>
            <w:gridSpan w:val="2"/>
            <w:shd w:val="clear" w:color="auto" w:fill="auto"/>
            <w:noWrap/>
            <w:vAlign w:val="bottom"/>
          </w:tcPr>
          <w:p w14:paraId="2C6704FE" w14:textId="77777777" w:rsidR="00EB2BBB" w:rsidRPr="00EB2BBB" w:rsidRDefault="00EB2BBB" w:rsidP="00EA2DAB">
            <w:pPr>
              <w:jc w:val="center"/>
              <w:rPr>
                <w:rFonts w:ascii="Calibri" w:hAnsi="Calibri" w:cs="Calibri"/>
                <w:color w:val="000000"/>
                <w:sz w:val="20"/>
                <w:szCs w:val="20"/>
              </w:rPr>
            </w:pPr>
            <w:r w:rsidRPr="00EB2BBB">
              <w:rPr>
                <w:rFonts w:ascii="Calibri" w:hAnsi="Calibri" w:cs="Calibri"/>
                <w:color w:val="000000"/>
                <w:sz w:val="20"/>
                <w:szCs w:val="20"/>
              </w:rPr>
              <w:t>V-V</w:t>
            </w:r>
          </w:p>
        </w:tc>
        <w:tc>
          <w:tcPr>
            <w:tcW w:w="1560" w:type="dxa"/>
            <w:gridSpan w:val="3"/>
            <w:shd w:val="clear" w:color="auto" w:fill="auto"/>
            <w:noWrap/>
            <w:vAlign w:val="bottom"/>
          </w:tcPr>
          <w:p w14:paraId="073757E6" w14:textId="77777777" w:rsidR="00EB2BBB" w:rsidRPr="00EB2BBB" w:rsidRDefault="00EB2BBB" w:rsidP="00EA2DAB">
            <w:pPr>
              <w:jc w:val="center"/>
              <w:rPr>
                <w:rFonts w:ascii="Calibri" w:hAnsi="Calibri" w:cs="Calibri"/>
                <w:color w:val="000000"/>
                <w:sz w:val="20"/>
                <w:szCs w:val="20"/>
              </w:rPr>
            </w:pPr>
            <w:r w:rsidRPr="00EB2BBB">
              <w:rPr>
                <w:rFonts w:ascii="Calibri" w:hAnsi="Calibri" w:cs="Calibri"/>
                <w:color w:val="000000"/>
                <w:sz w:val="20"/>
                <w:szCs w:val="20"/>
              </w:rPr>
              <w:t>P-P</w:t>
            </w:r>
          </w:p>
        </w:tc>
      </w:tr>
      <w:tr w:rsidR="00EB2BBB" w:rsidRPr="00EB2BBB" w14:paraId="524F99BA" w14:textId="77777777" w:rsidTr="00EB2BBB">
        <w:trPr>
          <w:trHeight w:val="320"/>
        </w:trPr>
        <w:tc>
          <w:tcPr>
            <w:tcW w:w="799" w:type="dxa"/>
            <w:shd w:val="clear" w:color="auto" w:fill="auto"/>
            <w:noWrap/>
            <w:vAlign w:val="bottom"/>
          </w:tcPr>
          <w:p w14:paraId="689785B7" w14:textId="77777777" w:rsidR="00AA4F0E" w:rsidRPr="00EB2BBB" w:rsidRDefault="00AA4F0E" w:rsidP="00EA2DAB">
            <w:pPr>
              <w:jc w:val="center"/>
              <w:rPr>
                <w:rFonts w:ascii="Calibri" w:hAnsi="Calibri" w:cs="Calibri"/>
                <w:color w:val="000000"/>
                <w:sz w:val="20"/>
                <w:szCs w:val="20"/>
              </w:rPr>
            </w:pPr>
          </w:p>
        </w:tc>
        <w:tc>
          <w:tcPr>
            <w:tcW w:w="652" w:type="dxa"/>
            <w:shd w:val="clear" w:color="auto" w:fill="auto"/>
            <w:noWrap/>
            <w:vAlign w:val="bottom"/>
          </w:tcPr>
          <w:p w14:paraId="17F1B957"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R</w:t>
            </w:r>
          </w:p>
        </w:tc>
        <w:tc>
          <w:tcPr>
            <w:tcW w:w="777" w:type="dxa"/>
            <w:shd w:val="clear" w:color="auto" w:fill="auto"/>
            <w:noWrap/>
            <w:vAlign w:val="bottom"/>
          </w:tcPr>
          <w:p w14:paraId="2F5FFBC0"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p</w:t>
            </w:r>
          </w:p>
        </w:tc>
        <w:tc>
          <w:tcPr>
            <w:tcW w:w="652" w:type="dxa"/>
            <w:shd w:val="clear" w:color="auto" w:fill="auto"/>
            <w:noWrap/>
            <w:vAlign w:val="bottom"/>
          </w:tcPr>
          <w:p w14:paraId="1049B09F"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R</w:t>
            </w:r>
          </w:p>
        </w:tc>
        <w:tc>
          <w:tcPr>
            <w:tcW w:w="836" w:type="dxa"/>
            <w:shd w:val="clear" w:color="auto" w:fill="auto"/>
            <w:noWrap/>
            <w:vAlign w:val="bottom"/>
          </w:tcPr>
          <w:p w14:paraId="76097C41"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p</w:t>
            </w:r>
          </w:p>
        </w:tc>
        <w:tc>
          <w:tcPr>
            <w:tcW w:w="740" w:type="dxa"/>
            <w:gridSpan w:val="2"/>
            <w:shd w:val="clear" w:color="auto" w:fill="auto"/>
            <w:noWrap/>
            <w:vAlign w:val="bottom"/>
          </w:tcPr>
          <w:p w14:paraId="64F0C82A"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R</w:t>
            </w:r>
          </w:p>
        </w:tc>
        <w:tc>
          <w:tcPr>
            <w:tcW w:w="777" w:type="dxa"/>
            <w:tcBorders>
              <w:right w:val="single" w:sz="4" w:space="0" w:color="auto"/>
            </w:tcBorders>
            <w:shd w:val="clear" w:color="auto" w:fill="auto"/>
            <w:noWrap/>
            <w:vAlign w:val="bottom"/>
          </w:tcPr>
          <w:p w14:paraId="043BEB86"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p</w:t>
            </w:r>
          </w:p>
        </w:tc>
        <w:tc>
          <w:tcPr>
            <w:tcW w:w="640" w:type="dxa"/>
            <w:tcBorders>
              <w:left w:val="single" w:sz="4" w:space="0" w:color="auto"/>
            </w:tcBorders>
            <w:shd w:val="clear" w:color="auto" w:fill="auto"/>
            <w:noWrap/>
            <w:vAlign w:val="bottom"/>
          </w:tcPr>
          <w:p w14:paraId="09C71540"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R</w:t>
            </w:r>
          </w:p>
        </w:tc>
        <w:tc>
          <w:tcPr>
            <w:tcW w:w="851" w:type="dxa"/>
            <w:shd w:val="clear" w:color="auto" w:fill="auto"/>
            <w:noWrap/>
            <w:vAlign w:val="bottom"/>
          </w:tcPr>
          <w:p w14:paraId="3586FA1D"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p</w:t>
            </w:r>
          </w:p>
        </w:tc>
        <w:tc>
          <w:tcPr>
            <w:tcW w:w="571" w:type="dxa"/>
            <w:shd w:val="clear" w:color="auto" w:fill="auto"/>
            <w:noWrap/>
            <w:vAlign w:val="bottom"/>
          </w:tcPr>
          <w:p w14:paraId="1635F76A"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R</w:t>
            </w:r>
          </w:p>
        </w:tc>
        <w:tc>
          <w:tcPr>
            <w:tcW w:w="704" w:type="dxa"/>
            <w:shd w:val="clear" w:color="auto" w:fill="auto"/>
            <w:noWrap/>
            <w:vAlign w:val="bottom"/>
          </w:tcPr>
          <w:p w14:paraId="2F615EEC"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p</w:t>
            </w:r>
          </w:p>
        </w:tc>
        <w:tc>
          <w:tcPr>
            <w:tcW w:w="713" w:type="dxa"/>
            <w:gridSpan w:val="2"/>
            <w:shd w:val="clear" w:color="auto" w:fill="auto"/>
            <w:noWrap/>
            <w:vAlign w:val="bottom"/>
          </w:tcPr>
          <w:p w14:paraId="45834D2A"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R</w:t>
            </w:r>
          </w:p>
        </w:tc>
        <w:tc>
          <w:tcPr>
            <w:tcW w:w="847" w:type="dxa"/>
            <w:shd w:val="clear" w:color="auto" w:fill="auto"/>
            <w:noWrap/>
            <w:vAlign w:val="bottom"/>
          </w:tcPr>
          <w:p w14:paraId="59341E65"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p</w:t>
            </w:r>
          </w:p>
        </w:tc>
      </w:tr>
      <w:tr w:rsidR="00EB2BBB" w:rsidRPr="00EB2BBB" w14:paraId="337EAF74" w14:textId="77777777" w:rsidTr="00EB2BBB">
        <w:trPr>
          <w:trHeight w:val="320"/>
        </w:trPr>
        <w:tc>
          <w:tcPr>
            <w:tcW w:w="799" w:type="dxa"/>
            <w:tcBorders>
              <w:bottom w:val="single" w:sz="4" w:space="0" w:color="auto"/>
            </w:tcBorders>
            <w:shd w:val="clear" w:color="auto" w:fill="auto"/>
            <w:noWrap/>
            <w:vAlign w:val="bottom"/>
          </w:tcPr>
          <w:p w14:paraId="04B94B12" w14:textId="77777777" w:rsidR="00AA4F0E" w:rsidRPr="00EB2BBB" w:rsidRDefault="00AA4F0E" w:rsidP="00EA2DAB">
            <w:pPr>
              <w:rPr>
                <w:rFonts w:ascii="Calibri" w:hAnsi="Calibri" w:cs="Calibri"/>
                <w:color w:val="000000"/>
                <w:sz w:val="18"/>
                <w:szCs w:val="18"/>
              </w:rPr>
            </w:pPr>
            <w:r w:rsidRPr="00EB2BBB">
              <w:rPr>
                <w:rFonts w:ascii="Calibri" w:hAnsi="Calibri" w:cs="Calibri"/>
                <w:color w:val="000000"/>
                <w:sz w:val="18"/>
                <w:szCs w:val="18"/>
              </w:rPr>
              <w:t>BDC-7 HTD+2</w:t>
            </w:r>
          </w:p>
        </w:tc>
        <w:tc>
          <w:tcPr>
            <w:tcW w:w="652" w:type="dxa"/>
            <w:tcBorders>
              <w:bottom w:val="single" w:sz="4" w:space="0" w:color="auto"/>
            </w:tcBorders>
            <w:shd w:val="clear" w:color="auto" w:fill="auto"/>
            <w:noWrap/>
            <w:vAlign w:val="center"/>
          </w:tcPr>
          <w:p w14:paraId="53819AE6"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0.65</w:t>
            </w:r>
          </w:p>
        </w:tc>
        <w:tc>
          <w:tcPr>
            <w:tcW w:w="777" w:type="dxa"/>
            <w:tcBorders>
              <w:bottom w:val="single" w:sz="4" w:space="0" w:color="auto"/>
            </w:tcBorders>
            <w:shd w:val="clear" w:color="auto" w:fill="auto"/>
            <w:noWrap/>
            <w:vAlign w:val="center"/>
          </w:tcPr>
          <w:p w14:paraId="2E204D96"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0.0019</w:t>
            </w:r>
          </w:p>
        </w:tc>
        <w:tc>
          <w:tcPr>
            <w:tcW w:w="652" w:type="dxa"/>
            <w:tcBorders>
              <w:bottom w:val="single" w:sz="4" w:space="0" w:color="auto"/>
            </w:tcBorders>
            <w:shd w:val="clear" w:color="auto" w:fill="auto"/>
            <w:noWrap/>
            <w:vAlign w:val="center"/>
          </w:tcPr>
          <w:p w14:paraId="284D39C7"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0.88</w:t>
            </w:r>
          </w:p>
        </w:tc>
        <w:tc>
          <w:tcPr>
            <w:tcW w:w="836" w:type="dxa"/>
            <w:tcBorders>
              <w:bottom w:val="single" w:sz="4" w:space="0" w:color="auto"/>
            </w:tcBorders>
            <w:shd w:val="clear" w:color="auto" w:fill="auto"/>
            <w:noWrap/>
            <w:vAlign w:val="center"/>
          </w:tcPr>
          <w:p w14:paraId="35AE494E"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4E-07</w:t>
            </w:r>
          </w:p>
        </w:tc>
        <w:tc>
          <w:tcPr>
            <w:tcW w:w="740" w:type="dxa"/>
            <w:gridSpan w:val="2"/>
            <w:tcBorders>
              <w:bottom w:val="single" w:sz="4" w:space="0" w:color="auto"/>
            </w:tcBorders>
            <w:shd w:val="clear" w:color="auto" w:fill="auto"/>
            <w:noWrap/>
            <w:vAlign w:val="center"/>
          </w:tcPr>
          <w:p w14:paraId="7A3F1025"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0.78</w:t>
            </w:r>
          </w:p>
        </w:tc>
        <w:tc>
          <w:tcPr>
            <w:tcW w:w="777" w:type="dxa"/>
            <w:tcBorders>
              <w:bottom w:val="single" w:sz="4" w:space="0" w:color="auto"/>
              <w:right w:val="single" w:sz="4" w:space="0" w:color="auto"/>
            </w:tcBorders>
            <w:shd w:val="clear" w:color="auto" w:fill="auto"/>
            <w:noWrap/>
            <w:vAlign w:val="center"/>
          </w:tcPr>
          <w:p w14:paraId="605B6156"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5E-05</w:t>
            </w:r>
          </w:p>
        </w:tc>
        <w:tc>
          <w:tcPr>
            <w:tcW w:w="640" w:type="dxa"/>
            <w:tcBorders>
              <w:left w:val="single" w:sz="4" w:space="0" w:color="auto"/>
              <w:bottom w:val="single" w:sz="4" w:space="0" w:color="auto"/>
            </w:tcBorders>
            <w:shd w:val="clear" w:color="auto" w:fill="auto"/>
            <w:noWrap/>
            <w:vAlign w:val="center"/>
          </w:tcPr>
          <w:p w14:paraId="2CB210DC"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0.58</w:t>
            </w:r>
          </w:p>
        </w:tc>
        <w:tc>
          <w:tcPr>
            <w:tcW w:w="851" w:type="dxa"/>
            <w:tcBorders>
              <w:bottom w:val="single" w:sz="4" w:space="0" w:color="auto"/>
            </w:tcBorders>
            <w:shd w:val="clear" w:color="auto" w:fill="auto"/>
            <w:noWrap/>
            <w:vAlign w:val="center"/>
          </w:tcPr>
          <w:p w14:paraId="463DA1FC"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0.0303</w:t>
            </w:r>
          </w:p>
        </w:tc>
        <w:tc>
          <w:tcPr>
            <w:tcW w:w="571" w:type="dxa"/>
            <w:tcBorders>
              <w:bottom w:val="single" w:sz="4" w:space="0" w:color="auto"/>
            </w:tcBorders>
            <w:shd w:val="clear" w:color="auto" w:fill="auto"/>
            <w:noWrap/>
            <w:vAlign w:val="center"/>
          </w:tcPr>
          <w:p w14:paraId="457C2720"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0.90</w:t>
            </w:r>
          </w:p>
        </w:tc>
        <w:tc>
          <w:tcPr>
            <w:tcW w:w="704" w:type="dxa"/>
            <w:tcBorders>
              <w:bottom w:val="single" w:sz="4" w:space="0" w:color="auto"/>
            </w:tcBorders>
            <w:shd w:val="clear" w:color="auto" w:fill="auto"/>
            <w:noWrap/>
            <w:vAlign w:val="center"/>
          </w:tcPr>
          <w:p w14:paraId="46F5C3A7"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1E-05</w:t>
            </w:r>
          </w:p>
        </w:tc>
        <w:tc>
          <w:tcPr>
            <w:tcW w:w="713" w:type="dxa"/>
            <w:gridSpan w:val="2"/>
            <w:tcBorders>
              <w:bottom w:val="single" w:sz="4" w:space="0" w:color="auto"/>
            </w:tcBorders>
            <w:shd w:val="clear" w:color="auto" w:fill="auto"/>
            <w:noWrap/>
            <w:vAlign w:val="center"/>
          </w:tcPr>
          <w:p w14:paraId="5D5FAD04"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0.65</w:t>
            </w:r>
          </w:p>
        </w:tc>
        <w:tc>
          <w:tcPr>
            <w:tcW w:w="847" w:type="dxa"/>
            <w:tcBorders>
              <w:bottom w:val="single" w:sz="4" w:space="0" w:color="auto"/>
            </w:tcBorders>
            <w:shd w:val="clear" w:color="auto" w:fill="auto"/>
            <w:noWrap/>
            <w:vAlign w:val="center"/>
          </w:tcPr>
          <w:p w14:paraId="3A7D5A01"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0.0115</w:t>
            </w:r>
          </w:p>
        </w:tc>
      </w:tr>
      <w:tr w:rsidR="00EB2BBB" w:rsidRPr="00EB2BBB" w14:paraId="40A34871" w14:textId="77777777" w:rsidTr="00EB2BBB">
        <w:trPr>
          <w:trHeight w:val="320"/>
        </w:trPr>
        <w:tc>
          <w:tcPr>
            <w:tcW w:w="799" w:type="dxa"/>
            <w:tcBorders>
              <w:top w:val="single" w:sz="4" w:space="0" w:color="auto"/>
              <w:bottom w:val="single" w:sz="4" w:space="0" w:color="auto"/>
            </w:tcBorders>
            <w:shd w:val="clear" w:color="auto" w:fill="auto"/>
            <w:noWrap/>
            <w:vAlign w:val="bottom"/>
          </w:tcPr>
          <w:p w14:paraId="7AD384C0" w14:textId="77777777" w:rsidR="00AA4F0E" w:rsidRPr="00EB2BBB" w:rsidRDefault="00AA4F0E" w:rsidP="00EA2DAB">
            <w:pPr>
              <w:rPr>
                <w:rFonts w:ascii="Calibri" w:hAnsi="Calibri" w:cs="Calibri"/>
                <w:color w:val="000000"/>
                <w:sz w:val="18"/>
                <w:szCs w:val="18"/>
              </w:rPr>
            </w:pPr>
            <w:r w:rsidRPr="00EB2BBB">
              <w:rPr>
                <w:rFonts w:ascii="Calibri" w:hAnsi="Calibri" w:cs="Calibri"/>
                <w:color w:val="000000"/>
                <w:sz w:val="18"/>
                <w:szCs w:val="18"/>
              </w:rPr>
              <w:t>HTD+2 HTD+30</w:t>
            </w:r>
          </w:p>
        </w:tc>
        <w:tc>
          <w:tcPr>
            <w:tcW w:w="652" w:type="dxa"/>
            <w:tcBorders>
              <w:top w:val="single" w:sz="4" w:space="0" w:color="auto"/>
              <w:bottom w:val="single" w:sz="4" w:space="0" w:color="auto"/>
            </w:tcBorders>
            <w:shd w:val="clear" w:color="auto" w:fill="auto"/>
            <w:noWrap/>
            <w:vAlign w:val="center"/>
          </w:tcPr>
          <w:p w14:paraId="1F98A62C"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0.50</w:t>
            </w:r>
          </w:p>
        </w:tc>
        <w:tc>
          <w:tcPr>
            <w:tcW w:w="777" w:type="dxa"/>
            <w:tcBorders>
              <w:top w:val="single" w:sz="4" w:space="0" w:color="auto"/>
              <w:bottom w:val="single" w:sz="4" w:space="0" w:color="auto"/>
            </w:tcBorders>
            <w:shd w:val="clear" w:color="auto" w:fill="auto"/>
            <w:noWrap/>
            <w:vAlign w:val="center"/>
          </w:tcPr>
          <w:p w14:paraId="3E2BB988"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0.0248</w:t>
            </w:r>
          </w:p>
        </w:tc>
        <w:tc>
          <w:tcPr>
            <w:tcW w:w="652" w:type="dxa"/>
            <w:tcBorders>
              <w:top w:val="single" w:sz="4" w:space="0" w:color="auto"/>
              <w:bottom w:val="single" w:sz="4" w:space="0" w:color="auto"/>
            </w:tcBorders>
            <w:shd w:val="clear" w:color="auto" w:fill="auto"/>
            <w:noWrap/>
            <w:vAlign w:val="center"/>
          </w:tcPr>
          <w:p w14:paraId="2E795E30"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0.85</w:t>
            </w:r>
          </w:p>
        </w:tc>
        <w:tc>
          <w:tcPr>
            <w:tcW w:w="836" w:type="dxa"/>
            <w:tcBorders>
              <w:top w:val="single" w:sz="4" w:space="0" w:color="auto"/>
              <w:bottom w:val="single" w:sz="4" w:space="0" w:color="auto"/>
            </w:tcBorders>
            <w:shd w:val="clear" w:color="auto" w:fill="auto"/>
            <w:noWrap/>
            <w:vAlign w:val="center"/>
          </w:tcPr>
          <w:p w14:paraId="011F31BB"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2E-06</w:t>
            </w:r>
          </w:p>
        </w:tc>
        <w:tc>
          <w:tcPr>
            <w:tcW w:w="740" w:type="dxa"/>
            <w:gridSpan w:val="2"/>
            <w:tcBorders>
              <w:top w:val="single" w:sz="4" w:space="0" w:color="auto"/>
              <w:bottom w:val="single" w:sz="4" w:space="0" w:color="auto"/>
            </w:tcBorders>
            <w:shd w:val="clear" w:color="auto" w:fill="auto"/>
            <w:noWrap/>
            <w:vAlign w:val="center"/>
          </w:tcPr>
          <w:p w14:paraId="24C381B1"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0.73</w:t>
            </w:r>
          </w:p>
        </w:tc>
        <w:tc>
          <w:tcPr>
            <w:tcW w:w="777" w:type="dxa"/>
            <w:tcBorders>
              <w:top w:val="single" w:sz="4" w:space="0" w:color="auto"/>
              <w:bottom w:val="single" w:sz="4" w:space="0" w:color="auto"/>
              <w:right w:val="single" w:sz="4" w:space="0" w:color="auto"/>
            </w:tcBorders>
            <w:shd w:val="clear" w:color="auto" w:fill="auto"/>
            <w:noWrap/>
            <w:vAlign w:val="center"/>
          </w:tcPr>
          <w:p w14:paraId="7B5323F6"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0.0002</w:t>
            </w:r>
          </w:p>
        </w:tc>
        <w:tc>
          <w:tcPr>
            <w:tcW w:w="640" w:type="dxa"/>
            <w:tcBorders>
              <w:top w:val="single" w:sz="4" w:space="0" w:color="auto"/>
              <w:left w:val="single" w:sz="4" w:space="0" w:color="auto"/>
              <w:bottom w:val="single" w:sz="4" w:space="0" w:color="auto"/>
            </w:tcBorders>
            <w:shd w:val="clear" w:color="auto" w:fill="auto"/>
            <w:noWrap/>
            <w:vAlign w:val="center"/>
          </w:tcPr>
          <w:p w14:paraId="3F9796B5"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0.67</w:t>
            </w:r>
          </w:p>
        </w:tc>
        <w:tc>
          <w:tcPr>
            <w:tcW w:w="851" w:type="dxa"/>
            <w:tcBorders>
              <w:top w:val="single" w:sz="4" w:space="0" w:color="auto"/>
              <w:bottom w:val="single" w:sz="4" w:space="0" w:color="auto"/>
            </w:tcBorders>
            <w:shd w:val="clear" w:color="auto" w:fill="auto"/>
            <w:noWrap/>
            <w:vAlign w:val="center"/>
          </w:tcPr>
          <w:p w14:paraId="357D6310"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0.0094</w:t>
            </w:r>
          </w:p>
        </w:tc>
        <w:tc>
          <w:tcPr>
            <w:tcW w:w="571" w:type="dxa"/>
            <w:tcBorders>
              <w:top w:val="single" w:sz="4" w:space="0" w:color="auto"/>
              <w:bottom w:val="single" w:sz="4" w:space="0" w:color="auto"/>
            </w:tcBorders>
            <w:shd w:val="clear" w:color="auto" w:fill="auto"/>
            <w:noWrap/>
            <w:vAlign w:val="center"/>
          </w:tcPr>
          <w:p w14:paraId="264E3754"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0.89</w:t>
            </w:r>
          </w:p>
        </w:tc>
        <w:tc>
          <w:tcPr>
            <w:tcW w:w="704" w:type="dxa"/>
            <w:tcBorders>
              <w:top w:val="single" w:sz="4" w:space="0" w:color="auto"/>
              <w:bottom w:val="single" w:sz="4" w:space="0" w:color="auto"/>
            </w:tcBorders>
            <w:shd w:val="clear" w:color="auto" w:fill="auto"/>
            <w:noWrap/>
            <w:vAlign w:val="center"/>
          </w:tcPr>
          <w:p w14:paraId="21AD552E"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2E-05</w:t>
            </w:r>
          </w:p>
        </w:tc>
        <w:tc>
          <w:tcPr>
            <w:tcW w:w="713" w:type="dxa"/>
            <w:gridSpan w:val="2"/>
            <w:tcBorders>
              <w:top w:val="single" w:sz="4" w:space="0" w:color="auto"/>
              <w:bottom w:val="single" w:sz="4" w:space="0" w:color="auto"/>
            </w:tcBorders>
            <w:shd w:val="clear" w:color="auto" w:fill="auto"/>
            <w:noWrap/>
            <w:vAlign w:val="center"/>
          </w:tcPr>
          <w:p w14:paraId="11A97A04"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0.66</w:t>
            </w:r>
          </w:p>
        </w:tc>
        <w:tc>
          <w:tcPr>
            <w:tcW w:w="847" w:type="dxa"/>
            <w:tcBorders>
              <w:top w:val="single" w:sz="4" w:space="0" w:color="auto"/>
              <w:bottom w:val="single" w:sz="4" w:space="0" w:color="auto"/>
            </w:tcBorders>
            <w:shd w:val="clear" w:color="auto" w:fill="auto"/>
            <w:noWrap/>
            <w:vAlign w:val="center"/>
          </w:tcPr>
          <w:p w14:paraId="2DBA96B0"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0.0097</w:t>
            </w:r>
          </w:p>
        </w:tc>
      </w:tr>
      <w:tr w:rsidR="00EB2BBB" w:rsidRPr="00EB2BBB" w14:paraId="0012CD06" w14:textId="77777777" w:rsidTr="00EB2BBB">
        <w:trPr>
          <w:trHeight w:val="320"/>
        </w:trPr>
        <w:tc>
          <w:tcPr>
            <w:tcW w:w="799" w:type="dxa"/>
            <w:tcBorders>
              <w:top w:val="single" w:sz="4" w:space="0" w:color="auto"/>
              <w:bottom w:val="single" w:sz="4" w:space="0" w:color="auto"/>
            </w:tcBorders>
            <w:shd w:val="clear" w:color="auto" w:fill="auto"/>
            <w:noWrap/>
            <w:vAlign w:val="bottom"/>
          </w:tcPr>
          <w:p w14:paraId="5C018BC4" w14:textId="77777777" w:rsidR="00AA4F0E" w:rsidRPr="00EB2BBB" w:rsidRDefault="00AA4F0E" w:rsidP="00EA2DAB">
            <w:pPr>
              <w:rPr>
                <w:rFonts w:ascii="Calibri" w:hAnsi="Calibri" w:cs="Calibri"/>
                <w:color w:val="000000"/>
                <w:sz w:val="18"/>
                <w:szCs w:val="18"/>
              </w:rPr>
            </w:pPr>
            <w:r w:rsidRPr="00EB2BBB">
              <w:rPr>
                <w:rFonts w:ascii="Calibri" w:hAnsi="Calibri" w:cs="Calibri"/>
                <w:color w:val="000000"/>
                <w:sz w:val="18"/>
                <w:szCs w:val="18"/>
              </w:rPr>
              <w:t>HTD+30 HTD+59</w:t>
            </w:r>
          </w:p>
        </w:tc>
        <w:tc>
          <w:tcPr>
            <w:tcW w:w="652" w:type="dxa"/>
            <w:tcBorders>
              <w:top w:val="single" w:sz="4" w:space="0" w:color="auto"/>
              <w:bottom w:val="single" w:sz="4" w:space="0" w:color="auto"/>
            </w:tcBorders>
            <w:shd w:val="clear" w:color="auto" w:fill="auto"/>
            <w:noWrap/>
            <w:vAlign w:val="center"/>
          </w:tcPr>
          <w:p w14:paraId="425BCFF2"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0.88</w:t>
            </w:r>
          </w:p>
        </w:tc>
        <w:tc>
          <w:tcPr>
            <w:tcW w:w="777" w:type="dxa"/>
            <w:tcBorders>
              <w:top w:val="single" w:sz="4" w:space="0" w:color="auto"/>
              <w:bottom w:val="single" w:sz="4" w:space="0" w:color="auto"/>
            </w:tcBorders>
            <w:shd w:val="clear" w:color="auto" w:fill="auto"/>
            <w:noWrap/>
            <w:vAlign w:val="center"/>
          </w:tcPr>
          <w:p w14:paraId="57454669"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3E-07</w:t>
            </w:r>
          </w:p>
        </w:tc>
        <w:tc>
          <w:tcPr>
            <w:tcW w:w="652" w:type="dxa"/>
            <w:tcBorders>
              <w:top w:val="single" w:sz="4" w:space="0" w:color="auto"/>
              <w:bottom w:val="single" w:sz="4" w:space="0" w:color="auto"/>
            </w:tcBorders>
            <w:shd w:val="clear" w:color="auto" w:fill="auto"/>
            <w:noWrap/>
            <w:vAlign w:val="center"/>
          </w:tcPr>
          <w:p w14:paraId="17AB1FA3"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0.84</w:t>
            </w:r>
          </w:p>
        </w:tc>
        <w:tc>
          <w:tcPr>
            <w:tcW w:w="836" w:type="dxa"/>
            <w:tcBorders>
              <w:top w:val="single" w:sz="4" w:space="0" w:color="auto"/>
              <w:bottom w:val="single" w:sz="4" w:space="0" w:color="auto"/>
            </w:tcBorders>
            <w:shd w:val="clear" w:color="auto" w:fill="auto"/>
            <w:noWrap/>
            <w:vAlign w:val="center"/>
          </w:tcPr>
          <w:p w14:paraId="1AE95C80"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3E-06</w:t>
            </w:r>
          </w:p>
        </w:tc>
        <w:tc>
          <w:tcPr>
            <w:tcW w:w="740" w:type="dxa"/>
            <w:gridSpan w:val="2"/>
            <w:tcBorders>
              <w:top w:val="single" w:sz="4" w:space="0" w:color="auto"/>
              <w:bottom w:val="single" w:sz="4" w:space="0" w:color="auto"/>
            </w:tcBorders>
            <w:shd w:val="clear" w:color="auto" w:fill="auto"/>
            <w:noWrap/>
            <w:vAlign w:val="center"/>
          </w:tcPr>
          <w:p w14:paraId="058E5B64"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0.77</w:t>
            </w:r>
          </w:p>
        </w:tc>
        <w:tc>
          <w:tcPr>
            <w:tcW w:w="777" w:type="dxa"/>
            <w:tcBorders>
              <w:top w:val="single" w:sz="4" w:space="0" w:color="auto"/>
              <w:bottom w:val="single" w:sz="4" w:space="0" w:color="auto"/>
              <w:right w:val="single" w:sz="4" w:space="0" w:color="auto"/>
            </w:tcBorders>
            <w:shd w:val="clear" w:color="auto" w:fill="auto"/>
            <w:noWrap/>
            <w:vAlign w:val="center"/>
          </w:tcPr>
          <w:p w14:paraId="4154CA58"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7E-05</w:t>
            </w:r>
          </w:p>
        </w:tc>
        <w:tc>
          <w:tcPr>
            <w:tcW w:w="640" w:type="dxa"/>
            <w:tcBorders>
              <w:top w:val="single" w:sz="4" w:space="0" w:color="auto"/>
              <w:left w:val="single" w:sz="4" w:space="0" w:color="auto"/>
              <w:bottom w:val="single" w:sz="4" w:space="0" w:color="auto"/>
            </w:tcBorders>
            <w:shd w:val="clear" w:color="auto" w:fill="auto"/>
            <w:noWrap/>
            <w:vAlign w:val="center"/>
          </w:tcPr>
          <w:p w14:paraId="6CE36297"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0.73</w:t>
            </w:r>
          </w:p>
        </w:tc>
        <w:tc>
          <w:tcPr>
            <w:tcW w:w="851" w:type="dxa"/>
            <w:tcBorders>
              <w:top w:val="single" w:sz="4" w:space="0" w:color="auto"/>
              <w:bottom w:val="single" w:sz="4" w:space="0" w:color="auto"/>
            </w:tcBorders>
            <w:shd w:val="clear" w:color="auto" w:fill="auto"/>
            <w:noWrap/>
            <w:vAlign w:val="center"/>
          </w:tcPr>
          <w:p w14:paraId="6A4A25C7"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0.0028</w:t>
            </w:r>
          </w:p>
        </w:tc>
        <w:tc>
          <w:tcPr>
            <w:tcW w:w="571" w:type="dxa"/>
            <w:tcBorders>
              <w:top w:val="single" w:sz="4" w:space="0" w:color="auto"/>
              <w:bottom w:val="single" w:sz="4" w:space="0" w:color="auto"/>
            </w:tcBorders>
            <w:shd w:val="clear" w:color="auto" w:fill="auto"/>
            <w:noWrap/>
            <w:vAlign w:val="center"/>
          </w:tcPr>
          <w:p w14:paraId="399824ED"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0.87</w:t>
            </w:r>
          </w:p>
        </w:tc>
        <w:tc>
          <w:tcPr>
            <w:tcW w:w="704" w:type="dxa"/>
            <w:tcBorders>
              <w:top w:val="single" w:sz="4" w:space="0" w:color="auto"/>
              <w:bottom w:val="single" w:sz="4" w:space="0" w:color="auto"/>
            </w:tcBorders>
            <w:shd w:val="clear" w:color="auto" w:fill="auto"/>
            <w:noWrap/>
            <w:vAlign w:val="center"/>
          </w:tcPr>
          <w:p w14:paraId="1CCD6593"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4E-05</w:t>
            </w:r>
          </w:p>
        </w:tc>
        <w:tc>
          <w:tcPr>
            <w:tcW w:w="713" w:type="dxa"/>
            <w:gridSpan w:val="2"/>
            <w:tcBorders>
              <w:top w:val="single" w:sz="4" w:space="0" w:color="auto"/>
              <w:bottom w:val="single" w:sz="4" w:space="0" w:color="auto"/>
            </w:tcBorders>
            <w:shd w:val="clear" w:color="auto" w:fill="auto"/>
            <w:noWrap/>
            <w:vAlign w:val="center"/>
          </w:tcPr>
          <w:p w14:paraId="0EBE8B34"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0.70</w:t>
            </w:r>
          </w:p>
        </w:tc>
        <w:tc>
          <w:tcPr>
            <w:tcW w:w="847" w:type="dxa"/>
            <w:tcBorders>
              <w:top w:val="single" w:sz="4" w:space="0" w:color="auto"/>
              <w:bottom w:val="single" w:sz="4" w:space="0" w:color="auto"/>
            </w:tcBorders>
            <w:shd w:val="clear" w:color="auto" w:fill="auto"/>
            <w:noWrap/>
            <w:vAlign w:val="center"/>
          </w:tcPr>
          <w:p w14:paraId="3EEEF25A"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0.0052</w:t>
            </w:r>
          </w:p>
        </w:tc>
      </w:tr>
      <w:tr w:rsidR="00EB2BBB" w:rsidRPr="00EB2BBB" w14:paraId="22DB5986" w14:textId="77777777" w:rsidTr="00EB2BBB">
        <w:trPr>
          <w:trHeight w:val="320"/>
        </w:trPr>
        <w:tc>
          <w:tcPr>
            <w:tcW w:w="799" w:type="dxa"/>
            <w:tcBorders>
              <w:top w:val="single" w:sz="4" w:space="0" w:color="auto"/>
              <w:bottom w:val="single" w:sz="4" w:space="0" w:color="auto"/>
            </w:tcBorders>
            <w:shd w:val="clear" w:color="auto" w:fill="auto"/>
            <w:noWrap/>
            <w:vAlign w:val="bottom"/>
          </w:tcPr>
          <w:p w14:paraId="3D3B13C0" w14:textId="77777777" w:rsidR="00AA4F0E" w:rsidRPr="00EB2BBB" w:rsidRDefault="00AA4F0E" w:rsidP="00EA2DAB">
            <w:pPr>
              <w:rPr>
                <w:rFonts w:ascii="Calibri" w:hAnsi="Calibri" w:cs="Calibri"/>
                <w:color w:val="000000"/>
                <w:sz w:val="18"/>
                <w:szCs w:val="18"/>
              </w:rPr>
            </w:pPr>
            <w:r w:rsidRPr="00EB2BBB">
              <w:rPr>
                <w:rFonts w:ascii="Calibri" w:hAnsi="Calibri" w:cs="Calibri"/>
                <w:color w:val="000000"/>
                <w:sz w:val="18"/>
                <w:szCs w:val="18"/>
              </w:rPr>
              <w:t>HTD+59 R+2</w:t>
            </w:r>
          </w:p>
        </w:tc>
        <w:tc>
          <w:tcPr>
            <w:tcW w:w="652" w:type="dxa"/>
            <w:tcBorders>
              <w:top w:val="single" w:sz="4" w:space="0" w:color="auto"/>
              <w:bottom w:val="single" w:sz="4" w:space="0" w:color="auto"/>
            </w:tcBorders>
            <w:shd w:val="clear" w:color="auto" w:fill="auto"/>
            <w:noWrap/>
            <w:vAlign w:val="center"/>
          </w:tcPr>
          <w:p w14:paraId="1E7190A2"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0.87</w:t>
            </w:r>
          </w:p>
        </w:tc>
        <w:tc>
          <w:tcPr>
            <w:tcW w:w="777" w:type="dxa"/>
            <w:tcBorders>
              <w:top w:val="single" w:sz="4" w:space="0" w:color="auto"/>
              <w:bottom w:val="single" w:sz="4" w:space="0" w:color="auto"/>
            </w:tcBorders>
            <w:shd w:val="clear" w:color="auto" w:fill="auto"/>
            <w:noWrap/>
            <w:vAlign w:val="center"/>
          </w:tcPr>
          <w:p w14:paraId="05C64F34"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5E-07</w:t>
            </w:r>
          </w:p>
        </w:tc>
        <w:tc>
          <w:tcPr>
            <w:tcW w:w="652" w:type="dxa"/>
            <w:tcBorders>
              <w:top w:val="single" w:sz="4" w:space="0" w:color="auto"/>
              <w:bottom w:val="single" w:sz="4" w:space="0" w:color="auto"/>
            </w:tcBorders>
            <w:shd w:val="clear" w:color="auto" w:fill="auto"/>
            <w:noWrap/>
            <w:vAlign w:val="center"/>
          </w:tcPr>
          <w:p w14:paraId="23D921C9"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0.75</w:t>
            </w:r>
          </w:p>
        </w:tc>
        <w:tc>
          <w:tcPr>
            <w:tcW w:w="836" w:type="dxa"/>
            <w:tcBorders>
              <w:top w:val="single" w:sz="4" w:space="0" w:color="auto"/>
              <w:bottom w:val="single" w:sz="4" w:space="0" w:color="auto"/>
            </w:tcBorders>
            <w:shd w:val="clear" w:color="auto" w:fill="auto"/>
            <w:noWrap/>
            <w:vAlign w:val="center"/>
          </w:tcPr>
          <w:p w14:paraId="5BF1CFB8"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0.0001</w:t>
            </w:r>
          </w:p>
        </w:tc>
        <w:tc>
          <w:tcPr>
            <w:tcW w:w="740" w:type="dxa"/>
            <w:gridSpan w:val="2"/>
            <w:tcBorders>
              <w:top w:val="single" w:sz="4" w:space="0" w:color="auto"/>
              <w:bottom w:val="single" w:sz="4" w:space="0" w:color="auto"/>
            </w:tcBorders>
            <w:shd w:val="clear" w:color="auto" w:fill="auto"/>
            <w:noWrap/>
            <w:vAlign w:val="center"/>
          </w:tcPr>
          <w:p w14:paraId="66BAAC6B"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0.79</w:t>
            </w:r>
          </w:p>
        </w:tc>
        <w:tc>
          <w:tcPr>
            <w:tcW w:w="777" w:type="dxa"/>
            <w:tcBorders>
              <w:top w:val="single" w:sz="4" w:space="0" w:color="auto"/>
              <w:bottom w:val="single" w:sz="4" w:space="0" w:color="auto"/>
              <w:right w:val="single" w:sz="4" w:space="0" w:color="auto"/>
            </w:tcBorders>
            <w:shd w:val="clear" w:color="auto" w:fill="auto"/>
            <w:noWrap/>
            <w:vAlign w:val="center"/>
          </w:tcPr>
          <w:p w14:paraId="22757843"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4E-05</w:t>
            </w:r>
          </w:p>
        </w:tc>
        <w:tc>
          <w:tcPr>
            <w:tcW w:w="640" w:type="dxa"/>
            <w:tcBorders>
              <w:top w:val="single" w:sz="4" w:space="0" w:color="auto"/>
              <w:left w:val="single" w:sz="4" w:space="0" w:color="auto"/>
              <w:bottom w:val="single" w:sz="4" w:space="0" w:color="auto"/>
            </w:tcBorders>
            <w:shd w:val="clear" w:color="auto" w:fill="auto"/>
            <w:noWrap/>
            <w:vAlign w:val="center"/>
          </w:tcPr>
          <w:p w14:paraId="0F9371B1"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0.52</w:t>
            </w:r>
          </w:p>
        </w:tc>
        <w:tc>
          <w:tcPr>
            <w:tcW w:w="851" w:type="dxa"/>
            <w:tcBorders>
              <w:top w:val="single" w:sz="4" w:space="0" w:color="auto"/>
              <w:bottom w:val="single" w:sz="4" w:space="0" w:color="auto"/>
            </w:tcBorders>
            <w:shd w:val="clear" w:color="auto" w:fill="auto"/>
            <w:noWrap/>
            <w:vAlign w:val="center"/>
          </w:tcPr>
          <w:p w14:paraId="267D547E"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0.0592</w:t>
            </w:r>
          </w:p>
        </w:tc>
        <w:tc>
          <w:tcPr>
            <w:tcW w:w="571" w:type="dxa"/>
            <w:tcBorders>
              <w:top w:val="single" w:sz="4" w:space="0" w:color="auto"/>
              <w:bottom w:val="single" w:sz="4" w:space="0" w:color="auto"/>
            </w:tcBorders>
            <w:shd w:val="clear" w:color="auto" w:fill="auto"/>
            <w:noWrap/>
            <w:vAlign w:val="center"/>
          </w:tcPr>
          <w:p w14:paraId="311F1A4D"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0.97</w:t>
            </w:r>
          </w:p>
        </w:tc>
        <w:tc>
          <w:tcPr>
            <w:tcW w:w="704" w:type="dxa"/>
            <w:tcBorders>
              <w:top w:val="single" w:sz="4" w:space="0" w:color="auto"/>
              <w:bottom w:val="single" w:sz="4" w:space="0" w:color="auto"/>
            </w:tcBorders>
            <w:shd w:val="clear" w:color="auto" w:fill="auto"/>
            <w:noWrap/>
            <w:vAlign w:val="center"/>
          </w:tcPr>
          <w:p w14:paraId="1140BC1D"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4E-09</w:t>
            </w:r>
          </w:p>
        </w:tc>
        <w:tc>
          <w:tcPr>
            <w:tcW w:w="713" w:type="dxa"/>
            <w:gridSpan w:val="2"/>
            <w:tcBorders>
              <w:top w:val="single" w:sz="4" w:space="0" w:color="auto"/>
              <w:bottom w:val="single" w:sz="4" w:space="0" w:color="auto"/>
            </w:tcBorders>
            <w:shd w:val="clear" w:color="auto" w:fill="auto"/>
            <w:noWrap/>
            <w:vAlign w:val="center"/>
          </w:tcPr>
          <w:p w14:paraId="7B7D6A97"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0.61</w:t>
            </w:r>
          </w:p>
        </w:tc>
        <w:tc>
          <w:tcPr>
            <w:tcW w:w="847" w:type="dxa"/>
            <w:tcBorders>
              <w:top w:val="single" w:sz="4" w:space="0" w:color="auto"/>
              <w:bottom w:val="single" w:sz="4" w:space="0" w:color="auto"/>
            </w:tcBorders>
            <w:shd w:val="clear" w:color="auto" w:fill="auto"/>
            <w:noWrap/>
            <w:vAlign w:val="center"/>
          </w:tcPr>
          <w:p w14:paraId="156F1CB1"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0.0198</w:t>
            </w:r>
          </w:p>
        </w:tc>
      </w:tr>
      <w:tr w:rsidR="00EB2BBB" w:rsidRPr="00EB2BBB" w14:paraId="5DE41119" w14:textId="77777777" w:rsidTr="00EB2BBB">
        <w:trPr>
          <w:trHeight w:val="320"/>
        </w:trPr>
        <w:tc>
          <w:tcPr>
            <w:tcW w:w="799" w:type="dxa"/>
            <w:tcBorders>
              <w:top w:val="single" w:sz="4" w:space="0" w:color="auto"/>
            </w:tcBorders>
            <w:shd w:val="clear" w:color="auto" w:fill="auto"/>
            <w:noWrap/>
            <w:vAlign w:val="bottom"/>
          </w:tcPr>
          <w:p w14:paraId="0CC8FDF3" w14:textId="77777777" w:rsidR="00AA4F0E" w:rsidRPr="00EB2BBB" w:rsidRDefault="00AA4F0E" w:rsidP="00EA2DAB">
            <w:pPr>
              <w:rPr>
                <w:rFonts w:ascii="Calibri" w:hAnsi="Calibri" w:cs="Calibri"/>
                <w:color w:val="000000"/>
                <w:sz w:val="18"/>
                <w:szCs w:val="18"/>
              </w:rPr>
            </w:pPr>
            <w:r w:rsidRPr="00EB2BBB">
              <w:rPr>
                <w:rFonts w:ascii="Calibri" w:hAnsi="Calibri" w:cs="Calibri"/>
                <w:color w:val="000000"/>
                <w:sz w:val="18"/>
                <w:szCs w:val="18"/>
              </w:rPr>
              <w:t>R+2 R+13</w:t>
            </w:r>
          </w:p>
        </w:tc>
        <w:tc>
          <w:tcPr>
            <w:tcW w:w="652" w:type="dxa"/>
            <w:tcBorders>
              <w:top w:val="single" w:sz="4" w:space="0" w:color="auto"/>
            </w:tcBorders>
            <w:shd w:val="clear" w:color="auto" w:fill="auto"/>
            <w:noWrap/>
            <w:vAlign w:val="center"/>
          </w:tcPr>
          <w:p w14:paraId="15C301A9"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0.91</w:t>
            </w:r>
          </w:p>
        </w:tc>
        <w:tc>
          <w:tcPr>
            <w:tcW w:w="777" w:type="dxa"/>
            <w:tcBorders>
              <w:top w:val="single" w:sz="4" w:space="0" w:color="auto"/>
            </w:tcBorders>
            <w:shd w:val="clear" w:color="auto" w:fill="auto"/>
            <w:noWrap/>
            <w:vAlign w:val="center"/>
          </w:tcPr>
          <w:p w14:paraId="75237494"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2E-08</w:t>
            </w:r>
          </w:p>
        </w:tc>
        <w:tc>
          <w:tcPr>
            <w:tcW w:w="652" w:type="dxa"/>
            <w:tcBorders>
              <w:top w:val="single" w:sz="4" w:space="0" w:color="auto"/>
            </w:tcBorders>
            <w:shd w:val="clear" w:color="auto" w:fill="auto"/>
            <w:noWrap/>
            <w:vAlign w:val="center"/>
          </w:tcPr>
          <w:p w14:paraId="6C3C36D7"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0.68</w:t>
            </w:r>
          </w:p>
        </w:tc>
        <w:tc>
          <w:tcPr>
            <w:tcW w:w="867" w:type="dxa"/>
            <w:gridSpan w:val="2"/>
            <w:tcBorders>
              <w:top w:val="single" w:sz="4" w:space="0" w:color="auto"/>
            </w:tcBorders>
            <w:shd w:val="clear" w:color="auto" w:fill="auto"/>
            <w:noWrap/>
            <w:vAlign w:val="center"/>
          </w:tcPr>
          <w:p w14:paraId="5D10D7A8"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0.0011</w:t>
            </w:r>
          </w:p>
        </w:tc>
        <w:tc>
          <w:tcPr>
            <w:tcW w:w="709" w:type="dxa"/>
            <w:tcBorders>
              <w:top w:val="single" w:sz="4" w:space="0" w:color="auto"/>
            </w:tcBorders>
            <w:shd w:val="clear" w:color="auto" w:fill="auto"/>
            <w:noWrap/>
            <w:vAlign w:val="center"/>
          </w:tcPr>
          <w:p w14:paraId="6A2E241E"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0.77</w:t>
            </w:r>
          </w:p>
        </w:tc>
        <w:tc>
          <w:tcPr>
            <w:tcW w:w="777" w:type="dxa"/>
            <w:tcBorders>
              <w:top w:val="single" w:sz="4" w:space="0" w:color="auto"/>
              <w:right w:val="single" w:sz="4" w:space="0" w:color="auto"/>
            </w:tcBorders>
            <w:shd w:val="clear" w:color="auto" w:fill="auto"/>
            <w:noWrap/>
            <w:vAlign w:val="center"/>
          </w:tcPr>
          <w:p w14:paraId="072C75CF"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6E-05</w:t>
            </w:r>
          </w:p>
        </w:tc>
        <w:tc>
          <w:tcPr>
            <w:tcW w:w="640" w:type="dxa"/>
            <w:tcBorders>
              <w:top w:val="single" w:sz="4" w:space="0" w:color="auto"/>
              <w:left w:val="single" w:sz="4" w:space="0" w:color="auto"/>
            </w:tcBorders>
            <w:shd w:val="clear" w:color="auto" w:fill="auto"/>
            <w:noWrap/>
            <w:vAlign w:val="center"/>
          </w:tcPr>
          <w:p w14:paraId="4FB030AF"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0.65</w:t>
            </w:r>
          </w:p>
        </w:tc>
        <w:tc>
          <w:tcPr>
            <w:tcW w:w="851" w:type="dxa"/>
            <w:tcBorders>
              <w:top w:val="single" w:sz="4" w:space="0" w:color="auto"/>
            </w:tcBorders>
            <w:shd w:val="clear" w:color="auto" w:fill="auto"/>
            <w:noWrap/>
            <w:vAlign w:val="center"/>
          </w:tcPr>
          <w:p w14:paraId="3548830A"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0.0120</w:t>
            </w:r>
          </w:p>
        </w:tc>
        <w:tc>
          <w:tcPr>
            <w:tcW w:w="571" w:type="dxa"/>
            <w:tcBorders>
              <w:top w:val="single" w:sz="4" w:space="0" w:color="auto"/>
            </w:tcBorders>
            <w:shd w:val="clear" w:color="auto" w:fill="auto"/>
            <w:noWrap/>
            <w:vAlign w:val="center"/>
          </w:tcPr>
          <w:p w14:paraId="39D7EBD4" w14:textId="77777777"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0.82</w:t>
            </w:r>
          </w:p>
        </w:tc>
        <w:tc>
          <w:tcPr>
            <w:tcW w:w="704" w:type="dxa"/>
            <w:tcBorders>
              <w:top w:val="single" w:sz="4" w:space="0" w:color="auto"/>
            </w:tcBorders>
            <w:shd w:val="clear" w:color="auto" w:fill="auto"/>
            <w:noWrap/>
            <w:vAlign w:val="center"/>
          </w:tcPr>
          <w:p w14:paraId="2B7EEBA6" w14:textId="77777777"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3E-04</w:t>
            </w:r>
          </w:p>
        </w:tc>
        <w:tc>
          <w:tcPr>
            <w:tcW w:w="571" w:type="dxa"/>
            <w:tcBorders>
              <w:top w:val="single" w:sz="4" w:space="0" w:color="auto"/>
            </w:tcBorders>
            <w:shd w:val="clear" w:color="auto" w:fill="auto"/>
            <w:noWrap/>
            <w:vAlign w:val="center"/>
          </w:tcPr>
          <w:p w14:paraId="3F230BA8" w14:textId="3F085CEB" w:rsidR="00AA4F0E" w:rsidRPr="00EB2BBB" w:rsidRDefault="00AA4F0E" w:rsidP="00EA2DAB">
            <w:pPr>
              <w:rPr>
                <w:rFonts w:ascii="Calibri" w:hAnsi="Calibri" w:cs="Calibri"/>
                <w:color w:val="000000"/>
                <w:sz w:val="20"/>
                <w:szCs w:val="20"/>
              </w:rPr>
            </w:pPr>
            <w:r w:rsidRPr="00EB2BBB">
              <w:rPr>
                <w:rFonts w:ascii="Calibri" w:hAnsi="Calibri" w:cs="Calibri"/>
                <w:color w:val="000000"/>
                <w:sz w:val="20"/>
                <w:szCs w:val="20"/>
              </w:rPr>
              <w:t>0.61</w:t>
            </w:r>
          </w:p>
        </w:tc>
        <w:tc>
          <w:tcPr>
            <w:tcW w:w="989" w:type="dxa"/>
            <w:gridSpan w:val="2"/>
            <w:tcBorders>
              <w:top w:val="single" w:sz="4" w:space="0" w:color="auto"/>
            </w:tcBorders>
            <w:shd w:val="clear" w:color="auto" w:fill="auto"/>
            <w:noWrap/>
            <w:vAlign w:val="center"/>
          </w:tcPr>
          <w:p w14:paraId="3E830964" w14:textId="75D1627C" w:rsidR="00AA4F0E" w:rsidRPr="00EB2BBB" w:rsidRDefault="00AA4F0E" w:rsidP="00EA2DAB">
            <w:pPr>
              <w:rPr>
                <w:rFonts w:ascii="Calibri" w:hAnsi="Calibri" w:cs="Calibri"/>
                <w:b/>
                <w:bCs/>
                <w:color w:val="000000"/>
                <w:sz w:val="20"/>
                <w:szCs w:val="20"/>
              </w:rPr>
            </w:pPr>
            <w:r w:rsidRPr="00EB2BBB">
              <w:rPr>
                <w:rFonts w:ascii="Calibri" w:hAnsi="Calibri" w:cs="Calibri"/>
                <w:b/>
                <w:bCs/>
                <w:color w:val="000000"/>
                <w:sz w:val="20"/>
                <w:szCs w:val="20"/>
              </w:rPr>
              <w:t>0.0194</w:t>
            </w:r>
          </w:p>
        </w:tc>
      </w:tr>
    </w:tbl>
    <w:p w14:paraId="21583CD4" w14:textId="77777777" w:rsidR="00AA4F0E" w:rsidRPr="00EB2BBB" w:rsidRDefault="00AA4F0E" w:rsidP="00AA4F0E">
      <w:pPr>
        <w:rPr>
          <w:sz w:val="12"/>
          <w:szCs w:val="12"/>
        </w:rPr>
      </w:pPr>
    </w:p>
    <w:tbl>
      <w:tblPr>
        <w:tblW w:w="9366" w:type="dxa"/>
        <w:tblLook w:val="04A0" w:firstRow="1" w:lastRow="0" w:firstColumn="1" w:lastColumn="0" w:noHBand="0" w:noVBand="1"/>
      </w:tblPr>
      <w:tblGrid>
        <w:gridCol w:w="799"/>
        <w:gridCol w:w="652"/>
        <w:gridCol w:w="696"/>
        <w:gridCol w:w="81"/>
        <w:gridCol w:w="652"/>
        <w:gridCol w:w="615"/>
        <w:gridCol w:w="162"/>
        <w:gridCol w:w="652"/>
        <w:gridCol w:w="777"/>
        <w:gridCol w:w="652"/>
        <w:gridCol w:w="777"/>
        <w:gridCol w:w="641"/>
        <w:gridCol w:w="793"/>
        <w:gridCol w:w="640"/>
        <w:gridCol w:w="777"/>
      </w:tblGrid>
      <w:tr w:rsidR="00AA4F0E" w:rsidRPr="00EB2BBB" w14:paraId="150E1249" w14:textId="77777777" w:rsidTr="00EA2DAB">
        <w:trPr>
          <w:trHeight w:val="320"/>
        </w:trPr>
        <w:tc>
          <w:tcPr>
            <w:tcW w:w="79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1224A7C" w14:textId="688009F0" w:rsidR="00AA4F0E" w:rsidRPr="00EB2BBB" w:rsidRDefault="00EB2BBB" w:rsidP="00EA2DAB">
            <w:pPr>
              <w:rPr>
                <w:rFonts w:ascii="Calibri (Body)" w:hAnsi="Calibri (Body)" w:cs="Calibri" w:hint="eastAsia"/>
                <w:i/>
                <w:iCs/>
                <w:color w:val="000000"/>
              </w:rPr>
            </w:pPr>
            <w:proofErr w:type="spellStart"/>
            <w:r w:rsidRPr="00EB2BBB">
              <w:rPr>
                <w:rFonts w:ascii="Calibri (Body)" w:hAnsi="Calibri (Body)" w:cs="Calibri"/>
                <w:i/>
                <w:iCs/>
                <w:color w:val="000000"/>
              </w:rPr>
              <w:t>TDev</w:t>
            </w:r>
            <w:proofErr w:type="spellEnd"/>
          </w:p>
        </w:tc>
        <w:tc>
          <w:tcPr>
            <w:tcW w:w="4287" w:type="dxa"/>
            <w:gridSpan w:val="8"/>
            <w:tcBorders>
              <w:top w:val="none" w:sz="4" w:space="0" w:color="000000"/>
              <w:left w:val="none" w:sz="4" w:space="0" w:color="000000"/>
              <w:bottom w:val="none" w:sz="4" w:space="0" w:color="000000"/>
              <w:right w:val="single" w:sz="4" w:space="0" w:color="auto"/>
            </w:tcBorders>
            <w:shd w:val="clear" w:color="auto" w:fill="auto"/>
            <w:noWrap/>
            <w:vAlign w:val="bottom"/>
          </w:tcPr>
          <w:p w14:paraId="2B905D1A"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Bedrest</w:t>
            </w:r>
          </w:p>
        </w:tc>
        <w:tc>
          <w:tcPr>
            <w:tcW w:w="4280" w:type="dxa"/>
            <w:gridSpan w:val="6"/>
            <w:tcBorders>
              <w:top w:val="none" w:sz="4" w:space="0" w:color="000000"/>
              <w:left w:val="single" w:sz="4" w:space="0" w:color="auto"/>
              <w:bottom w:val="none" w:sz="4" w:space="0" w:color="000000"/>
              <w:right w:val="none" w:sz="4" w:space="0" w:color="000000"/>
            </w:tcBorders>
            <w:shd w:val="clear" w:color="auto" w:fill="auto"/>
            <w:noWrap/>
            <w:vAlign w:val="bottom"/>
          </w:tcPr>
          <w:p w14:paraId="5C50710E"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Control</w:t>
            </w:r>
          </w:p>
        </w:tc>
      </w:tr>
      <w:tr w:rsidR="00EB2BBB" w:rsidRPr="00EB2BBB" w14:paraId="383C8978" w14:textId="77777777" w:rsidTr="00EB2BBB">
        <w:trPr>
          <w:trHeight w:val="320"/>
        </w:trPr>
        <w:tc>
          <w:tcPr>
            <w:tcW w:w="79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7E03915" w14:textId="77777777" w:rsidR="00AA4F0E" w:rsidRPr="00EB2BBB" w:rsidRDefault="00AA4F0E" w:rsidP="00EA2DAB">
            <w:pPr>
              <w:jc w:val="center"/>
              <w:rPr>
                <w:rFonts w:ascii="Calibri (Body)" w:hAnsi="Calibri (Body)" w:cs="Calibri" w:hint="eastAsia"/>
                <w:color w:val="000000"/>
                <w:sz w:val="20"/>
                <w:szCs w:val="20"/>
              </w:rPr>
            </w:pPr>
          </w:p>
        </w:tc>
        <w:tc>
          <w:tcPr>
            <w:tcW w:w="134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FFACE2B"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V-P</w:t>
            </w:r>
          </w:p>
        </w:tc>
        <w:tc>
          <w:tcPr>
            <w:tcW w:w="1348" w:type="dxa"/>
            <w:gridSpan w:val="3"/>
            <w:tcBorders>
              <w:top w:val="none" w:sz="4" w:space="0" w:color="000000"/>
              <w:left w:val="none" w:sz="4" w:space="0" w:color="000000"/>
              <w:bottom w:val="none" w:sz="4" w:space="0" w:color="000000"/>
              <w:right w:val="none" w:sz="4" w:space="0" w:color="000000"/>
            </w:tcBorders>
            <w:shd w:val="clear" w:color="auto" w:fill="auto"/>
            <w:noWrap/>
            <w:vAlign w:val="bottom"/>
          </w:tcPr>
          <w:p w14:paraId="63C424E8"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V-V</w:t>
            </w:r>
          </w:p>
        </w:tc>
        <w:tc>
          <w:tcPr>
            <w:tcW w:w="1591" w:type="dxa"/>
            <w:gridSpan w:val="3"/>
            <w:tcBorders>
              <w:top w:val="none" w:sz="4" w:space="0" w:color="000000"/>
              <w:left w:val="none" w:sz="4" w:space="0" w:color="000000"/>
              <w:bottom w:val="none" w:sz="4" w:space="0" w:color="000000"/>
              <w:right w:val="single" w:sz="4" w:space="0" w:color="auto"/>
            </w:tcBorders>
            <w:shd w:val="clear" w:color="auto" w:fill="auto"/>
            <w:noWrap/>
            <w:vAlign w:val="bottom"/>
          </w:tcPr>
          <w:p w14:paraId="76C8B796"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P-P</w:t>
            </w:r>
          </w:p>
        </w:tc>
        <w:tc>
          <w:tcPr>
            <w:tcW w:w="1429" w:type="dxa"/>
            <w:gridSpan w:val="2"/>
            <w:tcBorders>
              <w:top w:val="none" w:sz="4" w:space="0" w:color="000000"/>
              <w:left w:val="single" w:sz="4" w:space="0" w:color="auto"/>
              <w:bottom w:val="none" w:sz="4" w:space="0" w:color="000000"/>
              <w:right w:val="none" w:sz="4" w:space="0" w:color="000000"/>
            </w:tcBorders>
            <w:shd w:val="clear" w:color="auto" w:fill="auto"/>
            <w:noWrap/>
            <w:vAlign w:val="bottom"/>
          </w:tcPr>
          <w:p w14:paraId="0D37F77F"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V-P</w:t>
            </w:r>
          </w:p>
        </w:tc>
        <w:tc>
          <w:tcPr>
            <w:tcW w:w="1434" w:type="dxa"/>
            <w:gridSpan w:val="2"/>
            <w:tcBorders>
              <w:top w:val="none" w:sz="4" w:space="0" w:color="000000"/>
              <w:left w:val="none" w:sz="4" w:space="0" w:color="000000"/>
              <w:bottom w:val="none" w:sz="4" w:space="0" w:color="000000"/>
            </w:tcBorders>
            <w:shd w:val="clear" w:color="auto" w:fill="auto"/>
            <w:noWrap/>
            <w:vAlign w:val="bottom"/>
          </w:tcPr>
          <w:p w14:paraId="371E7C4F"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V-V</w:t>
            </w:r>
          </w:p>
        </w:tc>
        <w:tc>
          <w:tcPr>
            <w:tcW w:w="1417" w:type="dxa"/>
            <w:gridSpan w:val="2"/>
            <w:tcBorders>
              <w:right w:val="single" w:sz="4" w:space="0" w:color="FFFFFF" w:themeColor="background1"/>
            </w:tcBorders>
            <w:shd w:val="clear" w:color="auto" w:fill="auto"/>
            <w:noWrap/>
            <w:vAlign w:val="bottom"/>
          </w:tcPr>
          <w:p w14:paraId="2793ACE1"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P-P</w:t>
            </w:r>
          </w:p>
        </w:tc>
      </w:tr>
      <w:tr w:rsidR="00AA4F0E" w:rsidRPr="00EB2BBB" w14:paraId="2452DE79" w14:textId="77777777" w:rsidTr="00EB2BBB">
        <w:trPr>
          <w:trHeight w:val="320"/>
        </w:trPr>
        <w:tc>
          <w:tcPr>
            <w:tcW w:w="799" w:type="dxa"/>
            <w:tcBorders>
              <w:left w:val="none" w:sz="4" w:space="0" w:color="000000"/>
              <w:bottom w:val="none" w:sz="4" w:space="0" w:color="000000"/>
              <w:right w:val="none" w:sz="4" w:space="0" w:color="000000"/>
            </w:tcBorders>
            <w:shd w:val="clear" w:color="auto" w:fill="auto"/>
            <w:noWrap/>
            <w:vAlign w:val="bottom"/>
          </w:tcPr>
          <w:p w14:paraId="507F0413" w14:textId="77777777" w:rsidR="00AA4F0E" w:rsidRPr="00EB2BBB" w:rsidRDefault="00AA4F0E" w:rsidP="00EA2DAB">
            <w:pPr>
              <w:jc w:val="center"/>
              <w:rPr>
                <w:rFonts w:ascii="Calibri (Body)" w:hAnsi="Calibri (Body)" w:cs="Calibri" w:hint="eastAsia"/>
                <w:color w:val="000000"/>
                <w:sz w:val="20"/>
                <w:szCs w:val="20"/>
              </w:rPr>
            </w:pPr>
          </w:p>
        </w:tc>
        <w:tc>
          <w:tcPr>
            <w:tcW w:w="652" w:type="dxa"/>
            <w:tcBorders>
              <w:left w:val="none" w:sz="4" w:space="0" w:color="000000"/>
              <w:bottom w:val="none" w:sz="4" w:space="0" w:color="000000"/>
              <w:right w:val="none" w:sz="4" w:space="0" w:color="000000"/>
            </w:tcBorders>
            <w:shd w:val="clear" w:color="auto" w:fill="auto"/>
            <w:noWrap/>
            <w:vAlign w:val="center"/>
          </w:tcPr>
          <w:p w14:paraId="33CC3FEB"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R</w:t>
            </w:r>
          </w:p>
        </w:tc>
        <w:tc>
          <w:tcPr>
            <w:tcW w:w="777" w:type="dxa"/>
            <w:gridSpan w:val="2"/>
            <w:tcBorders>
              <w:left w:val="none" w:sz="4" w:space="0" w:color="000000"/>
              <w:bottom w:val="none" w:sz="4" w:space="0" w:color="000000"/>
              <w:right w:val="none" w:sz="4" w:space="0" w:color="000000"/>
            </w:tcBorders>
            <w:shd w:val="clear" w:color="auto" w:fill="auto"/>
            <w:noWrap/>
            <w:vAlign w:val="center"/>
          </w:tcPr>
          <w:p w14:paraId="3DBCED3E"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p</w:t>
            </w:r>
          </w:p>
        </w:tc>
        <w:tc>
          <w:tcPr>
            <w:tcW w:w="652" w:type="dxa"/>
            <w:tcBorders>
              <w:left w:val="none" w:sz="4" w:space="0" w:color="000000"/>
              <w:bottom w:val="none" w:sz="4" w:space="0" w:color="000000"/>
              <w:right w:val="none" w:sz="4" w:space="0" w:color="000000"/>
            </w:tcBorders>
            <w:shd w:val="clear" w:color="auto" w:fill="auto"/>
            <w:noWrap/>
            <w:vAlign w:val="center"/>
          </w:tcPr>
          <w:p w14:paraId="13E63952"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R</w:t>
            </w:r>
          </w:p>
        </w:tc>
        <w:tc>
          <w:tcPr>
            <w:tcW w:w="777" w:type="dxa"/>
            <w:gridSpan w:val="2"/>
            <w:tcBorders>
              <w:left w:val="none" w:sz="4" w:space="0" w:color="000000"/>
              <w:bottom w:val="none" w:sz="4" w:space="0" w:color="000000"/>
              <w:right w:val="none" w:sz="4" w:space="0" w:color="000000"/>
            </w:tcBorders>
            <w:shd w:val="clear" w:color="auto" w:fill="auto"/>
            <w:noWrap/>
            <w:vAlign w:val="center"/>
          </w:tcPr>
          <w:p w14:paraId="0231B172"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p</w:t>
            </w:r>
          </w:p>
        </w:tc>
        <w:tc>
          <w:tcPr>
            <w:tcW w:w="652" w:type="dxa"/>
            <w:tcBorders>
              <w:left w:val="none" w:sz="4" w:space="0" w:color="000000"/>
              <w:bottom w:val="none" w:sz="4" w:space="0" w:color="000000"/>
              <w:right w:val="none" w:sz="4" w:space="0" w:color="000000"/>
            </w:tcBorders>
            <w:shd w:val="clear" w:color="auto" w:fill="auto"/>
            <w:noWrap/>
            <w:vAlign w:val="center"/>
          </w:tcPr>
          <w:p w14:paraId="47710DCC"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R</w:t>
            </w:r>
          </w:p>
        </w:tc>
        <w:tc>
          <w:tcPr>
            <w:tcW w:w="777" w:type="dxa"/>
            <w:tcBorders>
              <w:left w:val="none" w:sz="4" w:space="0" w:color="000000"/>
              <w:bottom w:val="none" w:sz="4" w:space="0" w:color="000000"/>
              <w:right w:val="single" w:sz="4" w:space="0" w:color="auto"/>
            </w:tcBorders>
            <w:shd w:val="clear" w:color="auto" w:fill="auto"/>
            <w:noWrap/>
            <w:vAlign w:val="center"/>
          </w:tcPr>
          <w:p w14:paraId="572B2B78"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p</w:t>
            </w:r>
          </w:p>
        </w:tc>
        <w:tc>
          <w:tcPr>
            <w:tcW w:w="652" w:type="dxa"/>
            <w:tcBorders>
              <w:left w:val="single" w:sz="4" w:space="0" w:color="auto"/>
              <w:bottom w:val="none" w:sz="4" w:space="0" w:color="000000"/>
              <w:right w:val="none" w:sz="4" w:space="0" w:color="000000"/>
            </w:tcBorders>
            <w:shd w:val="clear" w:color="auto" w:fill="auto"/>
            <w:noWrap/>
            <w:vAlign w:val="center"/>
          </w:tcPr>
          <w:p w14:paraId="2E2F7BB4"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R</w:t>
            </w:r>
          </w:p>
        </w:tc>
        <w:tc>
          <w:tcPr>
            <w:tcW w:w="777" w:type="dxa"/>
            <w:tcBorders>
              <w:left w:val="none" w:sz="4" w:space="0" w:color="000000"/>
              <w:bottom w:val="none" w:sz="4" w:space="0" w:color="000000"/>
              <w:right w:val="none" w:sz="4" w:space="0" w:color="000000"/>
            </w:tcBorders>
            <w:shd w:val="clear" w:color="auto" w:fill="auto"/>
            <w:noWrap/>
            <w:vAlign w:val="center"/>
          </w:tcPr>
          <w:p w14:paraId="6EA96B73"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p</w:t>
            </w:r>
          </w:p>
        </w:tc>
        <w:tc>
          <w:tcPr>
            <w:tcW w:w="641" w:type="dxa"/>
            <w:tcBorders>
              <w:left w:val="none" w:sz="4" w:space="0" w:color="000000"/>
              <w:bottom w:val="none" w:sz="4" w:space="0" w:color="000000"/>
              <w:right w:val="none" w:sz="4" w:space="0" w:color="000000"/>
            </w:tcBorders>
            <w:shd w:val="clear" w:color="auto" w:fill="auto"/>
            <w:noWrap/>
            <w:vAlign w:val="center"/>
          </w:tcPr>
          <w:p w14:paraId="748C0A6B"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R</w:t>
            </w:r>
          </w:p>
        </w:tc>
        <w:tc>
          <w:tcPr>
            <w:tcW w:w="777" w:type="dxa"/>
            <w:tcBorders>
              <w:left w:val="none" w:sz="4" w:space="0" w:color="000000"/>
              <w:bottom w:val="none" w:sz="4" w:space="0" w:color="000000"/>
              <w:right w:val="none" w:sz="4" w:space="0" w:color="000000"/>
            </w:tcBorders>
            <w:shd w:val="clear" w:color="auto" w:fill="auto"/>
            <w:noWrap/>
            <w:vAlign w:val="center"/>
          </w:tcPr>
          <w:p w14:paraId="3B789D70"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p</w:t>
            </w:r>
          </w:p>
        </w:tc>
        <w:tc>
          <w:tcPr>
            <w:tcW w:w="640" w:type="dxa"/>
            <w:tcBorders>
              <w:left w:val="none" w:sz="4" w:space="0" w:color="000000"/>
              <w:bottom w:val="none" w:sz="4" w:space="0" w:color="000000"/>
              <w:right w:val="none" w:sz="4" w:space="0" w:color="000000"/>
            </w:tcBorders>
            <w:shd w:val="clear" w:color="auto" w:fill="auto"/>
            <w:noWrap/>
            <w:vAlign w:val="center"/>
          </w:tcPr>
          <w:p w14:paraId="1D3CA130"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R</w:t>
            </w:r>
          </w:p>
        </w:tc>
        <w:tc>
          <w:tcPr>
            <w:tcW w:w="777" w:type="dxa"/>
            <w:tcBorders>
              <w:left w:val="none" w:sz="4" w:space="0" w:color="000000"/>
              <w:bottom w:val="none" w:sz="4" w:space="0" w:color="000000"/>
              <w:right w:val="none" w:sz="4" w:space="0" w:color="000000"/>
            </w:tcBorders>
            <w:shd w:val="clear" w:color="auto" w:fill="auto"/>
            <w:noWrap/>
            <w:vAlign w:val="center"/>
          </w:tcPr>
          <w:p w14:paraId="3A007D90"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p</w:t>
            </w:r>
          </w:p>
        </w:tc>
      </w:tr>
      <w:tr w:rsidR="00AA4F0E" w:rsidRPr="00EB2BBB" w14:paraId="04BC3EB9" w14:textId="77777777" w:rsidTr="00EA2DAB">
        <w:trPr>
          <w:trHeight w:val="259"/>
        </w:trPr>
        <w:tc>
          <w:tcPr>
            <w:tcW w:w="799" w:type="dxa"/>
            <w:tcBorders>
              <w:top w:val="none" w:sz="4" w:space="0" w:color="000000"/>
              <w:left w:val="none" w:sz="4" w:space="0" w:color="000000"/>
              <w:bottom w:val="single" w:sz="4" w:space="0" w:color="auto"/>
              <w:right w:val="none" w:sz="4" w:space="0" w:color="000000"/>
            </w:tcBorders>
            <w:shd w:val="clear" w:color="auto" w:fill="auto"/>
            <w:noWrap/>
            <w:vAlign w:val="center"/>
          </w:tcPr>
          <w:p w14:paraId="3B7FD141" w14:textId="77777777" w:rsidR="00AA4F0E" w:rsidRPr="00EB2BBB" w:rsidRDefault="00AA4F0E" w:rsidP="00EA2DAB">
            <w:pPr>
              <w:rPr>
                <w:rFonts w:ascii="Calibri (Body)" w:hAnsi="Calibri (Body)" w:cs="Calibri" w:hint="eastAsia"/>
                <w:color w:val="000000"/>
                <w:sz w:val="18"/>
                <w:szCs w:val="18"/>
              </w:rPr>
            </w:pPr>
            <w:r w:rsidRPr="00EB2BBB">
              <w:rPr>
                <w:rFonts w:ascii="Calibri (Body)" w:hAnsi="Calibri (Body)" w:cs="Calibri"/>
                <w:color w:val="000000"/>
                <w:sz w:val="18"/>
                <w:szCs w:val="18"/>
              </w:rPr>
              <w:t>BDC-</w:t>
            </w:r>
            <w:proofErr w:type="gramStart"/>
            <w:r w:rsidRPr="00EB2BBB">
              <w:rPr>
                <w:rFonts w:ascii="Calibri (Body)" w:hAnsi="Calibri (Body)" w:cs="Calibri"/>
                <w:color w:val="000000"/>
                <w:sz w:val="18"/>
                <w:szCs w:val="18"/>
              </w:rPr>
              <w:t>7  HTD</w:t>
            </w:r>
            <w:proofErr w:type="gramEnd"/>
            <w:r w:rsidRPr="00EB2BBB">
              <w:rPr>
                <w:rFonts w:ascii="Calibri (Body)" w:hAnsi="Calibri (Body)" w:cs="Calibri"/>
                <w:color w:val="000000"/>
                <w:sz w:val="18"/>
                <w:szCs w:val="18"/>
              </w:rPr>
              <w:t>+2</w:t>
            </w:r>
          </w:p>
        </w:tc>
        <w:tc>
          <w:tcPr>
            <w:tcW w:w="652" w:type="dxa"/>
            <w:tcBorders>
              <w:top w:val="none" w:sz="4" w:space="0" w:color="000000"/>
              <w:left w:val="none" w:sz="4" w:space="0" w:color="000000"/>
              <w:bottom w:val="single" w:sz="4" w:space="0" w:color="auto"/>
              <w:right w:val="none" w:sz="4" w:space="0" w:color="000000"/>
            </w:tcBorders>
            <w:shd w:val="clear" w:color="auto" w:fill="auto"/>
            <w:noWrap/>
            <w:vAlign w:val="center"/>
          </w:tcPr>
          <w:p w14:paraId="318B8FFE"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0.68</w:t>
            </w:r>
          </w:p>
        </w:tc>
        <w:tc>
          <w:tcPr>
            <w:tcW w:w="777" w:type="dxa"/>
            <w:gridSpan w:val="2"/>
            <w:tcBorders>
              <w:top w:val="none" w:sz="4" w:space="0" w:color="000000"/>
              <w:left w:val="none" w:sz="4" w:space="0" w:color="000000"/>
              <w:bottom w:val="single" w:sz="4" w:space="0" w:color="auto"/>
              <w:right w:val="none" w:sz="4" w:space="0" w:color="000000"/>
            </w:tcBorders>
            <w:shd w:val="clear" w:color="auto" w:fill="auto"/>
            <w:noWrap/>
            <w:vAlign w:val="center"/>
          </w:tcPr>
          <w:p w14:paraId="521FD3E5"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0.0011</w:t>
            </w:r>
          </w:p>
        </w:tc>
        <w:tc>
          <w:tcPr>
            <w:tcW w:w="652" w:type="dxa"/>
            <w:tcBorders>
              <w:top w:val="none" w:sz="4" w:space="0" w:color="000000"/>
              <w:left w:val="none" w:sz="4" w:space="0" w:color="000000"/>
              <w:bottom w:val="single" w:sz="4" w:space="0" w:color="auto"/>
              <w:right w:val="none" w:sz="4" w:space="0" w:color="000000"/>
            </w:tcBorders>
            <w:shd w:val="clear" w:color="auto" w:fill="auto"/>
            <w:noWrap/>
            <w:vAlign w:val="center"/>
          </w:tcPr>
          <w:p w14:paraId="2A10E31E"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0.31</w:t>
            </w:r>
          </w:p>
        </w:tc>
        <w:tc>
          <w:tcPr>
            <w:tcW w:w="777" w:type="dxa"/>
            <w:gridSpan w:val="2"/>
            <w:tcBorders>
              <w:top w:val="none" w:sz="4" w:space="0" w:color="000000"/>
              <w:left w:val="none" w:sz="4" w:space="0" w:color="000000"/>
              <w:bottom w:val="single" w:sz="4" w:space="0" w:color="auto"/>
              <w:right w:val="none" w:sz="4" w:space="0" w:color="000000"/>
            </w:tcBorders>
            <w:shd w:val="clear" w:color="auto" w:fill="auto"/>
            <w:noWrap/>
            <w:vAlign w:val="center"/>
          </w:tcPr>
          <w:p w14:paraId="64E5B117"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0.1773</w:t>
            </w:r>
          </w:p>
        </w:tc>
        <w:tc>
          <w:tcPr>
            <w:tcW w:w="652" w:type="dxa"/>
            <w:tcBorders>
              <w:top w:val="none" w:sz="4" w:space="0" w:color="000000"/>
              <w:left w:val="none" w:sz="4" w:space="0" w:color="000000"/>
              <w:bottom w:val="single" w:sz="4" w:space="0" w:color="auto"/>
              <w:right w:val="none" w:sz="4" w:space="0" w:color="000000"/>
            </w:tcBorders>
            <w:shd w:val="clear" w:color="auto" w:fill="auto"/>
            <w:noWrap/>
            <w:vAlign w:val="center"/>
          </w:tcPr>
          <w:p w14:paraId="5AC7AC3A"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-0.16</w:t>
            </w:r>
          </w:p>
        </w:tc>
        <w:tc>
          <w:tcPr>
            <w:tcW w:w="777"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92703FD"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0.5112</w:t>
            </w:r>
          </w:p>
        </w:tc>
        <w:tc>
          <w:tcPr>
            <w:tcW w:w="652" w:type="dxa"/>
            <w:tcBorders>
              <w:top w:val="none" w:sz="4" w:space="0" w:color="000000"/>
              <w:left w:val="single" w:sz="4" w:space="0" w:color="auto"/>
              <w:bottom w:val="single" w:sz="4" w:space="0" w:color="auto"/>
              <w:right w:val="none" w:sz="4" w:space="0" w:color="000000"/>
            </w:tcBorders>
            <w:shd w:val="clear" w:color="auto" w:fill="auto"/>
            <w:noWrap/>
            <w:vAlign w:val="center"/>
          </w:tcPr>
          <w:p w14:paraId="28D0CF5D"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0.59</w:t>
            </w:r>
          </w:p>
        </w:tc>
        <w:tc>
          <w:tcPr>
            <w:tcW w:w="777" w:type="dxa"/>
            <w:tcBorders>
              <w:top w:val="none" w:sz="4" w:space="0" w:color="000000"/>
              <w:left w:val="none" w:sz="4" w:space="0" w:color="000000"/>
              <w:bottom w:val="single" w:sz="4" w:space="0" w:color="auto"/>
              <w:right w:val="none" w:sz="4" w:space="0" w:color="000000"/>
            </w:tcBorders>
            <w:shd w:val="clear" w:color="auto" w:fill="auto"/>
            <w:noWrap/>
            <w:vAlign w:val="center"/>
          </w:tcPr>
          <w:p w14:paraId="6DAFDD14"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0.0276</w:t>
            </w:r>
          </w:p>
        </w:tc>
        <w:tc>
          <w:tcPr>
            <w:tcW w:w="641" w:type="dxa"/>
            <w:tcBorders>
              <w:top w:val="none" w:sz="4" w:space="0" w:color="000000"/>
              <w:left w:val="none" w:sz="4" w:space="0" w:color="000000"/>
              <w:bottom w:val="single" w:sz="4" w:space="0" w:color="auto"/>
              <w:right w:val="none" w:sz="4" w:space="0" w:color="000000"/>
            </w:tcBorders>
            <w:shd w:val="clear" w:color="auto" w:fill="auto"/>
            <w:noWrap/>
            <w:vAlign w:val="center"/>
          </w:tcPr>
          <w:p w14:paraId="0EC12E3F"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0.07</w:t>
            </w:r>
          </w:p>
        </w:tc>
        <w:tc>
          <w:tcPr>
            <w:tcW w:w="777" w:type="dxa"/>
            <w:tcBorders>
              <w:top w:val="none" w:sz="4" w:space="0" w:color="000000"/>
              <w:left w:val="none" w:sz="4" w:space="0" w:color="000000"/>
              <w:bottom w:val="single" w:sz="4" w:space="0" w:color="auto"/>
              <w:right w:val="none" w:sz="4" w:space="0" w:color="000000"/>
            </w:tcBorders>
            <w:shd w:val="clear" w:color="auto" w:fill="auto"/>
            <w:noWrap/>
            <w:vAlign w:val="center"/>
          </w:tcPr>
          <w:p w14:paraId="2417E29B"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0.8111</w:t>
            </w:r>
          </w:p>
        </w:tc>
        <w:tc>
          <w:tcPr>
            <w:tcW w:w="640" w:type="dxa"/>
            <w:tcBorders>
              <w:top w:val="none" w:sz="4" w:space="0" w:color="000000"/>
              <w:left w:val="none" w:sz="4" w:space="0" w:color="000000"/>
              <w:bottom w:val="single" w:sz="4" w:space="0" w:color="auto"/>
              <w:right w:val="none" w:sz="4" w:space="0" w:color="000000"/>
            </w:tcBorders>
            <w:shd w:val="clear" w:color="auto" w:fill="auto"/>
            <w:noWrap/>
            <w:vAlign w:val="center"/>
          </w:tcPr>
          <w:p w14:paraId="435D253B"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-0.05</w:t>
            </w:r>
          </w:p>
        </w:tc>
        <w:tc>
          <w:tcPr>
            <w:tcW w:w="777" w:type="dxa"/>
            <w:tcBorders>
              <w:top w:val="none" w:sz="4" w:space="0" w:color="000000"/>
              <w:left w:val="none" w:sz="4" w:space="0" w:color="000000"/>
              <w:bottom w:val="single" w:sz="4" w:space="0" w:color="auto"/>
              <w:right w:val="none" w:sz="4" w:space="0" w:color="000000"/>
            </w:tcBorders>
            <w:shd w:val="clear" w:color="auto" w:fill="auto"/>
            <w:noWrap/>
            <w:vAlign w:val="center"/>
          </w:tcPr>
          <w:p w14:paraId="676A28DD"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0.8660</w:t>
            </w:r>
          </w:p>
        </w:tc>
      </w:tr>
      <w:tr w:rsidR="00AA4F0E" w:rsidRPr="00EB2BBB" w14:paraId="7EEC7D3B" w14:textId="77777777" w:rsidTr="00EA2DAB">
        <w:trPr>
          <w:trHeight w:val="259"/>
        </w:trPr>
        <w:tc>
          <w:tcPr>
            <w:tcW w:w="799" w:type="dxa"/>
            <w:tcBorders>
              <w:top w:val="single" w:sz="4" w:space="0" w:color="auto"/>
              <w:left w:val="none" w:sz="4" w:space="0" w:color="000000"/>
              <w:bottom w:val="single" w:sz="4" w:space="0" w:color="auto"/>
              <w:right w:val="none" w:sz="4" w:space="0" w:color="000000"/>
            </w:tcBorders>
            <w:shd w:val="clear" w:color="auto" w:fill="auto"/>
            <w:noWrap/>
            <w:vAlign w:val="center"/>
          </w:tcPr>
          <w:p w14:paraId="3BE58A37" w14:textId="77777777" w:rsidR="00AA4F0E" w:rsidRPr="00EB2BBB" w:rsidRDefault="00AA4F0E" w:rsidP="00EA2DAB">
            <w:pPr>
              <w:rPr>
                <w:rFonts w:ascii="Calibri (Body)" w:hAnsi="Calibri (Body)" w:cs="Calibri" w:hint="eastAsia"/>
                <w:color w:val="000000"/>
                <w:sz w:val="18"/>
                <w:szCs w:val="18"/>
              </w:rPr>
            </w:pPr>
            <w:r w:rsidRPr="00EB2BBB">
              <w:rPr>
                <w:rFonts w:ascii="Calibri (Body)" w:hAnsi="Calibri (Body)" w:cs="Calibri"/>
                <w:color w:val="000000"/>
                <w:sz w:val="18"/>
                <w:szCs w:val="18"/>
              </w:rPr>
              <w:t>HTD+2 HTD+30</w:t>
            </w:r>
          </w:p>
        </w:tc>
        <w:tc>
          <w:tcPr>
            <w:tcW w:w="652" w:type="dxa"/>
            <w:tcBorders>
              <w:top w:val="single" w:sz="4" w:space="0" w:color="auto"/>
              <w:left w:val="none" w:sz="4" w:space="0" w:color="000000"/>
              <w:bottom w:val="single" w:sz="4" w:space="0" w:color="auto"/>
              <w:right w:val="none" w:sz="4" w:space="0" w:color="000000"/>
            </w:tcBorders>
            <w:shd w:val="clear" w:color="auto" w:fill="auto"/>
            <w:noWrap/>
            <w:vAlign w:val="center"/>
          </w:tcPr>
          <w:p w14:paraId="6FF428E2"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0.58</w:t>
            </w:r>
          </w:p>
        </w:tc>
        <w:tc>
          <w:tcPr>
            <w:tcW w:w="777" w:type="dxa"/>
            <w:gridSpan w:val="2"/>
            <w:tcBorders>
              <w:top w:val="single" w:sz="4" w:space="0" w:color="auto"/>
              <w:left w:val="none" w:sz="4" w:space="0" w:color="000000"/>
              <w:bottom w:val="single" w:sz="4" w:space="0" w:color="auto"/>
              <w:right w:val="none" w:sz="4" w:space="0" w:color="000000"/>
            </w:tcBorders>
            <w:shd w:val="clear" w:color="auto" w:fill="auto"/>
            <w:noWrap/>
            <w:vAlign w:val="center"/>
          </w:tcPr>
          <w:p w14:paraId="04D15C31"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0.0073</w:t>
            </w:r>
          </w:p>
        </w:tc>
        <w:tc>
          <w:tcPr>
            <w:tcW w:w="652" w:type="dxa"/>
            <w:tcBorders>
              <w:top w:val="single" w:sz="4" w:space="0" w:color="auto"/>
              <w:left w:val="none" w:sz="4" w:space="0" w:color="000000"/>
              <w:bottom w:val="single" w:sz="4" w:space="0" w:color="auto"/>
              <w:right w:val="none" w:sz="4" w:space="0" w:color="000000"/>
            </w:tcBorders>
            <w:shd w:val="clear" w:color="auto" w:fill="auto"/>
            <w:noWrap/>
            <w:vAlign w:val="center"/>
          </w:tcPr>
          <w:p w14:paraId="6ECA8177"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0.62</w:t>
            </w:r>
          </w:p>
        </w:tc>
        <w:tc>
          <w:tcPr>
            <w:tcW w:w="777" w:type="dxa"/>
            <w:gridSpan w:val="2"/>
            <w:tcBorders>
              <w:top w:val="single" w:sz="4" w:space="0" w:color="auto"/>
              <w:left w:val="none" w:sz="4" w:space="0" w:color="000000"/>
              <w:bottom w:val="single" w:sz="4" w:space="0" w:color="auto"/>
              <w:right w:val="none" w:sz="4" w:space="0" w:color="000000"/>
            </w:tcBorders>
            <w:shd w:val="clear" w:color="auto" w:fill="auto"/>
            <w:noWrap/>
            <w:vAlign w:val="center"/>
          </w:tcPr>
          <w:p w14:paraId="69D59EE0"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0.0033</w:t>
            </w:r>
          </w:p>
        </w:tc>
        <w:tc>
          <w:tcPr>
            <w:tcW w:w="652" w:type="dxa"/>
            <w:tcBorders>
              <w:top w:val="single" w:sz="4" w:space="0" w:color="auto"/>
              <w:left w:val="none" w:sz="4" w:space="0" w:color="000000"/>
              <w:bottom w:val="single" w:sz="4" w:space="0" w:color="auto"/>
              <w:right w:val="none" w:sz="4" w:space="0" w:color="000000"/>
            </w:tcBorders>
            <w:shd w:val="clear" w:color="auto" w:fill="auto"/>
            <w:noWrap/>
            <w:vAlign w:val="center"/>
          </w:tcPr>
          <w:p w14:paraId="433CDFC0"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0.18</w:t>
            </w:r>
          </w:p>
        </w:tc>
        <w:tc>
          <w:tcPr>
            <w:tcW w:w="777" w:type="dxa"/>
            <w:tcBorders>
              <w:top w:val="single" w:sz="4" w:space="0" w:color="auto"/>
              <w:left w:val="none" w:sz="4" w:space="0" w:color="000000"/>
              <w:bottom w:val="single" w:sz="4" w:space="0" w:color="auto"/>
              <w:right w:val="single" w:sz="4" w:space="0" w:color="auto"/>
            </w:tcBorders>
            <w:shd w:val="clear" w:color="auto" w:fill="auto"/>
            <w:noWrap/>
            <w:vAlign w:val="center"/>
          </w:tcPr>
          <w:p w14:paraId="1160A391"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0.4591</w:t>
            </w:r>
          </w:p>
        </w:tc>
        <w:tc>
          <w:tcPr>
            <w:tcW w:w="652" w:type="dxa"/>
            <w:tcBorders>
              <w:top w:val="single" w:sz="4" w:space="0" w:color="auto"/>
              <w:left w:val="single" w:sz="4" w:space="0" w:color="auto"/>
              <w:bottom w:val="single" w:sz="4" w:space="0" w:color="auto"/>
              <w:right w:val="none" w:sz="4" w:space="0" w:color="000000"/>
            </w:tcBorders>
            <w:shd w:val="clear" w:color="auto" w:fill="auto"/>
            <w:noWrap/>
            <w:vAlign w:val="center"/>
          </w:tcPr>
          <w:p w14:paraId="436FAAD9"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0.41</w:t>
            </w:r>
          </w:p>
        </w:tc>
        <w:tc>
          <w:tcPr>
            <w:tcW w:w="77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2DFA1103"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0.1488</w:t>
            </w:r>
          </w:p>
        </w:tc>
        <w:tc>
          <w:tcPr>
            <w:tcW w:w="641" w:type="dxa"/>
            <w:tcBorders>
              <w:top w:val="single" w:sz="4" w:space="0" w:color="auto"/>
              <w:left w:val="none" w:sz="4" w:space="0" w:color="000000"/>
              <w:bottom w:val="single" w:sz="4" w:space="0" w:color="auto"/>
              <w:right w:val="none" w:sz="4" w:space="0" w:color="000000"/>
            </w:tcBorders>
            <w:shd w:val="clear" w:color="auto" w:fill="auto"/>
            <w:noWrap/>
            <w:vAlign w:val="center"/>
          </w:tcPr>
          <w:p w14:paraId="6D6B732F"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0.46</w:t>
            </w:r>
          </w:p>
        </w:tc>
        <w:tc>
          <w:tcPr>
            <w:tcW w:w="77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4E2EBCC6"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0.0984</w:t>
            </w:r>
          </w:p>
        </w:tc>
        <w:tc>
          <w:tcPr>
            <w:tcW w:w="640" w:type="dxa"/>
            <w:tcBorders>
              <w:top w:val="single" w:sz="4" w:space="0" w:color="auto"/>
              <w:left w:val="none" w:sz="4" w:space="0" w:color="000000"/>
              <w:bottom w:val="single" w:sz="4" w:space="0" w:color="auto"/>
              <w:right w:val="none" w:sz="4" w:space="0" w:color="000000"/>
            </w:tcBorders>
            <w:shd w:val="clear" w:color="auto" w:fill="auto"/>
            <w:noWrap/>
            <w:vAlign w:val="center"/>
          </w:tcPr>
          <w:p w14:paraId="720CC494"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0.17</w:t>
            </w:r>
          </w:p>
        </w:tc>
        <w:tc>
          <w:tcPr>
            <w:tcW w:w="77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6EDE5AFF"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0.5703</w:t>
            </w:r>
          </w:p>
        </w:tc>
      </w:tr>
      <w:tr w:rsidR="00AA4F0E" w:rsidRPr="00EB2BBB" w14:paraId="7B5BEC87" w14:textId="77777777" w:rsidTr="00EA2DAB">
        <w:trPr>
          <w:trHeight w:val="259"/>
        </w:trPr>
        <w:tc>
          <w:tcPr>
            <w:tcW w:w="799" w:type="dxa"/>
            <w:tcBorders>
              <w:top w:val="single" w:sz="4" w:space="0" w:color="auto"/>
              <w:left w:val="none" w:sz="4" w:space="0" w:color="000000"/>
              <w:bottom w:val="single" w:sz="4" w:space="0" w:color="auto"/>
              <w:right w:val="none" w:sz="4" w:space="0" w:color="000000"/>
            </w:tcBorders>
            <w:shd w:val="clear" w:color="auto" w:fill="auto"/>
            <w:noWrap/>
            <w:vAlign w:val="center"/>
          </w:tcPr>
          <w:p w14:paraId="713718D5" w14:textId="77777777" w:rsidR="00AA4F0E" w:rsidRPr="00EB2BBB" w:rsidRDefault="00AA4F0E" w:rsidP="00EA2DAB">
            <w:pPr>
              <w:rPr>
                <w:rFonts w:ascii="Calibri (Body)" w:hAnsi="Calibri (Body)" w:cs="Calibri" w:hint="eastAsia"/>
                <w:color w:val="000000"/>
                <w:sz w:val="18"/>
                <w:szCs w:val="18"/>
              </w:rPr>
            </w:pPr>
            <w:r w:rsidRPr="00EB2BBB">
              <w:rPr>
                <w:rFonts w:ascii="Calibri (Body)" w:hAnsi="Calibri (Body)" w:cs="Calibri"/>
                <w:color w:val="000000"/>
                <w:sz w:val="18"/>
                <w:szCs w:val="18"/>
              </w:rPr>
              <w:t>HTD+30 HTD+59</w:t>
            </w:r>
          </w:p>
        </w:tc>
        <w:tc>
          <w:tcPr>
            <w:tcW w:w="652" w:type="dxa"/>
            <w:tcBorders>
              <w:top w:val="single" w:sz="4" w:space="0" w:color="auto"/>
              <w:left w:val="none" w:sz="4" w:space="0" w:color="000000"/>
              <w:bottom w:val="single" w:sz="4" w:space="0" w:color="auto"/>
              <w:right w:val="none" w:sz="4" w:space="0" w:color="000000"/>
            </w:tcBorders>
            <w:shd w:val="clear" w:color="auto" w:fill="auto"/>
            <w:noWrap/>
            <w:vAlign w:val="center"/>
          </w:tcPr>
          <w:p w14:paraId="69C0A274"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0.62</w:t>
            </w:r>
          </w:p>
        </w:tc>
        <w:tc>
          <w:tcPr>
            <w:tcW w:w="777" w:type="dxa"/>
            <w:gridSpan w:val="2"/>
            <w:tcBorders>
              <w:top w:val="single" w:sz="4" w:space="0" w:color="auto"/>
              <w:left w:val="none" w:sz="4" w:space="0" w:color="000000"/>
              <w:bottom w:val="single" w:sz="4" w:space="0" w:color="auto"/>
              <w:right w:val="none" w:sz="4" w:space="0" w:color="000000"/>
            </w:tcBorders>
            <w:shd w:val="clear" w:color="auto" w:fill="auto"/>
            <w:noWrap/>
            <w:vAlign w:val="center"/>
          </w:tcPr>
          <w:p w14:paraId="1E253EBE"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0.0033</w:t>
            </w:r>
          </w:p>
        </w:tc>
        <w:tc>
          <w:tcPr>
            <w:tcW w:w="652" w:type="dxa"/>
            <w:tcBorders>
              <w:top w:val="single" w:sz="4" w:space="0" w:color="auto"/>
              <w:left w:val="none" w:sz="4" w:space="0" w:color="000000"/>
              <w:bottom w:val="single" w:sz="4" w:space="0" w:color="auto"/>
              <w:right w:val="none" w:sz="4" w:space="0" w:color="000000"/>
            </w:tcBorders>
            <w:shd w:val="clear" w:color="auto" w:fill="auto"/>
            <w:noWrap/>
            <w:vAlign w:val="center"/>
          </w:tcPr>
          <w:p w14:paraId="15E4C981"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0.72</w:t>
            </w:r>
          </w:p>
        </w:tc>
        <w:tc>
          <w:tcPr>
            <w:tcW w:w="777" w:type="dxa"/>
            <w:gridSpan w:val="2"/>
            <w:tcBorders>
              <w:top w:val="single" w:sz="4" w:space="0" w:color="auto"/>
              <w:left w:val="none" w:sz="4" w:space="0" w:color="000000"/>
              <w:bottom w:val="single" w:sz="4" w:space="0" w:color="auto"/>
              <w:right w:val="none" w:sz="4" w:space="0" w:color="000000"/>
            </w:tcBorders>
            <w:shd w:val="clear" w:color="auto" w:fill="auto"/>
            <w:noWrap/>
            <w:vAlign w:val="center"/>
          </w:tcPr>
          <w:p w14:paraId="05132279"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0.0003</w:t>
            </w:r>
          </w:p>
        </w:tc>
        <w:tc>
          <w:tcPr>
            <w:tcW w:w="652" w:type="dxa"/>
            <w:tcBorders>
              <w:top w:val="single" w:sz="4" w:space="0" w:color="auto"/>
              <w:left w:val="none" w:sz="4" w:space="0" w:color="000000"/>
              <w:bottom w:val="single" w:sz="4" w:space="0" w:color="auto"/>
              <w:right w:val="none" w:sz="4" w:space="0" w:color="000000"/>
            </w:tcBorders>
            <w:shd w:val="clear" w:color="auto" w:fill="auto"/>
            <w:noWrap/>
            <w:vAlign w:val="center"/>
          </w:tcPr>
          <w:p w14:paraId="4A1E2FCF"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0.02</w:t>
            </w:r>
          </w:p>
        </w:tc>
        <w:tc>
          <w:tcPr>
            <w:tcW w:w="777" w:type="dxa"/>
            <w:tcBorders>
              <w:top w:val="single" w:sz="4" w:space="0" w:color="auto"/>
              <w:left w:val="none" w:sz="4" w:space="0" w:color="000000"/>
              <w:bottom w:val="single" w:sz="4" w:space="0" w:color="auto"/>
              <w:right w:val="single" w:sz="4" w:space="0" w:color="auto"/>
            </w:tcBorders>
            <w:shd w:val="clear" w:color="auto" w:fill="auto"/>
            <w:noWrap/>
            <w:vAlign w:val="center"/>
          </w:tcPr>
          <w:p w14:paraId="031CE65A"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0.9341</w:t>
            </w:r>
          </w:p>
        </w:tc>
        <w:tc>
          <w:tcPr>
            <w:tcW w:w="652" w:type="dxa"/>
            <w:tcBorders>
              <w:top w:val="single" w:sz="4" w:space="0" w:color="auto"/>
              <w:left w:val="single" w:sz="4" w:space="0" w:color="auto"/>
              <w:bottom w:val="single" w:sz="4" w:space="0" w:color="auto"/>
              <w:right w:val="none" w:sz="4" w:space="0" w:color="000000"/>
            </w:tcBorders>
            <w:shd w:val="clear" w:color="auto" w:fill="auto"/>
            <w:noWrap/>
            <w:vAlign w:val="center"/>
          </w:tcPr>
          <w:p w14:paraId="06BDCF7C"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0.56</w:t>
            </w:r>
          </w:p>
        </w:tc>
        <w:tc>
          <w:tcPr>
            <w:tcW w:w="77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3ACD71C9"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0.0358</w:t>
            </w:r>
          </w:p>
        </w:tc>
        <w:tc>
          <w:tcPr>
            <w:tcW w:w="641" w:type="dxa"/>
            <w:tcBorders>
              <w:top w:val="single" w:sz="4" w:space="0" w:color="auto"/>
              <w:left w:val="none" w:sz="4" w:space="0" w:color="000000"/>
              <w:bottom w:val="single" w:sz="4" w:space="0" w:color="auto"/>
              <w:right w:val="none" w:sz="4" w:space="0" w:color="000000"/>
            </w:tcBorders>
            <w:shd w:val="clear" w:color="auto" w:fill="auto"/>
            <w:noWrap/>
            <w:vAlign w:val="center"/>
          </w:tcPr>
          <w:p w14:paraId="7692FD28"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0.51</w:t>
            </w:r>
          </w:p>
        </w:tc>
        <w:tc>
          <w:tcPr>
            <w:tcW w:w="77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0006CD96"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0.0624</w:t>
            </w:r>
          </w:p>
        </w:tc>
        <w:tc>
          <w:tcPr>
            <w:tcW w:w="640" w:type="dxa"/>
            <w:tcBorders>
              <w:top w:val="single" w:sz="4" w:space="0" w:color="auto"/>
              <w:left w:val="none" w:sz="4" w:space="0" w:color="000000"/>
              <w:bottom w:val="single" w:sz="4" w:space="0" w:color="auto"/>
              <w:right w:val="none" w:sz="4" w:space="0" w:color="000000"/>
            </w:tcBorders>
            <w:shd w:val="clear" w:color="auto" w:fill="auto"/>
            <w:noWrap/>
            <w:vAlign w:val="center"/>
          </w:tcPr>
          <w:p w14:paraId="2009B61B"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0.49</w:t>
            </w:r>
          </w:p>
        </w:tc>
        <w:tc>
          <w:tcPr>
            <w:tcW w:w="77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2F9BEFA5"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0.0770</w:t>
            </w:r>
          </w:p>
        </w:tc>
      </w:tr>
      <w:tr w:rsidR="00AA4F0E" w:rsidRPr="00EB2BBB" w14:paraId="70AB818B" w14:textId="77777777" w:rsidTr="00EA2DAB">
        <w:trPr>
          <w:trHeight w:val="259"/>
        </w:trPr>
        <w:tc>
          <w:tcPr>
            <w:tcW w:w="799" w:type="dxa"/>
            <w:tcBorders>
              <w:top w:val="single" w:sz="4" w:space="0" w:color="auto"/>
              <w:left w:val="none" w:sz="4" w:space="0" w:color="000000"/>
              <w:bottom w:val="single" w:sz="4" w:space="0" w:color="auto"/>
              <w:right w:val="none" w:sz="4" w:space="0" w:color="000000"/>
            </w:tcBorders>
            <w:shd w:val="clear" w:color="auto" w:fill="auto"/>
            <w:noWrap/>
            <w:vAlign w:val="center"/>
          </w:tcPr>
          <w:p w14:paraId="5B79AFDD" w14:textId="77777777" w:rsidR="00AA4F0E" w:rsidRPr="00EB2BBB" w:rsidRDefault="00AA4F0E" w:rsidP="00EA2DAB">
            <w:pPr>
              <w:rPr>
                <w:rFonts w:ascii="Calibri (Body)" w:hAnsi="Calibri (Body)" w:cs="Calibri" w:hint="eastAsia"/>
                <w:color w:val="000000"/>
                <w:sz w:val="18"/>
                <w:szCs w:val="18"/>
              </w:rPr>
            </w:pPr>
            <w:r w:rsidRPr="00EB2BBB">
              <w:rPr>
                <w:rFonts w:ascii="Calibri (Body)" w:hAnsi="Calibri (Body)" w:cs="Calibri"/>
                <w:color w:val="000000"/>
                <w:sz w:val="18"/>
                <w:szCs w:val="18"/>
              </w:rPr>
              <w:t>HTD+59 R+2</w:t>
            </w:r>
          </w:p>
        </w:tc>
        <w:tc>
          <w:tcPr>
            <w:tcW w:w="652" w:type="dxa"/>
            <w:tcBorders>
              <w:top w:val="single" w:sz="4" w:space="0" w:color="auto"/>
              <w:left w:val="none" w:sz="4" w:space="0" w:color="000000"/>
              <w:bottom w:val="single" w:sz="4" w:space="0" w:color="auto"/>
              <w:right w:val="none" w:sz="4" w:space="0" w:color="000000"/>
            </w:tcBorders>
            <w:shd w:val="clear" w:color="auto" w:fill="auto"/>
            <w:noWrap/>
            <w:vAlign w:val="center"/>
          </w:tcPr>
          <w:p w14:paraId="665C9FCD"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0.48</w:t>
            </w:r>
          </w:p>
        </w:tc>
        <w:tc>
          <w:tcPr>
            <w:tcW w:w="777" w:type="dxa"/>
            <w:gridSpan w:val="2"/>
            <w:tcBorders>
              <w:top w:val="single" w:sz="4" w:space="0" w:color="auto"/>
              <w:left w:val="none" w:sz="4" w:space="0" w:color="000000"/>
              <w:bottom w:val="single" w:sz="4" w:space="0" w:color="auto"/>
              <w:right w:val="none" w:sz="4" w:space="0" w:color="000000"/>
            </w:tcBorders>
            <w:shd w:val="clear" w:color="auto" w:fill="auto"/>
            <w:noWrap/>
            <w:vAlign w:val="center"/>
          </w:tcPr>
          <w:p w14:paraId="0A6B789B"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0.0314</w:t>
            </w:r>
          </w:p>
        </w:tc>
        <w:tc>
          <w:tcPr>
            <w:tcW w:w="652" w:type="dxa"/>
            <w:tcBorders>
              <w:top w:val="single" w:sz="4" w:space="0" w:color="auto"/>
              <w:left w:val="none" w:sz="4" w:space="0" w:color="000000"/>
              <w:bottom w:val="single" w:sz="4" w:space="0" w:color="auto"/>
              <w:right w:val="none" w:sz="4" w:space="0" w:color="000000"/>
            </w:tcBorders>
            <w:shd w:val="clear" w:color="auto" w:fill="auto"/>
            <w:noWrap/>
            <w:vAlign w:val="center"/>
          </w:tcPr>
          <w:p w14:paraId="57FE92D2"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0.63</w:t>
            </w:r>
          </w:p>
        </w:tc>
        <w:tc>
          <w:tcPr>
            <w:tcW w:w="777" w:type="dxa"/>
            <w:gridSpan w:val="2"/>
            <w:tcBorders>
              <w:top w:val="single" w:sz="4" w:space="0" w:color="auto"/>
              <w:left w:val="none" w:sz="4" w:space="0" w:color="000000"/>
              <w:bottom w:val="single" w:sz="4" w:space="0" w:color="auto"/>
              <w:right w:val="none" w:sz="4" w:space="0" w:color="000000"/>
            </w:tcBorders>
            <w:shd w:val="clear" w:color="auto" w:fill="auto"/>
            <w:noWrap/>
            <w:vAlign w:val="center"/>
          </w:tcPr>
          <w:p w14:paraId="5C536B30"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0.0029</w:t>
            </w:r>
          </w:p>
        </w:tc>
        <w:tc>
          <w:tcPr>
            <w:tcW w:w="652" w:type="dxa"/>
            <w:tcBorders>
              <w:top w:val="single" w:sz="4" w:space="0" w:color="auto"/>
              <w:left w:val="none" w:sz="4" w:space="0" w:color="000000"/>
              <w:bottom w:val="single" w:sz="4" w:space="0" w:color="auto"/>
              <w:right w:val="none" w:sz="4" w:space="0" w:color="000000"/>
            </w:tcBorders>
            <w:shd w:val="clear" w:color="auto" w:fill="auto"/>
            <w:noWrap/>
            <w:vAlign w:val="center"/>
          </w:tcPr>
          <w:p w14:paraId="0743F5AB"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-0.19</w:t>
            </w:r>
          </w:p>
        </w:tc>
        <w:tc>
          <w:tcPr>
            <w:tcW w:w="777" w:type="dxa"/>
            <w:tcBorders>
              <w:top w:val="single" w:sz="4" w:space="0" w:color="auto"/>
              <w:left w:val="none" w:sz="4" w:space="0" w:color="000000"/>
              <w:bottom w:val="single" w:sz="4" w:space="0" w:color="auto"/>
              <w:right w:val="single" w:sz="4" w:space="0" w:color="auto"/>
            </w:tcBorders>
            <w:shd w:val="clear" w:color="auto" w:fill="auto"/>
            <w:noWrap/>
            <w:vAlign w:val="center"/>
          </w:tcPr>
          <w:p w14:paraId="553463CE"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0.4331</w:t>
            </w:r>
          </w:p>
        </w:tc>
        <w:tc>
          <w:tcPr>
            <w:tcW w:w="652" w:type="dxa"/>
            <w:tcBorders>
              <w:top w:val="single" w:sz="4" w:space="0" w:color="auto"/>
              <w:left w:val="single" w:sz="4" w:space="0" w:color="auto"/>
              <w:bottom w:val="single" w:sz="4" w:space="0" w:color="auto"/>
              <w:right w:val="none" w:sz="4" w:space="0" w:color="000000"/>
            </w:tcBorders>
            <w:shd w:val="clear" w:color="auto" w:fill="auto"/>
            <w:noWrap/>
            <w:vAlign w:val="center"/>
          </w:tcPr>
          <w:p w14:paraId="55E5C900"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0.16</w:t>
            </w:r>
          </w:p>
        </w:tc>
        <w:tc>
          <w:tcPr>
            <w:tcW w:w="77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6B5CE5CE"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0.5855</w:t>
            </w:r>
          </w:p>
        </w:tc>
        <w:tc>
          <w:tcPr>
            <w:tcW w:w="641" w:type="dxa"/>
            <w:tcBorders>
              <w:top w:val="single" w:sz="4" w:space="0" w:color="auto"/>
              <w:left w:val="none" w:sz="4" w:space="0" w:color="000000"/>
              <w:bottom w:val="single" w:sz="4" w:space="0" w:color="auto"/>
              <w:right w:val="none" w:sz="4" w:space="0" w:color="000000"/>
            </w:tcBorders>
            <w:shd w:val="clear" w:color="auto" w:fill="auto"/>
            <w:noWrap/>
            <w:vAlign w:val="center"/>
          </w:tcPr>
          <w:p w14:paraId="65E903BF"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0.50</w:t>
            </w:r>
          </w:p>
        </w:tc>
        <w:tc>
          <w:tcPr>
            <w:tcW w:w="77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3741B697"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0.0715</w:t>
            </w:r>
          </w:p>
        </w:tc>
        <w:tc>
          <w:tcPr>
            <w:tcW w:w="640" w:type="dxa"/>
            <w:tcBorders>
              <w:top w:val="single" w:sz="4" w:space="0" w:color="auto"/>
              <w:left w:val="none" w:sz="4" w:space="0" w:color="000000"/>
              <w:bottom w:val="single" w:sz="4" w:space="0" w:color="auto"/>
              <w:right w:val="none" w:sz="4" w:space="0" w:color="000000"/>
            </w:tcBorders>
            <w:shd w:val="clear" w:color="auto" w:fill="auto"/>
            <w:noWrap/>
            <w:vAlign w:val="center"/>
          </w:tcPr>
          <w:p w14:paraId="6F069086"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0.53</w:t>
            </w:r>
          </w:p>
        </w:tc>
        <w:tc>
          <w:tcPr>
            <w:tcW w:w="77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69E3646E"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0.0492</w:t>
            </w:r>
          </w:p>
        </w:tc>
      </w:tr>
      <w:tr w:rsidR="00AA4F0E" w:rsidRPr="00EB2BBB" w14:paraId="1A371025" w14:textId="77777777" w:rsidTr="00EA2DAB">
        <w:trPr>
          <w:trHeight w:val="259"/>
        </w:trPr>
        <w:tc>
          <w:tcPr>
            <w:tcW w:w="799" w:type="dxa"/>
            <w:tcBorders>
              <w:top w:val="single" w:sz="4" w:space="0" w:color="auto"/>
              <w:left w:val="none" w:sz="4" w:space="0" w:color="000000"/>
              <w:bottom w:val="none" w:sz="4" w:space="0" w:color="000000"/>
              <w:right w:val="none" w:sz="4" w:space="0" w:color="000000"/>
            </w:tcBorders>
            <w:shd w:val="clear" w:color="auto" w:fill="auto"/>
            <w:noWrap/>
            <w:vAlign w:val="center"/>
          </w:tcPr>
          <w:p w14:paraId="73D400D8" w14:textId="77777777" w:rsidR="00AA4F0E" w:rsidRPr="00EB2BBB" w:rsidRDefault="00AA4F0E" w:rsidP="00EA2DAB">
            <w:pPr>
              <w:rPr>
                <w:rFonts w:ascii="Calibri (Body)" w:hAnsi="Calibri (Body)" w:cs="Calibri" w:hint="eastAsia"/>
                <w:color w:val="000000"/>
                <w:sz w:val="18"/>
                <w:szCs w:val="18"/>
              </w:rPr>
            </w:pPr>
            <w:r w:rsidRPr="00EB2BBB">
              <w:rPr>
                <w:rFonts w:ascii="Calibri (Body)" w:hAnsi="Calibri (Body)" w:cs="Calibri"/>
                <w:color w:val="000000"/>
                <w:sz w:val="18"/>
                <w:szCs w:val="18"/>
              </w:rPr>
              <w:t>R+2 R+13</w:t>
            </w:r>
          </w:p>
        </w:tc>
        <w:tc>
          <w:tcPr>
            <w:tcW w:w="652" w:type="dxa"/>
            <w:tcBorders>
              <w:top w:val="single" w:sz="4" w:space="0" w:color="auto"/>
              <w:left w:val="none" w:sz="4" w:space="0" w:color="000000"/>
              <w:bottom w:val="none" w:sz="4" w:space="0" w:color="000000"/>
              <w:right w:val="none" w:sz="4" w:space="0" w:color="000000"/>
            </w:tcBorders>
            <w:shd w:val="clear" w:color="auto" w:fill="auto"/>
            <w:noWrap/>
            <w:vAlign w:val="center"/>
          </w:tcPr>
          <w:p w14:paraId="27314CB1"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0.63</w:t>
            </w:r>
          </w:p>
        </w:tc>
        <w:tc>
          <w:tcPr>
            <w:tcW w:w="777" w:type="dxa"/>
            <w:gridSpan w:val="2"/>
            <w:tcBorders>
              <w:top w:val="single" w:sz="4" w:space="0" w:color="auto"/>
              <w:left w:val="none" w:sz="4" w:space="0" w:color="000000"/>
              <w:bottom w:val="none" w:sz="4" w:space="0" w:color="000000"/>
              <w:right w:val="none" w:sz="4" w:space="0" w:color="000000"/>
            </w:tcBorders>
            <w:shd w:val="clear" w:color="auto" w:fill="auto"/>
            <w:noWrap/>
            <w:vAlign w:val="center"/>
          </w:tcPr>
          <w:p w14:paraId="2957DD45"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0.0027</w:t>
            </w:r>
          </w:p>
        </w:tc>
        <w:tc>
          <w:tcPr>
            <w:tcW w:w="652" w:type="dxa"/>
            <w:tcBorders>
              <w:top w:val="single" w:sz="4" w:space="0" w:color="auto"/>
              <w:left w:val="none" w:sz="4" w:space="0" w:color="000000"/>
              <w:bottom w:val="none" w:sz="4" w:space="0" w:color="000000"/>
              <w:right w:val="none" w:sz="4" w:space="0" w:color="000000"/>
            </w:tcBorders>
            <w:shd w:val="clear" w:color="auto" w:fill="auto"/>
            <w:noWrap/>
            <w:vAlign w:val="center"/>
          </w:tcPr>
          <w:p w14:paraId="2AD07809"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0.72</w:t>
            </w:r>
          </w:p>
        </w:tc>
        <w:tc>
          <w:tcPr>
            <w:tcW w:w="777" w:type="dxa"/>
            <w:gridSpan w:val="2"/>
            <w:tcBorders>
              <w:top w:val="single" w:sz="4" w:space="0" w:color="auto"/>
              <w:left w:val="none" w:sz="4" w:space="0" w:color="000000"/>
              <w:bottom w:val="none" w:sz="4" w:space="0" w:color="000000"/>
              <w:right w:val="none" w:sz="4" w:space="0" w:color="000000"/>
            </w:tcBorders>
            <w:shd w:val="clear" w:color="auto" w:fill="auto"/>
            <w:noWrap/>
            <w:vAlign w:val="center"/>
          </w:tcPr>
          <w:p w14:paraId="1A99AE30"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0.0003</w:t>
            </w:r>
          </w:p>
        </w:tc>
        <w:tc>
          <w:tcPr>
            <w:tcW w:w="652" w:type="dxa"/>
            <w:tcBorders>
              <w:top w:val="single" w:sz="4" w:space="0" w:color="auto"/>
              <w:left w:val="none" w:sz="4" w:space="0" w:color="000000"/>
              <w:bottom w:val="none" w:sz="4" w:space="0" w:color="000000"/>
              <w:right w:val="none" w:sz="4" w:space="0" w:color="000000"/>
            </w:tcBorders>
            <w:shd w:val="clear" w:color="auto" w:fill="auto"/>
            <w:noWrap/>
            <w:vAlign w:val="center"/>
          </w:tcPr>
          <w:p w14:paraId="14BC34C4"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0.02</w:t>
            </w:r>
          </w:p>
        </w:tc>
        <w:tc>
          <w:tcPr>
            <w:tcW w:w="777" w:type="dxa"/>
            <w:tcBorders>
              <w:top w:val="single" w:sz="4" w:space="0" w:color="auto"/>
              <w:left w:val="none" w:sz="4" w:space="0" w:color="000000"/>
              <w:bottom w:val="none" w:sz="4" w:space="0" w:color="000000"/>
              <w:right w:val="single" w:sz="4" w:space="0" w:color="auto"/>
            </w:tcBorders>
            <w:shd w:val="clear" w:color="auto" w:fill="auto"/>
            <w:noWrap/>
            <w:vAlign w:val="center"/>
          </w:tcPr>
          <w:p w14:paraId="13410811"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0.9169</w:t>
            </w:r>
          </w:p>
        </w:tc>
        <w:tc>
          <w:tcPr>
            <w:tcW w:w="652" w:type="dxa"/>
            <w:tcBorders>
              <w:top w:val="single" w:sz="4" w:space="0" w:color="auto"/>
              <w:left w:val="single" w:sz="4" w:space="0" w:color="auto"/>
              <w:bottom w:val="none" w:sz="4" w:space="0" w:color="000000"/>
              <w:right w:val="none" w:sz="4" w:space="0" w:color="000000"/>
            </w:tcBorders>
            <w:shd w:val="clear" w:color="auto" w:fill="auto"/>
            <w:noWrap/>
            <w:vAlign w:val="center"/>
          </w:tcPr>
          <w:p w14:paraId="40DF24E1"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0.45</w:t>
            </w:r>
          </w:p>
        </w:tc>
        <w:tc>
          <w:tcPr>
            <w:tcW w:w="777" w:type="dxa"/>
            <w:tcBorders>
              <w:top w:val="single" w:sz="4" w:space="0" w:color="auto"/>
              <w:left w:val="none" w:sz="4" w:space="0" w:color="000000"/>
              <w:bottom w:val="none" w:sz="4" w:space="0" w:color="000000"/>
              <w:right w:val="none" w:sz="4" w:space="0" w:color="000000"/>
            </w:tcBorders>
            <w:shd w:val="clear" w:color="auto" w:fill="auto"/>
            <w:noWrap/>
            <w:vAlign w:val="center"/>
          </w:tcPr>
          <w:p w14:paraId="4B96A820"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0.1092</w:t>
            </w:r>
          </w:p>
        </w:tc>
        <w:tc>
          <w:tcPr>
            <w:tcW w:w="641" w:type="dxa"/>
            <w:tcBorders>
              <w:top w:val="single" w:sz="4" w:space="0" w:color="auto"/>
              <w:left w:val="none" w:sz="4" w:space="0" w:color="000000"/>
              <w:bottom w:val="none" w:sz="4" w:space="0" w:color="000000"/>
              <w:right w:val="none" w:sz="4" w:space="0" w:color="000000"/>
            </w:tcBorders>
            <w:shd w:val="clear" w:color="auto" w:fill="auto"/>
            <w:noWrap/>
            <w:vAlign w:val="center"/>
          </w:tcPr>
          <w:p w14:paraId="6DBCAC0A"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0.51</w:t>
            </w:r>
          </w:p>
        </w:tc>
        <w:tc>
          <w:tcPr>
            <w:tcW w:w="777" w:type="dxa"/>
            <w:tcBorders>
              <w:top w:val="single" w:sz="4" w:space="0" w:color="auto"/>
              <w:left w:val="none" w:sz="4" w:space="0" w:color="000000"/>
              <w:bottom w:val="none" w:sz="4" w:space="0" w:color="000000"/>
              <w:right w:val="none" w:sz="4" w:space="0" w:color="000000"/>
            </w:tcBorders>
            <w:shd w:val="clear" w:color="auto" w:fill="auto"/>
            <w:noWrap/>
            <w:vAlign w:val="center"/>
          </w:tcPr>
          <w:p w14:paraId="7A20E25B"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0.0636</w:t>
            </w:r>
          </w:p>
        </w:tc>
        <w:tc>
          <w:tcPr>
            <w:tcW w:w="640" w:type="dxa"/>
            <w:tcBorders>
              <w:top w:val="single" w:sz="4" w:space="0" w:color="auto"/>
              <w:left w:val="none" w:sz="4" w:space="0" w:color="000000"/>
              <w:bottom w:val="none" w:sz="4" w:space="0" w:color="000000"/>
              <w:right w:val="none" w:sz="4" w:space="0" w:color="000000"/>
            </w:tcBorders>
            <w:shd w:val="clear" w:color="auto" w:fill="auto"/>
            <w:noWrap/>
            <w:vAlign w:val="center"/>
          </w:tcPr>
          <w:p w14:paraId="5A98BE75" w14:textId="77777777" w:rsidR="00AA4F0E" w:rsidRPr="00EB2BBB" w:rsidRDefault="00AA4F0E" w:rsidP="00EA2DAB">
            <w:pPr>
              <w:jc w:val="center"/>
              <w:rPr>
                <w:rFonts w:ascii="Calibri (Body)" w:hAnsi="Calibri (Body)" w:cs="Calibri" w:hint="eastAsia"/>
                <w:color w:val="000000"/>
                <w:sz w:val="20"/>
                <w:szCs w:val="20"/>
              </w:rPr>
            </w:pPr>
            <w:r w:rsidRPr="00EB2BBB">
              <w:rPr>
                <w:rFonts w:ascii="Calibri (Body)" w:hAnsi="Calibri (Body)" w:cs="Calibri"/>
                <w:color w:val="000000"/>
                <w:sz w:val="20"/>
                <w:szCs w:val="20"/>
              </w:rPr>
              <w:t>0.60</w:t>
            </w:r>
          </w:p>
        </w:tc>
        <w:tc>
          <w:tcPr>
            <w:tcW w:w="777" w:type="dxa"/>
            <w:tcBorders>
              <w:top w:val="single" w:sz="4" w:space="0" w:color="auto"/>
              <w:left w:val="none" w:sz="4" w:space="0" w:color="000000"/>
              <w:bottom w:val="none" w:sz="4" w:space="0" w:color="000000"/>
              <w:right w:val="none" w:sz="4" w:space="0" w:color="000000"/>
            </w:tcBorders>
            <w:shd w:val="clear" w:color="auto" w:fill="auto"/>
            <w:noWrap/>
            <w:vAlign w:val="center"/>
          </w:tcPr>
          <w:p w14:paraId="30CF8305" w14:textId="77777777" w:rsidR="00AA4F0E" w:rsidRPr="00EB2BBB" w:rsidRDefault="00AA4F0E" w:rsidP="00EA2DAB">
            <w:pPr>
              <w:jc w:val="center"/>
              <w:rPr>
                <w:rFonts w:ascii="Calibri (Body)" w:hAnsi="Calibri (Body)" w:cs="Calibri" w:hint="eastAsia"/>
                <w:b/>
                <w:bCs/>
                <w:color w:val="000000"/>
                <w:sz w:val="20"/>
                <w:szCs w:val="20"/>
              </w:rPr>
            </w:pPr>
            <w:r w:rsidRPr="00EB2BBB">
              <w:rPr>
                <w:rFonts w:ascii="Calibri (Body)" w:hAnsi="Calibri (Body)" w:cs="Calibri"/>
                <w:b/>
                <w:bCs/>
                <w:color w:val="000000"/>
                <w:sz w:val="20"/>
                <w:szCs w:val="20"/>
              </w:rPr>
              <w:t>0.0247</w:t>
            </w:r>
          </w:p>
        </w:tc>
      </w:tr>
    </w:tbl>
    <w:p w14:paraId="3449B30B" w14:textId="77777777" w:rsidR="00AA4F0E" w:rsidRPr="00EB2BBB" w:rsidRDefault="00AA4F0E" w:rsidP="00AA4F0E">
      <w:pPr>
        <w:rPr>
          <w:sz w:val="12"/>
          <w:szCs w:val="12"/>
        </w:rPr>
      </w:pPr>
    </w:p>
    <w:tbl>
      <w:tblPr>
        <w:tblW w:w="9566" w:type="dxa"/>
        <w:tblLook w:val="04A0" w:firstRow="1" w:lastRow="0" w:firstColumn="1" w:lastColumn="0" w:noHBand="0" w:noVBand="1"/>
      </w:tblPr>
      <w:tblGrid>
        <w:gridCol w:w="799"/>
        <w:gridCol w:w="652"/>
        <w:gridCol w:w="888"/>
        <w:gridCol w:w="652"/>
        <w:gridCol w:w="696"/>
        <w:gridCol w:w="81"/>
        <w:gridCol w:w="627"/>
        <w:gridCol w:w="777"/>
        <w:gridCol w:w="640"/>
        <w:gridCol w:w="851"/>
        <w:gridCol w:w="571"/>
        <w:gridCol w:w="850"/>
        <w:gridCol w:w="709"/>
        <w:gridCol w:w="777"/>
      </w:tblGrid>
      <w:tr w:rsidR="00EB2BBB" w:rsidRPr="00EB2BBB" w14:paraId="11355FAE" w14:textId="77777777" w:rsidTr="00EB2BBB">
        <w:trPr>
          <w:trHeight w:val="320"/>
        </w:trPr>
        <w:tc>
          <w:tcPr>
            <w:tcW w:w="79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A668D82" w14:textId="77777777" w:rsidR="00EB2BBB" w:rsidRPr="00EB2BBB" w:rsidRDefault="00EB2BBB" w:rsidP="00EA2DAB">
            <w:pPr>
              <w:rPr>
                <w:rFonts w:ascii="Calibri" w:hAnsi="Calibri" w:cs="Calibri"/>
                <w:color w:val="000000"/>
              </w:rPr>
            </w:pPr>
            <w:r w:rsidRPr="00EB2BBB">
              <w:rPr>
                <w:rFonts w:ascii="Calibri" w:hAnsi="Calibri" w:cs="Calibri"/>
                <w:color w:val="000000"/>
              </w:rPr>
              <w:t>Wv</w:t>
            </w:r>
          </w:p>
        </w:tc>
        <w:tc>
          <w:tcPr>
            <w:tcW w:w="4373" w:type="dxa"/>
            <w:gridSpan w:val="7"/>
            <w:tcBorders>
              <w:top w:val="none" w:sz="4" w:space="0" w:color="000000"/>
              <w:left w:val="none" w:sz="4" w:space="0" w:color="000000"/>
              <w:bottom w:val="none" w:sz="4" w:space="0" w:color="000000"/>
              <w:right w:val="none" w:sz="4" w:space="0" w:color="000000"/>
            </w:tcBorders>
            <w:shd w:val="clear" w:color="auto" w:fill="auto"/>
            <w:noWrap/>
            <w:vAlign w:val="bottom"/>
          </w:tcPr>
          <w:p w14:paraId="03D2AC19" w14:textId="7BF3232A" w:rsidR="00EB2BBB" w:rsidRPr="00EB2BBB" w:rsidRDefault="00EB2BBB" w:rsidP="00EA2DAB">
            <w:pPr>
              <w:jc w:val="center"/>
              <w:rPr>
                <w:rFonts w:ascii="Calibri" w:hAnsi="Calibri" w:cs="Calibri"/>
                <w:color w:val="000000"/>
                <w:sz w:val="20"/>
                <w:szCs w:val="20"/>
              </w:rPr>
            </w:pPr>
            <w:r w:rsidRPr="00EB2BBB">
              <w:rPr>
                <w:rFonts w:ascii="Calibri" w:hAnsi="Calibri" w:cs="Calibri"/>
                <w:color w:val="000000"/>
                <w:sz w:val="20"/>
                <w:szCs w:val="20"/>
              </w:rPr>
              <w:t>Bedrest</w:t>
            </w:r>
          </w:p>
        </w:tc>
        <w:tc>
          <w:tcPr>
            <w:tcW w:w="4394" w:type="dxa"/>
            <w:gridSpan w:val="6"/>
            <w:tcBorders>
              <w:top w:val="none" w:sz="4" w:space="0" w:color="000000"/>
              <w:left w:val="single" w:sz="4" w:space="0" w:color="auto"/>
              <w:bottom w:val="none" w:sz="4" w:space="0" w:color="000000"/>
              <w:right w:val="none" w:sz="4" w:space="0" w:color="000000"/>
            </w:tcBorders>
            <w:shd w:val="clear" w:color="auto" w:fill="auto"/>
            <w:vAlign w:val="bottom"/>
          </w:tcPr>
          <w:p w14:paraId="5005392A" w14:textId="0802E176" w:rsidR="00EB2BBB" w:rsidRPr="00EB2BBB" w:rsidRDefault="00EB2BBB" w:rsidP="00EA2DAB">
            <w:pPr>
              <w:jc w:val="center"/>
              <w:rPr>
                <w:rFonts w:ascii="Calibri" w:hAnsi="Calibri" w:cs="Calibri"/>
                <w:color w:val="000000"/>
                <w:sz w:val="20"/>
                <w:szCs w:val="20"/>
              </w:rPr>
            </w:pPr>
            <w:r w:rsidRPr="00EB2BBB">
              <w:rPr>
                <w:rFonts w:ascii="Calibri" w:hAnsi="Calibri" w:cs="Calibri"/>
                <w:color w:val="000000"/>
                <w:sz w:val="20"/>
                <w:szCs w:val="20"/>
              </w:rPr>
              <w:t>Control</w:t>
            </w:r>
          </w:p>
        </w:tc>
      </w:tr>
      <w:tr w:rsidR="00EB2BBB" w:rsidRPr="00EB2BBB" w14:paraId="3D695ADA" w14:textId="77777777" w:rsidTr="00EB2BBB">
        <w:trPr>
          <w:trHeight w:val="75"/>
        </w:trPr>
        <w:tc>
          <w:tcPr>
            <w:tcW w:w="79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1F35D41" w14:textId="77777777" w:rsidR="00EB2BBB" w:rsidRPr="00EB2BBB" w:rsidRDefault="00EB2BBB" w:rsidP="00EA2DAB">
            <w:pPr>
              <w:jc w:val="center"/>
              <w:rPr>
                <w:rFonts w:ascii="Calibri" w:hAnsi="Calibri" w:cs="Calibri"/>
                <w:color w:val="000000"/>
                <w:sz w:val="18"/>
                <w:szCs w:val="18"/>
              </w:rPr>
            </w:pPr>
          </w:p>
        </w:tc>
        <w:tc>
          <w:tcPr>
            <w:tcW w:w="154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04D33CB" w14:textId="77777777" w:rsidR="00EB2BBB" w:rsidRPr="00EB2BBB" w:rsidRDefault="00EB2BBB" w:rsidP="00EA2DAB">
            <w:pPr>
              <w:jc w:val="center"/>
              <w:rPr>
                <w:rFonts w:ascii="Calibri" w:hAnsi="Calibri" w:cs="Calibri"/>
                <w:color w:val="000000"/>
                <w:sz w:val="20"/>
                <w:szCs w:val="20"/>
              </w:rPr>
            </w:pPr>
            <w:r w:rsidRPr="00EB2BBB">
              <w:rPr>
                <w:rFonts w:ascii="Calibri" w:hAnsi="Calibri" w:cs="Calibri"/>
                <w:color w:val="000000"/>
                <w:sz w:val="20"/>
                <w:szCs w:val="20"/>
              </w:rPr>
              <w:t>V-P</w:t>
            </w:r>
          </w:p>
        </w:tc>
        <w:tc>
          <w:tcPr>
            <w:tcW w:w="134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CC8E0E4" w14:textId="77777777" w:rsidR="00EB2BBB" w:rsidRPr="00EB2BBB" w:rsidRDefault="00EB2BBB" w:rsidP="00EA2DAB">
            <w:pPr>
              <w:jc w:val="center"/>
              <w:rPr>
                <w:rFonts w:ascii="Calibri" w:hAnsi="Calibri" w:cs="Calibri"/>
                <w:color w:val="000000"/>
                <w:sz w:val="20"/>
                <w:szCs w:val="20"/>
              </w:rPr>
            </w:pPr>
            <w:r w:rsidRPr="00EB2BBB">
              <w:rPr>
                <w:rFonts w:ascii="Calibri" w:hAnsi="Calibri" w:cs="Calibri"/>
                <w:color w:val="000000"/>
                <w:sz w:val="20"/>
                <w:szCs w:val="20"/>
              </w:rPr>
              <w:t>V-V</w:t>
            </w:r>
          </w:p>
        </w:tc>
        <w:tc>
          <w:tcPr>
            <w:tcW w:w="1485" w:type="dxa"/>
            <w:gridSpan w:val="3"/>
            <w:tcBorders>
              <w:top w:val="none" w:sz="4" w:space="0" w:color="000000"/>
              <w:left w:val="none" w:sz="4" w:space="0" w:color="000000"/>
              <w:bottom w:val="none" w:sz="4" w:space="0" w:color="000000"/>
              <w:right w:val="none" w:sz="4" w:space="0" w:color="000000"/>
            </w:tcBorders>
            <w:shd w:val="clear" w:color="auto" w:fill="auto"/>
            <w:noWrap/>
            <w:vAlign w:val="bottom"/>
          </w:tcPr>
          <w:p w14:paraId="5DB66A82" w14:textId="0CB1F051" w:rsidR="00EB2BBB" w:rsidRPr="00EB2BBB" w:rsidRDefault="00EB2BBB" w:rsidP="00EA2DAB">
            <w:pPr>
              <w:jc w:val="center"/>
              <w:rPr>
                <w:rFonts w:ascii="Calibri" w:hAnsi="Calibri" w:cs="Calibri"/>
                <w:color w:val="000000"/>
                <w:sz w:val="20"/>
                <w:szCs w:val="20"/>
              </w:rPr>
            </w:pPr>
            <w:r w:rsidRPr="00EB2BBB">
              <w:rPr>
                <w:rFonts w:ascii="Calibri" w:hAnsi="Calibri" w:cs="Calibri"/>
                <w:color w:val="000000"/>
                <w:sz w:val="20"/>
                <w:szCs w:val="20"/>
              </w:rPr>
              <w:t>P-P</w:t>
            </w:r>
          </w:p>
        </w:tc>
        <w:tc>
          <w:tcPr>
            <w:tcW w:w="1491" w:type="dxa"/>
            <w:gridSpan w:val="2"/>
            <w:tcBorders>
              <w:left w:val="single" w:sz="4" w:space="0" w:color="auto"/>
              <w:bottom w:val="none" w:sz="4" w:space="0" w:color="000000"/>
            </w:tcBorders>
            <w:shd w:val="clear" w:color="auto" w:fill="auto"/>
            <w:vAlign w:val="bottom"/>
          </w:tcPr>
          <w:p w14:paraId="406B9D72" w14:textId="0149B2BA" w:rsidR="00EB2BBB" w:rsidRPr="00EB2BBB" w:rsidRDefault="00EB2BBB" w:rsidP="00EA2DAB">
            <w:pPr>
              <w:jc w:val="center"/>
              <w:rPr>
                <w:rFonts w:ascii="Calibri" w:hAnsi="Calibri" w:cs="Calibri"/>
                <w:color w:val="000000"/>
                <w:sz w:val="20"/>
                <w:szCs w:val="20"/>
              </w:rPr>
            </w:pPr>
            <w:r w:rsidRPr="00EB2BBB">
              <w:rPr>
                <w:rFonts w:ascii="Calibri" w:hAnsi="Calibri" w:cs="Calibri"/>
                <w:color w:val="000000"/>
                <w:sz w:val="20"/>
                <w:szCs w:val="20"/>
              </w:rPr>
              <w:t>V-P</w:t>
            </w:r>
          </w:p>
        </w:tc>
        <w:tc>
          <w:tcPr>
            <w:tcW w:w="1417" w:type="dxa"/>
            <w:gridSpan w:val="2"/>
            <w:tcBorders>
              <w:top w:val="none" w:sz="4" w:space="0" w:color="000000"/>
              <w:left w:val="nil"/>
              <w:bottom w:val="none" w:sz="4" w:space="0" w:color="000000"/>
              <w:right w:val="none" w:sz="4" w:space="0" w:color="000000"/>
            </w:tcBorders>
            <w:shd w:val="clear" w:color="auto" w:fill="auto"/>
            <w:noWrap/>
            <w:vAlign w:val="bottom"/>
          </w:tcPr>
          <w:p w14:paraId="7B83E405" w14:textId="77777777" w:rsidR="00EB2BBB" w:rsidRPr="00EB2BBB" w:rsidRDefault="00EB2BBB" w:rsidP="00EA2DAB">
            <w:pPr>
              <w:jc w:val="center"/>
              <w:rPr>
                <w:rFonts w:ascii="Calibri" w:hAnsi="Calibri" w:cs="Calibri"/>
                <w:color w:val="000000"/>
                <w:sz w:val="20"/>
                <w:szCs w:val="20"/>
              </w:rPr>
            </w:pPr>
            <w:r w:rsidRPr="00EB2BBB">
              <w:rPr>
                <w:rFonts w:ascii="Calibri" w:hAnsi="Calibri" w:cs="Calibri"/>
                <w:color w:val="000000"/>
                <w:sz w:val="20"/>
                <w:szCs w:val="20"/>
              </w:rPr>
              <w:t>V-V</w:t>
            </w:r>
          </w:p>
        </w:tc>
        <w:tc>
          <w:tcPr>
            <w:tcW w:w="148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DCF8A35" w14:textId="3F904EBD" w:rsidR="00EB2BBB" w:rsidRPr="00EB2BBB" w:rsidRDefault="00EB2BBB" w:rsidP="00EA2DAB">
            <w:pPr>
              <w:jc w:val="center"/>
              <w:rPr>
                <w:rFonts w:ascii="Calibri" w:hAnsi="Calibri" w:cs="Calibri"/>
                <w:color w:val="000000"/>
                <w:sz w:val="20"/>
                <w:szCs w:val="20"/>
              </w:rPr>
            </w:pPr>
            <w:r w:rsidRPr="00EB2BBB">
              <w:rPr>
                <w:rFonts w:ascii="Calibri" w:hAnsi="Calibri" w:cs="Calibri"/>
                <w:color w:val="000000"/>
                <w:sz w:val="20"/>
                <w:szCs w:val="20"/>
              </w:rPr>
              <w:t>P-P</w:t>
            </w:r>
          </w:p>
        </w:tc>
      </w:tr>
      <w:tr w:rsidR="00EB2BBB" w:rsidRPr="00EB2BBB" w14:paraId="311A9B1E" w14:textId="77777777" w:rsidTr="00EB2BBB">
        <w:trPr>
          <w:trHeight w:val="75"/>
        </w:trPr>
        <w:tc>
          <w:tcPr>
            <w:tcW w:w="799" w:type="dxa"/>
            <w:tcBorders>
              <w:top w:val="none" w:sz="4" w:space="0" w:color="000000"/>
              <w:left w:val="none" w:sz="4" w:space="0" w:color="000000"/>
              <w:right w:val="none" w:sz="4" w:space="0" w:color="000000"/>
            </w:tcBorders>
            <w:shd w:val="clear" w:color="auto" w:fill="auto"/>
            <w:noWrap/>
            <w:vAlign w:val="bottom"/>
          </w:tcPr>
          <w:p w14:paraId="08CA4620" w14:textId="77777777" w:rsidR="00AA4F0E" w:rsidRPr="00EB2BBB" w:rsidRDefault="00AA4F0E" w:rsidP="00EA2DAB">
            <w:pPr>
              <w:jc w:val="center"/>
              <w:rPr>
                <w:rFonts w:ascii="Calibri" w:hAnsi="Calibri" w:cs="Calibri"/>
                <w:color w:val="000000"/>
                <w:sz w:val="18"/>
                <w:szCs w:val="18"/>
              </w:rPr>
            </w:pPr>
          </w:p>
        </w:tc>
        <w:tc>
          <w:tcPr>
            <w:tcW w:w="652" w:type="dxa"/>
            <w:tcBorders>
              <w:top w:val="none" w:sz="4" w:space="0" w:color="000000"/>
              <w:left w:val="none" w:sz="4" w:space="0" w:color="000000"/>
              <w:right w:val="none" w:sz="4" w:space="0" w:color="000000"/>
            </w:tcBorders>
            <w:shd w:val="clear" w:color="auto" w:fill="auto"/>
            <w:noWrap/>
            <w:vAlign w:val="bottom"/>
          </w:tcPr>
          <w:p w14:paraId="52F0FD22"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R</w:t>
            </w:r>
          </w:p>
        </w:tc>
        <w:tc>
          <w:tcPr>
            <w:tcW w:w="888" w:type="dxa"/>
            <w:tcBorders>
              <w:top w:val="none" w:sz="4" w:space="0" w:color="000000"/>
              <w:left w:val="none" w:sz="4" w:space="0" w:color="000000"/>
              <w:right w:val="none" w:sz="4" w:space="0" w:color="000000"/>
            </w:tcBorders>
            <w:shd w:val="clear" w:color="auto" w:fill="auto"/>
            <w:noWrap/>
            <w:vAlign w:val="bottom"/>
          </w:tcPr>
          <w:p w14:paraId="022BF472"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p</w:t>
            </w:r>
          </w:p>
        </w:tc>
        <w:tc>
          <w:tcPr>
            <w:tcW w:w="652" w:type="dxa"/>
            <w:tcBorders>
              <w:top w:val="none" w:sz="4" w:space="0" w:color="000000"/>
              <w:left w:val="none" w:sz="4" w:space="0" w:color="000000"/>
              <w:right w:val="none" w:sz="4" w:space="0" w:color="000000"/>
            </w:tcBorders>
            <w:shd w:val="clear" w:color="auto" w:fill="auto"/>
            <w:noWrap/>
            <w:vAlign w:val="bottom"/>
          </w:tcPr>
          <w:p w14:paraId="6B4D6CE3"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R</w:t>
            </w:r>
          </w:p>
        </w:tc>
        <w:tc>
          <w:tcPr>
            <w:tcW w:w="777" w:type="dxa"/>
            <w:gridSpan w:val="2"/>
            <w:tcBorders>
              <w:top w:val="none" w:sz="4" w:space="0" w:color="000000"/>
              <w:left w:val="none" w:sz="4" w:space="0" w:color="000000"/>
              <w:right w:val="none" w:sz="4" w:space="0" w:color="000000"/>
            </w:tcBorders>
            <w:shd w:val="clear" w:color="auto" w:fill="auto"/>
            <w:noWrap/>
            <w:vAlign w:val="bottom"/>
          </w:tcPr>
          <w:p w14:paraId="14573881"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p</w:t>
            </w:r>
          </w:p>
        </w:tc>
        <w:tc>
          <w:tcPr>
            <w:tcW w:w="627" w:type="dxa"/>
            <w:tcBorders>
              <w:top w:val="none" w:sz="4" w:space="0" w:color="000000"/>
              <w:left w:val="none" w:sz="4" w:space="0" w:color="000000"/>
              <w:right w:val="none" w:sz="4" w:space="0" w:color="000000"/>
            </w:tcBorders>
            <w:shd w:val="clear" w:color="auto" w:fill="auto"/>
            <w:noWrap/>
            <w:vAlign w:val="bottom"/>
          </w:tcPr>
          <w:p w14:paraId="711F76D1"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R</w:t>
            </w:r>
          </w:p>
        </w:tc>
        <w:tc>
          <w:tcPr>
            <w:tcW w:w="777" w:type="dxa"/>
            <w:tcBorders>
              <w:top w:val="none" w:sz="4" w:space="0" w:color="000000"/>
              <w:left w:val="none" w:sz="4" w:space="0" w:color="000000"/>
              <w:right w:val="single" w:sz="4" w:space="0" w:color="auto"/>
            </w:tcBorders>
            <w:shd w:val="clear" w:color="auto" w:fill="auto"/>
            <w:noWrap/>
            <w:vAlign w:val="bottom"/>
          </w:tcPr>
          <w:p w14:paraId="5F1E147A"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p</w:t>
            </w:r>
          </w:p>
        </w:tc>
        <w:tc>
          <w:tcPr>
            <w:tcW w:w="640" w:type="dxa"/>
            <w:tcBorders>
              <w:top w:val="none" w:sz="4" w:space="0" w:color="000000"/>
              <w:left w:val="single" w:sz="4" w:space="0" w:color="auto"/>
            </w:tcBorders>
            <w:shd w:val="clear" w:color="auto" w:fill="auto"/>
            <w:noWrap/>
            <w:vAlign w:val="bottom"/>
          </w:tcPr>
          <w:p w14:paraId="20048362"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R</w:t>
            </w:r>
          </w:p>
        </w:tc>
        <w:tc>
          <w:tcPr>
            <w:tcW w:w="851" w:type="dxa"/>
            <w:tcBorders>
              <w:top w:val="none" w:sz="4" w:space="0" w:color="000000"/>
            </w:tcBorders>
            <w:shd w:val="clear" w:color="auto" w:fill="auto"/>
            <w:noWrap/>
            <w:vAlign w:val="bottom"/>
          </w:tcPr>
          <w:p w14:paraId="68311221"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p</w:t>
            </w:r>
          </w:p>
        </w:tc>
        <w:tc>
          <w:tcPr>
            <w:tcW w:w="567" w:type="dxa"/>
            <w:tcBorders>
              <w:top w:val="none" w:sz="4" w:space="0" w:color="000000"/>
              <w:left w:val="nil"/>
              <w:right w:val="none" w:sz="4" w:space="0" w:color="000000"/>
            </w:tcBorders>
            <w:shd w:val="clear" w:color="auto" w:fill="auto"/>
            <w:noWrap/>
            <w:vAlign w:val="bottom"/>
          </w:tcPr>
          <w:p w14:paraId="3D91596D"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R</w:t>
            </w:r>
          </w:p>
        </w:tc>
        <w:tc>
          <w:tcPr>
            <w:tcW w:w="850" w:type="dxa"/>
            <w:tcBorders>
              <w:top w:val="none" w:sz="4" w:space="0" w:color="000000"/>
              <w:left w:val="none" w:sz="4" w:space="0" w:color="000000"/>
              <w:right w:val="none" w:sz="4" w:space="0" w:color="000000"/>
            </w:tcBorders>
            <w:shd w:val="clear" w:color="auto" w:fill="auto"/>
            <w:noWrap/>
            <w:vAlign w:val="bottom"/>
          </w:tcPr>
          <w:p w14:paraId="0C20717C"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p</w:t>
            </w:r>
          </w:p>
        </w:tc>
        <w:tc>
          <w:tcPr>
            <w:tcW w:w="709" w:type="dxa"/>
            <w:tcBorders>
              <w:top w:val="none" w:sz="4" w:space="0" w:color="000000"/>
              <w:left w:val="none" w:sz="4" w:space="0" w:color="000000"/>
              <w:right w:val="none" w:sz="4" w:space="0" w:color="000000"/>
            </w:tcBorders>
            <w:shd w:val="clear" w:color="auto" w:fill="auto"/>
            <w:noWrap/>
            <w:vAlign w:val="bottom"/>
          </w:tcPr>
          <w:p w14:paraId="53AE4F14"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R</w:t>
            </w:r>
          </w:p>
        </w:tc>
        <w:tc>
          <w:tcPr>
            <w:tcW w:w="777" w:type="dxa"/>
            <w:tcBorders>
              <w:top w:val="none" w:sz="4" w:space="0" w:color="000000"/>
              <w:left w:val="none" w:sz="4" w:space="0" w:color="000000"/>
              <w:right w:val="none" w:sz="4" w:space="0" w:color="000000"/>
            </w:tcBorders>
            <w:shd w:val="clear" w:color="auto" w:fill="auto"/>
            <w:noWrap/>
            <w:vAlign w:val="bottom"/>
          </w:tcPr>
          <w:p w14:paraId="611C9279"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p</w:t>
            </w:r>
          </w:p>
        </w:tc>
      </w:tr>
      <w:tr w:rsidR="00EB2BBB" w:rsidRPr="00EB2BBB" w14:paraId="7AF07A98" w14:textId="77777777" w:rsidTr="00EB2BBB">
        <w:trPr>
          <w:trHeight w:val="75"/>
        </w:trPr>
        <w:tc>
          <w:tcPr>
            <w:tcW w:w="799" w:type="dxa"/>
            <w:tcBorders>
              <w:top w:val="none" w:sz="4" w:space="0" w:color="000000"/>
              <w:left w:val="none" w:sz="4" w:space="0" w:color="000000"/>
              <w:bottom w:val="single" w:sz="4" w:space="0" w:color="auto"/>
              <w:right w:val="none" w:sz="4" w:space="0" w:color="000000"/>
            </w:tcBorders>
            <w:shd w:val="clear" w:color="auto" w:fill="auto"/>
            <w:noWrap/>
            <w:vAlign w:val="bottom"/>
          </w:tcPr>
          <w:p w14:paraId="5534A5C7" w14:textId="77777777" w:rsidR="00AA4F0E" w:rsidRPr="00EB2BBB" w:rsidRDefault="00AA4F0E" w:rsidP="00EA2DAB">
            <w:pPr>
              <w:rPr>
                <w:rFonts w:ascii="Calibri" w:hAnsi="Calibri" w:cs="Calibri"/>
                <w:color w:val="000000"/>
                <w:sz w:val="18"/>
                <w:szCs w:val="18"/>
              </w:rPr>
            </w:pPr>
            <w:r w:rsidRPr="00EB2BBB">
              <w:rPr>
                <w:rFonts w:ascii="Calibri" w:hAnsi="Calibri" w:cs="Calibri"/>
                <w:color w:val="000000"/>
                <w:sz w:val="18"/>
                <w:szCs w:val="18"/>
              </w:rPr>
              <w:t>BDC-</w:t>
            </w:r>
            <w:proofErr w:type="gramStart"/>
            <w:r w:rsidRPr="00EB2BBB">
              <w:rPr>
                <w:rFonts w:ascii="Calibri" w:hAnsi="Calibri" w:cs="Calibri"/>
                <w:color w:val="000000"/>
                <w:sz w:val="18"/>
                <w:szCs w:val="18"/>
              </w:rPr>
              <w:t>7  HTD</w:t>
            </w:r>
            <w:proofErr w:type="gramEnd"/>
            <w:r w:rsidRPr="00EB2BBB">
              <w:rPr>
                <w:rFonts w:ascii="Calibri" w:hAnsi="Calibri" w:cs="Calibri"/>
                <w:color w:val="000000"/>
                <w:sz w:val="18"/>
                <w:szCs w:val="18"/>
              </w:rPr>
              <w:t>+2</w:t>
            </w:r>
          </w:p>
        </w:tc>
        <w:tc>
          <w:tcPr>
            <w:tcW w:w="652" w:type="dxa"/>
            <w:tcBorders>
              <w:top w:val="none" w:sz="4" w:space="0" w:color="000000"/>
              <w:left w:val="none" w:sz="4" w:space="0" w:color="000000"/>
              <w:bottom w:val="single" w:sz="4" w:space="0" w:color="auto"/>
              <w:right w:val="none" w:sz="4" w:space="0" w:color="000000"/>
            </w:tcBorders>
            <w:shd w:val="clear" w:color="auto" w:fill="auto"/>
            <w:noWrap/>
            <w:vAlign w:val="center"/>
          </w:tcPr>
          <w:p w14:paraId="5FC8B15C"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0.41</w:t>
            </w:r>
          </w:p>
        </w:tc>
        <w:tc>
          <w:tcPr>
            <w:tcW w:w="888" w:type="dxa"/>
            <w:tcBorders>
              <w:top w:val="none" w:sz="4" w:space="0" w:color="000000"/>
              <w:left w:val="none" w:sz="4" w:space="0" w:color="000000"/>
              <w:bottom w:val="single" w:sz="4" w:space="0" w:color="auto"/>
              <w:right w:val="none" w:sz="4" w:space="0" w:color="000000"/>
            </w:tcBorders>
            <w:shd w:val="clear" w:color="auto" w:fill="auto"/>
            <w:noWrap/>
            <w:vAlign w:val="center"/>
          </w:tcPr>
          <w:p w14:paraId="3149101B"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0.0700</w:t>
            </w:r>
          </w:p>
        </w:tc>
        <w:tc>
          <w:tcPr>
            <w:tcW w:w="652" w:type="dxa"/>
            <w:tcBorders>
              <w:top w:val="none" w:sz="4" w:space="0" w:color="000000"/>
              <w:left w:val="none" w:sz="4" w:space="0" w:color="000000"/>
              <w:bottom w:val="single" w:sz="4" w:space="0" w:color="auto"/>
              <w:right w:val="none" w:sz="4" w:space="0" w:color="000000"/>
            </w:tcBorders>
            <w:shd w:val="clear" w:color="auto" w:fill="auto"/>
            <w:noWrap/>
            <w:vAlign w:val="center"/>
          </w:tcPr>
          <w:p w14:paraId="5AFBB50C"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0.71</w:t>
            </w:r>
          </w:p>
        </w:tc>
        <w:tc>
          <w:tcPr>
            <w:tcW w:w="777" w:type="dxa"/>
            <w:gridSpan w:val="2"/>
            <w:tcBorders>
              <w:top w:val="none" w:sz="4" w:space="0" w:color="000000"/>
              <w:left w:val="none" w:sz="4" w:space="0" w:color="000000"/>
              <w:bottom w:val="single" w:sz="4" w:space="0" w:color="auto"/>
              <w:right w:val="none" w:sz="4" w:space="0" w:color="000000"/>
            </w:tcBorders>
            <w:shd w:val="clear" w:color="auto" w:fill="auto"/>
            <w:noWrap/>
            <w:vAlign w:val="center"/>
          </w:tcPr>
          <w:p w14:paraId="055D7404" w14:textId="77777777" w:rsidR="00AA4F0E" w:rsidRPr="00EB2BBB" w:rsidRDefault="00AA4F0E" w:rsidP="00EA2DAB">
            <w:pPr>
              <w:jc w:val="center"/>
              <w:rPr>
                <w:rFonts w:ascii="Calibri" w:hAnsi="Calibri" w:cs="Calibri"/>
                <w:b/>
                <w:bCs/>
                <w:color w:val="000000"/>
                <w:sz w:val="20"/>
                <w:szCs w:val="20"/>
              </w:rPr>
            </w:pPr>
            <w:r w:rsidRPr="00EB2BBB">
              <w:rPr>
                <w:rFonts w:ascii="Calibri" w:hAnsi="Calibri" w:cs="Calibri"/>
                <w:b/>
                <w:bCs/>
                <w:color w:val="000000"/>
                <w:sz w:val="20"/>
                <w:szCs w:val="20"/>
              </w:rPr>
              <w:t>0.0005</w:t>
            </w:r>
          </w:p>
        </w:tc>
        <w:tc>
          <w:tcPr>
            <w:tcW w:w="627" w:type="dxa"/>
            <w:tcBorders>
              <w:top w:val="none" w:sz="4" w:space="0" w:color="000000"/>
              <w:left w:val="none" w:sz="4" w:space="0" w:color="000000"/>
              <w:bottom w:val="single" w:sz="4" w:space="0" w:color="auto"/>
              <w:right w:val="none" w:sz="4" w:space="0" w:color="000000"/>
            </w:tcBorders>
            <w:shd w:val="clear" w:color="auto" w:fill="auto"/>
            <w:noWrap/>
            <w:vAlign w:val="center"/>
          </w:tcPr>
          <w:p w14:paraId="6D386B15"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0.27</w:t>
            </w:r>
          </w:p>
        </w:tc>
        <w:tc>
          <w:tcPr>
            <w:tcW w:w="777"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870F639"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0.2449</w:t>
            </w:r>
          </w:p>
        </w:tc>
        <w:tc>
          <w:tcPr>
            <w:tcW w:w="640" w:type="dxa"/>
            <w:tcBorders>
              <w:top w:val="none" w:sz="4" w:space="0" w:color="000000"/>
              <w:left w:val="single" w:sz="4" w:space="0" w:color="auto"/>
              <w:bottom w:val="single" w:sz="4" w:space="0" w:color="auto"/>
            </w:tcBorders>
            <w:shd w:val="clear" w:color="auto" w:fill="auto"/>
            <w:noWrap/>
            <w:vAlign w:val="center"/>
          </w:tcPr>
          <w:p w14:paraId="10A2AA46"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0.46</w:t>
            </w:r>
          </w:p>
        </w:tc>
        <w:tc>
          <w:tcPr>
            <w:tcW w:w="851" w:type="dxa"/>
            <w:tcBorders>
              <w:top w:val="none" w:sz="4" w:space="0" w:color="000000"/>
              <w:bottom w:val="single" w:sz="4" w:space="0" w:color="auto"/>
            </w:tcBorders>
            <w:shd w:val="clear" w:color="auto" w:fill="auto"/>
            <w:noWrap/>
            <w:vAlign w:val="center"/>
          </w:tcPr>
          <w:p w14:paraId="4B6AF06F"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0.1018</w:t>
            </w:r>
          </w:p>
        </w:tc>
        <w:tc>
          <w:tcPr>
            <w:tcW w:w="567" w:type="dxa"/>
            <w:tcBorders>
              <w:top w:val="none" w:sz="4" w:space="0" w:color="000000"/>
              <w:left w:val="nil"/>
              <w:bottom w:val="single" w:sz="4" w:space="0" w:color="auto"/>
              <w:right w:val="none" w:sz="4" w:space="0" w:color="000000"/>
            </w:tcBorders>
            <w:shd w:val="clear" w:color="auto" w:fill="auto"/>
            <w:noWrap/>
            <w:vAlign w:val="center"/>
          </w:tcPr>
          <w:p w14:paraId="6096A438"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0.42</w:t>
            </w:r>
          </w:p>
        </w:tc>
        <w:tc>
          <w:tcPr>
            <w:tcW w:w="850" w:type="dxa"/>
            <w:tcBorders>
              <w:top w:val="none" w:sz="4" w:space="0" w:color="000000"/>
              <w:left w:val="none" w:sz="4" w:space="0" w:color="000000"/>
              <w:bottom w:val="single" w:sz="4" w:space="0" w:color="auto"/>
              <w:right w:val="none" w:sz="4" w:space="0" w:color="000000"/>
            </w:tcBorders>
            <w:shd w:val="clear" w:color="auto" w:fill="auto"/>
            <w:noWrap/>
            <w:vAlign w:val="center"/>
          </w:tcPr>
          <w:p w14:paraId="0E26E6A4"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0.1316</w:t>
            </w:r>
          </w:p>
        </w:tc>
        <w:tc>
          <w:tcPr>
            <w:tcW w:w="709" w:type="dxa"/>
            <w:tcBorders>
              <w:top w:val="none" w:sz="4" w:space="0" w:color="000000"/>
              <w:left w:val="none" w:sz="4" w:space="0" w:color="000000"/>
              <w:bottom w:val="single" w:sz="4" w:space="0" w:color="auto"/>
              <w:right w:val="none" w:sz="4" w:space="0" w:color="000000"/>
            </w:tcBorders>
            <w:shd w:val="clear" w:color="auto" w:fill="auto"/>
            <w:noWrap/>
            <w:vAlign w:val="center"/>
          </w:tcPr>
          <w:p w14:paraId="056AE372"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0.33</w:t>
            </w:r>
          </w:p>
        </w:tc>
        <w:tc>
          <w:tcPr>
            <w:tcW w:w="777" w:type="dxa"/>
            <w:tcBorders>
              <w:top w:val="none" w:sz="4" w:space="0" w:color="000000"/>
              <w:left w:val="none" w:sz="4" w:space="0" w:color="000000"/>
              <w:bottom w:val="single" w:sz="4" w:space="0" w:color="auto"/>
              <w:right w:val="none" w:sz="4" w:space="0" w:color="000000"/>
            </w:tcBorders>
            <w:shd w:val="clear" w:color="auto" w:fill="auto"/>
            <w:noWrap/>
            <w:vAlign w:val="center"/>
          </w:tcPr>
          <w:p w14:paraId="70A432ED"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0.2562</w:t>
            </w:r>
          </w:p>
        </w:tc>
      </w:tr>
      <w:tr w:rsidR="00EB2BBB" w:rsidRPr="00EB2BBB" w14:paraId="48EA9891" w14:textId="77777777" w:rsidTr="00EB2BBB">
        <w:trPr>
          <w:trHeight w:val="99"/>
        </w:trPr>
        <w:tc>
          <w:tcPr>
            <w:tcW w:w="799" w:type="dxa"/>
            <w:tcBorders>
              <w:top w:val="single" w:sz="4" w:space="0" w:color="auto"/>
              <w:left w:val="none" w:sz="4" w:space="0" w:color="000000"/>
              <w:bottom w:val="single" w:sz="4" w:space="0" w:color="auto"/>
              <w:right w:val="none" w:sz="4" w:space="0" w:color="000000"/>
            </w:tcBorders>
            <w:shd w:val="clear" w:color="auto" w:fill="auto"/>
            <w:noWrap/>
            <w:vAlign w:val="bottom"/>
          </w:tcPr>
          <w:p w14:paraId="237C7BE2" w14:textId="77777777" w:rsidR="00AA4F0E" w:rsidRPr="00EB2BBB" w:rsidRDefault="00AA4F0E" w:rsidP="00EA2DAB">
            <w:pPr>
              <w:rPr>
                <w:rFonts w:ascii="Calibri" w:hAnsi="Calibri" w:cs="Calibri"/>
                <w:color w:val="000000"/>
                <w:sz w:val="18"/>
                <w:szCs w:val="18"/>
              </w:rPr>
            </w:pPr>
            <w:r w:rsidRPr="00EB2BBB">
              <w:rPr>
                <w:rFonts w:ascii="Calibri" w:hAnsi="Calibri" w:cs="Calibri"/>
                <w:color w:val="000000"/>
                <w:sz w:val="18"/>
                <w:szCs w:val="18"/>
              </w:rPr>
              <w:t>HTD+2 HTD+30</w:t>
            </w:r>
          </w:p>
        </w:tc>
        <w:tc>
          <w:tcPr>
            <w:tcW w:w="652" w:type="dxa"/>
            <w:tcBorders>
              <w:top w:val="single" w:sz="4" w:space="0" w:color="auto"/>
              <w:left w:val="none" w:sz="4" w:space="0" w:color="000000"/>
              <w:bottom w:val="single" w:sz="4" w:space="0" w:color="auto"/>
              <w:right w:val="none" w:sz="4" w:space="0" w:color="000000"/>
            </w:tcBorders>
            <w:shd w:val="clear" w:color="auto" w:fill="auto"/>
            <w:noWrap/>
            <w:vAlign w:val="center"/>
          </w:tcPr>
          <w:p w14:paraId="79A947D8"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0.52</w:t>
            </w:r>
          </w:p>
        </w:tc>
        <w:tc>
          <w:tcPr>
            <w:tcW w:w="888" w:type="dxa"/>
            <w:tcBorders>
              <w:top w:val="single" w:sz="4" w:space="0" w:color="auto"/>
              <w:left w:val="none" w:sz="4" w:space="0" w:color="000000"/>
              <w:bottom w:val="single" w:sz="4" w:space="0" w:color="auto"/>
              <w:right w:val="none" w:sz="4" w:space="0" w:color="000000"/>
            </w:tcBorders>
            <w:shd w:val="clear" w:color="auto" w:fill="auto"/>
            <w:noWrap/>
            <w:vAlign w:val="center"/>
          </w:tcPr>
          <w:p w14:paraId="6E3612E4" w14:textId="77777777" w:rsidR="00AA4F0E" w:rsidRPr="00EB2BBB" w:rsidRDefault="00AA4F0E" w:rsidP="00EA2DAB">
            <w:pPr>
              <w:jc w:val="center"/>
              <w:rPr>
                <w:rFonts w:ascii="Calibri" w:hAnsi="Calibri" w:cs="Calibri"/>
                <w:b/>
                <w:bCs/>
                <w:color w:val="000000"/>
                <w:sz w:val="20"/>
                <w:szCs w:val="20"/>
              </w:rPr>
            </w:pPr>
            <w:r w:rsidRPr="00EB2BBB">
              <w:rPr>
                <w:rFonts w:ascii="Calibri" w:hAnsi="Calibri" w:cs="Calibri"/>
                <w:b/>
                <w:bCs/>
                <w:color w:val="000000"/>
                <w:sz w:val="20"/>
                <w:szCs w:val="20"/>
              </w:rPr>
              <w:t>0.0185</w:t>
            </w:r>
          </w:p>
        </w:tc>
        <w:tc>
          <w:tcPr>
            <w:tcW w:w="652" w:type="dxa"/>
            <w:tcBorders>
              <w:top w:val="single" w:sz="4" w:space="0" w:color="auto"/>
              <w:left w:val="none" w:sz="4" w:space="0" w:color="000000"/>
              <w:bottom w:val="single" w:sz="4" w:space="0" w:color="auto"/>
              <w:right w:val="none" w:sz="4" w:space="0" w:color="000000"/>
            </w:tcBorders>
            <w:shd w:val="clear" w:color="auto" w:fill="auto"/>
            <w:noWrap/>
            <w:vAlign w:val="center"/>
          </w:tcPr>
          <w:p w14:paraId="2B7FA48C"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0.92</w:t>
            </w:r>
          </w:p>
        </w:tc>
        <w:tc>
          <w:tcPr>
            <w:tcW w:w="777" w:type="dxa"/>
            <w:gridSpan w:val="2"/>
            <w:tcBorders>
              <w:top w:val="single" w:sz="4" w:space="0" w:color="auto"/>
              <w:left w:val="none" w:sz="4" w:space="0" w:color="000000"/>
              <w:bottom w:val="single" w:sz="4" w:space="0" w:color="auto"/>
              <w:right w:val="none" w:sz="4" w:space="0" w:color="000000"/>
            </w:tcBorders>
            <w:shd w:val="clear" w:color="auto" w:fill="auto"/>
            <w:noWrap/>
            <w:vAlign w:val="center"/>
          </w:tcPr>
          <w:p w14:paraId="5AD8621A" w14:textId="77777777" w:rsidR="00AA4F0E" w:rsidRPr="00EB2BBB" w:rsidRDefault="00AA4F0E" w:rsidP="00EA2DAB">
            <w:pPr>
              <w:jc w:val="center"/>
              <w:rPr>
                <w:rFonts w:ascii="Calibri" w:hAnsi="Calibri" w:cs="Calibri"/>
                <w:b/>
                <w:bCs/>
                <w:color w:val="000000"/>
                <w:sz w:val="20"/>
                <w:szCs w:val="20"/>
              </w:rPr>
            </w:pPr>
            <w:r w:rsidRPr="00EB2BBB">
              <w:rPr>
                <w:rFonts w:ascii="Calibri" w:hAnsi="Calibri" w:cs="Calibri"/>
                <w:b/>
                <w:bCs/>
                <w:color w:val="000000"/>
                <w:sz w:val="20"/>
                <w:szCs w:val="20"/>
              </w:rPr>
              <w:t>0.0000</w:t>
            </w:r>
          </w:p>
        </w:tc>
        <w:tc>
          <w:tcPr>
            <w:tcW w:w="62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3A387815"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0.34</w:t>
            </w:r>
          </w:p>
        </w:tc>
        <w:tc>
          <w:tcPr>
            <w:tcW w:w="777" w:type="dxa"/>
            <w:tcBorders>
              <w:top w:val="single" w:sz="4" w:space="0" w:color="auto"/>
              <w:left w:val="none" w:sz="4" w:space="0" w:color="000000"/>
              <w:bottom w:val="single" w:sz="4" w:space="0" w:color="auto"/>
              <w:right w:val="single" w:sz="4" w:space="0" w:color="auto"/>
            </w:tcBorders>
            <w:shd w:val="clear" w:color="auto" w:fill="auto"/>
            <w:noWrap/>
            <w:vAlign w:val="center"/>
          </w:tcPr>
          <w:p w14:paraId="2363820A"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0.1449</w:t>
            </w:r>
          </w:p>
        </w:tc>
        <w:tc>
          <w:tcPr>
            <w:tcW w:w="640" w:type="dxa"/>
            <w:tcBorders>
              <w:top w:val="single" w:sz="4" w:space="0" w:color="auto"/>
              <w:left w:val="single" w:sz="4" w:space="0" w:color="auto"/>
              <w:bottom w:val="single" w:sz="4" w:space="0" w:color="auto"/>
              <w:right w:val="none" w:sz="4" w:space="0" w:color="000000"/>
            </w:tcBorders>
            <w:shd w:val="clear" w:color="auto" w:fill="auto"/>
            <w:noWrap/>
            <w:vAlign w:val="center"/>
          </w:tcPr>
          <w:p w14:paraId="3B808D41"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0.57</w:t>
            </w:r>
          </w:p>
        </w:tc>
        <w:tc>
          <w:tcPr>
            <w:tcW w:w="851" w:type="dxa"/>
            <w:tcBorders>
              <w:top w:val="single" w:sz="4" w:space="0" w:color="auto"/>
              <w:left w:val="none" w:sz="4" w:space="0" w:color="000000"/>
              <w:bottom w:val="single" w:sz="4" w:space="0" w:color="auto"/>
              <w:right w:val="none" w:sz="4" w:space="0" w:color="000000"/>
            </w:tcBorders>
            <w:shd w:val="clear" w:color="auto" w:fill="auto"/>
            <w:noWrap/>
            <w:vAlign w:val="center"/>
          </w:tcPr>
          <w:p w14:paraId="4DB7C55D" w14:textId="77777777" w:rsidR="00AA4F0E" w:rsidRPr="00EB2BBB" w:rsidRDefault="00AA4F0E" w:rsidP="00EA2DAB">
            <w:pPr>
              <w:jc w:val="center"/>
              <w:rPr>
                <w:rFonts w:ascii="Calibri" w:hAnsi="Calibri" w:cs="Calibri"/>
                <w:b/>
                <w:bCs/>
                <w:color w:val="000000"/>
                <w:sz w:val="20"/>
                <w:szCs w:val="20"/>
              </w:rPr>
            </w:pPr>
            <w:r w:rsidRPr="00EB2BBB">
              <w:rPr>
                <w:rFonts w:ascii="Calibri" w:hAnsi="Calibri" w:cs="Calibri"/>
                <w:b/>
                <w:bCs/>
                <w:color w:val="000000"/>
                <w:sz w:val="20"/>
                <w:szCs w:val="20"/>
              </w:rPr>
              <w:t>0.0328</w:t>
            </w:r>
          </w:p>
        </w:tc>
        <w:tc>
          <w:tcPr>
            <w:tcW w:w="56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1E1B56F5"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0.43</w:t>
            </w:r>
          </w:p>
        </w:tc>
        <w:tc>
          <w:tcPr>
            <w:tcW w:w="850" w:type="dxa"/>
            <w:tcBorders>
              <w:top w:val="single" w:sz="4" w:space="0" w:color="auto"/>
              <w:left w:val="none" w:sz="4" w:space="0" w:color="000000"/>
              <w:bottom w:val="single" w:sz="4" w:space="0" w:color="auto"/>
              <w:right w:val="none" w:sz="4" w:space="0" w:color="000000"/>
            </w:tcBorders>
            <w:shd w:val="clear" w:color="auto" w:fill="auto"/>
            <w:noWrap/>
            <w:vAlign w:val="center"/>
          </w:tcPr>
          <w:p w14:paraId="19E3A423"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0.1221</w:t>
            </w:r>
          </w:p>
        </w:tc>
        <w:tc>
          <w:tcPr>
            <w:tcW w:w="709" w:type="dxa"/>
            <w:tcBorders>
              <w:top w:val="single" w:sz="4" w:space="0" w:color="auto"/>
              <w:left w:val="none" w:sz="4" w:space="0" w:color="000000"/>
              <w:bottom w:val="single" w:sz="4" w:space="0" w:color="auto"/>
              <w:right w:val="none" w:sz="4" w:space="0" w:color="000000"/>
            </w:tcBorders>
            <w:shd w:val="clear" w:color="auto" w:fill="auto"/>
            <w:noWrap/>
            <w:vAlign w:val="center"/>
          </w:tcPr>
          <w:p w14:paraId="4D1C8FDB"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-0.48</w:t>
            </w:r>
          </w:p>
        </w:tc>
        <w:tc>
          <w:tcPr>
            <w:tcW w:w="77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5BC7A6CA"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0.0790</w:t>
            </w:r>
          </w:p>
        </w:tc>
      </w:tr>
      <w:tr w:rsidR="00EB2BBB" w:rsidRPr="00EB2BBB" w14:paraId="44258ED6" w14:textId="77777777" w:rsidTr="00EB2BBB">
        <w:trPr>
          <w:trHeight w:val="75"/>
        </w:trPr>
        <w:tc>
          <w:tcPr>
            <w:tcW w:w="799" w:type="dxa"/>
            <w:tcBorders>
              <w:top w:val="single" w:sz="4" w:space="0" w:color="auto"/>
              <w:left w:val="none" w:sz="4" w:space="0" w:color="000000"/>
              <w:bottom w:val="single" w:sz="4" w:space="0" w:color="auto"/>
              <w:right w:val="none" w:sz="4" w:space="0" w:color="000000"/>
            </w:tcBorders>
            <w:shd w:val="clear" w:color="auto" w:fill="auto"/>
            <w:noWrap/>
            <w:vAlign w:val="bottom"/>
          </w:tcPr>
          <w:p w14:paraId="30698CB7" w14:textId="77777777" w:rsidR="00AA4F0E" w:rsidRPr="00EB2BBB" w:rsidRDefault="00AA4F0E" w:rsidP="00EA2DAB">
            <w:pPr>
              <w:rPr>
                <w:rFonts w:ascii="Calibri" w:hAnsi="Calibri" w:cs="Calibri"/>
                <w:color w:val="000000"/>
                <w:sz w:val="18"/>
                <w:szCs w:val="18"/>
              </w:rPr>
            </w:pPr>
            <w:r w:rsidRPr="00EB2BBB">
              <w:rPr>
                <w:rFonts w:ascii="Calibri" w:hAnsi="Calibri" w:cs="Calibri"/>
                <w:color w:val="000000"/>
                <w:sz w:val="18"/>
                <w:szCs w:val="18"/>
              </w:rPr>
              <w:t>HTD+30 HTD+59</w:t>
            </w:r>
          </w:p>
        </w:tc>
        <w:tc>
          <w:tcPr>
            <w:tcW w:w="652" w:type="dxa"/>
            <w:tcBorders>
              <w:top w:val="single" w:sz="4" w:space="0" w:color="auto"/>
              <w:left w:val="none" w:sz="4" w:space="0" w:color="000000"/>
              <w:bottom w:val="single" w:sz="4" w:space="0" w:color="auto"/>
              <w:right w:val="none" w:sz="4" w:space="0" w:color="000000"/>
            </w:tcBorders>
            <w:shd w:val="clear" w:color="auto" w:fill="auto"/>
            <w:noWrap/>
            <w:vAlign w:val="center"/>
          </w:tcPr>
          <w:p w14:paraId="5C481A4D"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0.76</w:t>
            </w:r>
          </w:p>
        </w:tc>
        <w:tc>
          <w:tcPr>
            <w:tcW w:w="888" w:type="dxa"/>
            <w:tcBorders>
              <w:top w:val="single" w:sz="4" w:space="0" w:color="auto"/>
              <w:left w:val="none" w:sz="4" w:space="0" w:color="000000"/>
              <w:bottom w:val="single" w:sz="4" w:space="0" w:color="auto"/>
              <w:right w:val="none" w:sz="4" w:space="0" w:color="000000"/>
            </w:tcBorders>
            <w:shd w:val="clear" w:color="auto" w:fill="auto"/>
            <w:noWrap/>
            <w:vAlign w:val="center"/>
          </w:tcPr>
          <w:p w14:paraId="5525E34C" w14:textId="77777777" w:rsidR="00AA4F0E" w:rsidRPr="00EB2BBB" w:rsidRDefault="00AA4F0E" w:rsidP="00EA2DAB">
            <w:pPr>
              <w:jc w:val="center"/>
              <w:rPr>
                <w:rFonts w:ascii="Calibri" w:hAnsi="Calibri" w:cs="Calibri"/>
                <w:b/>
                <w:bCs/>
                <w:color w:val="000000"/>
                <w:sz w:val="20"/>
                <w:szCs w:val="20"/>
              </w:rPr>
            </w:pPr>
            <w:r w:rsidRPr="00EB2BBB">
              <w:rPr>
                <w:rFonts w:ascii="Calibri" w:hAnsi="Calibri" w:cs="Calibri"/>
                <w:b/>
                <w:bCs/>
                <w:color w:val="000000"/>
                <w:sz w:val="20"/>
                <w:szCs w:val="20"/>
              </w:rPr>
              <w:t>0.0001</w:t>
            </w:r>
          </w:p>
        </w:tc>
        <w:tc>
          <w:tcPr>
            <w:tcW w:w="652" w:type="dxa"/>
            <w:tcBorders>
              <w:top w:val="single" w:sz="4" w:space="0" w:color="auto"/>
              <w:left w:val="none" w:sz="4" w:space="0" w:color="000000"/>
              <w:bottom w:val="single" w:sz="4" w:space="0" w:color="auto"/>
              <w:right w:val="none" w:sz="4" w:space="0" w:color="000000"/>
            </w:tcBorders>
            <w:shd w:val="clear" w:color="auto" w:fill="auto"/>
            <w:noWrap/>
            <w:vAlign w:val="center"/>
          </w:tcPr>
          <w:p w14:paraId="298DC6F5"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0.89</w:t>
            </w:r>
          </w:p>
        </w:tc>
        <w:tc>
          <w:tcPr>
            <w:tcW w:w="777" w:type="dxa"/>
            <w:gridSpan w:val="2"/>
            <w:tcBorders>
              <w:top w:val="single" w:sz="4" w:space="0" w:color="auto"/>
              <w:left w:val="none" w:sz="4" w:space="0" w:color="000000"/>
              <w:bottom w:val="single" w:sz="4" w:space="0" w:color="auto"/>
              <w:right w:val="none" w:sz="4" w:space="0" w:color="000000"/>
            </w:tcBorders>
            <w:shd w:val="clear" w:color="auto" w:fill="auto"/>
            <w:noWrap/>
            <w:vAlign w:val="center"/>
          </w:tcPr>
          <w:p w14:paraId="3F167182" w14:textId="77777777" w:rsidR="00AA4F0E" w:rsidRPr="00EB2BBB" w:rsidRDefault="00AA4F0E" w:rsidP="00EA2DAB">
            <w:pPr>
              <w:jc w:val="center"/>
              <w:rPr>
                <w:rFonts w:ascii="Calibri" w:hAnsi="Calibri" w:cs="Calibri"/>
                <w:b/>
                <w:bCs/>
                <w:color w:val="000000"/>
                <w:sz w:val="20"/>
                <w:szCs w:val="20"/>
              </w:rPr>
            </w:pPr>
            <w:r w:rsidRPr="00EB2BBB">
              <w:rPr>
                <w:rFonts w:ascii="Calibri" w:hAnsi="Calibri" w:cs="Calibri"/>
                <w:b/>
                <w:bCs/>
                <w:color w:val="000000"/>
                <w:sz w:val="20"/>
                <w:szCs w:val="20"/>
              </w:rPr>
              <w:t>0.0000</w:t>
            </w:r>
          </w:p>
        </w:tc>
        <w:tc>
          <w:tcPr>
            <w:tcW w:w="62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5B0D4D29"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0.24</w:t>
            </w:r>
          </w:p>
        </w:tc>
        <w:tc>
          <w:tcPr>
            <w:tcW w:w="777" w:type="dxa"/>
            <w:tcBorders>
              <w:top w:val="single" w:sz="4" w:space="0" w:color="auto"/>
              <w:left w:val="none" w:sz="4" w:space="0" w:color="000000"/>
              <w:bottom w:val="single" w:sz="4" w:space="0" w:color="auto"/>
              <w:right w:val="single" w:sz="4" w:space="0" w:color="auto"/>
            </w:tcBorders>
            <w:shd w:val="clear" w:color="auto" w:fill="auto"/>
            <w:noWrap/>
            <w:vAlign w:val="center"/>
          </w:tcPr>
          <w:p w14:paraId="2855FBEE"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0.3005</w:t>
            </w:r>
          </w:p>
        </w:tc>
        <w:tc>
          <w:tcPr>
            <w:tcW w:w="640" w:type="dxa"/>
            <w:tcBorders>
              <w:top w:val="single" w:sz="4" w:space="0" w:color="auto"/>
              <w:left w:val="single" w:sz="4" w:space="0" w:color="auto"/>
              <w:bottom w:val="single" w:sz="4" w:space="0" w:color="auto"/>
              <w:right w:val="none" w:sz="4" w:space="0" w:color="000000"/>
            </w:tcBorders>
            <w:shd w:val="clear" w:color="auto" w:fill="auto"/>
            <w:noWrap/>
            <w:vAlign w:val="center"/>
          </w:tcPr>
          <w:p w14:paraId="05AEB1BB"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0.51</w:t>
            </w:r>
          </w:p>
        </w:tc>
        <w:tc>
          <w:tcPr>
            <w:tcW w:w="851" w:type="dxa"/>
            <w:tcBorders>
              <w:top w:val="single" w:sz="4" w:space="0" w:color="auto"/>
              <w:left w:val="none" w:sz="4" w:space="0" w:color="000000"/>
              <w:bottom w:val="single" w:sz="4" w:space="0" w:color="auto"/>
              <w:right w:val="none" w:sz="4" w:space="0" w:color="000000"/>
            </w:tcBorders>
            <w:shd w:val="clear" w:color="auto" w:fill="auto"/>
            <w:noWrap/>
            <w:vAlign w:val="center"/>
          </w:tcPr>
          <w:p w14:paraId="19E5055D"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0.0627</w:t>
            </w:r>
          </w:p>
        </w:tc>
        <w:tc>
          <w:tcPr>
            <w:tcW w:w="56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020B7DA2"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0.81</w:t>
            </w:r>
          </w:p>
        </w:tc>
        <w:tc>
          <w:tcPr>
            <w:tcW w:w="850" w:type="dxa"/>
            <w:tcBorders>
              <w:top w:val="single" w:sz="4" w:space="0" w:color="auto"/>
              <w:left w:val="none" w:sz="4" w:space="0" w:color="000000"/>
              <w:bottom w:val="single" w:sz="4" w:space="0" w:color="auto"/>
              <w:right w:val="none" w:sz="4" w:space="0" w:color="000000"/>
            </w:tcBorders>
            <w:shd w:val="clear" w:color="auto" w:fill="auto"/>
            <w:noWrap/>
            <w:vAlign w:val="center"/>
          </w:tcPr>
          <w:p w14:paraId="0DDF4FD9" w14:textId="77777777" w:rsidR="00AA4F0E" w:rsidRPr="00EB2BBB" w:rsidRDefault="00AA4F0E" w:rsidP="00EA2DAB">
            <w:pPr>
              <w:jc w:val="center"/>
              <w:rPr>
                <w:rFonts w:ascii="Calibri" w:hAnsi="Calibri" w:cs="Calibri"/>
                <w:b/>
                <w:bCs/>
                <w:color w:val="000000"/>
                <w:sz w:val="20"/>
                <w:szCs w:val="20"/>
              </w:rPr>
            </w:pPr>
            <w:r w:rsidRPr="00EB2BBB">
              <w:rPr>
                <w:rFonts w:ascii="Calibri" w:hAnsi="Calibri" w:cs="Calibri"/>
                <w:b/>
                <w:bCs/>
                <w:color w:val="000000"/>
                <w:sz w:val="20"/>
                <w:szCs w:val="20"/>
              </w:rPr>
              <w:t>0.0004</w:t>
            </w:r>
          </w:p>
        </w:tc>
        <w:tc>
          <w:tcPr>
            <w:tcW w:w="709" w:type="dxa"/>
            <w:tcBorders>
              <w:top w:val="single" w:sz="4" w:space="0" w:color="auto"/>
              <w:left w:val="none" w:sz="4" w:space="0" w:color="000000"/>
              <w:bottom w:val="single" w:sz="4" w:space="0" w:color="auto"/>
              <w:right w:val="none" w:sz="4" w:space="0" w:color="000000"/>
            </w:tcBorders>
            <w:shd w:val="clear" w:color="auto" w:fill="auto"/>
            <w:noWrap/>
            <w:vAlign w:val="center"/>
          </w:tcPr>
          <w:p w14:paraId="4B0700D0"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0.41</w:t>
            </w:r>
          </w:p>
        </w:tc>
        <w:tc>
          <w:tcPr>
            <w:tcW w:w="77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66B71941"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0.1425</w:t>
            </w:r>
          </w:p>
        </w:tc>
      </w:tr>
      <w:tr w:rsidR="00EB2BBB" w:rsidRPr="00EB2BBB" w14:paraId="13B5CBA9" w14:textId="77777777" w:rsidTr="00EB2BBB">
        <w:trPr>
          <w:trHeight w:val="177"/>
        </w:trPr>
        <w:tc>
          <w:tcPr>
            <w:tcW w:w="799" w:type="dxa"/>
            <w:tcBorders>
              <w:top w:val="single" w:sz="4" w:space="0" w:color="auto"/>
              <w:left w:val="none" w:sz="4" w:space="0" w:color="000000"/>
              <w:bottom w:val="single" w:sz="4" w:space="0" w:color="auto"/>
              <w:right w:val="none" w:sz="4" w:space="0" w:color="000000"/>
            </w:tcBorders>
            <w:shd w:val="clear" w:color="auto" w:fill="auto"/>
            <w:noWrap/>
            <w:vAlign w:val="bottom"/>
          </w:tcPr>
          <w:p w14:paraId="4C4172C5" w14:textId="77777777" w:rsidR="00AA4F0E" w:rsidRPr="00EB2BBB" w:rsidRDefault="00AA4F0E" w:rsidP="00EA2DAB">
            <w:pPr>
              <w:rPr>
                <w:rFonts w:ascii="Calibri" w:hAnsi="Calibri" w:cs="Calibri"/>
                <w:color w:val="000000"/>
                <w:sz w:val="18"/>
                <w:szCs w:val="18"/>
              </w:rPr>
            </w:pPr>
            <w:r w:rsidRPr="00EB2BBB">
              <w:rPr>
                <w:rFonts w:ascii="Calibri" w:hAnsi="Calibri" w:cs="Calibri"/>
                <w:color w:val="000000"/>
                <w:sz w:val="18"/>
                <w:szCs w:val="18"/>
              </w:rPr>
              <w:t>HTD+59 R+2</w:t>
            </w:r>
          </w:p>
        </w:tc>
        <w:tc>
          <w:tcPr>
            <w:tcW w:w="652" w:type="dxa"/>
            <w:tcBorders>
              <w:top w:val="single" w:sz="4" w:space="0" w:color="auto"/>
              <w:left w:val="none" w:sz="4" w:space="0" w:color="000000"/>
              <w:bottom w:val="single" w:sz="4" w:space="0" w:color="auto"/>
              <w:right w:val="none" w:sz="4" w:space="0" w:color="000000"/>
            </w:tcBorders>
            <w:shd w:val="clear" w:color="auto" w:fill="auto"/>
            <w:noWrap/>
            <w:vAlign w:val="center"/>
          </w:tcPr>
          <w:p w14:paraId="05DCD459"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0.37</w:t>
            </w:r>
          </w:p>
        </w:tc>
        <w:tc>
          <w:tcPr>
            <w:tcW w:w="888" w:type="dxa"/>
            <w:tcBorders>
              <w:top w:val="single" w:sz="4" w:space="0" w:color="auto"/>
              <w:left w:val="none" w:sz="4" w:space="0" w:color="000000"/>
              <w:bottom w:val="single" w:sz="4" w:space="0" w:color="auto"/>
              <w:right w:val="none" w:sz="4" w:space="0" w:color="000000"/>
            </w:tcBorders>
            <w:shd w:val="clear" w:color="auto" w:fill="auto"/>
            <w:noWrap/>
            <w:vAlign w:val="center"/>
          </w:tcPr>
          <w:p w14:paraId="03CB1993"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0.1044</w:t>
            </w:r>
          </w:p>
        </w:tc>
        <w:tc>
          <w:tcPr>
            <w:tcW w:w="652" w:type="dxa"/>
            <w:tcBorders>
              <w:top w:val="single" w:sz="4" w:space="0" w:color="auto"/>
              <w:left w:val="none" w:sz="4" w:space="0" w:color="000000"/>
              <w:bottom w:val="single" w:sz="4" w:space="0" w:color="auto"/>
              <w:right w:val="none" w:sz="4" w:space="0" w:color="000000"/>
            </w:tcBorders>
            <w:shd w:val="clear" w:color="auto" w:fill="auto"/>
            <w:noWrap/>
            <w:vAlign w:val="center"/>
          </w:tcPr>
          <w:p w14:paraId="21A0DB92"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0.73</w:t>
            </w:r>
          </w:p>
        </w:tc>
        <w:tc>
          <w:tcPr>
            <w:tcW w:w="777" w:type="dxa"/>
            <w:gridSpan w:val="2"/>
            <w:tcBorders>
              <w:top w:val="single" w:sz="4" w:space="0" w:color="auto"/>
              <w:left w:val="none" w:sz="4" w:space="0" w:color="000000"/>
              <w:bottom w:val="single" w:sz="4" w:space="0" w:color="auto"/>
              <w:right w:val="none" w:sz="4" w:space="0" w:color="000000"/>
            </w:tcBorders>
            <w:shd w:val="clear" w:color="auto" w:fill="auto"/>
            <w:noWrap/>
            <w:vAlign w:val="center"/>
          </w:tcPr>
          <w:p w14:paraId="3314283D" w14:textId="77777777" w:rsidR="00AA4F0E" w:rsidRPr="00EB2BBB" w:rsidRDefault="00AA4F0E" w:rsidP="00EA2DAB">
            <w:pPr>
              <w:jc w:val="center"/>
              <w:rPr>
                <w:rFonts w:ascii="Calibri" w:hAnsi="Calibri" w:cs="Calibri"/>
                <w:b/>
                <w:bCs/>
                <w:color w:val="000000"/>
                <w:sz w:val="20"/>
                <w:szCs w:val="20"/>
              </w:rPr>
            </w:pPr>
            <w:r w:rsidRPr="00EB2BBB">
              <w:rPr>
                <w:rFonts w:ascii="Calibri" w:hAnsi="Calibri" w:cs="Calibri"/>
                <w:b/>
                <w:bCs/>
                <w:color w:val="000000"/>
                <w:sz w:val="20"/>
                <w:szCs w:val="20"/>
              </w:rPr>
              <w:t>0.0002</w:t>
            </w:r>
          </w:p>
        </w:tc>
        <w:tc>
          <w:tcPr>
            <w:tcW w:w="62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2758687B"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0.43</w:t>
            </w:r>
          </w:p>
        </w:tc>
        <w:tc>
          <w:tcPr>
            <w:tcW w:w="777" w:type="dxa"/>
            <w:tcBorders>
              <w:top w:val="single" w:sz="4" w:space="0" w:color="auto"/>
              <w:left w:val="none" w:sz="4" w:space="0" w:color="000000"/>
              <w:bottom w:val="single" w:sz="4" w:space="0" w:color="auto"/>
              <w:right w:val="single" w:sz="4" w:space="0" w:color="auto"/>
            </w:tcBorders>
            <w:shd w:val="clear" w:color="auto" w:fill="auto"/>
            <w:noWrap/>
            <w:vAlign w:val="center"/>
          </w:tcPr>
          <w:p w14:paraId="05ACF2A1"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0.0564</w:t>
            </w:r>
          </w:p>
        </w:tc>
        <w:tc>
          <w:tcPr>
            <w:tcW w:w="640" w:type="dxa"/>
            <w:tcBorders>
              <w:top w:val="single" w:sz="4" w:space="0" w:color="auto"/>
              <w:left w:val="single" w:sz="4" w:space="0" w:color="auto"/>
              <w:bottom w:val="single" w:sz="4" w:space="0" w:color="auto"/>
              <w:right w:val="none" w:sz="4" w:space="0" w:color="000000"/>
            </w:tcBorders>
            <w:shd w:val="clear" w:color="auto" w:fill="auto"/>
            <w:noWrap/>
            <w:vAlign w:val="center"/>
          </w:tcPr>
          <w:p w14:paraId="56E4C9F4"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0.54</w:t>
            </w:r>
          </w:p>
        </w:tc>
        <w:tc>
          <w:tcPr>
            <w:tcW w:w="851" w:type="dxa"/>
            <w:tcBorders>
              <w:top w:val="single" w:sz="4" w:space="0" w:color="auto"/>
              <w:left w:val="none" w:sz="4" w:space="0" w:color="000000"/>
              <w:bottom w:val="single" w:sz="4" w:space="0" w:color="auto"/>
              <w:right w:val="none" w:sz="4" w:space="0" w:color="000000"/>
            </w:tcBorders>
            <w:shd w:val="clear" w:color="auto" w:fill="auto"/>
            <w:noWrap/>
            <w:vAlign w:val="center"/>
          </w:tcPr>
          <w:p w14:paraId="222469B6" w14:textId="77777777" w:rsidR="00AA4F0E" w:rsidRPr="00EB2BBB" w:rsidRDefault="00AA4F0E" w:rsidP="00EA2DAB">
            <w:pPr>
              <w:jc w:val="center"/>
              <w:rPr>
                <w:rFonts w:ascii="Calibri" w:hAnsi="Calibri" w:cs="Calibri"/>
                <w:b/>
                <w:bCs/>
                <w:color w:val="000000"/>
                <w:sz w:val="20"/>
                <w:szCs w:val="20"/>
              </w:rPr>
            </w:pPr>
            <w:r w:rsidRPr="00EB2BBB">
              <w:rPr>
                <w:rFonts w:ascii="Calibri" w:hAnsi="Calibri" w:cs="Calibri"/>
                <w:b/>
                <w:bCs/>
                <w:color w:val="000000"/>
                <w:sz w:val="20"/>
                <w:szCs w:val="20"/>
              </w:rPr>
              <w:t>0.0472</w:t>
            </w:r>
          </w:p>
        </w:tc>
        <w:tc>
          <w:tcPr>
            <w:tcW w:w="56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69F83D50"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0.86</w:t>
            </w:r>
          </w:p>
        </w:tc>
        <w:tc>
          <w:tcPr>
            <w:tcW w:w="850" w:type="dxa"/>
            <w:tcBorders>
              <w:top w:val="single" w:sz="4" w:space="0" w:color="auto"/>
              <w:left w:val="none" w:sz="4" w:space="0" w:color="000000"/>
              <w:bottom w:val="single" w:sz="4" w:space="0" w:color="auto"/>
              <w:right w:val="none" w:sz="4" w:space="0" w:color="000000"/>
            </w:tcBorders>
            <w:shd w:val="clear" w:color="auto" w:fill="auto"/>
            <w:noWrap/>
            <w:vAlign w:val="center"/>
          </w:tcPr>
          <w:p w14:paraId="735509DD" w14:textId="77777777" w:rsidR="00AA4F0E" w:rsidRPr="00EB2BBB" w:rsidRDefault="00AA4F0E" w:rsidP="00EA2DAB">
            <w:pPr>
              <w:jc w:val="center"/>
              <w:rPr>
                <w:rFonts w:ascii="Calibri" w:hAnsi="Calibri" w:cs="Calibri"/>
                <w:b/>
                <w:bCs/>
                <w:color w:val="000000"/>
                <w:sz w:val="20"/>
                <w:szCs w:val="20"/>
              </w:rPr>
            </w:pPr>
            <w:r w:rsidRPr="00EB2BBB">
              <w:rPr>
                <w:rFonts w:ascii="Calibri" w:hAnsi="Calibri" w:cs="Calibri"/>
                <w:b/>
                <w:bCs/>
                <w:color w:val="000000"/>
                <w:sz w:val="20"/>
                <w:szCs w:val="20"/>
              </w:rPr>
              <w:t>0.0001</w:t>
            </w:r>
          </w:p>
        </w:tc>
        <w:tc>
          <w:tcPr>
            <w:tcW w:w="709" w:type="dxa"/>
            <w:tcBorders>
              <w:top w:val="single" w:sz="4" w:space="0" w:color="auto"/>
              <w:left w:val="none" w:sz="4" w:space="0" w:color="000000"/>
              <w:bottom w:val="single" w:sz="4" w:space="0" w:color="auto"/>
              <w:right w:val="none" w:sz="4" w:space="0" w:color="000000"/>
            </w:tcBorders>
            <w:shd w:val="clear" w:color="auto" w:fill="auto"/>
            <w:noWrap/>
            <w:vAlign w:val="center"/>
          </w:tcPr>
          <w:p w14:paraId="20686164"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0.31</w:t>
            </w:r>
          </w:p>
        </w:tc>
        <w:tc>
          <w:tcPr>
            <w:tcW w:w="777" w:type="dxa"/>
            <w:tcBorders>
              <w:top w:val="single" w:sz="4" w:space="0" w:color="auto"/>
              <w:left w:val="none" w:sz="4" w:space="0" w:color="000000"/>
              <w:bottom w:val="single" w:sz="4" w:space="0" w:color="auto"/>
              <w:right w:val="none" w:sz="4" w:space="0" w:color="000000"/>
            </w:tcBorders>
            <w:shd w:val="clear" w:color="auto" w:fill="auto"/>
            <w:noWrap/>
            <w:vAlign w:val="center"/>
          </w:tcPr>
          <w:p w14:paraId="5F6D07C7"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0.2741</w:t>
            </w:r>
          </w:p>
        </w:tc>
      </w:tr>
      <w:tr w:rsidR="00EB2BBB" w14:paraId="22A9FF19" w14:textId="77777777" w:rsidTr="00EB2BBB">
        <w:trPr>
          <w:trHeight w:val="75"/>
        </w:trPr>
        <w:tc>
          <w:tcPr>
            <w:tcW w:w="799" w:type="dxa"/>
            <w:tcBorders>
              <w:top w:val="single" w:sz="4" w:space="0" w:color="auto"/>
              <w:left w:val="none" w:sz="4" w:space="0" w:color="000000"/>
              <w:bottom w:val="none" w:sz="4" w:space="0" w:color="000000"/>
              <w:right w:val="none" w:sz="4" w:space="0" w:color="000000"/>
            </w:tcBorders>
            <w:shd w:val="clear" w:color="auto" w:fill="auto"/>
            <w:noWrap/>
            <w:vAlign w:val="bottom"/>
          </w:tcPr>
          <w:p w14:paraId="73E57940" w14:textId="77777777" w:rsidR="00AA4F0E" w:rsidRPr="00EB2BBB" w:rsidRDefault="00AA4F0E" w:rsidP="00EA2DAB">
            <w:pPr>
              <w:rPr>
                <w:rFonts w:ascii="Calibri" w:hAnsi="Calibri" w:cs="Calibri"/>
                <w:color w:val="000000"/>
                <w:sz w:val="18"/>
                <w:szCs w:val="18"/>
              </w:rPr>
            </w:pPr>
            <w:r w:rsidRPr="00EB2BBB">
              <w:rPr>
                <w:rFonts w:ascii="Calibri" w:hAnsi="Calibri" w:cs="Calibri"/>
                <w:color w:val="000000"/>
                <w:sz w:val="18"/>
                <w:szCs w:val="18"/>
              </w:rPr>
              <w:t>R+2 R+13</w:t>
            </w:r>
          </w:p>
        </w:tc>
        <w:tc>
          <w:tcPr>
            <w:tcW w:w="652" w:type="dxa"/>
            <w:tcBorders>
              <w:top w:val="single" w:sz="4" w:space="0" w:color="auto"/>
              <w:left w:val="none" w:sz="4" w:space="0" w:color="000000"/>
              <w:bottom w:val="none" w:sz="4" w:space="0" w:color="000000"/>
              <w:right w:val="none" w:sz="4" w:space="0" w:color="000000"/>
            </w:tcBorders>
            <w:shd w:val="clear" w:color="auto" w:fill="auto"/>
            <w:noWrap/>
            <w:vAlign w:val="center"/>
          </w:tcPr>
          <w:p w14:paraId="456994B2"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0.64</w:t>
            </w:r>
          </w:p>
        </w:tc>
        <w:tc>
          <w:tcPr>
            <w:tcW w:w="888" w:type="dxa"/>
            <w:tcBorders>
              <w:top w:val="single" w:sz="4" w:space="0" w:color="auto"/>
              <w:left w:val="none" w:sz="4" w:space="0" w:color="000000"/>
              <w:bottom w:val="none" w:sz="4" w:space="0" w:color="000000"/>
              <w:right w:val="none" w:sz="4" w:space="0" w:color="000000"/>
            </w:tcBorders>
            <w:shd w:val="clear" w:color="auto" w:fill="auto"/>
            <w:noWrap/>
            <w:vAlign w:val="center"/>
          </w:tcPr>
          <w:p w14:paraId="7E7A41A8" w14:textId="77777777" w:rsidR="00AA4F0E" w:rsidRPr="00EB2BBB" w:rsidRDefault="00AA4F0E" w:rsidP="00EA2DAB">
            <w:pPr>
              <w:jc w:val="center"/>
              <w:rPr>
                <w:rFonts w:ascii="Calibri" w:hAnsi="Calibri" w:cs="Calibri"/>
                <w:b/>
                <w:bCs/>
                <w:color w:val="000000"/>
                <w:sz w:val="20"/>
                <w:szCs w:val="20"/>
              </w:rPr>
            </w:pPr>
            <w:r w:rsidRPr="00EB2BBB">
              <w:rPr>
                <w:rFonts w:ascii="Calibri" w:hAnsi="Calibri" w:cs="Calibri"/>
                <w:b/>
                <w:bCs/>
                <w:color w:val="000000"/>
                <w:sz w:val="20"/>
                <w:szCs w:val="20"/>
              </w:rPr>
              <w:t>0.0026</w:t>
            </w:r>
          </w:p>
        </w:tc>
        <w:tc>
          <w:tcPr>
            <w:tcW w:w="652" w:type="dxa"/>
            <w:tcBorders>
              <w:top w:val="single" w:sz="4" w:space="0" w:color="auto"/>
              <w:left w:val="none" w:sz="4" w:space="0" w:color="000000"/>
              <w:bottom w:val="none" w:sz="4" w:space="0" w:color="000000"/>
              <w:right w:val="none" w:sz="4" w:space="0" w:color="000000"/>
            </w:tcBorders>
            <w:shd w:val="clear" w:color="auto" w:fill="auto"/>
            <w:noWrap/>
            <w:vAlign w:val="center"/>
          </w:tcPr>
          <w:p w14:paraId="3335D7CC"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0.91</w:t>
            </w:r>
          </w:p>
        </w:tc>
        <w:tc>
          <w:tcPr>
            <w:tcW w:w="777" w:type="dxa"/>
            <w:gridSpan w:val="2"/>
            <w:tcBorders>
              <w:top w:val="single" w:sz="4" w:space="0" w:color="auto"/>
              <w:left w:val="none" w:sz="4" w:space="0" w:color="000000"/>
              <w:bottom w:val="none" w:sz="4" w:space="0" w:color="000000"/>
              <w:right w:val="none" w:sz="4" w:space="0" w:color="000000"/>
            </w:tcBorders>
            <w:shd w:val="clear" w:color="auto" w:fill="auto"/>
            <w:noWrap/>
            <w:vAlign w:val="center"/>
          </w:tcPr>
          <w:p w14:paraId="33A47A10" w14:textId="77777777" w:rsidR="00AA4F0E" w:rsidRPr="00EB2BBB" w:rsidRDefault="00AA4F0E" w:rsidP="00EA2DAB">
            <w:pPr>
              <w:jc w:val="center"/>
              <w:rPr>
                <w:rFonts w:ascii="Calibri" w:hAnsi="Calibri" w:cs="Calibri"/>
                <w:b/>
                <w:bCs/>
                <w:color w:val="000000"/>
                <w:sz w:val="20"/>
                <w:szCs w:val="20"/>
              </w:rPr>
            </w:pPr>
            <w:r w:rsidRPr="00EB2BBB">
              <w:rPr>
                <w:rFonts w:ascii="Calibri" w:hAnsi="Calibri" w:cs="Calibri"/>
                <w:b/>
                <w:bCs/>
                <w:color w:val="000000"/>
                <w:sz w:val="20"/>
                <w:szCs w:val="20"/>
              </w:rPr>
              <w:t>0.0000</w:t>
            </w:r>
          </w:p>
        </w:tc>
        <w:tc>
          <w:tcPr>
            <w:tcW w:w="627" w:type="dxa"/>
            <w:tcBorders>
              <w:top w:val="single" w:sz="4" w:space="0" w:color="auto"/>
              <w:left w:val="none" w:sz="4" w:space="0" w:color="000000"/>
              <w:bottom w:val="none" w:sz="4" w:space="0" w:color="000000"/>
              <w:right w:val="none" w:sz="4" w:space="0" w:color="000000"/>
            </w:tcBorders>
            <w:shd w:val="clear" w:color="auto" w:fill="auto"/>
            <w:noWrap/>
            <w:vAlign w:val="center"/>
          </w:tcPr>
          <w:p w14:paraId="47EB8031"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0.65</w:t>
            </w:r>
          </w:p>
        </w:tc>
        <w:tc>
          <w:tcPr>
            <w:tcW w:w="777" w:type="dxa"/>
            <w:tcBorders>
              <w:top w:val="single" w:sz="4" w:space="0" w:color="auto"/>
              <w:left w:val="none" w:sz="4" w:space="0" w:color="000000"/>
              <w:bottom w:val="none" w:sz="4" w:space="0" w:color="000000"/>
              <w:right w:val="single" w:sz="4" w:space="0" w:color="auto"/>
            </w:tcBorders>
            <w:shd w:val="clear" w:color="auto" w:fill="auto"/>
            <w:noWrap/>
            <w:vAlign w:val="center"/>
          </w:tcPr>
          <w:p w14:paraId="30A1C379" w14:textId="77777777" w:rsidR="00AA4F0E" w:rsidRPr="00EB2BBB" w:rsidRDefault="00AA4F0E" w:rsidP="00EA2DAB">
            <w:pPr>
              <w:jc w:val="center"/>
              <w:rPr>
                <w:rFonts w:ascii="Calibri" w:hAnsi="Calibri" w:cs="Calibri"/>
                <w:b/>
                <w:bCs/>
                <w:color w:val="000000"/>
                <w:sz w:val="20"/>
                <w:szCs w:val="20"/>
              </w:rPr>
            </w:pPr>
            <w:r w:rsidRPr="00EB2BBB">
              <w:rPr>
                <w:rFonts w:ascii="Calibri" w:hAnsi="Calibri" w:cs="Calibri"/>
                <w:b/>
                <w:bCs/>
                <w:color w:val="000000"/>
                <w:sz w:val="20"/>
                <w:szCs w:val="20"/>
              </w:rPr>
              <w:t>0.0021</w:t>
            </w:r>
          </w:p>
        </w:tc>
        <w:tc>
          <w:tcPr>
            <w:tcW w:w="640" w:type="dxa"/>
            <w:tcBorders>
              <w:top w:val="single" w:sz="4" w:space="0" w:color="auto"/>
              <w:left w:val="single" w:sz="4" w:space="0" w:color="auto"/>
              <w:bottom w:val="none" w:sz="4" w:space="0" w:color="000000"/>
              <w:right w:val="none" w:sz="4" w:space="0" w:color="000000"/>
            </w:tcBorders>
            <w:shd w:val="clear" w:color="auto" w:fill="auto"/>
            <w:noWrap/>
            <w:vAlign w:val="center"/>
          </w:tcPr>
          <w:p w14:paraId="48D4D378"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0.75</w:t>
            </w:r>
          </w:p>
        </w:tc>
        <w:tc>
          <w:tcPr>
            <w:tcW w:w="851" w:type="dxa"/>
            <w:tcBorders>
              <w:top w:val="single" w:sz="4" w:space="0" w:color="auto"/>
              <w:left w:val="none" w:sz="4" w:space="0" w:color="000000"/>
              <w:bottom w:val="none" w:sz="4" w:space="0" w:color="000000"/>
              <w:right w:val="none" w:sz="4" w:space="0" w:color="000000"/>
            </w:tcBorders>
            <w:shd w:val="clear" w:color="auto" w:fill="auto"/>
            <w:noWrap/>
            <w:vAlign w:val="center"/>
          </w:tcPr>
          <w:p w14:paraId="27C18C9E" w14:textId="77777777" w:rsidR="00AA4F0E" w:rsidRPr="00EB2BBB" w:rsidRDefault="00AA4F0E" w:rsidP="00EA2DAB">
            <w:pPr>
              <w:jc w:val="center"/>
              <w:rPr>
                <w:rFonts w:ascii="Calibri" w:hAnsi="Calibri" w:cs="Calibri"/>
                <w:b/>
                <w:bCs/>
                <w:color w:val="000000"/>
                <w:sz w:val="20"/>
                <w:szCs w:val="20"/>
              </w:rPr>
            </w:pPr>
            <w:r w:rsidRPr="00EB2BBB">
              <w:rPr>
                <w:rFonts w:ascii="Calibri" w:hAnsi="Calibri" w:cs="Calibri"/>
                <w:b/>
                <w:bCs/>
                <w:color w:val="000000"/>
                <w:sz w:val="20"/>
                <w:szCs w:val="20"/>
              </w:rPr>
              <w:t>0.0020</w:t>
            </w:r>
          </w:p>
        </w:tc>
        <w:tc>
          <w:tcPr>
            <w:tcW w:w="567" w:type="dxa"/>
            <w:tcBorders>
              <w:top w:val="single" w:sz="4" w:space="0" w:color="auto"/>
              <w:left w:val="none" w:sz="4" w:space="0" w:color="000000"/>
              <w:bottom w:val="none" w:sz="4" w:space="0" w:color="000000"/>
              <w:right w:val="none" w:sz="4" w:space="0" w:color="000000"/>
            </w:tcBorders>
            <w:shd w:val="clear" w:color="auto" w:fill="auto"/>
            <w:noWrap/>
            <w:vAlign w:val="center"/>
          </w:tcPr>
          <w:p w14:paraId="473C6410"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0.80</w:t>
            </w:r>
          </w:p>
        </w:tc>
        <w:tc>
          <w:tcPr>
            <w:tcW w:w="850" w:type="dxa"/>
            <w:tcBorders>
              <w:top w:val="single" w:sz="4" w:space="0" w:color="auto"/>
              <w:left w:val="none" w:sz="4" w:space="0" w:color="000000"/>
              <w:bottom w:val="none" w:sz="4" w:space="0" w:color="000000"/>
              <w:right w:val="none" w:sz="4" w:space="0" w:color="000000"/>
            </w:tcBorders>
            <w:shd w:val="clear" w:color="auto" w:fill="auto"/>
            <w:noWrap/>
            <w:vAlign w:val="center"/>
          </w:tcPr>
          <w:p w14:paraId="72D78B68" w14:textId="77777777" w:rsidR="00AA4F0E" w:rsidRPr="00EB2BBB" w:rsidRDefault="00AA4F0E" w:rsidP="00EA2DAB">
            <w:pPr>
              <w:jc w:val="center"/>
              <w:rPr>
                <w:rFonts w:ascii="Calibri" w:hAnsi="Calibri" w:cs="Calibri"/>
                <w:b/>
                <w:bCs/>
                <w:color w:val="000000"/>
                <w:sz w:val="20"/>
                <w:szCs w:val="20"/>
              </w:rPr>
            </w:pPr>
            <w:r w:rsidRPr="00EB2BBB">
              <w:rPr>
                <w:rFonts w:ascii="Calibri" w:hAnsi="Calibri" w:cs="Calibri"/>
                <w:b/>
                <w:bCs/>
                <w:color w:val="000000"/>
                <w:sz w:val="20"/>
                <w:szCs w:val="20"/>
              </w:rPr>
              <w:t>0.0007</w:t>
            </w:r>
          </w:p>
        </w:tc>
        <w:tc>
          <w:tcPr>
            <w:tcW w:w="709" w:type="dxa"/>
            <w:tcBorders>
              <w:top w:val="single" w:sz="4" w:space="0" w:color="auto"/>
              <w:left w:val="none" w:sz="4" w:space="0" w:color="000000"/>
              <w:bottom w:val="none" w:sz="4" w:space="0" w:color="000000"/>
              <w:right w:val="none" w:sz="4" w:space="0" w:color="000000"/>
            </w:tcBorders>
            <w:shd w:val="clear" w:color="auto" w:fill="auto"/>
            <w:noWrap/>
            <w:vAlign w:val="center"/>
          </w:tcPr>
          <w:p w14:paraId="520C0D91" w14:textId="77777777" w:rsidR="00AA4F0E" w:rsidRPr="00EB2BBB" w:rsidRDefault="00AA4F0E" w:rsidP="00EA2DAB">
            <w:pPr>
              <w:jc w:val="center"/>
              <w:rPr>
                <w:rFonts w:ascii="Calibri" w:hAnsi="Calibri" w:cs="Calibri"/>
                <w:color w:val="000000"/>
                <w:sz w:val="20"/>
                <w:szCs w:val="20"/>
              </w:rPr>
            </w:pPr>
            <w:r w:rsidRPr="00EB2BBB">
              <w:rPr>
                <w:rFonts w:ascii="Calibri" w:hAnsi="Calibri" w:cs="Calibri"/>
                <w:color w:val="000000"/>
                <w:sz w:val="20"/>
                <w:szCs w:val="20"/>
              </w:rPr>
              <w:t>0.54</w:t>
            </w:r>
          </w:p>
        </w:tc>
        <w:tc>
          <w:tcPr>
            <w:tcW w:w="777" w:type="dxa"/>
            <w:tcBorders>
              <w:top w:val="single" w:sz="4" w:space="0" w:color="auto"/>
              <w:left w:val="none" w:sz="4" w:space="0" w:color="000000"/>
              <w:bottom w:val="none" w:sz="4" w:space="0" w:color="000000"/>
              <w:right w:val="none" w:sz="4" w:space="0" w:color="000000"/>
            </w:tcBorders>
            <w:shd w:val="clear" w:color="auto" w:fill="auto"/>
            <w:noWrap/>
            <w:vAlign w:val="center"/>
          </w:tcPr>
          <w:p w14:paraId="33714606" w14:textId="77777777" w:rsidR="00AA4F0E" w:rsidRDefault="00AA4F0E" w:rsidP="00EA2DAB">
            <w:pPr>
              <w:jc w:val="center"/>
              <w:rPr>
                <w:rFonts w:ascii="Calibri" w:hAnsi="Calibri" w:cs="Calibri"/>
                <w:b/>
                <w:bCs/>
                <w:color w:val="000000"/>
                <w:sz w:val="20"/>
                <w:szCs w:val="20"/>
              </w:rPr>
            </w:pPr>
            <w:r w:rsidRPr="00EB2BBB">
              <w:rPr>
                <w:rFonts w:ascii="Calibri" w:hAnsi="Calibri" w:cs="Calibri"/>
                <w:b/>
                <w:bCs/>
                <w:color w:val="000000"/>
                <w:sz w:val="20"/>
                <w:szCs w:val="20"/>
              </w:rPr>
              <w:t>0.0448</w:t>
            </w:r>
          </w:p>
        </w:tc>
      </w:tr>
    </w:tbl>
    <w:p w14:paraId="50990DD2" w14:textId="77777777" w:rsidR="00E379A3" w:rsidRPr="00EB2BBB" w:rsidRDefault="00E379A3">
      <w:pPr>
        <w:rPr>
          <w:rFonts w:eastAsia="Times New Roman" w:cstheme="minorHAnsi"/>
          <w:sz w:val="12"/>
          <w:szCs w:val="12"/>
          <w:lang w:eastAsia="en-GB"/>
        </w:rPr>
      </w:pPr>
    </w:p>
    <w:p w14:paraId="22FE7C11" w14:textId="314EEF69" w:rsidR="00AA4F0E" w:rsidRDefault="00AA4F0E">
      <w:pPr>
        <w:rPr>
          <w:rFonts w:eastAsia="Times New Roman" w:cstheme="minorHAnsi"/>
          <w:sz w:val="20"/>
          <w:szCs w:val="20"/>
          <w:lang w:eastAsia="en-GB"/>
        </w:rPr>
      </w:pPr>
      <w:r>
        <w:rPr>
          <w:rFonts w:asciiTheme="majorHAnsi" w:hAnsiTheme="majorHAnsi" w:cstheme="majorHAnsi"/>
          <w:b/>
          <w:bCs/>
          <w:color w:val="000000" w:themeColor="text1"/>
          <w:sz w:val="22"/>
          <w:szCs w:val="22"/>
        </w:rPr>
        <w:t>Table S</w:t>
      </w:r>
      <w:r>
        <w:rPr>
          <w:rFonts w:asciiTheme="majorHAnsi" w:hAnsiTheme="majorHAnsi" w:cstheme="majorHAnsi"/>
          <w:b/>
          <w:bCs/>
          <w:i/>
          <w:iCs/>
          <w:color w:val="000000" w:themeColor="text1"/>
          <w:sz w:val="22"/>
          <w:szCs w:val="22"/>
        </w:rPr>
        <w:t>2</w:t>
      </w:r>
      <w:r>
        <w:rPr>
          <w:rFonts w:asciiTheme="majorHAnsi" w:hAnsiTheme="majorHAnsi" w:cstheme="majorHAnsi"/>
          <w:color w:val="000000" w:themeColor="text1"/>
          <w:sz w:val="22"/>
          <w:szCs w:val="22"/>
        </w:rPr>
        <w:t xml:space="preserve">. Correlation of the individual response variability, MSD, </w:t>
      </w:r>
      <w:r w:rsidR="007B16AE">
        <w:rPr>
          <w:rFonts w:asciiTheme="majorHAnsi" w:hAnsiTheme="majorHAnsi" w:cstheme="majorHAnsi"/>
          <w:color w:val="000000" w:themeColor="text1"/>
          <w:sz w:val="22"/>
          <w:szCs w:val="22"/>
        </w:rPr>
        <w:t>a</w:t>
      </w:r>
      <w:r>
        <w:rPr>
          <w:rFonts w:asciiTheme="majorHAnsi" w:hAnsiTheme="majorHAnsi" w:cstheme="majorHAnsi"/>
          <w:color w:val="000000" w:themeColor="text1"/>
          <w:sz w:val="22"/>
          <w:szCs w:val="22"/>
        </w:rPr>
        <w:t xml:space="preserve">ccuracy, </w:t>
      </w:r>
      <w:r w:rsidR="007B16AE">
        <w:rPr>
          <w:rFonts w:asciiTheme="majorHAnsi" w:hAnsiTheme="majorHAnsi" w:cstheme="majorHAnsi"/>
          <w:color w:val="000000" w:themeColor="text1"/>
          <w:sz w:val="22"/>
          <w:szCs w:val="22"/>
        </w:rPr>
        <w:t>Ac</w:t>
      </w:r>
      <w:r>
        <w:rPr>
          <w:rFonts w:asciiTheme="majorHAnsi" w:hAnsiTheme="majorHAnsi" w:cstheme="majorHAnsi"/>
          <w:color w:val="000000" w:themeColor="text1"/>
          <w:sz w:val="22"/>
          <w:szCs w:val="22"/>
        </w:rPr>
        <w:t xml:space="preserve">c, and visual weight, </w:t>
      </w:r>
      <w:proofErr w:type="spellStart"/>
      <w:r>
        <w:rPr>
          <w:rFonts w:asciiTheme="majorHAnsi" w:hAnsiTheme="majorHAnsi" w:cstheme="majorHAnsi"/>
          <w:color w:val="000000" w:themeColor="text1"/>
          <w:sz w:val="22"/>
          <w:szCs w:val="22"/>
        </w:rPr>
        <w:t>ω</w:t>
      </w:r>
      <w:r>
        <w:rPr>
          <w:rFonts w:asciiTheme="majorHAnsi" w:hAnsiTheme="majorHAnsi" w:cstheme="majorHAnsi"/>
          <w:color w:val="000000" w:themeColor="text1"/>
          <w:sz w:val="22"/>
          <w:szCs w:val="22"/>
          <w:vertAlign w:val="subscript"/>
        </w:rPr>
        <w:t>V</w:t>
      </w:r>
      <w:proofErr w:type="spellEnd"/>
      <w:r>
        <w:rPr>
          <w:rFonts w:asciiTheme="majorHAnsi" w:hAnsiTheme="majorHAnsi" w:cstheme="majorHAnsi"/>
          <w:color w:val="000000" w:themeColor="text1"/>
          <w:sz w:val="22"/>
          <w:szCs w:val="22"/>
        </w:rPr>
        <w:t>, between consecutive experimental sessions for each of the three sensory conditions, V-P, V-V and P-P for Bedrest and Control subject separately. Bolded fonts indicate significant correlations.</w:t>
      </w:r>
    </w:p>
    <w:p w14:paraId="1BA4A949" w14:textId="18C4480E" w:rsidR="00AA4F0E" w:rsidRDefault="00AA4F0E" w:rsidP="00EB2BBB">
      <w:pPr>
        <w:pStyle w:val="Titre1"/>
        <w:numPr>
          <w:ilvl w:val="0"/>
          <w:numId w:val="0"/>
        </w:numPr>
        <w:ind w:left="432" w:hanging="432"/>
      </w:pPr>
      <w:bookmarkStart w:id="2" w:name="_SI.3_–_Multi-sensory"/>
      <w:bookmarkEnd w:id="2"/>
      <w:r>
        <w:lastRenderedPageBreak/>
        <w:t>S</w:t>
      </w:r>
      <w:bookmarkStart w:id="3" w:name="_Ref192867757"/>
      <w:r>
        <w:t xml:space="preserve">I.3 – </w:t>
      </w:r>
      <w:proofErr w:type="gramStart"/>
      <w:r>
        <w:t>Multi-sensory</w:t>
      </w:r>
      <w:proofErr w:type="gramEnd"/>
      <w:r>
        <w:t xml:space="preserve"> integration modelling</w:t>
      </w:r>
      <w:bookmarkEnd w:id="3"/>
    </w:p>
    <w:p w14:paraId="16FF125D" w14:textId="23FD2356" w:rsidR="00AA4F0E" w:rsidRDefault="00AA4F0E" w:rsidP="00AA4F0E">
      <w:pPr>
        <w:jc w:val="both"/>
      </w:pPr>
      <w:r>
        <w:rPr>
          <w:color w:val="000000" w:themeColor="text1"/>
        </w:rPr>
        <w:t xml:space="preserve">In order to predict the expected modulation over time of response precision and visual dependency, we used the ‘Concurrent Model’ of optimal multisensory integration </w:t>
      </w:r>
      <w:r>
        <w:rPr>
          <w:color w:val="000000" w:themeColor="text1"/>
        </w:rPr>
        <w:fldChar w:fldCharType="begin"/>
      </w:r>
      <w:r w:rsidR="008F29F8">
        <w:rPr>
          <w:color w:val="000000" w:themeColor="text1"/>
        </w:rPr>
        <w:instrText xml:space="preserve"> ADDIN ZOTERO_ITEM CSL_CITATION {"citationID":"6At324LF","properties":{"formattedCitation":"\\super 6,11\\nosupersub{}","plainCitation":"6,11","noteIndex":0},"citationItems":[{"id":2989,"uris":["http://zotero.org/users/local/ZvR3nIZ9/items/D4YZYNN2","http://zotero.org/users/17538995/items/D4YZYNN2"],"itemData":{"id":2989,"type":"article-journal","abstract":"When aligning the hand to grasp an object, the CNS combines multiple sensory inputs encoded in multiple reference frames. Previous studies suggest that when a direct comparison of target and hand is possible via a single sensory modality, the CNS avoids performing unnecessary coordinate transformations that add noise. But when target and hand do not share a common sensory modality (e.g., aligning the unseen hand to a visual target), at least one coordinate transformation is required. Similarly, body movements may occur between target acquisition and manual response, requiring that egocentric target information be updated or transformed to external reference frames to compensate. Here, we asked subjects to align the hand to an external target, where the target could be presented visually or kinesthetically and feedback about the hand was visual, kinesthetic, or both. We used a novel technique of imposing conflict between external visual and gravito-kinesthetic reference frames when subjects tilted the head during an instructed memory delay. By comparing experimental results to analytical models based on principles of maximum likelihood, we showed that multiple transformations above the strict minimum may be performed, but only if the task precludes a unimodal comparison of egocentric target and hand information. Thus, for cross-modal tasks, or when head movements are involved, the CNS creates and uses both kinesthetic and visual representations. We conclude that the necessity of producing at least one coordinate transformation activates multiple, concurrent internal representations, the functionality of which depends on the alignment of the head with respect to gravity.","container-title":"J Neurosci","DOI":"10.1523/JNEUROSCI.0623-10.2011","issue":"4","note":"publisher: Centre d'Etude de la Sensorimotricité (CESeM UMR 8194), Institut des Neurosciences et de la Cognition, Université Paris Descartes and Centre National de la Recherche Scientifique, 75006 Paris, France.\nPMID: 21273424","page":"1397–1409","title":"Necessity is the Mother of Invention: Reconstructing Missing Sensory Information in Multiple, Concurrent Reference Frames for Eye-Hand Coordination.","volume":"31","author":[{"family":"Tagliabue","given":"Michele"},{"family":"McIntyre","given":"Joseph"}],"issued":{"date-parts":[["2011",1]]}}},{"id":2982,"uris":["http://zotero.org/users/local/ZvR3nIZ9/items/SRAHHV82","http://zotero.org/users/17538995/items/SRAHHV82"],"itemData":{"id":2982,"type":"article-journal","abstract":"To control targeted movements, such as reaching to grasp an object or hammering a nail, the brain can use divers sources of sensory information, such as vision and proprioception. Although a variety of studies have shown that sensory signals are optimally combined according to principles of maximum likelihood, increasing evidence indicates that the CNS does not compute a single, optimal estimation of the target's position to be compared with a single optimal estimation of the hand. Rather, it employs a more modular approach in which the overall behavior is built by computing multiple concurrent comparisons carried out simultaneously in a number of different reference frames. The results of these individual comparisons are then optimally combined in order to drive the hand. In this article we examine at a computational level two formulations of concurrent models for sensory integration and compare this to the more conventional model of converging multi-sensory signals. Through a review of published studies, both our own and those performed by others, we produce evidence favoring the concurrent formulations. We then examine in detail the effects of additive signal noise as information flows through the sensorimotor system. By taking into account the noise added by sensorimotor transformations, one can explain why the CNS may shift its reliance on one sensory modality toward a greater reliance on another and investigate under what conditions those sensory transformations occur. Careful consideration of how transformed signals will co-vary with the original source also provides insight into how the CNS chooses one sensory modality over another. These concepts can be used to explain why the CNS might, for instance, create a visual representation of a task that is otherwise limited to the kinesthetic domain (e.g., pointing with one hand to a finger on the other) and why the CNS might choose to recode sensory information in an external reference frame.","container-title":"Front Comput Neurosci","DOI":"10.3389/fncom.2014.00001","language":"eng","note":"publisher: Centre d'Étude de la Sensorimotricité, (CNRS UMR 8194), Institut des Neurosciences et de la Cognition, Université Paris Descartes, Sorbonne Paris Cité Paris, France.\nPMID: 24550816","page":"1","title":"A modular theory of multisensory integration for motor control.","volume":"8","author":[{"family":"Tagliabue","given":"Michele"},{"family":"McIntyre","given":"Joseph"}],"issued":{"date-parts":[["2014"]]}}}],"schema":"https://github.com/citation-style-language/schema/raw/master/csl-citation.json"} </w:instrText>
      </w:r>
      <w:r>
        <w:rPr>
          <w:color w:val="000000" w:themeColor="text1"/>
        </w:rPr>
        <w:fldChar w:fldCharType="separate"/>
      </w:r>
      <w:r w:rsidR="008F29F8" w:rsidRPr="004033CF">
        <w:rPr>
          <w:rFonts w:ascii="Calibri" w:cs="Calibri"/>
          <w:color w:val="000000"/>
          <w:vertAlign w:val="superscript"/>
        </w:rPr>
        <w:t>6,11</w:t>
      </w:r>
      <w:r>
        <w:rPr>
          <w:color w:val="000000" w:themeColor="text1"/>
        </w:rPr>
        <w:fldChar w:fldCharType="end"/>
      </w:r>
      <w:r>
        <w:rPr>
          <w:color w:val="000000" w:themeColor="text1"/>
        </w:rPr>
        <w:t xml:space="preserve"> </w:t>
      </w:r>
      <w:r>
        <w:t xml:space="preserve">(see Figure </w:t>
      </w:r>
      <w:r>
        <w:rPr>
          <w:rFonts w:cstheme="minorHAnsi"/>
        </w:rPr>
        <w:t>S2</w:t>
      </w:r>
      <w:r>
        <w:rPr>
          <w:color w:val="000000" w:themeColor="text1"/>
        </w:rPr>
        <w:t>)</w:t>
      </w:r>
      <w:r>
        <w:t xml:space="preserve"> </w:t>
      </w:r>
      <w:r>
        <w:rPr>
          <w:color w:val="000000" w:themeColor="text1"/>
        </w:rPr>
        <w:t xml:space="preserve">whose foundation on the </w:t>
      </w:r>
      <w:r>
        <w:t>maximum likelihood principle is supported by electrophysiological and computational studies showing that neural activity in multisensory areas reflects the optimal weighting of the available sensory inputs based on their relative reliability</w:t>
      </w:r>
      <w:r>
        <w:fldChar w:fldCharType="begin"/>
      </w:r>
      <w:r w:rsidR="00C01B62">
        <w:instrText xml:space="preserve"> ADDIN ZOTERO_ITEM CSL_CITATION {"citationID":"xtsgo6Ur","properties":{"unsorted":true,"formattedCitation":"\\super 24\\uc0\\u8211{}26\\nosupersub{}","plainCitation":"24–26","noteIndex":0},"citationItems":[{"id":1936,"uris":["http://zotero.org/users/local/ZvR3nIZ9/items/3FQM2NL5","http://zotero.org/users/17538995/items/3FQM2NL5"],"itemData":{"id":1936,"type":"article-journal","abstract":"Recent psychophysical experiments indicate that humans perform near-optimal Bayesian inference in a wide variety of tasks, ranging from cue integration to decision making to motor control. This implies that neurons both represent probability distributions and combine those distributions according to a close approximation to Bayes' rule. At first sight, it would seem that the high variability in the responses of cortical neurons would make it difficult to implement such optimal statistical inference in cortical circuits. We argue that, in fact, this variability implies that populations of neurons automatically represent probability distributions over the stimulus, a type of code we call probabilistic population codes. Moreover, we demonstrate that the Poisson-like variability observed in cortex reduces a broad class of Bayesian inference to simple linear combinations of populations of neural activity. These results hold for arbitrary probability distributions over the stimulus, for tuning curves of arbitrary shape and for realistic neuronal variability.","container-title":"Nat Neurosci","DOI":"10.1038/nn1790","issue":"11","language":"eng","note":"publisher: Department of Brain and Cognitive Sciences, Meliora Hall, University of Rochester, Rochester, New York 14627, USA.\nPMID: 17057707","page":"1432–1438","title":"Bayesian inference with probabilistic population codes.","volume":"9","author":[{"family":"Ma","given":"Wei Ji"},{"family":"Beck","given":"Jeffrey M."},{"family":"Latham","given":"Peter E."},{"family":"Pouget","given":"Alexandre"}],"issued":{"date-parts":[["2006",11]]}}},{"id":1011,"uris":["http://zotero.org/users/local/ZvR3nIZ9/items/E9CWK225","http://zotero.org/users/17538995/items/E9CWK225"],"itemData":{"id":1011,"type":"article-journal","abstract":"Integration of multiple sensory cues is essential for precise and accurate perception and behavioral performance, yet the reliability of sensory signals can vary across modalities and viewing conditions. Human observers typically employ the optimal strategy of weighting each cue in proportion to its reliability, but the neural basis of this computation remains poorly understood. We trained monkeys to perform a heading discrimination task from visual and vestibular cues, varying cue reliability randomly. The monkeys appropriately placed greater weight on the more reliable cue, and population decoding of neural responses in the dorsal medial superior temporal area closely predicted behavioral cue weighting, including modest deviations from optimality. We found that the mathematical combination of visual and vestibular inputs by single neurons is generally consistent with recent theories of optimal probabilistic computation in neural circuits. These results provide direct evidence for a neural mechanism mediating a simple and widespread form of statistical inference.","container-title":"Nat Neurosci","DOI":"10.1038/nn.2983","issue":"1","language":"eng","note":"publisher: Department of Anatomy and Neurobiology, Washington University School of Medicine, Saint Louis, Missouri, USA. crfetsch@u.washington.edu\nPMID: 22101645","page":"146–154","title":"Neural correlates of reliability-based cue weighting during multisensory integration.","volume":"15","author":[{"family":"Fetsch","given":"Christopher R."},{"family":"Pouget","given":"Alexandre"},{"family":"DeAngelis","given":"Gregory C."},{"family":"Angelaki","given":"Dora E."}],"issued":{"date-parts":[["2012",1]]}}},{"id":3624,"uris":["http://zotero.org/users/local/ZvR3nIZ9/items/I9PYR95F","http://zotero.org/users/17538995/items/I9PYR95F"],"itemData":{"id":3624,"type":"article-journal","abstract":"The richness of perceptual experience, as well as its usefulness for guiding behaviour, depends on the synthesis of information across multiple senses. Recent decades have witnessed a surge in our understanding of how the brain combines sensory cues. Much of this research has been guided by one of two distinct approaches: one is driven primarily by neurophysiological observations, and the other is guided by principles of mathematical psychology and psychophysics. Conflicting results and interpretations have contributed to a conceptual gap between psychophysical and physiological accounts of cue integration, but recent studies of visual-vestibular cue integration have narrowed this gap considerably.","container-title":"Nature reviews. Neuroscience","DOI":"10.1038/nrn3503","ISSN":"1471-0048","issue":"6","note":"PMID: 23686172","page":"429–442","title":"Bridging the gap between theories of sensory cue integration and the physiology of multisensory neurons.","volume":"14","author":[{"family":"Fetsch","given":"Christopher R"},{"family":"DeAngelis","given":"Gregory C"},{"family":"Angelaki","given":"Dora E"}],"issued":{"date-parts":[["2013",6]]}}}],"schema":"https://github.com/citation-style-language/schema/raw/master/csl-citation.json"} </w:instrText>
      </w:r>
      <w:r>
        <w:fldChar w:fldCharType="separate"/>
      </w:r>
      <w:r w:rsidR="00C01B62" w:rsidRPr="004033CF">
        <w:rPr>
          <w:rFonts w:ascii="Calibri" w:cs="Calibri"/>
          <w:vertAlign w:val="superscript"/>
        </w:rPr>
        <w:t>24–26</w:t>
      </w:r>
      <w:r>
        <w:fldChar w:fldCharType="end"/>
      </w:r>
      <w:r>
        <w:t>.</w:t>
      </w:r>
      <w:r>
        <w:rPr>
          <w:color w:val="000000" w:themeColor="text1"/>
        </w:rPr>
        <w:t xml:space="preserve"> We have previously demonstrated that this model accurately predicts the acute effect of the supine posture that is a</w:t>
      </w:r>
      <w:r>
        <w:t xml:space="preserve"> greater response imprecision and greater visual dependency when supine than when seated</w:t>
      </w:r>
      <w:r>
        <w:fldChar w:fldCharType="begin"/>
      </w:r>
      <w:r>
        <w:instrText xml:space="preserve"> ADDIN ZOTERO_ITEM CSL_CITATION {"citationID":"gVlrbthe","properties":{"formattedCitation":"\\super 1\\nosupersub{}","plainCitation":"1","noteIndex":0},"citationItems":[{"id":3791,"uris":["http://zotero.org/users/local/ZvR3nIZ9/items/HWA4WBGV","http://zotero.org/users/17538995/items/HWA4WBGV"],"itemData":{"id":3791,"type":"article-journal","abstract":"To correctly position the hand with respect to the spatial location and orientation of an object to be reached/grasped, visual information about the target and proprioceptive information from the hand must be compared. Since visual and proprioceptive sensory modalities are inherently encoded in a retinal and musculo-skeletal reference frame, respectively, this comparison requires cross-modal sensory transformations. Previous studies have shown that lateral tilts of the head interfere with the visuo-proprioceptive transformations. It is unclear, however, whether this phenomenon is related to the neck flexion or to the head-gravity misalignment. To answer to this question, we performed three virtual reality experiments in which we compared a grasping-like movement with lateral neck flexions executed in an upright seated position and while lying supine. In the main experiment, the task requires cross-modal transformations, because the target information is visually acquired, and the hand is sensed through proprioception only. In the other two control experiments, the task is unimodal, because both target and hand are sensed through one, and the same, sensory channel (vision and proprioception, respectively), and, hence, cross-modal processing is unnecessary. The results show that lateral neck flexions have considerably different effects in the seated and supine posture, but only for the cross-modal task. More precisely, the subjects' response variability and the importance associated to the visual encoding of the information significantly increased when supine. We show that these findings are consistent with the idea that head-gravity misalignment interferes with the visuo-proprioceptive cross-modal processing. Indeed, the principle of statistical optimality in multisensory integration predicts the observed results if the noise associated to the visuo-proprioceptive transformations is assumed to be affected by gravitational signals, and not by neck proprioceptive signals per se. This finding is also consistent with the observation of otolithic projections in the posterior parietal cortex, which is involved in the visuo-proprioceptive processing. Altogether these findings represent a clear evidence of the theorized central role of gravity in spatial perception. More precisely, otolithic signals would contribute to reciprocally align the reference frames in which the available sensory information can be encoded.","container-title":"Frontiers in Integrative Neuroscience","DOI":"10.3389/fnint.2022.788905","ISSN":"1662-5145","title":"How Tilting the Head Interferes With Eye-Hand Coordination: The Role of Gravity in Visuo-Proprioceptive, Cross-Modal Sensory Transformations","URL":"https://www.frontiersin.org/article/10.3389/fnint.2022.788905","volume":"16","author":[{"family":"Bernard-Espina","given":"Jules"},{"family":"Dal Canto","given":"Daniele"},{"family":"Beraneck","given":"Mathieu"},{"family":"McIntyre","given":"Joseph"},{"family":"Tagliabue","given":"Michele"}],"issued":{"date-parts":[["2022"]]}}}],"schema":"https://github.com/citation-style-language/schema/raw/master/csl-citation.json"} </w:instrText>
      </w:r>
      <w:r>
        <w:fldChar w:fldCharType="separate"/>
      </w:r>
      <w:r>
        <w:rPr>
          <w:rFonts w:ascii="Calibri" w:cs="Calibri"/>
          <w:vertAlign w:val="superscript"/>
        </w:rPr>
        <w:t>1</w:t>
      </w:r>
      <w:r>
        <w:fldChar w:fldCharType="end"/>
      </w:r>
      <w:r>
        <w:t xml:space="preserve">. These increases, </w:t>
      </w:r>
      <w:r>
        <w:rPr>
          <w:i/>
          <w:iCs/>
        </w:rPr>
        <w:t>D</w:t>
      </w:r>
      <w:r>
        <w:t xml:space="preserve">, are predicted for cross-modal task, V-P, and not for the unimodal V-V and P-P tasks. </w:t>
      </w:r>
    </w:p>
    <w:p w14:paraId="52704024" w14:textId="77777777" w:rsidR="00AA4F0E" w:rsidRDefault="00AA4F0E" w:rsidP="00AA4F0E">
      <w:pPr>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477"/>
      </w:tblGrid>
      <w:tr w:rsidR="00AA4F0E" w14:paraId="631C5BEA" w14:textId="77777777" w:rsidTr="00EB2BBB">
        <w:tc>
          <w:tcPr>
            <w:tcW w:w="3539" w:type="dxa"/>
            <w:vAlign w:val="center"/>
          </w:tcPr>
          <w:p w14:paraId="3759946C" w14:textId="77777777" w:rsidR="00AA4F0E" w:rsidRDefault="00AA4F0E" w:rsidP="00EA2DAB">
            <w:pPr>
              <w:jc w:val="center"/>
            </w:pPr>
            <w:r>
              <w:rPr>
                <w:noProof/>
                <w:lang w:val="fr-FR" w:eastAsia="fr-FR"/>
              </w:rPr>
              <w:drawing>
                <wp:inline distT="0" distB="0" distL="0" distR="0" wp14:anchorId="14200D23" wp14:editId="2CA4AFB0">
                  <wp:extent cx="2095500" cy="1778000"/>
                  <wp:effectExtent l="0" t="0" r="0" b="0"/>
                  <wp:docPr id="827265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9"/>
                          <a:stretch/>
                        </pic:blipFill>
                        <pic:spPr bwMode="auto">
                          <a:xfrm>
                            <a:off x="0" y="0"/>
                            <a:ext cx="2095500" cy="1778000"/>
                          </a:xfrm>
                          <a:prstGeom prst="rect">
                            <a:avLst/>
                          </a:prstGeom>
                        </pic:spPr>
                      </pic:pic>
                    </a:graphicData>
                  </a:graphic>
                </wp:inline>
              </w:drawing>
            </w:r>
          </w:p>
        </w:tc>
        <w:tc>
          <w:tcPr>
            <w:tcW w:w="5477" w:type="dxa"/>
          </w:tcPr>
          <w:p w14:paraId="029FC9EE" w14:textId="4B6CE25B" w:rsidR="00AA4F0E" w:rsidRDefault="00AA4F0E" w:rsidP="00EA2DAB">
            <w:pPr>
              <w:pStyle w:val="Lgende"/>
              <w:rPr>
                <w:rFonts w:asciiTheme="majorHAnsi" w:hAnsiTheme="majorHAnsi" w:cstheme="majorHAnsi"/>
                <w:i w:val="0"/>
                <w:iCs w:val="0"/>
                <w:color w:val="000000" w:themeColor="text1"/>
                <w:sz w:val="22"/>
                <w:szCs w:val="22"/>
              </w:rPr>
            </w:pPr>
            <w:bookmarkStart w:id="4" w:name="_Ref143693014"/>
            <w:r>
              <w:rPr>
                <w:rFonts w:asciiTheme="majorHAnsi" w:hAnsiTheme="majorHAnsi" w:cstheme="majorHAnsi"/>
                <w:b/>
                <w:bCs/>
                <w:i w:val="0"/>
                <w:iCs w:val="0"/>
                <w:color w:val="000000" w:themeColor="text1"/>
                <w:sz w:val="22"/>
                <w:szCs w:val="22"/>
              </w:rPr>
              <w:t xml:space="preserve">Figure </w:t>
            </w:r>
            <w:bookmarkEnd w:id="4"/>
            <w:r>
              <w:rPr>
                <w:rFonts w:asciiTheme="majorHAnsi" w:hAnsiTheme="majorHAnsi" w:cstheme="majorHAnsi"/>
                <w:b/>
                <w:bCs/>
                <w:i w:val="0"/>
                <w:iCs w:val="0"/>
                <w:color w:val="000000" w:themeColor="text1"/>
                <w:sz w:val="22"/>
                <w:szCs w:val="22"/>
              </w:rPr>
              <w:t>S2</w:t>
            </w:r>
            <w:r>
              <w:rPr>
                <w:rFonts w:asciiTheme="majorHAnsi" w:hAnsiTheme="majorHAnsi" w:cstheme="majorHAnsi"/>
                <w:i w:val="0"/>
                <w:iCs w:val="0"/>
                <w:color w:val="000000" w:themeColor="text1"/>
                <w:sz w:val="22"/>
                <w:szCs w:val="22"/>
              </w:rPr>
              <w:t xml:space="preserve">. Graphical representation of the “Concurrent Model” for multisensory integration applied to the cross-modal task, where the subjects have to reproduce the orientation of visually (V) acquired bars with their unseen hand, sensed through proprioceptive (P) signals only. Red and blue represent sensory information encoded in a visual and proprioceptive reference frame, respectively. Gray elements represent missing information. Green arrows represent cross-modal transformations re-encoding the information from the visual to the proprioceptive space and vice-versa. The target and hand orientations are compared in the visual and proprioceptive space (ΔV and ΔP) concurrently. These two task representations are then combined (Maximum Likelihood Principle) to maximize the precision of the motor vector estimation (Δ), by associating </w:t>
            </w:r>
            <w:r w:rsidR="00EB2BBB">
              <w:rPr>
                <w:rFonts w:asciiTheme="majorHAnsi" w:hAnsiTheme="majorHAnsi" w:cstheme="majorHAnsi"/>
                <w:i w:val="0"/>
                <w:iCs w:val="0"/>
                <w:color w:val="000000" w:themeColor="text1"/>
                <w:sz w:val="22"/>
                <w:szCs w:val="22"/>
              </w:rPr>
              <w:t>to</w:t>
            </w:r>
            <w:r>
              <w:rPr>
                <w:rFonts w:asciiTheme="majorHAnsi" w:hAnsiTheme="majorHAnsi" w:cstheme="majorHAnsi"/>
                <w:i w:val="0"/>
                <w:iCs w:val="0"/>
                <w:color w:val="000000" w:themeColor="text1"/>
                <w:sz w:val="22"/>
                <w:szCs w:val="22"/>
              </w:rPr>
              <w:t xml:space="preserve"> each of them an optimal weight (W</w:t>
            </w:r>
            <w:r>
              <w:rPr>
                <w:rFonts w:asciiTheme="majorHAnsi" w:hAnsiTheme="majorHAnsi" w:cstheme="majorHAnsi"/>
                <w:i w:val="0"/>
                <w:iCs w:val="0"/>
                <w:color w:val="000000" w:themeColor="text1"/>
                <w:sz w:val="22"/>
                <w:szCs w:val="22"/>
                <w:vertAlign w:val="subscript"/>
              </w:rPr>
              <w:t>ΔV</w:t>
            </w:r>
            <w:r>
              <w:rPr>
                <w:rFonts w:asciiTheme="majorHAnsi" w:hAnsiTheme="majorHAnsi" w:cstheme="majorHAnsi"/>
                <w:i w:val="0"/>
                <w:iCs w:val="0"/>
                <w:color w:val="000000" w:themeColor="text1"/>
                <w:sz w:val="22"/>
                <w:szCs w:val="22"/>
              </w:rPr>
              <w:t>, W</w:t>
            </w:r>
            <w:r>
              <w:rPr>
                <w:rFonts w:asciiTheme="majorHAnsi" w:hAnsiTheme="majorHAnsi" w:cstheme="majorHAnsi"/>
                <w:i w:val="0"/>
                <w:iCs w:val="0"/>
                <w:color w:val="000000" w:themeColor="text1"/>
                <w:sz w:val="22"/>
                <w:szCs w:val="22"/>
                <w:vertAlign w:val="subscript"/>
              </w:rPr>
              <w:t>ΔP</w:t>
            </w:r>
            <w:r>
              <w:rPr>
                <w:rFonts w:asciiTheme="majorHAnsi" w:hAnsiTheme="majorHAnsi" w:cstheme="majorHAnsi"/>
                <w:i w:val="0"/>
                <w:iCs w:val="0"/>
                <w:color w:val="000000" w:themeColor="text1"/>
                <w:sz w:val="22"/>
                <w:szCs w:val="22"/>
              </w:rPr>
              <w:t xml:space="preserve">). The weight values depend on the variance of ΔV and ΔP, which is affected by the noise associated to cross-modal transformations.  </w:t>
            </w:r>
          </w:p>
        </w:tc>
      </w:tr>
    </w:tbl>
    <w:p w14:paraId="28533863" w14:textId="77777777" w:rsidR="00AA4F0E" w:rsidRDefault="00AA4F0E" w:rsidP="00AA4F0E">
      <w:pPr>
        <w:jc w:val="both"/>
      </w:pPr>
    </w:p>
    <w:p w14:paraId="1BA70376" w14:textId="77777777" w:rsidR="00AA4F0E" w:rsidRDefault="00AA4F0E" w:rsidP="00AA4F0E">
      <w:pPr>
        <w:jc w:val="both"/>
      </w:pPr>
      <w:r>
        <w:t xml:space="preserve">From equation S21-22 of Bernard-Espina et al. (2022), the predicted increase in the movement execution, </w:t>
      </w:r>
      <w:r>
        <w:rPr>
          <w:i/>
          <w:iCs/>
        </w:rPr>
        <w:t>ME</w:t>
      </w:r>
      <w:r>
        <w:t xml:space="preserve">, variability due to the supine position is </w:t>
      </w:r>
    </w:p>
    <w:p w14:paraId="713C8302" w14:textId="77777777" w:rsidR="00AA4F0E" w:rsidRDefault="00000000" w:rsidP="00AA4F0E">
      <w:pPr>
        <w:jc w:val="both"/>
      </w:pPr>
      <m:oMathPara>
        <m:oMath>
          <m:sSubSup>
            <m:sSubSupPr>
              <m:ctrlPr>
                <w:rPr>
                  <w:rFonts w:ascii="Cambria Math" w:hAnsi="Cambria Math"/>
                  <w:i/>
                </w:rPr>
              </m:ctrlPr>
            </m:sSubSupPr>
            <m:e>
              <m:r>
                <w:rPr>
                  <w:rFonts w:ascii="Cambria Math" w:hAnsi="Cambria Math"/>
                </w:rPr>
                <m:t>Dσ</m:t>
              </m:r>
            </m:e>
            <m:sub>
              <m:r>
                <w:rPr>
                  <w:rFonts w:ascii="Cambria Math" w:hAnsi="Cambria Math"/>
                </w:rPr>
                <m:t>ME</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N,TILT</m:t>
              </m:r>
            </m:sub>
            <m:sup>
              <m:r>
                <w:rPr>
                  <w:rFonts w:ascii="Cambria Math" w:hAnsi="Cambria Math"/>
                </w:rPr>
                <m:t>2</m:t>
              </m:r>
            </m:sup>
          </m:sSubSup>
          <m:r>
            <w:rPr>
              <w:rFonts w:ascii="Cambria Math" w:hAns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N,UR</m:t>
                      </m:r>
                    </m:sub>
                    <m:sup>
                      <m:r>
                        <w:rPr>
                          <w:rFonts w:ascii="Cambria Math" w:hAnsi="Cambria Math"/>
                        </w:rPr>
                        <m:t>2</m:t>
                      </m:r>
                    </m:sup>
                  </m:sSubSup>
                </m:num>
                <m:den>
                  <m:r>
                    <w:rPr>
                      <w:rFonts w:ascii="Cambria Math" w:hAnsi="Cambria Math"/>
                    </w:rPr>
                    <m:t>2</m:t>
                  </m:r>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N,UR</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N,TILT</m:t>
                      </m:r>
                    </m:sub>
                    <m:sup>
                      <m:r>
                        <w:rPr>
                          <w:rFonts w:ascii="Cambria Math" w:hAnsi="Cambria Math"/>
                        </w:rPr>
                        <m:t>2</m:t>
                      </m:r>
                    </m:sup>
                  </m:sSubSup>
                </m:den>
              </m:f>
            </m:e>
          </m:d>
        </m:oMath>
      </m:oMathPara>
    </w:p>
    <w:p w14:paraId="397AC5F5" w14:textId="77777777" w:rsidR="00AA4F0E" w:rsidRDefault="00AA4F0E" w:rsidP="00AA4F0E">
      <w:pPr>
        <w:jc w:val="both"/>
      </w:pPr>
      <w:r>
        <w:t xml:space="preserve">and from equation S23-24 of Bernard-Espina et al. (2022) the change in visual weight is </w:t>
      </w:r>
    </w:p>
    <w:p w14:paraId="360926F0" w14:textId="77777777" w:rsidR="00AA4F0E" w:rsidRDefault="00000000" w:rsidP="00AA4F0E">
      <w:pPr>
        <w:jc w:val="both"/>
        <w:rPr>
          <w:rFonts w:eastAsiaTheme="minorEastAsia"/>
        </w:rPr>
      </w:pPr>
      <m:oMathPara>
        <m:oMath>
          <m:sSub>
            <m:sSubPr>
              <m:ctrlPr>
                <w:rPr>
                  <w:rFonts w:ascii="Cambria Math" w:hAnsi="Cambria Math"/>
                  <w:i/>
                </w:rPr>
              </m:ctrlPr>
            </m:sSubPr>
            <m:e>
              <m:r>
                <w:rPr>
                  <w:rFonts w:ascii="Cambria Math" w:hAnsi="Cambria Math"/>
                </w:rPr>
                <m:t>DW</m:t>
              </m:r>
            </m:e>
            <m:sub>
              <m:r>
                <w:rPr>
                  <w:rFonts w:ascii="Cambria Math" w:hAnsi="Cambria Math"/>
                </w:rPr>
                <m:t>∆V</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N,UR</m:t>
                  </m:r>
                </m:sub>
                <m:sup>
                  <m:r>
                    <w:rPr>
                      <w:rFonts w:ascii="Cambria Math" w:hAnsi="Cambria Math"/>
                    </w:rPr>
                    <m:t>2</m:t>
                  </m:r>
                </m:sup>
              </m:sSubSup>
            </m:num>
            <m:den>
              <m:r>
                <w:rPr>
                  <w:rFonts w:ascii="Cambria Math" w:hAnsi="Cambria Math"/>
                </w:rPr>
                <m:t>2</m:t>
              </m:r>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N,UR</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N,TILT</m:t>
                  </m:r>
                </m:sub>
                <m:sup>
                  <m:r>
                    <w:rPr>
                      <w:rFonts w:ascii="Cambria Math" w:hAnsi="Cambria Math"/>
                    </w:rPr>
                    <m:t>2</m:t>
                  </m:r>
                </m:sup>
              </m:sSubSup>
            </m:den>
          </m:f>
        </m:oMath>
      </m:oMathPara>
    </w:p>
    <w:p w14:paraId="1827A459" w14:textId="77777777" w:rsidR="00AA4F0E" w:rsidRDefault="00AA4F0E" w:rsidP="00AA4F0E">
      <w:pPr>
        <w:jc w:val="both"/>
        <w:rPr>
          <w:rFonts w:eastAsiaTheme="minorEastAsia"/>
        </w:rPr>
      </w:pPr>
      <w:r>
        <w:rPr>
          <w:rFonts w:eastAsiaTheme="minorEastAsia"/>
        </w:rPr>
        <w:t xml:space="preserve">Where </w:t>
      </w:r>
      <m:oMath>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oMath>
      <w:r>
        <w:rPr>
          <w:rFonts w:eastAsiaTheme="minorEastAsia"/>
        </w:rPr>
        <w:t xml:space="preserve"> is the variability associated with cross-modal transformations (both </w:t>
      </w:r>
      <m:oMath>
        <m:r>
          <w:rPr>
            <w:rFonts w:ascii="Cambria Math" w:hAnsi="Cambria Math"/>
          </w:rPr>
          <m:t>V→P</m:t>
        </m:r>
      </m:oMath>
      <w:r>
        <w:rPr>
          <w:rFonts w:eastAsiaTheme="minorEastAsia"/>
        </w:rPr>
        <w:t xml:space="preserve"> and </w:t>
      </w:r>
      <m:oMath>
        <m:r>
          <w:rPr>
            <w:rFonts w:ascii="Cambria Math" w:hAnsi="Cambria Math"/>
          </w:rPr>
          <m:t>P→V</m:t>
        </m:r>
      </m:oMath>
      <w:r>
        <w:rPr>
          <w:rFonts w:eastAsiaTheme="minorEastAsia"/>
        </w:rPr>
        <w:t xml:space="preserve">); </w:t>
      </w:r>
      <m:oMath>
        <m:sSubSup>
          <m:sSubSupPr>
            <m:ctrlPr>
              <w:rPr>
                <w:rFonts w:ascii="Cambria Math" w:hAnsi="Cambria Math"/>
                <w:i/>
              </w:rPr>
            </m:ctrlPr>
          </m:sSubSupPr>
          <m:e>
            <m:r>
              <w:rPr>
                <w:rFonts w:ascii="Cambria Math" w:hAnsi="Cambria Math"/>
              </w:rPr>
              <m:t>σ</m:t>
            </m:r>
          </m:e>
          <m:sub>
            <m:r>
              <w:rPr>
                <w:rFonts w:ascii="Cambria Math" w:hAnsi="Cambria Math"/>
              </w:rPr>
              <m:t>N,UR</m:t>
            </m:r>
          </m:sub>
          <m:sup>
            <m:r>
              <w:rPr>
                <w:rFonts w:ascii="Cambria Math" w:hAnsi="Cambria Math"/>
              </w:rPr>
              <m:t>2</m:t>
            </m:r>
          </m:sup>
        </m:sSubSup>
      </m:oMath>
      <w:r>
        <w:rPr>
          <w:rFonts w:eastAsiaTheme="minorEastAsia"/>
        </w:rPr>
        <w:t xml:space="preserve"> and </w:t>
      </w:r>
      <m:oMath>
        <m:sSubSup>
          <m:sSubSupPr>
            <m:ctrlPr>
              <w:rPr>
                <w:rFonts w:ascii="Cambria Math" w:hAnsi="Cambria Math"/>
                <w:i/>
              </w:rPr>
            </m:ctrlPr>
          </m:sSubSupPr>
          <m:e>
            <m:r>
              <w:rPr>
                <w:rFonts w:ascii="Cambria Math" w:hAnsi="Cambria Math"/>
              </w:rPr>
              <m:t>σ</m:t>
            </m:r>
          </m:e>
          <m:sub>
            <m:r>
              <w:rPr>
                <w:rFonts w:ascii="Cambria Math" w:hAnsi="Cambria Math"/>
              </w:rPr>
              <m:t>N,TILT</m:t>
            </m:r>
          </m:sub>
          <m:sup>
            <m:r>
              <w:rPr>
                <w:rFonts w:ascii="Cambria Math" w:hAnsi="Cambria Math"/>
              </w:rPr>
              <m:t>2</m:t>
            </m:r>
          </m:sup>
        </m:sSubSup>
      </m:oMath>
      <w:r>
        <w:rPr>
          <w:rFonts w:eastAsiaTheme="minorEastAsia"/>
        </w:rPr>
        <w:t xml:space="preserve"> represent the additional noise associated with cross-modal transformations performed with the head upright or misaligned with respect to gravity, respectively.  As an example, the transformation </w:t>
      </w:r>
      <m:oMath>
        <m:r>
          <w:rPr>
            <w:rFonts w:ascii="Cambria Math" w:hAnsi="Cambria Math"/>
          </w:rPr>
          <m:t>P→V</m:t>
        </m:r>
      </m:oMath>
      <w:r>
        <w:rPr>
          <w:rFonts w:eastAsiaTheme="minorEastAsia"/>
        </w:rPr>
        <w:t xml:space="preserve"> performed with the head tilted with respect to gravity is characterized by a variability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hAnsi="Cambria Math"/>
              </w:rPr>
              <m:t>P→V</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hAnsi="Cambria Math"/>
              </w:rPr>
              <m:t>T</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N,TILT</m:t>
            </m:r>
          </m:sub>
          <m:sup>
            <m:r>
              <w:rPr>
                <w:rFonts w:ascii="Cambria Math" w:hAnsi="Cambria Math"/>
              </w:rPr>
              <m:t>2</m:t>
            </m:r>
          </m:sup>
        </m:sSubSup>
      </m:oMath>
      <w:r>
        <w:rPr>
          <w:rFonts w:eastAsiaTheme="minorEastAsia"/>
        </w:rPr>
        <w:t>.</w:t>
      </w:r>
    </w:p>
    <w:p w14:paraId="43D8B808" w14:textId="5B1AFC04" w:rsidR="00AA4F0E" w:rsidRDefault="00AA4F0E" w:rsidP="00AA4F0E">
      <w:pPr>
        <w:jc w:val="both"/>
        <w:rPr>
          <w:rFonts w:eastAsiaTheme="minorEastAsia"/>
        </w:rPr>
      </w:pPr>
      <w:r>
        <w:rPr>
          <w:rFonts w:eastAsiaTheme="minorEastAsia"/>
        </w:rPr>
        <w:lastRenderedPageBreak/>
        <w:t xml:space="preserve">To describe the subjects’ behavior prior to bedrest (BDC-7) and at the first bedrest session (HDT+2), before adaptation, the model sets  </w:t>
      </w:r>
      <m:oMath>
        <m:sSubSup>
          <m:sSubSupPr>
            <m:ctrlPr>
              <w:rPr>
                <w:rFonts w:ascii="Cambria Math" w:hAnsi="Cambria Math"/>
                <w:i/>
              </w:rPr>
            </m:ctrlPr>
          </m:sSubSupPr>
          <m:e>
            <m:r>
              <w:rPr>
                <w:rFonts w:ascii="Cambria Math" w:hAnsi="Cambria Math"/>
              </w:rPr>
              <m:t>σ</m:t>
            </m:r>
          </m:e>
          <m:sub>
            <m:r>
              <w:rPr>
                <w:rFonts w:ascii="Cambria Math" w:hAnsi="Cambria Math"/>
              </w:rPr>
              <m:t>N,UR</m:t>
            </m:r>
          </m:sub>
          <m:sup>
            <m:r>
              <w:rPr>
                <w:rFonts w:ascii="Cambria Math" w:hAnsi="Cambria Math"/>
              </w:rPr>
              <m:t>2</m:t>
            </m:r>
          </m:sup>
        </m:sSubSup>
        <m:r>
          <w:rPr>
            <w:rFonts w:ascii="Cambria Math" w:eastAsiaTheme="minorEastAsia" w:hAnsi="Cambria Math"/>
          </w:rPr>
          <m:t>=0</m:t>
        </m:r>
      </m:oMath>
      <w:r>
        <w:rPr>
          <w:rFonts w:eastAsiaTheme="minorEastAsia"/>
        </w:rPr>
        <w:t xml:space="preserve">, representing a lack of </w:t>
      </w:r>
      <w:r w:rsidR="00EB2BBB">
        <w:rPr>
          <w:rFonts w:eastAsiaTheme="minorEastAsia"/>
        </w:rPr>
        <w:t xml:space="preserve">specific </w:t>
      </w:r>
      <w:r>
        <w:rPr>
          <w:rFonts w:eastAsiaTheme="minorEastAsia"/>
        </w:rPr>
        <w:t xml:space="preserve">problems in performing cross-modal transformation with the head aligned with gravity. The value of model parameters </w:t>
      </w:r>
      <m:oMath>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oMath>
      <w:r>
        <w:rPr>
          <w:rFonts w:eastAsiaTheme="minorEastAsia"/>
        </w:rPr>
        <w:t xml:space="preserve"> and </w:t>
      </w:r>
      <m:oMath>
        <m:sSubSup>
          <m:sSubSupPr>
            <m:ctrlPr>
              <w:rPr>
                <w:rFonts w:ascii="Cambria Math" w:hAnsi="Cambria Math"/>
                <w:i/>
              </w:rPr>
            </m:ctrlPr>
          </m:sSubSupPr>
          <m:e>
            <m:r>
              <w:rPr>
                <w:rFonts w:ascii="Cambria Math" w:hAnsi="Cambria Math"/>
              </w:rPr>
              <m:t>σ</m:t>
            </m:r>
          </m:e>
          <m:sub>
            <m:r>
              <w:rPr>
                <w:rFonts w:ascii="Cambria Math" w:hAnsi="Cambria Math"/>
              </w:rPr>
              <m:t>N,TILT</m:t>
            </m:r>
          </m:sub>
          <m:sup>
            <m:r>
              <w:rPr>
                <w:rFonts w:ascii="Cambria Math" w:hAnsi="Cambria Math"/>
              </w:rPr>
              <m:t>2</m:t>
            </m:r>
          </m:sup>
        </m:sSubSup>
      </m:oMath>
      <w:r>
        <w:rPr>
          <w:rFonts w:eastAsiaTheme="minorEastAsia"/>
        </w:rPr>
        <w:t xml:space="preserve"> is computed by fitting the predicted </w:t>
      </w:r>
      <m:oMath>
        <m:sSubSup>
          <m:sSubSupPr>
            <m:ctrlPr>
              <w:rPr>
                <w:rFonts w:ascii="Cambria Math" w:hAnsi="Cambria Math"/>
                <w:i/>
              </w:rPr>
            </m:ctrlPr>
          </m:sSubSupPr>
          <m:e>
            <m:r>
              <w:rPr>
                <w:rFonts w:ascii="Cambria Math" w:hAnsi="Cambria Math"/>
              </w:rPr>
              <m:t>Dσ</m:t>
            </m:r>
          </m:e>
          <m:sub>
            <m:r>
              <w:rPr>
                <w:rFonts w:ascii="Cambria Math" w:hAnsi="Cambria Math"/>
              </w:rPr>
              <m:t>ME</m:t>
            </m:r>
          </m:sub>
          <m:sup>
            <m:r>
              <w:rPr>
                <w:rFonts w:ascii="Cambria Math" w:hAnsi="Cambria Math"/>
              </w:rPr>
              <m:t>2</m:t>
            </m:r>
          </m:sup>
        </m:sSubSup>
      </m:oMath>
      <w:r>
        <w:rPr>
          <w:rFonts w:eastAsiaTheme="minorEastAsia"/>
        </w:rPr>
        <w:t xml:space="preserve"> and </w:t>
      </w:r>
      <m:oMath>
        <m:sSub>
          <m:sSubPr>
            <m:ctrlPr>
              <w:rPr>
                <w:rFonts w:ascii="Cambria Math" w:hAnsi="Cambria Math"/>
                <w:i/>
              </w:rPr>
            </m:ctrlPr>
          </m:sSubPr>
          <m:e>
            <m:r>
              <w:rPr>
                <w:rFonts w:ascii="Cambria Math" w:hAnsi="Cambria Math"/>
              </w:rPr>
              <m:t>DW</m:t>
            </m:r>
          </m:e>
          <m:sub>
            <m:r>
              <w:rPr>
                <w:rFonts w:ascii="Cambria Math" w:hAnsi="Cambria Math"/>
              </w:rPr>
              <m:t>∆V</m:t>
            </m:r>
          </m:sub>
        </m:sSub>
      </m:oMath>
      <w:r>
        <w:rPr>
          <w:rFonts w:eastAsiaTheme="minorEastAsia"/>
        </w:rPr>
        <w:t xml:space="preserve"> with the corresponding experimental variables </w:t>
      </w:r>
      <m:oMath>
        <m:sSub>
          <m:sSubPr>
            <m:ctrlPr>
              <w:rPr>
                <w:rFonts w:ascii="Cambria Math" w:hAnsi="Cambria Math"/>
                <w:i/>
              </w:rPr>
            </m:ctrlPr>
          </m:sSubPr>
          <m:e>
            <m:r>
              <w:rPr>
                <w:rFonts w:ascii="Cambria Math" w:hAnsi="Cambria Math"/>
              </w:rPr>
              <m:t>MSD</m:t>
            </m:r>
          </m:e>
          <m:sub>
            <m:r>
              <w:rPr>
                <w:rFonts w:ascii="Cambria Math" w:hAnsi="Cambria Math"/>
              </w:rPr>
              <m:t>HDT+2</m:t>
            </m:r>
          </m:sub>
        </m:sSub>
        <m:r>
          <w:rPr>
            <w:rFonts w:ascii="Cambria Math" w:hAnsi="Cambria Math"/>
          </w:rPr>
          <m:t>-</m:t>
        </m:r>
        <m:sSub>
          <m:sSubPr>
            <m:ctrlPr>
              <w:rPr>
                <w:rFonts w:ascii="Cambria Math" w:hAnsi="Cambria Math"/>
                <w:i/>
              </w:rPr>
            </m:ctrlPr>
          </m:sSubPr>
          <m:e>
            <m:r>
              <w:rPr>
                <w:rFonts w:ascii="Cambria Math" w:hAnsi="Cambria Math"/>
              </w:rPr>
              <m:t>MSD</m:t>
            </m:r>
          </m:e>
          <m:sub>
            <m:r>
              <w:rPr>
                <w:rFonts w:ascii="Cambria Math" w:hAnsi="Cambria Math"/>
              </w:rPr>
              <m:t>BDC-7</m:t>
            </m:r>
          </m:sub>
        </m:sSub>
      </m:oMath>
      <w:r>
        <w:rPr>
          <w:rFonts w:eastAsiaTheme="minorEastAsia"/>
        </w:rPr>
        <w:t xml:space="preserve"> and </w:t>
      </w:r>
      <m:oMath>
        <m:sSub>
          <m:sSubPr>
            <m:ctrlPr>
              <w:rPr>
                <w:rFonts w:ascii="Cambria Math" w:hAnsi="Cambria Math"/>
                <w:i/>
              </w:rPr>
            </m:ctrlPr>
          </m:sSubPr>
          <m:e>
            <m:r>
              <w:rPr>
                <w:rFonts w:ascii="Cambria Math" w:hAnsi="Cambria Math"/>
              </w:rPr>
              <m:t>ω</m:t>
            </m:r>
          </m:e>
          <m:sub>
            <m:r>
              <w:rPr>
                <w:rFonts w:ascii="Cambria Math" w:hAnsi="Cambria Math"/>
              </w:rPr>
              <m:t>V,  HDT+2</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V,  BDC-7</m:t>
            </m:r>
          </m:sub>
        </m:sSub>
      </m:oMath>
      <w:r>
        <w:rPr>
          <w:rFonts w:eastAsiaTheme="minorEastAsia"/>
        </w:rPr>
        <w:t>; in other words, the model parameters are set to replicate the observed acute effect of the posture change.</w:t>
      </w:r>
    </w:p>
    <w:p w14:paraId="6C18F29B" w14:textId="2280E9CA" w:rsidR="00AA4F0E" w:rsidRDefault="00AA4F0E" w:rsidP="00AA4F0E">
      <w:pPr>
        <w:jc w:val="both"/>
      </w:pPr>
      <w:r>
        <w:rPr>
          <w:rFonts w:eastAsiaTheme="minorEastAsia"/>
        </w:rPr>
        <w:t xml:space="preserve">As explained more in detail in the following, </w:t>
      </w:r>
      <w:r>
        <w:t xml:space="preserve">here </w:t>
      </w:r>
      <w:r>
        <w:rPr>
          <w:color w:val="000000" w:themeColor="text1"/>
        </w:rPr>
        <w:t xml:space="preserve">the model was further upgraded to account for the possibility that, over time, the subjects might be able to learn cross-modal transformations when the head is misaligned with gravity: </w:t>
      </w:r>
      <w:r>
        <w:rPr>
          <w:rFonts w:eastAsiaTheme="minorEastAsia"/>
        </w:rPr>
        <w:t xml:space="preserve">the modulation of response variability and visual weight during the HDT and recovery phases was predicted by assuming different temporal evolutions of </w:t>
      </w:r>
      <m:oMath>
        <m:sSubSup>
          <m:sSubSupPr>
            <m:ctrlPr>
              <w:rPr>
                <w:rFonts w:ascii="Cambria Math" w:hAnsi="Cambria Math"/>
                <w:i/>
              </w:rPr>
            </m:ctrlPr>
          </m:sSubSupPr>
          <m:e>
            <m:r>
              <w:rPr>
                <w:rFonts w:ascii="Cambria Math" w:hAnsi="Cambria Math"/>
              </w:rPr>
              <m:t>σ</m:t>
            </m:r>
          </m:e>
          <m:sub>
            <m:r>
              <w:rPr>
                <w:rFonts w:ascii="Cambria Math" w:hAnsi="Cambria Math"/>
              </w:rPr>
              <m:t>N,UR</m:t>
            </m:r>
          </m:sub>
          <m:sup>
            <m:r>
              <w:rPr>
                <w:rFonts w:ascii="Cambria Math" w:hAnsi="Cambria Math"/>
              </w:rPr>
              <m:t>2</m:t>
            </m:r>
          </m:sup>
        </m:sSubSup>
      </m:oMath>
      <w:r>
        <w:rPr>
          <w:rFonts w:eastAsiaTheme="minorEastAsia"/>
        </w:rPr>
        <w:t xml:space="preserve"> and </w:t>
      </w:r>
      <w:r>
        <w:rPr>
          <w:rFonts w:eastAsiaTheme="minorEastAsia"/>
          <w:color w:val="FF0000"/>
        </w:rPr>
        <w:t xml:space="preserve"> </w:t>
      </w:r>
      <m:oMath>
        <m:sSubSup>
          <m:sSubSupPr>
            <m:ctrlPr>
              <w:rPr>
                <w:rFonts w:ascii="Cambria Math" w:hAnsi="Cambria Math"/>
                <w:i/>
              </w:rPr>
            </m:ctrlPr>
          </m:sSubSupPr>
          <m:e>
            <m:r>
              <w:rPr>
                <w:rFonts w:ascii="Cambria Math" w:hAnsi="Cambria Math"/>
              </w:rPr>
              <m:t>σ</m:t>
            </m:r>
          </m:e>
          <m:sub>
            <m:r>
              <w:rPr>
                <w:rFonts w:ascii="Cambria Math" w:hAnsi="Cambria Math"/>
              </w:rPr>
              <m:t>N,TILT</m:t>
            </m:r>
          </m:sub>
          <m:sup>
            <m:r>
              <w:rPr>
                <w:rFonts w:ascii="Cambria Math" w:hAnsi="Cambria Math"/>
              </w:rPr>
              <m:t>2</m:t>
            </m:r>
          </m:sup>
        </m:sSubSup>
      </m:oMath>
      <w:r>
        <w:rPr>
          <w:rFonts w:eastAsiaTheme="minorEastAsia"/>
        </w:rPr>
        <w:t>.</w:t>
      </w:r>
    </w:p>
    <w:p w14:paraId="2FFBC54C" w14:textId="58D49DCD" w:rsidR="00AA4F0E" w:rsidRPr="00EB2BBB" w:rsidRDefault="00EB2BBB" w:rsidP="00EB2BBB">
      <w:pPr>
        <w:pStyle w:val="Titre2"/>
        <w:numPr>
          <w:ilvl w:val="0"/>
          <w:numId w:val="0"/>
        </w:numPr>
      </w:pPr>
      <w:r>
        <w:t>M</w:t>
      </w:r>
      <w:r w:rsidR="00AA4F0E" w:rsidRPr="00EB2BBB">
        <w:t>odel predictions</w:t>
      </w:r>
    </w:p>
    <w:p w14:paraId="68CCC920" w14:textId="718F707F" w:rsidR="00AA4F0E" w:rsidRPr="00EB2BBB" w:rsidRDefault="00AA4F0E" w:rsidP="00AA4F0E">
      <w:pPr>
        <w:jc w:val="both"/>
      </w:pPr>
      <w:r w:rsidRPr="00EB2BBB">
        <w:t>To more effectively interpret the present experimental observations, and in particular the participants’ performance during the recovery (R) period</w:t>
      </w:r>
      <w:r w:rsidRPr="00EB2BBB">
        <w:rPr>
          <w:rFonts w:cstheme="minorHAnsi"/>
        </w:rPr>
        <w:t>,</w:t>
      </w:r>
      <w:r w:rsidRPr="00EB2BBB">
        <w:t xml:space="preserve"> in the cross-modal, visuo-proprioceptive task</w:t>
      </w:r>
      <w:r w:rsidRPr="00EB2BBB">
        <w:rPr>
          <w:rFonts w:cstheme="minorHAnsi"/>
        </w:rPr>
        <w:t xml:space="preserve"> </w:t>
      </w:r>
      <w:r>
        <w:rPr>
          <w:rFonts w:cstheme="minorHAnsi"/>
        </w:rPr>
        <w:t xml:space="preserve">Figure S3 </w:t>
      </w:r>
      <w:r w:rsidRPr="00EB2BBB">
        <w:rPr>
          <w:rFonts w:cstheme="minorHAnsi"/>
        </w:rPr>
        <w:t>compares</w:t>
      </w:r>
      <w:r w:rsidRPr="00EB2BBB">
        <w:t xml:space="preserve"> them with the predictions of the </w:t>
      </w:r>
      <w:r w:rsidRPr="00EB2BBB">
        <w:rPr>
          <w:i/>
          <w:iCs/>
        </w:rPr>
        <w:t>Concurrent Model</w:t>
      </w:r>
      <w:r w:rsidRPr="00EB2BBB">
        <w:t xml:space="preserve"> of optimal multi-sensory integration</w:t>
      </w:r>
      <w:r w:rsidRPr="00EB2BBB">
        <w:fldChar w:fldCharType="begin"/>
      </w:r>
      <w:r w:rsidR="008F29F8">
        <w:instrText xml:space="preserve"> ADDIN ZOTERO_ITEM CSL_CITATION {"citationID":"PGie2IIu","properties":{"formattedCitation":"\\super 6,11\\nosupersub{}","plainCitation":"6,11","noteIndex":0},"citationItems":[{"id":2989,"uris":["http://zotero.org/users/local/ZvR3nIZ9/items/D4YZYNN2","http://zotero.org/users/17538995/items/D4YZYNN2"],"itemData":{"id":2989,"type":"article-journal","abstract":"When aligning the hand to grasp an object, the CNS combines multiple sensory inputs encoded in multiple reference frames. Previous studies suggest that when a direct comparison of target and hand is possible via a single sensory modality, the CNS avoids performing unnecessary coordinate transformations that add noise. But when target and hand do not share a common sensory modality (e.g., aligning the unseen hand to a visual target), at least one coordinate transformation is required. Similarly, body movements may occur between target acquisition and manual response, requiring that egocentric target information be updated or transformed to external reference frames to compensate. Here, we asked subjects to align the hand to an external target, where the target could be presented visually or kinesthetically and feedback about the hand was visual, kinesthetic, or both. We used a novel technique of imposing conflict between external visual and gravito-kinesthetic reference frames when subjects tilted the head during an instructed memory delay. By comparing experimental results to analytical models based on principles of maximum likelihood, we showed that multiple transformations above the strict minimum may be performed, but only if the task precludes a unimodal comparison of egocentric target and hand information. Thus, for cross-modal tasks, or when head movements are involved, the CNS creates and uses both kinesthetic and visual representations. We conclude that the necessity of producing at least one coordinate transformation activates multiple, concurrent internal representations, the functionality of which depends on the alignment of the head with respect to gravity.","container-title":"J Neurosci","DOI":"10.1523/JNEUROSCI.0623-10.2011","issue":"4","note":"publisher: Centre d'Etude de la Sensorimotricité (CESeM UMR 8194), Institut des Neurosciences et de la Cognition, Université Paris Descartes and Centre National de la Recherche Scientifique, 75006 Paris, France.\nPMID: 21273424","page":"1397–1409","title":"Necessity is the Mother of Invention: Reconstructing Missing Sensory Information in Multiple, Concurrent Reference Frames for Eye-Hand Coordination.","volume":"31","author":[{"family":"Tagliabue","given":"Michele"},{"family":"McIntyre","given":"Joseph"}],"issued":{"date-parts":[["2011",1]]}}},{"id":2982,"uris":["http://zotero.org/users/local/ZvR3nIZ9/items/SRAHHV82","http://zotero.org/users/17538995/items/SRAHHV82"],"itemData":{"id":2982,"type":"article-journal","abstract":"To control targeted movements, such as reaching to grasp an object or hammering a nail, the brain can use divers sources of sensory information, such as vision and proprioception. Although a variety of studies have shown that sensory signals are optimally combined according to principles of maximum likelihood, increasing evidence indicates that the CNS does not compute a single, optimal estimation of the target's position to be compared with a single optimal estimation of the hand. Rather, it employs a more modular approach in which the overall behavior is built by computing multiple concurrent comparisons carried out simultaneously in a number of different reference frames. The results of these individual comparisons are then optimally combined in order to drive the hand. In this article we examine at a computational level two formulations of concurrent models for sensory integration and compare this to the more conventional model of converging multi-sensory signals. Through a review of published studies, both our own and those performed by others, we produce evidence favoring the concurrent formulations. We then examine in detail the effects of additive signal noise as information flows through the sensorimotor system. By taking into account the noise added by sensorimotor transformations, one can explain why the CNS may shift its reliance on one sensory modality toward a greater reliance on another and investigate under what conditions those sensory transformations occur. Careful consideration of how transformed signals will co-vary with the original source also provides insight into how the CNS chooses one sensory modality over another. These concepts can be used to explain why the CNS might, for instance, create a visual representation of a task that is otherwise limited to the kinesthetic domain (e.g., pointing with one hand to a finger on the other) and why the CNS might choose to recode sensory information in an external reference frame.","container-title":"Front Comput Neurosci","DOI":"10.3389/fncom.2014.00001","language":"eng","note":"publisher: Centre d'Étude de la Sensorimotricité, (CNRS UMR 8194), Institut des Neurosciences et de la Cognition, Université Paris Descartes, Sorbonne Paris Cité Paris, France.\nPMID: 24550816","page":"1","title":"A modular theory of multisensory integration for motor control.","volume":"8","author":[{"family":"Tagliabue","given":"Michele"},{"family":"McIntyre","given":"Joseph"}],"issued":{"date-parts":[["2014"]]}}}],"schema":"https://github.com/citation-style-language/schema/raw/master/csl-citation.json"} </w:instrText>
      </w:r>
      <w:r w:rsidRPr="00EB2BBB">
        <w:fldChar w:fldCharType="separate"/>
      </w:r>
      <w:r w:rsidR="008F29F8" w:rsidRPr="004033CF">
        <w:rPr>
          <w:rFonts w:ascii="Calibri" w:cs="Calibri"/>
          <w:vertAlign w:val="superscript"/>
        </w:rPr>
        <w:t>6,11</w:t>
      </w:r>
      <w:r w:rsidRPr="00EB2BBB">
        <w:fldChar w:fldCharType="end"/>
      </w:r>
      <w:r w:rsidRPr="00EB2BBB">
        <w:t xml:space="preserve">. To focus the analysis on the modulations of the participants performances that are specifically due to the HDT, and to eliminate of the effects of procedural and motor learning that MLP cannot account for, the model is applied to the performance difference between the </w:t>
      </w:r>
      <w:r w:rsidRPr="00EB2BBB">
        <w:rPr>
          <w:i/>
          <w:iCs/>
        </w:rPr>
        <w:t xml:space="preserve">Bedrest </w:t>
      </w:r>
      <w:r w:rsidRPr="00EB2BBB">
        <w:t xml:space="preserve">and </w:t>
      </w:r>
      <w:r w:rsidRPr="00EB2BBB">
        <w:rPr>
          <w:i/>
          <w:iCs/>
        </w:rPr>
        <w:t xml:space="preserve">Control </w:t>
      </w:r>
      <w:r w:rsidRPr="00EB2BBB">
        <w:t xml:space="preserve">groups.  </w:t>
      </w:r>
    </w:p>
    <w:p w14:paraId="134CCCA2" w14:textId="42083E8C" w:rsidR="00AA4F0E" w:rsidRPr="00EB2BBB" w:rsidRDefault="00AA4F0E" w:rsidP="00AA4F0E">
      <w:pPr>
        <w:jc w:val="both"/>
        <w:rPr>
          <w:color w:val="000000" w:themeColor="text1"/>
        </w:rPr>
      </w:pPr>
      <w:r w:rsidRPr="00EB2BBB">
        <w:t>As explained in the section</w:t>
      </w:r>
      <w:r>
        <w:t xml:space="preserve"> above</w:t>
      </w:r>
      <w:r w:rsidRPr="00EB2BBB">
        <w:t xml:space="preserve">, the only two parameters of the model reflect the noise associated with the visuo-proprioceptive transformation with and without head tilt. Their values were set to replicate the observed increase in response imprecision and visual dependency from BDC-7 to HDT+2:  variance of cross-modal transformation in upright condition </w:t>
      </w:r>
      <m:oMath>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oMath>
      <w:r w:rsidRPr="00EB2BBB">
        <w:t>=18.5°</w:t>
      </w:r>
      <w:r w:rsidRPr="00EB2BBB">
        <w:rPr>
          <w:vertAlign w:val="superscript"/>
        </w:rPr>
        <w:t>2</w:t>
      </w:r>
      <w:r w:rsidRPr="00EB2BBB">
        <w:t xml:space="preserve"> and the noise added to these transformations when the head is misaligned with respect to gravity </w:t>
      </w:r>
      <m:oMath>
        <m:sSubSup>
          <m:sSubSupPr>
            <m:ctrlPr>
              <w:rPr>
                <w:rFonts w:ascii="Cambria Math" w:hAnsi="Cambria Math"/>
                <w:i/>
              </w:rPr>
            </m:ctrlPr>
          </m:sSubSupPr>
          <m:e>
            <m:r>
              <w:rPr>
                <w:rFonts w:ascii="Cambria Math" w:hAnsi="Cambria Math"/>
              </w:rPr>
              <m:t>σ</m:t>
            </m:r>
          </m:e>
          <m:sub>
            <m:r>
              <w:rPr>
                <w:rFonts w:ascii="Cambria Math" w:hAnsi="Cambria Math"/>
              </w:rPr>
              <m:t>N</m:t>
            </m:r>
          </m:sub>
          <m:sup>
            <m:r>
              <w:rPr>
                <w:rFonts w:ascii="Cambria Math" w:hAnsi="Cambria Math"/>
              </w:rPr>
              <m:t>2</m:t>
            </m:r>
          </m:sup>
        </m:sSubSup>
      </m:oMath>
      <w:r w:rsidRPr="00EB2BBB">
        <w:t>=48°</w:t>
      </w:r>
      <w:r w:rsidRPr="00EB2BBB">
        <w:rPr>
          <w:vertAlign w:val="superscript"/>
        </w:rPr>
        <w:t>2</w:t>
      </w:r>
      <w:r w:rsidRPr="00EB2BBB">
        <w:t xml:space="preserve">. The model is then used to compute the expected modulations in response variability and sensory weighting during the whole HDT and recovery (R) phases, under different </w:t>
      </w:r>
      <w:r w:rsidRPr="00EB2BBB">
        <w:rPr>
          <w:color w:val="000000" w:themeColor="text1"/>
        </w:rPr>
        <w:t>assumptions. The model cannot make predictions about response accuracy.</w:t>
      </w:r>
    </w:p>
    <w:p w14:paraId="04532DEF" w14:textId="0C566B5E" w:rsidR="00AA4F0E" w:rsidRPr="00EB2BBB" w:rsidRDefault="00AA4F0E" w:rsidP="00AA4F0E">
      <w:pPr>
        <w:jc w:val="both"/>
      </w:pPr>
      <w:r w:rsidRPr="00EB2BBB">
        <w:t>To test the fully phylogenetic hypothesis, the original formulation of the model, without any learning features, was used. As illustrated by the red dashed lines in</w:t>
      </w:r>
      <w:r>
        <w:rPr>
          <w:rFonts w:cstheme="minorHAnsi"/>
        </w:rPr>
        <w:t xml:space="preserve"> Figure S3</w:t>
      </w:r>
      <w:r w:rsidRPr="00EB2BBB">
        <w:rPr>
          <w:rFonts w:cstheme="minorHAnsi"/>
        </w:rPr>
        <w:t xml:space="preserve">, the most striking flaw of </w:t>
      </w:r>
      <w:r w:rsidRPr="00EB2BBB">
        <w:t>this version of the model is its inability to predict the observed persistence of imprecision and visual dependency during the R phase, which remain significantly greater than during BDC</w:t>
      </w:r>
      <w:r w:rsidRPr="00EB2BBB">
        <w:rPr>
          <w:rFonts w:cstheme="minorHAnsi"/>
        </w:rPr>
        <w:t>.</w:t>
      </w:r>
      <w:r w:rsidRPr="00EB2BBB">
        <w:t xml:space="preserve"> </w:t>
      </w:r>
    </w:p>
    <w:p w14:paraId="0FDD6464" w14:textId="77777777" w:rsidR="00AA4F0E" w:rsidRPr="00EB2BBB" w:rsidRDefault="00AA4F0E" w:rsidP="00AA4F0E">
      <w:pPr>
        <w:jc w:val="both"/>
        <w:rPr>
          <w:color w:val="000000" w:themeColor="text1"/>
        </w:rPr>
      </w:pPr>
      <w:r w:rsidRPr="00EB2BBB">
        <w:rPr>
          <w:rFonts w:cstheme="minorHAnsi"/>
          <w:color w:val="000000" w:themeColor="text1"/>
        </w:rPr>
        <w:t>T</w:t>
      </w:r>
      <w:r w:rsidRPr="00EB2BBB">
        <w:rPr>
          <w:color w:val="000000" w:themeColor="text1"/>
        </w:rPr>
        <w:t xml:space="preserve">he model was first upgraded to include the subjects’ ability to learn to perform visuo-proprioceptive cross-modal transformations with the head misaligned with respect to gravity.  More precisely, the noise added to these transformations has been computed from HTD+0 to HTD+60 by using the following equation </w:t>
      </w:r>
    </w:p>
    <w:p w14:paraId="3B60FB1D" w14:textId="77777777" w:rsidR="00AA4F0E" w:rsidRPr="00EB2BBB" w:rsidRDefault="00000000" w:rsidP="00AA4F0E">
      <w:pPr>
        <w:jc w:val="center"/>
      </w:pPr>
      <m:oMath>
        <m:sSubSup>
          <m:sSubSupPr>
            <m:ctrlPr>
              <w:rPr>
                <w:rFonts w:ascii="Cambria Math" w:hAnsi="Cambria Math"/>
                <w:i/>
              </w:rPr>
            </m:ctrlPr>
          </m:sSubSupPr>
          <m:e>
            <m:r>
              <w:rPr>
                <w:rFonts w:ascii="Cambria Math" w:hAnsi="Cambria Math"/>
              </w:rPr>
              <m:t>σ</m:t>
            </m:r>
          </m:e>
          <m:sub>
            <m:r>
              <w:rPr>
                <w:rFonts w:ascii="Cambria Math" w:hAnsi="Cambria Math"/>
              </w:rPr>
              <m:t>N,TILT</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N</m:t>
            </m:r>
          </m:sub>
          <m:sup>
            <m:r>
              <w:rPr>
                <w:rFonts w:ascii="Cambria Math" w:hAnsi="Cambria Math"/>
              </w:rPr>
              <m:t>2</m:t>
            </m:r>
          </m:sup>
        </m:sSubSup>
        <m:r>
          <w:rPr>
            <w:rFonts w:ascii="Cambria Math" w:hAnsi="Cambria Math"/>
          </w:rPr>
          <m:t>(1-lr</m:t>
        </m:r>
        <m:sSub>
          <m:sSubPr>
            <m:ctrlPr>
              <w:rPr>
                <w:rFonts w:ascii="Cambria Math" w:hAnsi="Cambria Math"/>
                <w:i/>
              </w:rPr>
            </m:ctrlPr>
          </m:sSubPr>
          <m:e>
            <m:r>
              <w:rPr>
                <w:rFonts w:ascii="Cambria Math" w:hAnsi="Cambria Math"/>
              </w:rPr>
              <m:t>∙day</m:t>
            </m:r>
          </m:e>
          <m:sub>
            <m:r>
              <w:rPr>
                <w:rFonts w:ascii="Cambria Math" w:hAnsi="Cambria Math"/>
              </w:rPr>
              <m:t>HDT</m:t>
            </m:r>
          </m:sub>
        </m:sSub>
        <m:r>
          <w:rPr>
            <w:rFonts w:ascii="Cambria Math" w:hAnsi="Cambria Math"/>
          </w:rPr>
          <m:t>)</m:t>
        </m:r>
      </m:oMath>
      <w:r w:rsidR="00AA4F0E" w:rsidRPr="00EB2BBB">
        <w:t>,</w:t>
      </w:r>
    </w:p>
    <w:p w14:paraId="128E5683" w14:textId="6ACBA1B5" w:rsidR="00AA4F0E" w:rsidRPr="00EB2BBB" w:rsidRDefault="00AA4F0E" w:rsidP="00AA4F0E">
      <w:pPr>
        <w:jc w:val="both"/>
        <w:rPr>
          <w:rFonts w:eastAsiaTheme="minorEastAsia" w:cstheme="minorHAnsi"/>
        </w:rPr>
      </w:pPr>
      <w:r w:rsidRPr="00EB2BBB">
        <w:rPr>
          <w:rFonts w:eastAsiaTheme="minorEastAsia"/>
        </w:rPr>
        <w:t xml:space="preserve">where </w:t>
      </w:r>
      <m:oMath>
        <m:r>
          <w:rPr>
            <w:rFonts w:ascii="Cambria Math" w:hAnsi="Cambria Math"/>
          </w:rPr>
          <m:t>lr</m:t>
        </m:r>
      </m:oMath>
      <w:r w:rsidRPr="00EB2BBB">
        <w:rPr>
          <w:rFonts w:eastAsiaTheme="minorEastAsia"/>
        </w:rPr>
        <w:t xml:space="preserve"> represents the daily learning rate and </w:t>
      </w:r>
      <m:oMath>
        <m:sSub>
          <m:sSubPr>
            <m:ctrlPr>
              <w:rPr>
                <w:rFonts w:ascii="Cambria Math" w:hAnsi="Cambria Math"/>
                <w:i/>
              </w:rPr>
            </m:ctrlPr>
          </m:sSubPr>
          <m:e>
            <m:r>
              <w:rPr>
                <w:rFonts w:ascii="Cambria Math" w:hAnsi="Cambria Math"/>
              </w:rPr>
              <m:t>day</m:t>
            </m:r>
          </m:e>
          <m:sub>
            <m:r>
              <w:rPr>
                <w:rFonts w:ascii="Cambria Math" w:hAnsi="Cambria Math"/>
              </w:rPr>
              <m:t>HDT</m:t>
            </m:r>
          </m:sub>
        </m:sSub>
      </m:oMath>
      <w:r w:rsidRPr="00EB2BBB">
        <w:rPr>
          <w:rFonts w:eastAsiaTheme="minorEastAsia"/>
        </w:rPr>
        <w:t xml:space="preserve"> represents the number of days spent in the HDT </w:t>
      </w:r>
      <w:r w:rsidRPr="00EB2BBB">
        <w:rPr>
          <w:rFonts w:eastAsiaTheme="minorEastAsia"/>
          <w:color w:val="000000" w:themeColor="text1"/>
        </w:rPr>
        <w:t xml:space="preserve">position. </w:t>
      </w:r>
      <w:r w:rsidRPr="00EB2BBB">
        <w:rPr>
          <w:color w:val="000000" w:themeColor="text1"/>
        </w:rPr>
        <w:t xml:space="preserve">Although MSD data do not show a </w:t>
      </w:r>
      <w:r w:rsidR="00EB2BBB">
        <w:rPr>
          <w:color w:val="000000" w:themeColor="text1"/>
        </w:rPr>
        <w:t>clear</w:t>
      </w:r>
      <w:r w:rsidRPr="00EB2BBB">
        <w:rPr>
          <w:color w:val="000000" w:themeColor="text1"/>
        </w:rPr>
        <w:t xml:space="preserve"> decrease during HDT and thus do not justify by them-self the introduction of a learning mechanism, the accuracy data, as previously discussed and shown in </w:t>
      </w:r>
      <w:r>
        <w:rPr>
          <w:rFonts w:cstheme="minorHAnsi"/>
          <w:color w:val="000000" w:themeColor="text1"/>
        </w:rPr>
        <w:t>Figure S3</w:t>
      </w:r>
      <w:r w:rsidRPr="00EB2BBB">
        <w:rPr>
          <w:rFonts w:cstheme="minorHAnsi"/>
          <w:color w:val="000000" w:themeColor="text1"/>
        </w:rPr>
        <w:t>A,</w:t>
      </w:r>
      <w:r w:rsidRPr="00EB2BBB">
        <w:rPr>
          <w:color w:val="000000" w:themeColor="text1"/>
        </w:rPr>
        <w:t xml:space="preserve"> suggest that some form of adaptation is likely to have occurred during the bedrest. Therefore</w:t>
      </w:r>
      <w:r w:rsidR="007B16AE">
        <w:rPr>
          <w:color w:val="000000" w:themeColor="text1"/>
        </w:rPr>
        <w:t>,</w:t>
      </w:r>
      <w:r w:rsidRPr="00EB2BBB">
        <w:rPr>
          <w:color w:val="000000" w:themeColor="text1"/>
        </w:rPr>
        <w:t xml:space="preserve"> this first model modification appears </w:t>
      </w:r>
      <w:r w:rsidRPr="00EB2BBB">
        <w:rPr>
          <w:color w:val="000000" w:themeColor="text1"/>
        </w:rPr>
        <w:lastRenderedPageBreak/>
        <w:t xml:space="preserve">reasonable. Importantly, although the choice of a linear learning clearly appears as an over-simplification, it allows to minimize the number of model parameter, and thus the risk of data over-fitting. Moreover, this choice has no strong implications for the results interpretation. </w:t>
      </w:r>
      <w:r w:rsidRPr="00EB2BBB">
        <w:rPr>
          <w:rFonts w:eastAsiaTheme="minorEastAsia"/>
        </w:rPr>
        <w:t xml:space="preserve">With this first modification and by setting </w:t>
      </w:r>
      <m:oMath>
        <m:r>
          <w:rPr>
            <w:rFonts w:ascii="Cambria Math" w:hAnsi="Cambria Math"/>
          </w:rPr>
          <m:t>lr</m:t>
        </m:r>
      </m:oMath>
      <w:r w:rsidRPr="00EB2BBB">
        <w:rPr>
          <w:rFonts w:eastAsiaTheme="minorEastAsia"/>
        </w:rPr>
        <w:t>=0.0025 day</w:t>
      </w:r>
      <w:r w:rsidRPr="00EB2BBB">
        <w:rPr>
          <w:rFonts w:eastAsiaTheme="minorEastAsia"/>
          <w:vertAlign w:val="superscript"/>
        </w:rPr>
        <w:t>-1</w:t>
      </w:r>
      <w:r w:rsidRPr="00EB2BBB">
        <w:rPr>
          <w:rFonts w:eastAsiaTheme="minorEastAsia"/>
        </w:rPr>
        <w:t xml:space="preserve">, the model predicts a small improvement in subject precision during HDT </w:t>
      </w:r>
      <w:r w:rsidRPr="00EB2BBB">
        <w:t>(dashed blue lines in</w:t>
      </w:r>
      <w:r w:rsidR="00EB2BBB">
        <w:t xml:space="preserve"> Figure S3</w:t>
      </w:r>
      <w:r w:rsidRPr="00EB2BBB">
        <w:rPr>
          <w:rFonts w:cstheme="minorHAnsi"/>
          <w:color w:val="000000" w:themeColor="text1"/>
        </w:rPr>
        <w:t>)</w:t>
      </w:r>
      <w:r w:rsidRPr="00EB2BBB">
        <w:rPr>
          <w:rFonts w:eastAsiaTheme="minorEastAsia"/>
        </w:rPr>
        <w:t>, but it still fails to replicate participant behavior during the recovery phase</w:t>
      </w:r>
      <w:r w:rsidRPr="00EB2BBB">
        <w:rPr>
          <w:rFonts w:cstheme="minorHAnsi"/>
          <w:color w:val="000000" w:themeColor="text1"/>
        </w:rPr>
        <w:t xml:space="preserve">. </w:t>
      </w:r>
    </w:p>
    <w:p w14:paraId="7999A44C" w14:textId="77777777" w:rsidR="00AA4F0E" w:rsidRPr="00EB2BBB" w:rsidRDefault="00AA4F0E" w:rsidP="00AA4F0E">
      <w:pPr>
        <w:jc w:val="both"/>
        <w:rPr>
          <w:rFonts w:cstheme="minorHAnsi"/>
          <w:color w:val="000000" w:themeColor="text1"/>
        </w:rPr>
      </w:pPr>
      <w:r w:rsidRPr="00EB2BBB">
        <w:rPr>
          <w:rFonts w:cstheme="minorHAnsi"/>
          <w:color w:val="000000" w:themeColor="text1"/>
        </w:rPr>
        <w:t xml:space="preserve">To attempt to replicate the post-bedrest effects, we incorporated in the model the possibility that during the HDT the participants, not only learned to perform the cross-modal transformations in a supine position, but at the same rate they also gradually unlearned how to perform these transformations with the head upright. This was implemented, without adding parameter to the model, by computing the noise associated to the cross-modal transformations when upright with the following equations: </w:t>
      </w:r>
    </w:p>
    <w:p w14:paraId="1640E71B" w14:textId="77777777" w:rsidR="00AA4F0E" w:rsidRPr="00EB2BBB" w:rsidRDefault="00000000" w:rsidP="00AA4F0E">
      <w:pPr>
        <w:jc w:val="center"/>
        <w:rPr>
          <w:rFonts w:cstheme="minorHAnsi"/>
          <w:color w:val="000000" w:themeColor="text1"/>
        </w:rPr>
      </w:pPr>
      <m:oMath>
        <m:sSubSup>
          <m:sSubSupPr>
            <m:ctrlPr>
              <w:rPr>
                <w:rFonts w:ascii="Cambria Math" w:hAnsi="Cambria Math"/>
                <w:i/>
                <w:color w:val="000000" w:themeColor="text1"/>
              </w:rPr>
            </m:ctrlPr>
          </m:sSubSupPr>
          <m:e>
            <m:r>
              <w:rPr>
                <w:rFonts w:ascii="Cambria Math" w:hAnsi="Cambria Math"/>
                <w:color w:val="000000" w:themeColor="text1"/>
              </w:rPr>
              <m:t>σ</m:t>
            </m:r>
          </m:e>
          <m:sub>
            <m:r>
              <w:rPr>
                <w:rFonts w:ascii="Cambria Math" w:hAnsi="Cambria Math"/>
                <w:color w:val="000000" w:themeColor="text1"/>
              </w:rPr>
              <m:t>N,UR</m:t>
            </m:r>
          </m:sub>
          <m:sup>
            <m:r>
              <w:rPr>
                <w:rFonts w:ascii="Cambria Math" w:hAnsi="Cambria Math"/>
                <w:color w:val="000000" w:themeColor="text1"/>
              </w:rPr>
              <m:t>2</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σ</m:t>
            </m:r>
          </m:e>
          <m:sub>
            <m:r>
              <w:rPr>
                <w:rFonts w:ascii="Cambria Math" w:hAnsi="Cambria Math"/>
                <w:color w:val="000000" w:themeColor="text1"/>
              </w:rPr>
              <m:t>N</m:t>
            </m:r>
          </m:sub>
          <m:sup>
            <m:r>
              <w:rPr>
                <w:rFonts w:ascii="Cambria Math" w:hAnsi="Cambria Math"/>
                <w:color w:val="000000" w:themeColor="text1"/>
              </w:rPr>
              <m:t>2</m:t>
            </m:r>
          </m:sup>
        </m:sSubSup>
        <m:r>
          <w:rPr>
            <w:rFonts w:ascii="Cambria Math" w:hAnsi="Cambria Math"/>
            <w:color w:val="000000" w:themeColor="text1"/>
          </w:rPr>
          <m:t>∙lr∙</m:t>
        </m:r>
        <m:sSub>
          <m:sSubPr>
            <m:ctrlPr>
              <w:rPr>
                <w:rFonts w:ascii="Cambria Math" w:hAnsi="Cambria Math"/>
                <w:i/>
                <w:color w:val="000000" w:themeColor="text1"/>
              </w:rPr>
            </m:ctrlPr>
          </m:sSubPr>
          <m:e>
            <m:r>
              <w:rPr>
                <w:rFonts w:ascii="Cambria Math" w:hAnsi="Cambria Math"/>
                <w:color w:val="000000" w:themeColor="text1"/>
              </w:rPr>
              <m:t>day</m:t>
            </m:r>
          </m:e>
          <m:sub>
            <m:r>
              <w:rPr>
                <w:rFonts w:ascii="Cambria Math" w:hAnsi="Cambria Math"/>
                <w:color w:val="000000" w:themeColor="text1"/>
              </w:rPr>
              <m:t>HDT</m:t>
            </m:r>
          </m:sub>
        </m:sSub>
      </m:oMath>
      <w:r w:rsidR="00AA4F0E" w:rsidRPr="00EB2BBB">
        <w:rPr>
          <w:rFonts w:cstheme="minorHAnsi"/>
          <w:color w:val="000000" w:themeColor="text1"/>
        </w:rPr>
        <w:t xml:space="preserve"> </w:t>
      </w:r>
      <w:r w:rsidR="00AA4F0E" w:rsidRPr="00EB2BBB">
        <w:rPr>
          <w:rFonts w:cstheme="minorHAnsi"/>
          <w:color w:val="000000" w:themeColor="text1"/>
        </w:rPr>
        <w:tab/>
        <w:t>during HDT</w:t>
      </w:r>
    </w:p>
    <w:p w14:paraId="52EEB513" w14:textId="77777777" w:rsidR="00AA4F0E" w:rsidRPr="00EB2BBB" w:rsidRDefault="00AA4F0E" w:rsidP="00AA4F0E">
      <w:pPr>
        <w:jc w:val="both"/>
        <w:rPr>
          <w:rFonts w:cstheme="minorHAnsi"/>
          <w:color w:val="000000" w:themeColor="text1"/>
        </w:rPr>
      </w:pPr>
      <w:r w:rsidRPr="00EB2BBB">
        <w:rPr>
          <w:rFonts w:cstheme="minorHAnsi"/>
          <w:color w:val="000000" w:themeColor="text1"/>
        </w:rPr>
        <w:t xml:space="preserve">and </w:t>
      </w:r>
    </w:p>
    <w:p w14:paraId="2AA57192" w14:textId="77777777" w:rsidR="00AA4F0E" w:rsidRPr="00EB2BBB" w:rsidRDefault="00000000" w:rsidP="00AA4F0E">
      <w:pPr>
        <w:jc w:val="center"/>
        <w:rPr>
          <w:rFonts w:cstheme="minorHAnsi"/>
          <w:color w:val="000000" w:themeColor="text1"/>
        </w:rPr>
      </w:pPr>
      <m:oMath>
        <m:sSubSup>
          <m:sSubSupPr>
            <m:ctrlPr>
              <w:rPr>
                <w:rFonts w:ascii="Cambria Math" w:hAnsi="Cambria Math"/>
                <w:i/>
                <w:color w:val="000000" w:themeColor="text1"/>
              </w:rPr>
            </m:ctrlPr>
          </m:sSubSupPr>
          <m:e>
            <m:r>
              <w:rPr>
                <w:rFonts w:ascii="Cambria Math" w:hAnsi="Cambria Math"/>
                <w:color w:val="000000" w:themeColor="text1"/>
              </w:rPr>
              <m:t>σ</m:t>
            </m:r>
          </m:e>
          <m:sub>
            <m:r>
              <w:rPr>
                <w:rFonts w:ascii="Cambria Math" w:hAnsi="Cambria Math"/>
                <w:color w:val="000000" w:themeColor="text1"/>
              </w:rPr>
              <m:t>N,UR</m:t>
            </m:r>
          </m:sub>
          <m:sup>
            <m:r>
              <w:rPr>
                <w:rFonts w:ascii="Cambria Math" w:hAnsi="Cambria Math"/>
                <w:color w:val="000000" w:themeColor="text1"/>
              </w:rPr>
              <m:t>2</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σ</m:t>
            </m:r>
          </m:e>
          <m:sub>
            <m:r>
              <w:rPr>
                <w:rFonts w:ascii="Cambria Math" w:hAnsi="Cambria Math"/>
                <w:color w:val="000000" w:themeColor="text1"/>
              </w:rPr>
              <m:t>N</m:t>
            </m:r>
          </m:sub>
          <m:sup>
            <m:r>
              <w:rPr>
                <w:rFonts w:ascii="Cambria Math" w:hAnsi="Cambria Math"/>
                <w:color w:val="000000" w:themeColor="text1"/>
              </w:rPr>
              <m:t>2</m:t>
            </m:r>
          </m:sup>
        </m:sSubSup>
        <m:r>
          <w:rPr>
            <w:rFonts w:ascii="Cambria Math" w:hAnsi="Cambria Math"/>
            <w:color w:val="000000" w:themeColor="text1"/>
          </w:rPr>
          <m:t>(lr∙60-</m:t>
        </m:r>
        <m:d>
          <m:dPr>
            <m:ctrlPr>
              <w:rPr>
                <w:rFonts w:ascii="Cambria Math" w:hAnsi="Cambria Math"/>
                <w:i/>
                <w:color w:val="000000" w:themeColor="text1"/>
              </w:rPr>
            </m:ctrlPr>
          </m:dPr>
          <m:e>
            <m:r>
              <w:rPr>
                <w:rFonts w:ascii="Cambria Math" w:hAnsi="Cambria Math"/>
                <w:color w:val="000000" w:themeColor="text1"/>
              </w:rPr>
              <m:t>1-lr</m:t>
            </m:r>
            <m:sSub>
              <m:sSubPr>
                <m:ctrlPr>
                  <w:rPr>
                    <w:rFonts w:ascii="Cambria Math" w:hAnsi="Cambria Math"/>
                    <w:i/>
                    <w:color w:val="000000" w:themeColor="text1"/>
                  </w:rPr>
                </m:ctrlPr>
              </m:sSubPr>
              <m:e>
                <m:r>
                  <w:rPr>
                    <w:rFonts w:ascii="Cambria Math" w:hAnsi="Cambria Math"/>
                    <w:color w:val="000000" w:themeColor="text1"/>
                  </w:rPr>
                  <m:t>∙day</m:t>
                </m:r>
              </m:e>
              <m:sub>
                <m:r>
                  <w:rPr>
                    <w:rFonts w:ascii="Cambria Math" w:hAnsi="Cambria Math"/>
                    <w:color w:val="000000" w:themeColor="text1"/>
                  </w:rPr>
                  <m:t>R</m:t>
                </m:r>
              </m:sub>
            </m:sSub>
          </m:e>
        </m:d>
        <m:r>
          <w:rPr>
            <w:rFonts w:ascii="Cambria Math" w:hAnsi="Cambria Math"/>
            <w:color w:val="000000" w:themeColor="text1"/>
          </w:rPr>
          <m:t>)</m:t>
        </m:r>
      </m:oMath>
      <w:r w:rsidR="00AA4F0E" w:rsidRPr="00EB2BBB">
        <w:rPr>
          <w:rFonts w:cstheme="minorHAnsi"/>
          <w:color w:val="000000" w:themeColor="text1"/>
        </w:rPr>
        <w:t xml:space="preserve"> </w:t>
      </w:r>
      <w:r w:rsidR="00AA4F0E" w:rsidRPr="00EB2BBB">
        <w:rPr>
          <w:rFonts w:cstheme="minorHAnsi"/>
          <w:color w:val="000000" w:themeColor="text1"/>
        </w:rPr>
        <w:tab/>
        <w:t>during R</w:t>
      </w:r>
    </w:p>
    <w:p w14:paraId="2802B573" w14:textId="7E5BED7A" w:rsidR="00AA4F0E" w:rsidRPr="00EB2BBB" w:rsidRDefault="00AA4F0E" w:rsidP="00AA4F0E">
      <w:pPr>
        <w:jc w:val="both"/>
        <w:rPr>
          <w:rFonts w:cstheme="minorHAnsi"/>
          <w:color w:val="000000" w:themeColor="text1"/>
        </w:rPr>
      </w:pPr>
      <w:r w:rsidRPr="00EB2BBB">
        <w:rPr>
          <w:rFonts w:eastAsiaTheme="minorEastAsia"/>
          <w:color w:val="000000" w:themeColor="text1"/>
        </w:rPr>
        <w:t>to represent</w:t>
      </w:r>
      <w:r w:rsidRPr="00EB2BBB">
        <w:rPr>
          <w:rFonts w:cstheme="minorHAnsi"/>
          <w:color w:val="000000" w:themeColor="text1"/>
        </w:rPr>
        <w:t xml:space="preserve"> a gradual recovering of this function</w:t>
      </w:r>
      <w:r w:rsidRPr="00EB2BBB">
        <w:rPr>
          <w:rFonts w:eastAsiaTheme="minorEastAsia"/>
          <w:color w:val="000000" w:themeColor="text1"/>
        </w:rPr>
        <w:t xml:space="preserve">. </w:t>
      </w:r>
      <m:oMath>
        <m:sSub>
          <m:sSubPr>
            <m:ctrlPr>
              <w:rPr>
                <w:rFonts w:ascii="Cambria Math" w:hAnsi="Cambria Math"/>
                <w:i/>
              </w:rPr>
            </m:ctrlPr>
          </m:sSubPr>
          <m:e>
            <m:r>
              <w:rPr>
                <w:rFonts w:ascii="Cambria Math" w:hAnsi="Cambria Math"/>
              </w:rPr>
              <m:t>day</m:t>
            </m:r>
          </m:e>
          <m:sub>
            <m:r>
              <w:rPr>
                <w:rFonts w:ascii="Cambria Math" w:hAnsi="Cambria Math"/>
              </w:rPr>
              <m:t>R</m:t>
            </m:r>
          </m:sub>
        </m:sSub>
      </m:oMath>
      <w:r w:rsidRPr="00EB2BBB">
        <w:rPr>
          <w:rFonts w:eastAsiaTheme="minorEastAsia"/>
        </w:rPr>
        <w:t xml:space="preserve"> represents the number of days passed after the end of bedrest. Although this version of the model predicts increased response variability and visual weight during R relative to BDC, the predicted values remain significantly lower than the experimental data </w:t>
      </w:r>
      <w:r w:rsidRPr="00EB2BBB">
        <w:rPr>
          <w:rFonts w:cstheme="minorHAnsi"/>
          <w:color w:val="000000" w:themeColor="text1"/>
        </w:rPr>
        <w:t>(violet dashed lines in</w:t>
      </w:r>
      <w:r>
        <w:rPr>
          <w:rFonts w:cstheme="minorHAnsi"/>
          <w:color w:val="000000" w:themeColor="text1"/>
        </w:rPr>
        <w:t xml:space="preserve"> Figure S3</w:t>
      </w:r>
      <w:r w:rsidRPr="00EB2BBB">
        <w:rPr>
          <w:rFonts w:cstheme="minorHAnsi"/>
          <w:color w:val="000000" w:themeColor="text1"/>
        </w:rPr>
        <w:t xml:space="preserve">). </w:t>
      </w:r>
    </w:p>
    <w:p w14:paraId="0AF7B43A" w14:textId="4F023D3D" w:rsidR="00AA4F0E" w:rsidRPr="00EB2BBB" w:rsidRDefault="00AA4F0E" w:rsidP="00AA4F0E">
      <w:pPr>
        <w:jc w:val="both"/>
        <w:rPr>
          <w:rFonts w:cstheme="minorHAnsi"/>
          <w:color w:val="000000" w:themeColor="text1"/>
        </w:rPr>
      </w:pPr>
      <w:r w:rsidRPr="00EB2BBB">
        <w:rPr>
          <w:rFonts w:cstheme="minorHAnsi"/>
          <w:color w:val="000000" w:themeColor="text1"/>
        </w:rPr>
        <w:t xml:space="preserve">This prediction error can be largely corrected if the model assumes that during HDT the participants forget more quickly their ability to perform the cross-modal transformations upright, that is using gravitational signals, than they learn to </w:t>
      </w:r>
      <w:r>
        <w:rPr>
          <w:rFonts w:cstheme="minorHAnsi"/>
          <w:color w:val="000000" w:themeColor="text1"/>
        </w:rPr>
        <w:t xml:space="preserve">perform </w:t>
      </w:r>
      <w:r w:rsidRPr="00EB2BBB">
        <w:rPr>
          <w:rFonts w:cstheme="minorHAnsi"/>
          <w:color w:val="000000" w:themeColor="text1"/>
        </w:rPr>
        <w:t>these transformations tilted, that is without gravitational signals</w:t>
      </w:r>
      <w:r w:rsidRPr="00EB2BBB">
        <w:rPr>
          <w:rFonts w:cstheme="minorHAnsi"/>
        </w:rPr>
        <w:t>. The model equations thus become:</w:t>
      </w:r>
    </w:p>
    <w:p w14:paraId="5BC9D86E" w14:textId="77777777" w:rsidR="00AA4F0E" w:rsidRPr="00EB2BBB" w:rsidRDefault="00000000" w:rsidP="00AA4F0E">
      <w:pPr>
        <w:jc w:val="center"/>
        <w:rPr>
          <w:rFonts w:cstheme="minorHAnsi"/>
        </w:rPr>
      </w:pPr>
      <m:oMath>
        <m:d>
          <m:dPr>
            <m:begChr m:val="{"/>
            <m:endChr m:val=""/>
            <m:ctrlPr>
              <w:rPr>
                <w:rFonts w:ascii="Cambria Math" w:hAnsi="Cambria Math" w:cstheme="minorHAnsi"/>
                <w:i/>
              </w:rPr>
            </m:ctrlPr>
          </m:dPr>
          <m:e>
            <m:eqArr>
              <m:eqArrPr>
                <m:ctrlPr>
                  <w:rPr>
                    <w:rFonts w:ascii="Cambria Math" w:hAnsi="Cambria Math" w:cstheme="minorHAnsi"/>
                    <w:i/>
                  </w:rPr>
                </m:ctrlPr>
              </m:eqArrPr>
              <m:e>
                <m:sSubSup>
                  <m:sSubSupPr>
                    <m:ctrlPr>
                      <w:rPr>
                        <w:rFonts w:ascii="Cambria Math" w:hAnsi="Cambria Math"/>
                        <w:i/>
                      </w:rPr>
                    </m:ctrlPr>
                  </m:sSubSupPr>
                  <m:e>
                    <m:r>
                      <w:rPr>
                        <w:rFonts w:ascii="Cambria Math" w:hAnsi="Cambria Math"/>
                      </w:rPr>
                      <m:t>σ</m:t>
                    </m:r>
                  </m:e>
                  <m:sub>
                    <m:r>
                      <w:rPr>
                        <w:rFonts w:ascii="Cambria Math" w:hAnsi="Cambria Math"/>
                      </w:rPr>
                      <m:t>N,TILT</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N</m:t>
                    </m:r>
                  </m:sub>
                  <m:sup>
                    <m:r>
                      <w:rPr>
                        <w:rFonts w:ascii="Cambria Math" w:hAnsi="Cambria Math"/>
                      </w:rPr>
                      <m:t>2</m:t>
                    </m:r>
                  </m:sup>
                </m:sSubSup>
                <m:r>
                  <w:rPr>
                    <w:rFonts w:ascii="Cambria Math" w:hAnsi="Cambria Math"/>
                  </w:rPr>
                  <m:t>(1-</m:t>
                </m:r>
                <m:sSub>
                  <m:sSubPr>
                    <m:ctrlPr>
                      <w:rPr>
                        <w:rFonts w:ascii="Cambria Math" w:hAnsi="Cambria Math"/>
                        <w:i/>
                      </w:rPr>
                    </m:ctrlPr>
                  </m:sSubPr>
                  <m:e>
                    <m:r>
                      <w:rPr>
                        <w:rFonts w:ascii="Cambria Math" w:hAnsi="Cambria Math"/>
                      </w:rPr>
                      <m:t>lr</m:t>
                    </m:r>
                  </m:e>
                  <m:sub>
                    <m:r>
                      <w:rPr>
                        <w:rFonts w:ascii="Cambria Math" w:hAnsi="Cambria Math"/>
                      </w:rPr>
                      <m:t>tilt</m:t>
                    </m:r>
                  </m:sub>
                </m:sSub>
                <m:sSub>
                  <m:sSubPr>
                    <m:ctrlPr>
                      <w:rPr>
                        <w:rFonts w:ascii="Cambria Math" w:hAnsi="Cambria Math"/>
                        <w:i/>
                      </w:rPr>
                    </m:ctrlPr>
                  </m:sSubPr>
                  <m:e>
                    <m:r>
                      <w:rPr>
                        <w:rFonts w:ascii="Cambria Math" w:hAnsi="Cambria Math"/>
                      </w:rPr>
                      <m:t>∙day</m:t>
                    </m:r>
                  </m:e>
                  <m:sub>
                    <m:r>
                      <w:rPr>
                        <w:rFonts w:ascii="Cambria Math" w:hAnsi="Cambria Math"/>
                      </w:rPr>
                      <m:t>HDT</m:t>
                    </m:r>
                  </m:sub>
                </m:sSub>
                <m:r>
                  <w:rPr>
                    <w:rFonts w:ascii="Cambria Math" w:hAnsi="Cambria Math"/>
                  </w:rPr>
                  <m:t>)</m:t>
                </m:r>
              </m:e>
              <m:e>
                <m:sSubSup>
                  <m:sSubSupPr>
                    <m:ctrlPr>
                      <w:rPr>
                        <w:rFonts w:ascii="Cambria Math" w:hAnsi="Cambria Math"/>
                        <w:i/>
                        <w:color w:val="000000" w:themeColor="text1"/>
                      </w:rPr>
                    </m:ctrlPr>
                  </m:sSubSupPr>
                  <m:e>
                    <m:r>
                      <w:rPr>
                        <w:rFonts w:ascii="Cambria Math" w:hAnsi="Cambria Math"/>
                        <w:color w:val="000000" w:themeColor="text1"/>
                      </w:rPr>
                      <m:t>σ</m:t>
                    </m:r>
                  </m:e>
                  <m:sub>
                    <m:r>
                      <w:rPr>
                        <w:rFonts w:ascii="Cambria Math" w:hAnsi="Cambria Math"/>
                        <w:color w:val="000000" w:themeColor="text1"/>
                      </w:rPr>
                      <m:t>N,UR</m:t>
                    </m:r>
                  </m:sub>
                  <m:sup>
                    <m:r>
                      <w:rPr>
                        <w:rFonts w:ascii="Cambria Math" w:hAnsi="Cambria Math"/>
                        <w:color w:val="000000" w:themeColor="text1"/>
                      </w:rPr>
                      <m:t>2</m:t>
                    </m:r>
                  </m:sup>
                </m:sSubSup>
                <m:r>
                  <w:rPr>
                    <w:rFonts w:ascii="Cambria Math" w:hAnsi="Cambria Math"/>
                    <w:color w:val="000000" w:themeColor="text1"/>
                  </w:rPr>
                  <m:t xml:space="preserve">   =</m:t>
                </m:r>
                <m:sSubSup>
                  <m:sSubSupPr>
                    <m:ctrlPr>
                      <w:rPr>
                        <w:rFonts w:ascii="Cambria Math" w:hAnsi="Cambria Math"/>
                        <w:i/>
                        <w:color w:val="000000" w:themeColor="text1"/>
                      </w:rPr>
                    </m:ctrlPr>
                  </m:sSubSupPr>
                  <m:e>
                    <m:r>
                      <w:rPr>
                        <w:rFonts w:ascii="Cambria Math" w:hAnsi="Cambria Math"/>
                        <w:color w:val="000000" w:themeColor="text1"/>
                      </w:rPr>
                      <m:t>σ</m:t>
                    </m:r>
                  </m:e>
                  <m:sub>
                    <m:r>
                      <w:rPr>
                        <w:rFonts w:ascii="Cambria Math" w:hAnsi="Cambria Math"/>
                        <w:color w:val="000000" w:themeColor="text1"/>
                      </w:rPr>
                      <m:t>N</m:t>
                    </m:r>
                  </m:sub>
                  <m:sup>
                    <m:r>
                      <w:rPr>
                        <w:rFonts w:ascii="Cambria Math" w:hAnsi="Cambria Math"/>
                        <w:color w:val="000000" w:themeColor="text1"/>
                      </w:rPr>
                      <m:t>2</m:t>
                    </m:r>
                  </m:sup>
                </m:sSub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lr</m:t>
                    </m:r>
                  </m:e>
                  <m:sub>
                    <m:r>
                      <w:rPr>
                        <w:rFonts w:ascii="Cambria Math" w:hAnsi="Cambria Math"/>
                        <w:color w:val="000000" w:themeColor="text1"/>
                      </w:rPr>
                      <m:t>ur</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day</m:t>
                    </m:r>
                  </m:e>
                  <m:sub>
                    <m:r>
                      <w:rPr>
                        <w:rFonts w:ascii="Cambria Math" w:hAnsi="Cambria Math"/>
                        <w:color w:val="000000" w:themeColor="text1"/>
                      </w:rPr>
                      <m:t xml:space="preserve">HDT              </m:t>
                    </m:r>
                  </m:sub>
                </m:sSub>
              </m:e>
            </m:eqArr>
          </m:e>
        </m:d>
      </m:oMath>
      <w:r w:rsidR="00AA4F0E" w:rsidRPr="00EB2BBB">
        <w:rPr>
          <w:rFonts w:cstheme="minorHAnsi"/>
        </w:rPr>
        <w:t xml:space="preserve"> </w:t>
      </w:r>
      <w:r w:rsidR="00AA4F0E" w:rsidRPr="00EB2BBB">
        <w:rPr>
          <w:rFonts w:cstheme="minorHAnsi"/>
        </w:rPr>
        <w:tab/>
        <w:t xml:space="preserve">during HDT </w:t>
      </w:r>
    </w:p>
    <w:p w14:paraId="6FCBFCF1" w14:textId="77777777" w:rsidR="00AA4F0E" w:rsidRDefault="00AA4F0E" w:rsidP="00EB2BBB">
      <w:pPr>
        <w:rPr>
          <w:rFonts w:cstheme="minorHAnsi"/>
        </w:rPr>
      </w:pPr>
      <w:r w:rsidRPr="00EB2BBB">
        <w:rPr>
          <w:rFonts w:cstheme="minorHAnsi"/>
        </w:rPr>
        <w:t>and</w:t>
      </w:r>
    </w:p>
    <w:p w14:paraId="6980D91D" w14:textId="53FB6E86" w:rsidR="00AA4F0E" w:rsidRPr="00EB2BBB" w:rsidRDefault="00000000" w:rsidP="00AA4F0E">
      <w:pPr>
        <w:jc w:val="center"/>
        <w:rPr>
          <w:rFonts w:cstheme="minorHAnsi"/>
        </w:rPr>
      </w:pPr>
      <m:oMath>
        <m:d>
          <m:dPr>
            <m:begChr m:val="{"/>
            <m:endChr m:val=""/>
            <m:ctrlPr>
              <w:rPr>
                <w:rFonts w:ascii="Cambria Math" w:hAnsi="Cambria Math" w:cstheme="minorHAnsi"/>
                <w:i/>
              </w:rPr>
            </m:ctrlPr>
          </m:dPr>
          <m:e>
            <m:eqArr>
              <m:eqArrPr>
                <m:ctrlPr>
                  <w:rPr>
                    <w:rFonts w:ascii="Cambria Math" w:hAnsi="Cambria Math" w:cstheme="minorHAnsi"/>
                    <w:i/>
                  </w:rPr>
                </m:ctrlPr>
              </m:eqArrPr>
              <m:e>
                <m:sSubSup>
                  <m:sSubSupPr>
                    <m:ctrlPr>
                      <w:rPr>
                        <w:rFonts w:ascii="Cambria Math" w:hAnsi="Cambria Math"/>
                        <w:i/>
                      </w:rPr>
                    </m:ctrlPr>
                  </m:sSubSupPr>
                  <m:e>
                    <m:r>
                      <w:rPr>
                        <w:rFonts w:ascii="Cambria Math" w:hAnsi="Cambria Math"/>
                      </w:rPr>
                      <m:t>σ</m:t>
                    </m:r>
                  </m:e>
                  <m:sub>
                    <m:r>
                      <w:rPr>
                        <w:rFonts w:ascii="Cambria Math" w:hAnsi="Cambria Math"/>
                      </w:rPr>
                      <m:t>N,TILT</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N</m:t>
                    </m:r>
                  </m:sub>
                  <m:sup>
                    <m:r>
                      <w:rPr>
                        <w:rFonts w:ascii="Cambria Math" w:hAnsi="Cambria Math"/>
                      </w:rPr>
                      <m:t>2</m:t>
                    </m:r>
                  </m:sup>
                </m:sSubSup>
                <m:d>
                  <m:dPr>
                    <m:begChr m:val="["/>
                    <m:endChr m:val="]"/>
                    <m:ctrlPr>
                      <w:rPr>
                        <w:rFonts w:ascii="Cambria Math" w:eastAsia="Cambria Math" w:hAnsi="Cambria Math" w:cs="Cambria Math"/>
                        <w:i/>
                      </w:rPr>
                    </m:ctrlPr>
                  </m:dPr>
                  <m:e>
                    <m:r>
                      <w:rPr>
                        <w:rFonts w:ascii="Cambria Math" w:hAnsi="Cambria Math"/>
                      </w:rPr>
                      <m:t>1+</m:t>
                    </m:r>
                    <m:sSub>
                      <m:sSubPr>
                        <m:ctrlPr>
                          <w:rPr>
                            <w:rFonts w:ascii="Cambria Math" w:hAnsi="Cambria Math"/>
                            <w:i/>
                          </w:rPr>
                        </m:ctrlPr>
                      </m:sSubPr>
                      <m:e>
                        <m:r>
                          <w:rPr>
                            <w:rFonts w:ascii="Cambria Math" w:hAnsi="Cambria Math"/>
                          </w:rPr>
                          <m:t>lr</m:t>
                        </m:r>
                      </m:e>
                      <m:sub>
                        <m:r>
                          <w:rPr>
                            <w:rFonts w:ascii="Cambria Math" w:hAnsi="Cambria Math"/>
                          </w:rPr>
                          <m:t>tilt</m:t>
                        </m:r>
                      </m:sub>
                    </m:sSub>
                    <m:r>
                      <w:rPr>
                        <w:rFonts w:ascii="Cambria Math" w:eastAsia="Cambria Math" w:hAnsi="Cambria Math" w:cs="Cambria Math"/>
                      </w:rPr>
                      <m:t>(-60+</m:t>
                    </m:r>
                    <m:sSub>
                      <m:sSubPr>
                        <m:ctrlPr>
                          <w:rPr>
                            <w:rFonts w:ascii="Cambria Math" w:eastAsia="Cambria Math" w:hAnsi="Cambria Math" w:cs="Cambria Math"/>
                            <w:i/>
                          </w:rPr>
                        </m:ctrlPr>
                      </m:sSubPr>
                      <m:e>
                        <m:r>
                          <w:rPr>
                            <w:rFonts w:ascii="Cambria Math" w:hAnsi="Cambria Math"/>
                          </w:rPr>
                          <m:t>day</m:t>
                        </m:r>
                      </m:e>
                      <m:sub>
                        <m:r>
                          <w:rPr>
                            <w:rFonts w:ascii="Cambria Math" w:eastAsia="Cambria Math" w:hAnsi="Cambria Math" w:cs="Cambria Math"/>
                          </w:rPr>
                          <m:t>R</m:t>
                        </m:r>
                      </m:sub>
                    </m:sSub>
                    <m:r>
                      <w:rPr>
                        <w:rFonts w:ascii="Cambria Math" w:hAnsi="Cambria Math"/>
                      </w:rPr>
                      <m:t>)</m:t>
                    </m:r>
                  </m:e>
                </m:d>
              </m:e>
              <m:e>
                <m:sSubSup>
                  <m:sSubSupPr>
                    <m:ctrlPr>
                      <w:rPr>
                        <w:rFonts w:ascii="Cambria Math" w:hAnsi="Cambria Math"/>
                        <w:i/>
                        <w:color w:val="000000" w:themeColor="text1"/>
                      </w:rPr>
                    </m:ctrlPr>
                  </m:sSubSupPr>
                  <m:e>
                    <m:r>
                      <w:rPr>
                        <w:rFonts w:ascii="Cambria Math" w:hAnsi="Cambria Math"/>
                        <w:color w:val="000000" w:themeColor="text1"/>
                      </w:rPr>
                      <m:t>σ</m:t>
                    </m:r>
                  </m:e>
                  <m:sub>
                    <m:r>
                      <w:rPr>
                        <w:rFonts w:ascii="Cambria Math" w:hAnsi="Cambria Math"/>
                        <w:color w:val="000000" w:themeColor="text1"/>
                      </w:rPr>
                      <m:t>N,UR</m:t>
                    </m:r>
                  </m:sub>
                  <m:sup>
                    <m:r>
                      <w:rPr>
                        <w:rFonts w:ascii="Cambria Math" w:hAnsi="Cambria Math"/>
                        <w:color w:val="000000" w:themeColor="text1"/>
                      </w:rPr>
                      <m:t>2</m:t>
                    </m:r>
                  </m:sup>
                </m:sSubSup>
                <m:r>
                  <w:rPr>
                    <w:rFonts w:ascii="Cambria Math" w:hAnsi="Cambria Math"/>
                    <w:color w:val="000000" w:themeColor="text1"/>
                  </w:rPr>
                  <m:t xml:space="preserve">   =</m:t>
                </m:r>
                <m:sSubSup>
                  <m:sSubSupPr>
                    <m:ctrlPr>
                      <w:rPr>
                        <w:rFonts w:ascii="Cambria Math" w:hAnsi="Cambria Math"/>
                        <w:i/>
                        <w:color w:val="000000" w:themeColor="text1"/>
                      </w:rPr>
                    </m:ctrlPr>
                  </m:sSubSupPr>
                  <m:e>
                    <m:r>
                      <w:rPr>
                        <w:rFonts w:ascii="Cambria Math" w:hAnsi="Cambria Math"/>
                        <w:color w:val="000000" w:themeColor="text1"/>
                      </w:rPr>
                      <m:t>σ</m:t>
                    </m:r>
                  </m:e>
                  <m:sub>
                    <m:r>
                      <w:rPr>
                        <w:rFonts w:ascii="Cambria Math" w:hAnsi="Cambria Math"/>
                        <w:color w:val="000000" w:themeColor="text1"/>
                      </w:rPr>
                      <m:t>N</m:t>
                    </m:r>
                  </m:sub>
                  <m:sup>
                    <m:r>
                      <w:rPr>
                        <w:rFonts w:ascii="Cambria Math" w:hAnsi="Cambria Math"/>
                        <w:color w:val="000000" w:themeColor="text1"/>
                      </w:rPr>
                      <m:t>2</m:t>
                    </m:r>
                  </m:sup>
                </m:sSubSup>
                <m:d>
                  <m:dPr>
                    <m:begChr m:val="["/>
                    <m:endChr m:val="]"/>
                    <m:ctrlPr>
                      <w:rPr>
                        <w:rFonts w:ascii="Cambria Math" w:eastAsia="Cambria Math" w:hAnsi="Cambria Math" w:cs="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lr</m:t>
                        </m:r>
                      </m:e>
                      <m:sub>
                        <m:r>
                          <w:rPr>
                            <w:rFonts w:ascii="Cambria Math" w:hAnsi="Cambria Math"/>
                            <w:color w:val="000000" w:themeColor="text1"/>
                          </w:rPr>
                          <m:t>ur</m:t>
                        </m:r>
                      </m:sub>
                    </m:sSub>
                    <m:r>
                      <w:rPr>
                        <w:rFonts w:ascii="Cambria Math" w:hAnsi="Cambria Math"/>
                        <w:color w:val="000000" w:themeColor="text1"/>
                      </w:rPr>
                      <m:t>(60-</m:t>
                    </m:r>
                    <m:sSub>
                      <m:sSubPr>
                        <m:ctrlPr>
                          <w:rPr>
                            <w:rFonts w:ascii="Cambria Math" w:eastAsia="Cambria Math" w:hAnsi="Cambria Math" w:cs="Cambria Math"/>
                            <w:i/>
                          </w:rPr>
                        </m:ctrlPr>
                      </m:sSubPr>
                      <m:e>
                        <m:r>
                          <w:rPr>
                            <w:rFonts w:ascii="Cambria Math" w:hAnsi="Cambria Math"/>
                          </w:rPr>
                          <m:t>day</m:t>
                        </m:r>
                      </m:e>
                      <m:sub>
                        <m:r>
                          <w:rPr>
                            <w:rFonts w:ascii="Cambria Math" w:eastAsia="Cambria Math" w:hAnsi="Cambria Math" w:cs="Cambria Math"/>
                          </w:rPr>
                          <m:t>R</m:t>
                        </m:r>
                      </m:sub>
                    </m:sSub>
                    <m:r>
                      <w:rPr>
                        <w:rFonts w:ascii="Cambria Math" w:eastAsia="Cambria Math" w:hAnsi="Cambria Math" w:cs="Cambria Math"/>
                        <w:color w:val="000000" w:themeColor="text1"/>
                      </w:rPr>
                      <m:t>)</m:t>
                    </m:r>
                  </m:e>
                </m:d>
                <m:r>
                  <w:rPr>
                    <w:rFonts w:ascii="Cambria Math" w:eastAsia="Cambria Math" w:hAnsi="Cambria Math" w:cs="Cambria Math"/>
                    <w:color w:val="000000" w:themeColor="text1"/>
                  </w:rPr>
                  <m:t xml:space="preserve">          </m:t>
                </m:r>
              </m:e>
            </m:eqArr>
          </m:e>
        </m:d>
      </m:oMath>
      <w:r w:rsidR="00AA4F0E" w:rsidRPr="00EB2BBB">
        <w:t xml:space="preserve">    during R</w:t>
      </w:r>
    </w:p>
    <w:p w14:paraId="0F160F9F" w14:textId="77777777" w:rsidR="00AA4F0E" w:rsidRPr="00EB2BBB" w:rsidRDefault="00AA4F0E" w:rsidP="00AA4F0E">
      <w:pPr>
        <w:rPr>
          <w:rFonts w:cstheme="minorHAnsi"/>
        </w:rPr>
      </w:pPr>
    </w:p>
    <w:p w14:paraId="5C61F152" w14:textId="77777777" w:rsidR="00AA4F0E" w:rsidRDefault="00AA4F0E" w:rsidP="00AA4F0E">
      <w:pPr>
        <w:jc w:val="center"/>
        <w:rPr>
          <w:rFonts w:cstheme="minorHAnsi"/>
        </w:rPr>
      </w:pPr>
      <w:r w:rsidRPr="00EB2BBB">
        <w:rPr>
          <w:rFonts w:cstheme="minorHAnsi"/>
        </w:rPr>
        <w:t xml:space="preserve"> with</w:t>
      </w:r>
      <w:r w:rsidRPr="00EB2BBB">
        <w:rPr>
          <w:rFonts w:cstheme="minorHAnsi"/>
        </w:rPr>
        <w:tab/>
        <w:t xml:space="preserve"> </w:t>
      </w:r>
      <m:oMath>
        <m:sSub>
          <m:sSubPr>
            <m:ctrlPr>
              <w:rPr>
                <w:rFonts w:ascii="Cambria Math" w:hAnsi="Cambria Math"/>
                <w:i/>
              </w:rPr>
            </m:ctrlPr>
          </m:sSubPr>
          <m:e>
            <m:r>
              <w:rPr>
                <w:rFonts w:ascii="Cambria Math" w:hAnsi="Cambria Math"/>
              </w:rPr>
              <m:t>lr</m:t>
            </m:r>
          </m:e>
          <m:sub>
            <m:r>
              <w:rPr>
                <w:rFonts w:ascii="Cambria Math" w:hAnsi="Cambria Math"/>
              </w:rPr>
              <m:t>tilt</m:t>
            </m:r>
          </m:sub>
        </m:sSub>
        <m:r>
          <w:rPr>
            <w:rFonts w:ascii="Cambria Math" w:hAnsi="Cambria Math"/>
          </w:rPr>
          <m:t>&lt;</m:t>
        </m:r>
        <m:sSub>
          <m:sSubPr>
            <m:ctrlPr>
              <w:rPr>
                <w:rFonts w:ascii="Cambria Math" w:hAnsi="Cambria Math"/>
                <w:i/>
              </w:rPr>
            </m:ctrlPr>
          </m:sSubPr>
          <m:e>
            <m:r>
              <w:rPr>
                <w:rFonts w:ascii="Cambria Math" w:hAnsi="Cambria Math"/>
              </w:rPr>
              <m:t>lr</m:t>
            </m:r>
          </m:e>
          <m:sub>
            <m:r>
              <w:rPr>
                <w:rFonts w:ascii="Cambria Math" w:hAnsi="Cambria Math"/>
              </w:rPr>
              <m:t>ur</m:t>
            </m:r>
          </m:sub>
        </m:sSub>
      </m:oMath>
    </w:p>
    <w:p w14:paraId="0DA9F11F" w14:textId="77777777" w:rsidR="00EB2BBB" w:rsidRPr="00EB2BBB" w:rsidRDefault="00EB2BBB" w:rsidP="00AA4F0E">
      <w:pPr>
        <w:jc w:val="center"/>
        <w:rPr>
          <w:rFonts w:cstheme="minorHAnsi"/>
        </w:rPr>
      </w:pPr>
    </w:p>
    <w:p w14:paraId="3473B739" w14:textId="4E1639EF" w:rsidR="00AA4F0E" w:rsidRPr="00EB2BBB" w:rsidRDefault="00AA4F0E" w:rsidP="00AA4F0E">
      <w:pPr>
        <w:jc w:val="both"/>
        <w:rPr>
          <w:rFonts w:cstheme="minorHAnsi"/>
          <w:color w:val="000000" w:themeColor="text1"/>
        </w:rPr>
      </w:pPr>
      <w:r w:rsidRPr="00EB2BBB">
        <w:rPr>
          <w:rFonts w:cstheme="minorHAnsi"/>
          <w:color w:val="000000" w:themeColor="text1"/>
        </w:rPr>
        <w:t xml:space="preserve">The prediction of this assumption, with </w:t>
      </w:r>
      <m:oMath>
        <m:sSub>
          <m:sSubPr>
            <m:ctrlPr>
              <w:rPr>
                <w:rFonts w:ascii="Cambria Math" w:hAnsi="Cambria Math"/>
                <w:i/>
              </w:rPr>
            </m:ctrlPr>
          </m:sSubPr>
          <m:e>
            <m:r>
              <w:rPr>
                <w:rFonts w:ascii="Cambria Math" w:hAnsi="Cambria Math"/>
              </w:rPr>
              <m:t>lr</m:t>
            </m:r>
          </m:e>
          <m:sub>
            <m:r>
              <w:rPr>
                <w:rFonts w:ascii="Cambria Math" w:hAnsi="Cambria Math"/>
              </w:rPr>
              <m:t>tilt</m:t>
            </m:r>
          </m:sub>
        </m:sSub>
        <m:r>
          <w:rPr>
            <w:rFonts w:ascii="Cambria Math" w:eastAsia="Cambria Math" w:hAnsi="Cambria Math" w:cs="Cambria Math"/>
          </w:rPr>
          <m:t>=2.5∙</m:t>
        </m:r>
        <m:sSup>
          <m:sSupPr>
            <m:ctrlPr>
              <w:rPr>
                <w:rFonts w:ascii="Cambria Math" w:eastAsia="Cambria Math" w:hAnsi="Cambria Math" w:cs="Cambria Math"/>
                <w:i/>
              </w:rPr>
            </m:ctrlPr>
          </m:sSupPr>
          <m:e>
            <m:r>
              <w:rPr>
                <w:rFonts w:ascii="Cambria Math" w:eastAsia="Cambria Math" w:hAnsi="Cambria Math" w:cs="Cambria Math"/>
              </w:rPr>
              <m:t>10</m:t>
            </m:r>
          </m:e>
          <m:sup>
            <m:r>
              <w:rPr>
                <w:rFonts w:ascii="Cambria Math" w:eastAsia="Cambria Math" w:hAnsi="Cambria Math" w:cs="Cambria Math"/>
              </w:rPr>
              <m:t>-3</m:t>
            </m:r>
          </m:sup>
        </m:sSup>
      </m:oMath>
      <w:r w:rsidRPr="00EB2BBB">
        <w:rPr>
          <w:rFonts w:cstheme="minorHAnsi"/>
        </w:rPr>
        <w:t xml:space="preserve"> and </w:t>
      </w:r>
      <m:oMath>
        <m:sSub>
          <m:sSubPr>
            <m:ctrlPr>
              <w:rPr>
                <w:rFonts w:ascii="Cambria Math" w:hAnsi="Cambria Math"/>
                <w:i/>
              </w:rPr>
            </m:ctrlPr>
          </m:sSubPr>
          <m:e>
            <m:r>
              <w:rPr>
                <w:rFonts w:ascii="Cambria Math" w:hAnsi="Cambria Math"/>
              </w:rPr>
              <m:t>lr</m:t>
            </m:r>
          </m:e>
          <m:sub>
            <m:r>
              <w:rPr>
                <w:rFonts w:ascii="Cambria Math" w:hAnsi="Cambria Math"/>
              </w:rPr>
              <m:t>ur</m:t>
            </m:r>
          </m:sub>
        </m:sSub>
        <m:r>
          <w:rPr>
            <w:rFonts w:ascii="Cambria Math" w:eastAsia="Cambria Math" w:hAnsi="Cambria Math" w:cs="Cambria Math"/>
          </w:rPr>
          <m:t>=11.2∙</m:t>
        </m:r>
        <m:sSup>
          <m:sSupPr>
            <m:ctrlPr>
              <w:rPr>
                <w:rFonts w:ascii="Cambria Math" w:eastAsia="Cambria Math" w:hAnsi="Cambria Math" w:cs="Cambria Math"/>
                <w:i/>
              </w:rPr>
            </m:ctrlPr>
          </m:sSupPr>
          <m:e>
            <m:r>
              <w:rPr>
                <w:rFonts w:ascii="Cambria Math" w:eastAsia="Cambria Math" w:hAnsi="Cambria Math" w:cs="Cambria Math"/>
              </w:rPr>
              <m:t>10</m:t>
            </m:r>
          </m:e>
          <m:sup>
            <m:r>
              <w:rPr>
                <w:rFonts w:ascii="Cambria Math" w:eastAsia="Cambria Math" w:hAnsi="Cambria Math" w:cs="Cambria Math"/>
              </w:rPr>
              <m:t>-3</m:t>
            </m:r>
          </m:sup>
        </m:sSup>
      </m:oMath>
      <w:r w:rsidRPr="00EB2BBB">
        <w:rPr>
          <w:rFonts w:cstheme="minorHAnsi"/>
        </w:rPr>
        <w:t>, correspond to the green dashed line in</w:t>
      </w:r>
      <w:r>
        <w:rPr>
          <w:rFonts w:cstheme="minorHAnsi"/>
        </w:rPr>
        <w:t xml:space="preserve"> Figure S3</w:t>
      </w:r>
      <w:r w:rsidRPr="00EB2BBB">
        <w:rPr>
          <w:rFonts w:cstheme="minorHAnsi"/>
          <w:color w:val="000000" w:themeColor="text1"/>
        </w:rPr>
        <w:t>.</w:t>
      </w:r>
    </w:p>
    <w:p w14:paraId="5648D6C7" w14:textId="362115E4" w:rsidR="00AA4F0E" w:rsidRPr="00EB2BBB" w:rsidRDefault="00AA4F0E" w:rsidP="00AA4F0E">
      <w:pPr>
        <w:jc w:val="both"/>
      </w:pPr>
      <w:r w:rsidRPr="00EB2BBB">
        <w:t>Interestingly, all versions of the model predict no reduction of W</w:t>
      </w:r>
      <w:r w:rsidRPr="00EB2BBB">
        <w:rPr>
          <w:vertAlign w:val="subscript"/>
        </w:rPr>
        <w:t>ΔV</w:t>
      </w:r>
      <w:r w:rsidRPr="00EB2BBB">
        <w:t xml:space="preserve"> during the 60 days HDT independently of the learning rate value (</w:t>
      </w:r>
      <w:r>
        <w:rPr>
          <w:rFonts w:cstheme="minorHAnsi"/>
        </w:rPr>
        <w:t>Figure S3</w:t>
      </w:r>
      <w:r w:rsidRPr="00EB2BBB">
        <w:t xml:space="preserve">C). These counter-intuitive results suggests that a progressive return of visual dependency to BDC levels during bedrest was not to be expected. Nonetheless, its only partial drop during the </w:t>
      </w:r>
      <w:r w:rsidR="00EB2BBB" w:rsidRPr="00EB2BBB">
        <w:t xml:space="preserve">HDT-R </w:t>
      </w:r>
      <w:r w:rsidRPr="00EB2BBB">
        <w:t xml:space="preserve">transition appears very informative about the adaptation process occurred during bedrest; suggesting that the participants forgot how to perform cross-modal transformations aligned with gravity; or in other words, how to profit of the gravitational, vestibular signals to optimize cross-modal, visuo-proprioceptive transformations.  However, the slight reduction of the visual weight, and </w:t>
      </w:r>
      <w:r w:rsidRPr="00EB2BBB">
        <w:lastRenderedPageBreak/>
        <w:t xml:space="preserve">variability, observed </w:t>
      </w:r>
      <w:r w:rsidR="00EB2BBB">
        <w:t>between R+2 and R+13</w:t>
      </w:r>
      <w:r w:rsidRPr="00EB2BBB">
        <w:t xml:space="preserve"> suggests a</w:t>
      </w:r>
      <w:r w:rsidR="00EB2BBB">
        <w:t>n ongoing</w:t>
      </w:r>
      <w:r w:rsidRPr="00EB2BBB">
        <w:t xml:space="preserve"> gradual re-acquisition of this ability. </w:t>
      </w:r>
    </w:p>
    <w:p w14:paraId="43647EAA" w14:textId="77777777" w:rsidR="00AA4F0E" w:rsidRPr="00EB2BBB" w:rsidRDefault="00AA4F0E" w:rsidP="00AA4F0E">
      <w:pPr>
        <w:jc w:val="both"/>
      </w:pPr>
    </w:p>
    <w:p w14:paraId="015C0898" w14:textId="77777777" w:rsidR="00AA4F0E" w:rsidRPr="00EB2BBB" w:rsidRDefault="00AA4F0E" w:rsidP="00AA4F0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768"/>
      </w:tblGrid>
      <w:tr w:rsidR="00EB2BBB" w:rsidRPr="00AA4F0E" w14:paraId="45F7787C" w14:textId="77777777" w:rsidTr="00EB2BBB">
        <w:tc>
          <w:tcPr>
            <w:tcW w:w="4248" w:type="dxa"/>
          </w:tcPr>
          <w:p w14:paraId="42C2519C" w14:textId="77777777" w:rsidR="00AA4F0E" w:rsidRPr="00EB2BBB" w:rsidRDefault="00AA4F0E" w:rsidP="00EA2DAB">
            <w:pPr>
              <w:rPr>
                <w:i/>
                <w:iCs/>
              </w:rPr>
            </w:pPr>
            <w:r w:rsidRPr="00EB2BBB">
              <w:t xml:space="preserve"> </w:t>
            </w:r>
            <w:r w:rsidRPr="00EB2BBB">
              <w:rPr>
                <w:noProof/>
                <w:lang w:val="fr-FR" w:eastAsia="fr-FR"/>
              </w:rPr>
              <w:drawing>
                <wp:inline distT="0" distB="0" distL="0" distR="0" wp14:anchorId="438A970F" wp14:editId="36D1F929">
                  <wp:extent cx="2519463" cy="5560826"/>
                  <wp:effectExtent l="0" t="0" r="0" b="1905"/>
                  <wp:docPr id="2456286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7656" name=""/>
                          <pic:cNvPicPr>
                            <a:picLocks noChangeAspect="1"/>
                          </pic:cNvPicPr>
                        </pic:nvPicPr>
                        <pic:blipFill>
                          <a:blip r:embed="rId10"/>
                          <a:stretch/>
                        </pic:blipFill>
                        <pic:spPr bwMode="auto">
                          <a:xfrm>
                            <a:off x="0" y="0"/>
                            <a:ext cx="2644913" cy="5837712"/>
                          </a:xfrm>
                          <a:prstGeom prst="rect">
                            <a:avLst/>
                          </a:prstGeom>
                        </pic:spPr>
                      </pic:pic>
                    </a:graphicData>
                  </a:graphic>
                </wp:inline>
              </w:drawing>
            </w:r>
          </w:p>
        </w:tc>
        <w:tc>
          <w:tcPr>
            <w:tcW w:w="4768" w:type="dxa"/>
          </w:tcPr>
          <w:p w14:paraId="33C1B5D3" w14:textId="1DA196EC" w:rsidR="00AA4F0E" w:rsidRPr="00EB2BBB" w:rsidRDefault="00AA4F0E" w:rsidP="00EA2DAB">
            <w:pPr>
              <w:rPr>
                <w:rFonts w:eastAsiaTheme="minorEastAsia" w:cstheme="minorHAnsi"/>
                <w:color w:val="000000" w:themeColor="text1"/>
                <w:sz w:val="22"/>
                <w:szCs w:val="22"/>
              </w:rPr>
            </w:pPr>
            <w:r>
              <w:rPr>
                <w:rFonts w:cstheme="minorHAnsi"/>
                <w:b/>
                <w:bCs/>
                <w:color w:val="000000" w:themeColor="text1"/>
                <w:sz w:val="22"/>
                <w:szCs w:val="22"/>
              </w:rPr>
              <w:t>Figure S3</w:t>
            </w:r>
            <w:r w:rsidRPr="00EB2BBB">
              <w:rPr>
                <w:rFonts w:cstheme="minorHAnsi"/>
                <w:b/>
                <w:bCs/>
                <w:i/>
                <w:iCs/>
                <w:color w:val="000000" w:themeColor="text1"/>
                <w:sz w:val="22"/>
                <w:szCs w:val="22"/>
              </w:rPr>
              <w:t>.</w:t>
            </w:r>
            <w:r w:rsidRPr="00EB2BBB">
              <w:rPr>
                <w:rFonts w:cstheme="minorHAnsi"/>
                <w:color w:val="000000" w:themeColor="text1"/>
                <w:sz w:val="22"/>
                <w:szCs w:val="22"/>
              </w:rPr>
              <w:t xml:space="preserve"> Comparison between model predictions and the experimental data. The gray area represents the experimentally observed effect of head-down-tilt (HDT) and recovery (R) period over time (difference between bedrest subjects and the control group) on the </w:t>
            </w:r>
            <w:r w:rsidRPr="00EB2BBB">
              <w:rPr>
                <w:rFonts w:cstheme="minorHAnsi"/>
                <w:b/>
                <w:bCs/>
                <w:color w:val="000000" w:themeColor="text1"/>
                <w:sz w:val="22"/>
                <w:szCs w:val="22"/>
              </w:rPr>
              <w:t>A)</w:t>
            </w:r>
            <w:r w:rsidRPr="00EB2BBB">
              <w:rPr>
                <w:rFonts w:cstheme="minorHAnsi"/>
                <w:color w:val="000000" w:themeColor="text1"/>
                <w:sz w:val="22"/>
                <w:szCs w:val="22"/>
              </w:rPr>
              <w:t xml:space="preserve"> response </w:t>
            </w:r>
            <w:r w:rsidR="007B16AE">
              <w:rPr>
                <w:rFonts w:cstheme="minorHAnsi"/>
                <w:color w:val="000000" w:themeColor="text1"/>
                <w:sz w:val="22"/>
                <w:szCs w:val="22"/>
              </w:rPr>
              <w:t>average deviation</w:t>
            </w:r>
            <w:r w:rsidRPr="00EB2BBB">
              <w:rPr>
                <w:rFonts w:cstheme="minorHAnsi"/>
                <w:color w:val="000000" w:themeColor="text1"/>
                <w:sz w:val="22"/>
                <w:szCs w:val="22"/>
              </w:rPr>
              <w:t xml:space="preserve">, for which the model is not able to make predictions, </w:t>
            </w:r>
            <w:r w:rsidRPr="00EB2BBB">
              <w:rPr>
                <w:rFonts w:cstheme="minorHAnsi"/>
                <w:b/>
                <w:bCs/>
                <w:color w:val="000000" w:themeColor="text1"/>
                <w:sz w:val="22"/>
                <w:szCs w:val="22"/>
              </w:rPr>
              <w:t xml:space="preserve">B) </w:t>
            </w:r>
            <w:r w:rsidRPr="00EB2BBB">
              <w:rPr>
                <w:rFonts w:cstheme="minorHAnsi"/>
                <w:color w:val="000000" w:themeColor="text1"/>
                <w:sz w:val="22"/>
                <w:szCs w:val="22"/>
              </w:rPr>
              <w:t xml:space="preserve">response variability and </w:t>
            </w:r>
            <w:r w:rsidRPr="00EB2BBB">
              <w:rPr>
                <w:rFonts w:cstheme="minorHAnsi"/>
                <w:b/>
                <w:bCs/>
                <w:color w:val="000000" w:themeColor="text1"/>
                <w:sz w:val="22"/>
                <w:szCs w:val="22"/>
              </w:rPr>
              <w:t>C)</w:t>
            </w:r>
            <w:r w:rsidRPr="00EB2BBB">
              <w:rPr>
                <w:rFonts w:cstheme="minorHAnsi"/>
                <w:color w:val="000000" w:themeColor="text1"/>
                <w:sz w:val="22"/>
                <w:szCs w:val="22"/>
              </w:rPr>
              <w:t xml:space="preserve"> visual dependency. </w:t>
            </w:r>
            <w:r w:rsidRPr="00EB2BBB">
              <w:rPr>
                <w:rFonts w:eastAsiaTheme="minorEastAsia" w:cstheme="minorHAnsi"/>
                <w:color w:val="000000" w:themeColor="text1"/>
                <w:sz w:val="22"/>
                <w:szCs w:val="22"/>
              </w:rPr>
              <w:t xml:space="preserve">The two parameters of the ‘Concurrent Model’ are set to fit the experimental values at HDT+2, the model is then use to compute the expected variability and visual weight modulation </w:t>
            </w:r>
            <w:r w:rsidRPr="00EB2BBB">
              <w:rPr>
                <w:rFonts w:cstheme="minorHAnsi"/>
                <w:color w:val="000000" w:themeColor="text1"/>
                <w:sz w:val="22"/>
                <w:szCs w:val="22"/>
              </w:rPr>
              <w:t>(</w:t>
            </w:r>
            <m:oMath>
              <m:r>
                <w:rPr>
                  <w:rFonts w:ascii="Cambria Math" w:hAnsi="Cambria Math" w:cstheme="minorHAnsi"/>
                  <w:color w:val="000000" w:themeColor="text1"/>
                  <w:sz w:val="22"/>
                  <w:szCs w:val="22"/>
                </w:rPr>
                <m:t>D</m:t>
              </m:r>
              <m:sSubSup>
                <m:sSubSupPr>
                  <m:ctrlPr>
                    <w:rPr>
                      <w:rFonts w:ascii="Cambria Math" w:hAnsi="Cambria Math" w:cstheme="minorHAnsi"/>
                      <w:i/>
                      <w:color w:val="000000" w:themeColor="text1"/>
                      <w:sz w:val="22"/>
                      <w:szCs w:val="22"/>
                    </w:rPr>
                  </m:ctrlPr>
                </m:sSubSupPr>
                <m:e>
                  <m:r>
                    <w:rPr>
                      <w:rFonts w:ascii="Cambria Math" w:hAnsi="Cambria Math" w:cstheme="minorHAnsi"/>
                      <w:color w:val="000000" w:themeColor="text1"/>
                      <w:sz w:val="22"/>
                      <w:szCs w:val="22"/>
                    </w:rPr>
                    <m:t>σ</m:t>
                  </m:r>
                </m:e>
                <m:sub>
                  <m:r>
                    <w:rPr>
                      <w:rFonts w:ascii="Cambria Math" w:hAnsi="Cambria Math" w:cstheme="minorHAnsi"/>
                      <w:color w:val="000000" w:themeColor="text1"/>
                      <w:sz w:val="22"/>
                      <w:szCs w:val="22"/>
                    </w:rPr>
                    <m:t>∆</m:t>
                  </m:r>
                </m:sub>
                <m:sup>
                  <m:r>
                    <w:rPr>
                      <w:rFonts w:ascii="Cambria Math" w:hAnsi="Cambria Math" w:cstheme="minorHAnsi"/>
                      <w:color w:val="000000" w:themeColor="text1"/>
                      <w:sz w:val="22"/>
                      <w:szCs w:val="22"/>
                    </w:rPr>
                    <m:t>2</m:t>
                  </m:r>
                </m:sup>
              </m:sSubSup>
            </m:oMath>
            <w:r w:rsidRPr="00EB2BBB">
              <w:rPr>
                <w:rFonts w:eastAsiaTheme="minorEastAsia" w:cstheme="minorHAnsi"/>
                <w:color w:val="000000" w:themeColor="text1"/>
                <w:sz w:val="22"/>
                <w:szCs w:val="22"/>
              </w:rPr>
              <w:t xml:space="preserve">and </w:t>
            </w:r>
            <m:oMath>
              <m:r>
                <w:rPr>
                  <w:rFonts w:ascii="Cambria Math" w:hAnsi="Cambria Math" w:cstheme="minorHAnsi"/>
                  <w:color w:val="000000" w:themeColor="text1"/>
                  <w:sz w:val="22"/>
                  <w:szCs w:val="22"/>
                </w:rPr>
                <m:t>D</m:t>
              </m:r>
              <m:sSub>
                <m:sSubPr>
                  <m:ctrlPr>
                    <w:rPr>
                      <w:rFonts w:ascii="Cambria Math" w:hAnsi="Cambria Math" w:cstheme="minorHAnsi"/>
                      <w:i/>
                      <w:color w:val="000000" w:themeColor="text1"/>
                      <w:sz w:val="22"/>
                      <w:szCs w:val="22"/>
                    </w:rPr>
                  </m:ctrlPr>
                </m:sSubPr>
                <m:e>
                  <m:r>
                    <w:rPr>
                      <w:rFonts w:ascii="Cambria Math" w:hAnsi="Cambria Math" w:cstheme="minorHAnsi"/>
                      <w:color w:val="000000" w:themeColor="text1"/>
                      <w:sz w:val="22"/>
                      <w:szCs w:val="22"/>
                    </w:rPr>
                    <m:t>W</m:t>
                  </m:r>
                </m:e>
                <m:sub>
                  <m:r>
                    <w:rPr>
                      <w:rFonts w:ascii="Cambria Math" w:hAnsi="Cambria Math" w:cstheme="minorHAnsi"/>
                      <w:color w:val="000000" w:themeColor="text1"/>
                      <w:sz w:val="22"/>
                      <w:szCs w:val="22"/>
                    </w:rPr>
                    <m:t>∆V</m:t>
                  </m:r>
                </m:sub>
              </m:sSub>
            </m:oMath>
            <w:r w:rsidRPr="00EB2BBB">
              <w:rPr>
                <w:rFonts w:eastAsiaTheme="minorEastAsia" w:cstheme="minorHAnsi"/>
                <w:color w:val="000000" w:themeColor="text1"/>
                <w:sz w:val="22"/>
                <w:szCs w:val="22"/>
              </w:rPr>
              <w:t>) for the following experimental sessions, under different combinations of assumptions about: i) the subjects’ ability to gradually learn to perform cross-modal transformation with the head tilted (TILT learn); ii) the gradual unlearning of the capability to perform the transformation with the head upright (UR unlearn). The predictions are reported as dashed lines. In the legend reported below the plots, ‘</w:t>
            </w:r>
            <w:r w:rsidRPr="00EB2BBB">
              <w:rPr>
                <w:rFonts w:ascii="Calibri" w:eastAsiaTheme="minorEastAsia" w:hAnsi="Calibri" w:cs="Calibri"/>
                <w:color w:val="000000" w:themeColor="text1"/>
                <w:sz w:val="22"/>
                <w:szCs w:val="22"/>
              </w:rPr>
              <w:t>–</w:t>
            </w:r>
            <w:r w:rsidRPr="00EB2BBB">
              <w:rPr>
                <w:rFonts w:eastAsiaTheme="minorEastAsia" w:cstheme="minorHAnsi"/>
                <w:color w:val="000000" w:themeColor="text1"/>
                <w:sz w:val="22"/>
                <w:szCs w:val="22"/>
              </w:rPr>
              <w:t xml:space="preserve">‘, ‘+’ and ‘++’ denote, respectively, the absence, the presence, and a greater degree of these mechanisms. </w:t>
            </w:r>
            <w:r w:rsidRPr="00EB2BBB">
              <w:rPr>
                <w:rFonts w:ascii="Cambria Math" w:eastAsia="Cambria Math" w:hAnsi="Cambria Math" w:cs="Cambria Math"/>
                <w:color w:val="000000" w:themeColor="text1"/>
                <w:sz w:val="22"/>
                <w:szCs w:val="22"/>
              </w:rPr>
              <w:t>⫳</w:t>
            </w:r>
            <w:r w:rsidRPr="00EB2BBB">
              <w:rPr>
                <w:rFonts w:eastAsia="Cambria Math" w:cstheme="minorHAnsi"/>
                <w:color w:val="000000" w:themeColor="text1"/>
                <w:sz w:val="22"/>
                <w:szCs w:val="22"/>
              </w:rPr>
              <w:t xml:space="preserve">, ** and *** represent differences between the prediction and the experimental data with 0.1&gt;p&gt;0.05, p&lt;0.01 and p&lt;0.001 respectively. </w:t>
            </w:r>
          </w:p>
        </w:tc>
      </w:tr>
    </w:tbl>
    <w:p w14:paraId="1AB4202F" w14:textId="77777777" w:rsidR="00E379A3" w:rsidRPr="00AA4F0E" w:rsidRDefault="00E379A3">
      <w:pPr>
        <w:spacing w:before="100" w:beforeAutospacing="1" w:after="100" w:afterAutospacing="1"/>
        <w:rPr>
          <w:rFonts w:eastAsia="Times New Roman" w:cstheme="minorHAnsi"/>
          <w:sz w:val="20"/>
          <w:szCs w:val="20"/>
          <w:lang w:eastAsia="en-GB"/>
        </w:rPr>
      </w:pPr>
    </w:p>
    <w:p w14:paraId="0B437E53" w14:textId="77777777" w:rsidR="00E379A3" w:rsidRPr="00AA4F0E" w:rsidRDefault="00E379A3">
      <w:pPr>
        <w:spacing w:before="100" w:beforeAutospacing="1" w:after="100" w:afterAutospacing="1"/>
        <w:rPr>
          <w:rFonts w:eastAsia="Times New Roman" w:cstheme="minorHAnsi"/>
          <w:sz w:val="20"/>
          <w:szCs w:val="20"/>
          <w:lang w:eastAsia="en-GB"/>
        </w:rPr>
      </w:pPr>
    </w:p>
    <w:p w14:paraId="3751E210" w14:textId="77777777" w:rsidR="00E379A3" w:rsidRDefault="00E379A3">
      <w:pPr>
        <w:spacing w:before="100" w:beforeAutospacing="1" w:after="100" w:afterAutospacing="1"/>
        <w:rPr>
          <w:rFonts w:eastAsia="Times New Roman" w:cstheme="minorHAnsi"/>
          <w:sz w:val="20"/>
          <w:szCs w:val="20"/>
          <w:lang w:eastAsia="en-GB"/>
        </w:rPr>
      </w:pPr>
    </w:p>
    <w:p w14:paraId="3ABCB2D6" w14:textId="08BD4CCD" w:rsidR="00E379A3" w:rsidRDefault="00E379A3" w:rsidP="00AA4F0E"/>
    <w:sectPr w:rsidR="00E379A3">
      <w:pgSz w:w="11906" w:h="16838"/>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EFCE2" w14:textId="77777777" w:rsidR="00215E87" w:rsidRDefault="00215E87">
      <w:r>
        <w:separator/>
      </w:r>
    </w:p>
  </w:endnote>
  <w:endnote w:type="continuationSeparator" w:id="0">
    <w:p w14:paraId="48937C23" w14:textId="77777777" w:rsidR="00215E87" w:rsidRDefault="0021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Body)">
    <w:altName w:val="Calibri"/>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6A34" w14:textId="77777777" w:rsidR="00215E87" w:rsidRDefault="00215E87">
      <w:r>
        <w:separator/>
      </w:r>
    </w:p>
  </w:footnote>
  <w:footnote w:type="continuationSeparator" w:id="0">
    <w:p w14:paraId="4E40898F" w14:textId="77777777" w:rsidR="00215E87" w:rsidRDefault="00215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80904"/>
    <w:multiLevelType w:val="hybridMultilevel"/>
    <w:tmpl w:val="107E07E0"/>
    <w:lvl w:ilvl="0" w:tplc="FA74F282">
      <w:numFmt w:val="bullet"/>
      <w:lvlText w:val="-"/>
      <w:lvlJc w:val="left"/>
      <w:pPr>
        <w:ind w:left="720" w:hanging="360"/>
      </w:pPr>
      <w:rPr>
        <w:rFonts w:ascii="Calibri" w:eastAsia="Batang"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3802B1"/>
    <w:multiLevelType w:val="multilevel"/>
    <w:tmpl w:val="4DE0F056"/>
    <w:lvl w:ilvl="0">
      <w:start w:val="38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E730F3C"/>
    <w:multiLevelType w:val="hybridMultilevel"/>
    <w:tmpl w:val="D96A40A8"/>
    <w:lvl w:ilvl="0" w:tplc="463A84AA">
      <w:numFmt w:val="bullet"/>
      <w:lvlText w:val="-"/>
      <w:lvlJc w:val="left"/>
      <w:pPr>
        <w:ind w:left="720" w:hanging="360"/>
      </w:pPr>
      <w:rPr>
        <w:rFonts w:ascii="Calibri" w:eastAsia="Batang"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0E5C63"/>
    <w:multiLevelType w:val="multilevel"/>
    <w:tmpl w:val="1728C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3378A4"/>
    <w:multiLevelType w:val="multilevel"/>
    <w:tmpl w:val="A3D24CBC"/>
    <w:lvl w:ilvl="0">
      <w:start w:val="27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C021251"/>
    <w:multiLevelType w:val="multilevel"/>
    <w:tmpl w:val="78106A6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631B3FEA"/>
    <w:multiLevelType w:val="multilevel"/>
    <w:tmpl w:val="BC70C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3DB7561"/>
    <w:multiLevelType w:val="multilevel"/>
    <w:tmpl w:val="B762BE94"/>
    <w:lvl w:ilvl="0">
      <w:start w:val="38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5836D6F"/>
    <w:multiLevelType w:val="multilevel"/>
    <w:tmpl w:val="92C050F8"/>
    <w:lvl w:ilvl="0">
      <w:start w:val="24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360672959">
    <w:abstractNumId w:val="5"/>
  </w:num>
  <w:num w:numId="2" w16cid:durableId="68234714">
    <w:abstractNumId w:val="8"/>
  </w:num>
  <w:num w:numId="3" w16cid:durableId="1563829024">
    <w:abstractNumId w:val="4"/>
  </w:num>
  <w:num w:numId="4" w16cid:durableId="1031682787">
    <w:abstractNumId w:val="7"/>
  </w:num>
  <w:num w:numId="5" w16cid:durableId="859197025">
    <w:abstractNumId w:val="1"/>
  </w:num>
  <w:num w:numId="6" w16cid:durableId="1949697435">
    <w:abstractNumId w:val="6"/>
  </w:num>
  <w:num w:numId="7" w16cid:durableId="510877799">
    <w:abstractNumId w:val="3"/>
  </w:num>
  <w:num w:numId="8" w16cid:durableId="1035471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5241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5017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0245881">
    <w:abstractNumId w:val="2"/>
  </w:num>
  <w:num w:numId="12" w16cid:durableId="44226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9A3"/>
    <w:rsid w:val="00003CF1"/>
    <w:rsid w:val="00015838"/>
    <w:rsid w:val="0004451F"/>
    <w:rsid w:val="00061000"/>
    <w:rsid w:val="00061326"/>
    <w:rsid w:val="000670B5"/>
    <w:rsid w:val="00074C27"/>
    <w:rsid w:val="000772FD"/>
    <w:rsid w:val="00080ED0"/>
    <w:rsid w:val="00095E76"/>
    <w:rsid w:val="000A1A43"/>
    <w:rsid w:val="000A2C47"/>
    <w:rsid w:val="000B4F7E"/>
    <w:rsid w:val="000B78CC"/>
    <w:rsid w:val="000C0D72"/>
    <w:rsid w:val="000C1495"/>
    <w:rsid w:val="000C1676"/>
    <w:rsid w:val="000D7541"/>
    <w:rsid w:val="000E22E7"/>
    <w:rsid w:val="00101075"/>
    <w:rsid w:val="001133D6"/>
    <w:rsid w:val="00113D3C"/>
    <w:rsid w:val="00121C19"/>
    <w:rsid w:val="00122D83"/>
    <w:rsid w:val="001244CC"/>
    <w:rsid w:val="00125D81"/>
    <w:rsid w:val="00132A83"/>
    <w:rsid w:val="001340FA"/>
    <w:rsid w:val="00140B14"/>
    <w:rsid w:val="00142F39"/>
    <w:rsid w:val="00143FD7"/>
    <w:rsid w:val="0015190D"/>
    <w:rsid w:val="001535B5"/>
    <w:rsid w:val="00160324"/>
    <w:rsid w:val="00176D21"/>
    <w:rsid w:val="00185A08"/>
    <w:rsid w:val="00186439"/>
    <w:rsid w:val="00193E80"/>
    <w:rsid w:val="00194F77"/>
    <w:rsid w:val="00195D8E"/>
    <w:rsid w:val="001A19B9"/>
    <w:rsid w:val="001A406E"/>
    <w:rsid w:val="001A56FF"/>
    <w:rsid w:val="001B2107"/>
    <w:rsid w:val="001B3315"/>
    <w:rsid w:val="001B4C56"/>
    <w:rsid w:val="001C1750"/>
    <w:rsid w:val="001C5250"/>
    <w:rsid w:val="001D2820"/>
    <w:rsid w:val="001D2C32"/>
    <w:rsid w:val="001F0D9F"/>
    <w:rsid w:val="001F255F"/>
    <w:rsid w:val="001F34A5"/>
    <w:rsid w:val="001F692C"/>
    <w:rsid w:val="0020238A"/>
    <w:rsid w:val="00205EA9"/>
    <w:rsid w:val="00215E87"/>
    <w:rsid w:val="0021670B"/>
    <w:rsid w:val="002208B9"/>
    <w:rsid w:val="00224E10"/>
    <w:rsid w:val="00225A02"/>
    <w:rsid w:val="00235E0D"/>
    <w:rsid w:val="002416D8"/>
    <w:rsid w:val="002509B7"/>
    <w:rsid w:val="00252EFA"/>
    <w:rsid w:val="00253BB8"/>
    <w:rsid w:val="00260804"/>
    <w:rsid w:val="002612CE"/>
    <w:rsid w:val="002659D1"/>
    <w:rsid w:val="0026616F"/>
    <w:rsid w:val="00272AA1"/>
    <w:rsid w:val="00282C09"/>
    <w:rsid w:val="0028642A"/>
    <w:rsid w:val="002B0367"/>
    <w:rsid w:val="002B2327"/>
    <w:rsid w:val="002B49F9"/>
    <w:rsid w:val="002C03B0"/>
    <w:rsid w:val="002C1AE6"/>
    <w:rsid w:val="002C73CD"/>
    <w:rsid w:val="002D081B"/>
    <w:rsid w:val="002D138E"/>
    <w:rsid w:val="002E392F"/>
    <w:rsid w:val="002F21C5"/>
    <w:rsid w:val="002F2E35"/>
    <w:rsid w:val="00302FE7"/>
    <w:rsid w:val="003037A3"/>
    <w:rsid w:val="00303C69"/>
    <w:rsid w:val="00306EF4"/>
    <w:rsid w:val="003075FA"/>
    <w:rsid w:val="003111B6"/>
    <w:rsid w:val="0031136E"/>
    <w:rsid w:val="003139AF"/>
    <w:rsid w:val="00316384"/>
    <w:rsid w:val="003234F5"/>
    <w:rsid w:val="00323899"/>
    <w:rsid w:val="003309C5"/>
    <w:rsid w:val="0034331E"/>
    <w:rsid w:val="00344266"/>
    <w:rsid w:val="0034510E"/>
    <w:rsid w:val="00351305"/>
    <w:rsid w:val="003555C4"/>
    <w:rsid w:val="00356A44"/>
    <w:rsid w:val="003636DE"/>
    <w:rsid w:val="003721C0"/>
    <w:rsid w:val="00372CB2"/>
    <w:rsid w:val="00376B98"/>
    <w:rsid w:val="00384630"/>
    <w:rsid w:val="00392620"/>
    <w:rsid w:val="0039476E"/>
    <w:rsid w:val="003C5301"/>
    <w:rsid w:val="003C723C"/>
    <w:rsid w:val="003E2D03"/>
    <w:rsid w:val="003E4BAC"/>
    <w:rsid w:val="003E7E82"/>
    <w:rsid w:val="003F4DF3"/>
    <w:rsid w:val="003F7907"/>
    <w:rsid w:val="00401318"/>
    <w:rsid w:val="00401F25"/>
    <w:rsid w:val="004033CF"/>
    <w:rsid w:val="00406F0D"/>
    <w:rsid w:val="00427E52"/>
    <w:rsid w:val="0043564E"/>
    <w:rsid w:val="0044429B"/>
    <w:rsid w:val="0045164C"/>
    <w:rsid w:val="00455DE0"/>
    <w:rsid w:val="00472488"/>
    <w:rsid w:val="00486BA9"/>
    <w:rsid w:val="00490A80"/>
    <w:rsid w:val="0049223D"/>
    <w:rsid w:val="004946F3"/>
    <w:rsid w:val="0049684D"/>
    <w:rsid w:val="004A1B65"/>
    <w:rsid w:val="004A22EF"/>
    <w:rsid w:val="004A3138"/>
    <w:rsid w:val="004A364A"/>
    <w:rsid w:val="004C5266"/>
    <w:rsid w:val="004D35CD"/>
    <w:rsid w:val="004D6FCF"/>
    <w:rsid w:val="004E1480"/>
    <w:rsid w:val="004E53A9"/>
    <w:rsid w:val="004F2069"/>
    <w:rsid w:val="004F2CCC"/>
    <w:rsid w:val="004F34D2"/>
    <w:rsid w:val="005020C1"/>
    <w:rsid w:val="00505E19"/>
    <w:rsid w:val="00510F49"/>
    <w:rsid w:val="005226E9"/>
    <w:rsid w:val="005445DE"/>
    <w:rsid w:val="00547C2F"/>
    <w:rsid w:val="0055679A"/>
    <w:rsid w:val="00560A87"/>
    <w:rsid w:val="00563CD7"/>
    <w:rsid w:val="00570C1C"/>
    <w:rsid w:val="00571776"/>
    <w:rsid w:val="005718EB"/>
    <w:rsid w:val="005779AE"/>
    <w:rsid w:val="005844B6"/>
    <w:rsid w:val="00584745"/>
    <w:rsid w:val="0059108F"/>
    <w:rsid w:val="00593FD0"/>
    <w:rsid w:val="005B04AE"/>
    <w:rsid w:val="005B30E2"/>
    <w:rsid w:val="005C7290"/>
    <w:rsid w:val="005D5166"/>
    <w:rsid w:val="005E13B5"/>
    <w:rsid w:val="005E42AA"/>
    <w:rsid w:val="005E514B"/>
    <w:rsid w:val="005E5993"/>
    <w:rsid w:val="005F01DB"/>
    <w:rsid w:val="005F0C49"/>
    <w:rsid w:val="005F0F6E"/>
    <w:rsid w:val="006059C9"/>
    <w:rsid w:val="006108C3"/>
    <w:rsid w:val="0061310E"/>
    <w:rsid w:val="00614AD6"/>
    <w:rsid w:val="00623830"/>
    <w:rsid w:val="00626162"/>
    <w:rsid w:val="00626246"/>
    <w:rsid w:val="00630D1C"/>
    <w:rsid w:val="006316E4"/>
    <w:rsid w:val="00633F24"/>
    <w:rsid w:val="00635DE1"/>
    <w:rsid w:val="00646BA2"/>
    <w:rsid w:val="00647CE0"/>
    <w:rsid w:val="00650D7A"/>
    <w:rsid w:val="0065221F"/>
    <w:rsid w:val="006610F2"/>
    <w:rsid w:val="00667C9E"/>
    <w:rsid w:val="00670973"/>
    <w:rsid w:val="006712FB"/>
    <w:rsid w:val="00674EDE"/>
    <w:rsid w:val="0067682D"/>
    <w:rsid w:val="00682E15"/>
    <w:rsid w:val="00695D46"/>
    <w:rsid w:val="006B1CF7"/>
    <w:rsid w:val="006B2083"/>
    <w:rsid w:val="006B79A6"/>
    <w:rsid w:val="006C5A76"/>
    <w:rsid w:val="006F384E"/>
    <w:rsid w:val="006F49D9"/>
    <w:rsid w:val="006F5B15"/>
    <w:rsid w:val="00704636"/>
    <w:rsid w:val="00706912"/>
    <w:rsid w:val="00715512"/>
    <w:rsid w:val="007304C1"/>
    <w:rsid w:val="00741CAD"/>
    <w:rsid w:val="00742BA6"/>
    <w:rsid w:val="00743EEA"/>
    <w:rsid w:val="007467AE"/>
    <w:rsid w:val="00762F5E"/>
    <w:rsid w:val="007642D6"/>
    <w:rsid w:val="007661D7"/>
    <w:rsid w:val="007663BA"/>
    <w:rsid w:val="0077255C"/>
    <w:rsid w:val="007772AD"/>
    <w:rsid w:val="00793AAA"/>
    <w:rsid w:val="007A0F78"/>
    <w:rsid w:val="007B16AE"/>
    <w:rsid w:val="007B69F6"/>
    <w:rsid w:val="007B6EE2"/>
    <w:rsid w:val="007C4804"/>
    <w:rsid w:val="007C535E"/>
    <w:rsid w:val="007C693C"/>
    <w:rsid w:val="007D3305"/>
    <w:rsid w:val="007E5CE8"/>
    <w:rsid w:val="007E7245"/>
    <w:rsid w:val="007F2960"/>
    <w:rsid w:val="007F34FA"/>
    <w:rsid w:val="0080376F"/>
    <w:rsid w:val="008100A3"/>
    <w:rsid w:val="00810B33"/>
    <w:rsid w:val="00812DD9"/>
    <w:rsid w:val="00820859"/>
    <w:rsid w:val="00821251"/>
    <w:rsid w:val="00826C7B"/>
    <w:rsid w:val="00826DBE"/>
    <w:rsid w:val="008270D2"/>
    <w:rsid w:val="008314EB"/>
    <w:rsid w:val="0083150D"/>
    <w:rsid w:val="00832942"/>
    <w:rsid w:val="00833CD5"/>
    <w:rsid w:val="00854691"/>
    <w:rsid w:val="00854D2A"/>
    <w:rsid w:val="008646BB"/>
    <w:rsid w:val="0087333B"/>
    <w:rsid w:val="008807F4"/>
    <w:rsid w:val="008824FD"/>
    <w:rsid w:val="00883229"/>
    <w:rsid w:val="008868E0"/>
    <w:rsid w:val="00887417"/>
    <w:rsid w:val="008915E8"/>
    <w:rsid w:val="00893D47"/>
    <w:rsid w:val="008A05BE"/>
    <w:rsid w:val="008A3AE4"/>
    <w:rsid w:val="008C1509"/>
    <w:rsid w:val="008D1361"/>
    <w:rsid w:val="008F29F8"/>
    <w:rsid w:val="009027F9"/>
    <w:rsid w:val="009109B0"/>
    <w:rsid w:val="00912355"/>
    <w:rsid w:val="009138A0"/>
    <w:rsid w:val="0091443E"/>
    <w:rsid w:val="00915009"/>
    <w:rsid w:val="00922464"/>
    <w:rsid w:val="009332C4"/>
    <w:rsid w:val="00936870"/>
    <w:rsid w:val="0094470A"/>
    <w:rsid w:val="009467A9"/>
    <w:rsid w:val="00977337"/>
    <w:rsid w:val="00977D52"/>
    <w:rsid w:val="009814A4"/>
    <w:rsid w:val="009837C3"/>
    <w:rsid w:val="00993570"/>
    <w:rsid w:val="009A34F2"/>
    <w:rsid w:val="009B0B49"/>
    <w:rsid w:val="009B65EF"/>
    <w:rsid w:val="009C0917"/>
    <w:rsid w:val="009C0943"/>
    <w:rsid w:val="009C191C"/>
    <w:rsid w:val="009C6464"/>
    <w:rsid w:val="009C6D5A"/>
    <w:rsid w:val="009D392F"/>
    <w:rsid w:val="009E7AAB"/>
    <w:rsid w:val="00A16B01"/>
    <w:rsid w:val="00A2204D"/>
    <w:rsid w:val="00A24CED"/>
    <w:rsid w:val="00A33C05"/>
    <w:rsid w:val="00A41C80"/>
    <w:rsid w:val="00A45374"/>
    <w:rsid w:val="00A5452B"/>
    <w:rsid w:val="00A56160"/>
    <w:rsid w:val="00A5780D"/>
    <w:rsid w:val="00A7048F"/>
    <w:rsid w:val="00A72042"/>
    <w:rsid w:val="00A81CBF"/>
    <w:rsid w:val="00A83C5C"/>
    <w:rsid w:val="00A906EC"/>
    <w:rsid w:val="00A9153D"/>
    <w:rsid w:val="00A951E4"/>
    <w:rsid w:val="00AA0F1E"/>
    <w:rsid w:val="00AA35F0"/>
    <w:rsid w:val="00AA4F0E"/>
    <w:rsid w:val="00AB1E13"/>
    <w:rsid w:val="00AB2315"/>
    <w:rsid w:val="00AB24B7"/>
    <w:rsid w:val="00AB39EA"/>
    <w:rsid w:val="00AC1E2D"/>
    <w:rsid w:val="00AC3832"/>
    <w:rsid w:val="00AC7463"/>
    <w:rsid w:val="00AD4D6A"/>
    <w:rsid w:val="00AD5AB1"/>
    <w:rsid w:val="00AD62AE"/>
    <w:rsid w:val="00AE053E"/>
    <w:rsid w:val="00B00E1A"/>
    <w:rsid w:val="00B05AED"/>
    <w:rsid w:val="00B06B40"/>
    <w:rsid w:val="00B12D1F"/>
    <w:rsid w:val="00B12F87"/>
    <w:rsid w:val="00B41D70"/>
    <w:rsid w:val="00B518DC"/>
    <w:rsid w:val="00B52129"/>
    <w:rsid w:val="00B619AA"/>
    <w:rsid w:val="00B636E4"/>
    <w:rsid w:val="00B648D3"/>
    <w:rsid w:val="00B718B2"/>
    <w:rsid w:val="00B74540"/>
    <w:rsid w:val="00B86306"/>
    <w:rsid w:val="00B94803"/>
    <w:rsid w:val="00B968A5"/>
    <w:rsid w:val="00BA4D57"/>
    <w:rsid w:val="00BB2920"/>
    <w:rsid w:val="00BB5892"/>
    <w:rsid w:val="00BB6777"/>
    <w:rsid w:val="00BC3068"/>
    <w:rsid w:val="00BC536A"/>
    <w:rsid w:val="00BC767F"/>
    <w:rsid w:val="00BD07D3"/>
    <w:rsid w:val="00BD122A"/>
    <w:rsid w:val="00BD13ED"/>
    <w:rsid w:val="00BE4262"/>
    <w:rsid w:val="00BE4F2F"/>
    <w:rsid w:val="00BE5109"/>
    <w:rsid w:val="00BF21E2"/>
    <w:rsid w:val="00BF242B"/>
    <w:rsid w:val="00BF34F7"/>
    <w:rsid w:val="00BF63C9"/>
    <w:rsid w:val="00BF7BC3"/>
    <w:rsid w:val="00C00E4C"/>
    <w:rsid w:val="00C01B62"/>
    <w:rsid w:val="00C04DAA"/>
    <w:rsid w:val="00C079A7"/>
    <w:rsid w:val="00C13910"/>
    <w:rsid w:val="00C14F83"/>
    <w:rsid w:val="00C21720"/>
    <w:rsid w:val="00C23E3D"/>
    <w:rsid w:val="00C31093"/>
    <w:rsid w:val="00C31FA5"/>
    <w:rsid w:val="00C34DC0"/>
    <w:rsid w:val="00C36668"/>
    <w:rsid w:val="00C370C8"/>
    <w:rsid w:val="00C37BD2"/>
    <w:rsid w:val="00C41B11"/>
    <w:rsid w:val="00C46D17"/>
    <w:rsid w:val="00C476EC"/>
    <w:rsid w:val="00C5407F"/>
    <w:rsid w:val="00C610B8"/>
    <w:rsid w:val="00C630BE"/>
    <w:rsid w:val="00C651C0"/>
    <w:rsid w:val="00C66458"/>
    <w:rsid w:val="00C6730D"/>
    <w:rsid w:val="00C70393"/>
    <w:rsid w:val="00C7319A"/>
    <w:rsid w:val="00C74883"/>
    <w:rsid w:val="00C82D30"/>
    <w:rsid w:val="00C85087"/>
    <w:rsid w:val="00C868C9"/>
    <w:rsid w:val="00C95C57"/>
    <w:rsid w:val="00C96A3B"/>
    <w:rsid w:val="00C976D9"/>
    <w:rsid w:val="00CA6287"/>
    <w:rsid w:val="00CA66FF"/>
    <w:rsid w:val="00CA72B2"/>
    <w:rsid w:val="00CB2AF7"/>
    <w:rsid w:val="00CB50AD"/>
    <w:rsid w:val="00CC5D06"/>
    <w:rsid w:val="00CC6639"/>
    <w:rsid w:val="00CC7FF4"/>
    <w:rsid w:val="00CD293E"/>
    <w:rsid w:val="00CD574B"/>
    <w:rsid w:val="00CE4154"/>
    <w:rsid w:val="00CF1A52"/>
    <w:rsid w:val="00CF49F4"/>
    <w:rsid w:val="00D0229A"/>
    <w:rsid w:val="00D02831"/>
    <w:rsid w:val="00D1707A"/>
    <w:rsid w:val="00D27346"/>
    <w:rsid w:val="00D32AC6"/>
    <w:rsid w:val="00D377E0"/>
    <w:rsid w:val="00D3786E"/>
    <w:rsid w:val="00D4555E"/>
    <w:rsid w:val="00D4787C"/>
    <w:rsid w:val="00D51C10"/>
    <w:rsid w:val="00D76939"/>
    <w:rsid w:val="00D872EB"/>
    <w:rsid w:val="00D87F30"/>
    <w:rsid w:val="00D92F3B"/>
    <w:rsid w:val="00DA11DE"/>
    <w:rsid w:val="00DA5F87"/>
    <w:rsid w:val="00DB0875"/>
    <w:rsid w:val="00DB4EEA"/>
    <w:rsid w:val="00DB6C23"/>
    <w:rsid w:val="00DC0352"/>
    <w:rsid w:val="00DC74F1"/>
    <w:rsid w:val="00DD0AA9"/>
    <w:rsid w:val="00DE0B7E"/>
    <w:rsid w:val="00DE21CD"/>
    <w:rsid w:val="00DE4E29"/>
    <w:rsid w:val="00DE72BC"/>
    <w:rsid w:val="00DF27C6"/>
    <w:rsid w:val="00E00396"/>
    <w:rsid w:val="00E03B7B"/>
    <w:rsid w:val="00E10ADF"/>
    <w:rsid w:val="00E13EAF"/>
    <w:rsid w:val="00E24FC5"/>
    <w:rsid w:val="00E32E52"/>
    <w:rsid w:val="00E339D2"/>
    <w:rsid w:val="00E34E65"/>
    <w:rsid w:val="00E35529"/>
    <w:rsid w:val="00E3746B"/>
    <w:rsid w:val="00E379A3"/>
    <w:rsid w:val="00E41B71"/>
    <w:rsid w:val="00E41D99"/>
    <w:rsid w:val="00E4638F"/>
    <w:rsid w:val="00E518D0"/>
    <w:rsid w:val="00E64D6D"/>
    <w:rsid w:val="00E717F9"/>
    <w:rsid w:val="00E74540"/>
    <w:rsid w:val="00E747C9"/>
    <w:rsid w:val="00E7767B"/>
    <w:rsid w:val="00E800CD"/>
    <w:rsid w:val="00E80AE1"/>
    <w:rsid w:val="00E83EAF"/>
    <w:rsid w:val="00EA1F8A"/>
    <w:rsid w:val="00EA2DAB"/>
    <w:rsid w:val="00EA3AD3"/>
    <w:rsid w:val="00EA7668"/>
    <w:rsid w:val="00EB2A6B"/>
    <w:rsid w:val="00EB2BBB"/>
    <w:rsid w:val="00EC29FB"/>
    <w:rsid w:val="00EC2BD3"/>
    <w:rsid w:val="00EC356E"/>
    <w:rsid w:val="00ED7962"/>
    <w:rsid w:val="00EE526A"/>
    <w:rsid w:val="00EE53F5"/>
    <w:rsid w:val="00EF5FC0"/>
    <w:rsid w:val="00F032D0"/>
    <w:rsid w:val="00F0680D"/>
    <w:rsid w:val="00F108CF"/>
    <w:rsid w:val="00F11F06"/>
    <w:rsid w:val="00F136A8"/>
    <w:rsid w:val="00F21750"/>
    <w:rsid w:val="00F21985"/>
    <w:rsid w:val="00F22D0B"/>
    <w:rsid w:val="00F23D95"/>
    <w:rsid w:val="00F26FF1"/>
    <w:rsid w:val="00F30278"/>
    <w:rsid w:val="00F312F3"/>
    <w:rsid w:val="00F34A1C"/>
    <w:rsid w:val="00F35985"/>
    <w:rsid w:val="00F4381D"/>
    <w:rsid w:val="00F46048"/>
    <w:rsid w:val="00F462CF"/>
    <w:rsid w:val="00F478D6"/>
    <w:rsid w:val="00F53AD1"/>
    <w:rsid w:val="00F61420"/>
    <w:rsid w:val="00F61463"/>
    <w:rsid w:val="00F73122"/>
    <w:rsid w:val="00F81969"/>
    <w:rsid w:val="00F85029"/>
    <w:rsid w:val="00F918B3"/>
    <w:rsid w:val="00F92722"/>
    <w:rsid w:val="00F9370E"/>
    <w:rsid w:val="00F9734A"/>
    <w:rsid w:val="00FA0118"/>
    <w:rsid w:val="00FA19E5"/>
    <w:rsid w:val="00FA2FA0"/>
    <w:rsid w:val="00FA41B6"/>
    <w:rsid w:val="00FA79C8"/>
    <w:rsid w:val="00FC22B2"/>
    <w:rsid w:val="00FC7B72"/>
    <w:rsid w:val="00FD647B"/>
    <w:rsid w:val="00FD6AD4"/>
    <w:rsid w:val="00FF493C"/>
    <w:rsid w:val="00FF5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5BEF"/>
  <w15:docId w15:val="{4CACE75D-6D85-EF49-8DBF-0A25C62B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C1C"/>
    <w:pPr>
      <w:spacing w:before="120"/>
    </w:pPr>
    <w:rPr>
      <w:lang w:val="en-US"/>
    </w:rPr>
  </w:style>
  <w:style w:type="paragraph" w:styleId="Titre1">
    <w:name w:val="heading 1"/>
    <w:basedOn w:val="Normal"/>
    <w:next w:val="Normal"/>
    <w:link w:val="Titre1Car"/>
    <w:uiPriority w:val="9"/>
    <w:qFormat/>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unhideWhenUsed/>
    <w:qFormat/>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zh-CN"/>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zh-CN"/>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lang w:eastAsia="zh-CN"/>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zh-CN"/>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zh-CN"/>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zh-CN"/>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lang w:eastAsia="zh-CN"/>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zh-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zh-CN"/>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zh-CN"/>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zh-CN"/>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zh-CN"/>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zh-CN"/>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zh-CN"/>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Heading5Char">
    <w:name w:val="Heading 5 Char"/>
    <w:basedOn w:val="Policepardfaut"/>
    <w:uiPriority w:val="9"/>
    <w:rPr>
      <w:rFonts w:ascii="Arial" w:eastAsia="Arial" w:hAnsi="Arial" w:cs="Arial"/>
      <w:color w:val="2F5496"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pPr>
  </w:style>
  <w:style w:type="character" w:customStyle="1" w:styleId="PieddepageCar">
    <w:name w:val="Pied de page Car"/>
    <w:basedOn w:val="Policepardfaut"/>
    <w:link w:val="Pieddepage"/>
    <w:uiPriority w:val="99"/>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Titre">
    <w:name w:val="Title"/>
    <w:basedOn w:val="Normal"/>
    <w:next w:val="Normal"/>
    <w:link w:val="TitreCar"/>
    <w:uiPriority w:val="10"/>
    <w:qFormat/>
    <w:pPr>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lang w:val="en-US"/>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lang w:val="en-US"/>
    </w:rPr>
  </w:style>
  <w:style w:type="character" w:customStyle="1" w:styleId="Titre2Car">
    <w:name w:val="Titre 2 Car"/>
    <w:basedOn w:val="Policepardfaut"/>
    <w:link w:val="Titre2"/>
    <w:uiPriority w:val="9"/>
    <w:rPr>
      <w:rFonts w:asciiTheme="majorHAnsi" w:eastAsiaTheme="majorEastAsia" w:hAnsiTheme="majorHAnsi" w:cstheme="majorBidi"/>
      <w:color w:val="2F5496" w:themeColor="accent1" w:themeShade="BF"/>
      <w:sz w:val="26"/>
      <w:szCs w:val="26"/>
      <w:lang w:val="en-US"/>
    </w:rPr>
  </w:style>
  <w:style w:type="paragraph" w:styleId="Paragraphedeliste">
    <w:name w:val="List Paragraph"/>
    <w:basedOn w:val="Normal"/>
    <w:uiPriority w:val="34"/>
    <w:qFormat/>
    <w:pPr>
      <w:ind w:left="720"/>
      <w:contextualSpacing/>
    </w:pPr>
  </w:style>
  <w:style w:type="character" w:customStyle="1" w:styleId="Titre3Car">
    <w:name w:val="Titre 3 Car"/>
    <w:basedOn w:val="Policepardfaut"/>
    <w:link w:val="Titre3"/>
    <w:uiPriority w:val="9"/>
    <w:rPr>
      <w:rFonts w:asciiTheme="majorHAnsi" w:eastAsiaTheme="majorEastAsia" w:hAnsiTheme="majorHAnsi" w:cstheme="majorBidi"/>
      <w:color w:val="1F3763" w:themeColor="accent1" w:themeShade="7F"/>
      <w:lang w:val="en-US"/>
    </w:rPr>
  </w:style>
  <w:style w:type="character" w:customStyle="1" w:styleId="Titre4Car">
    <w:name w:val="Titre 4 Car"/>
    <w:basedOn w:val="Policepardfaut"/>
    <w:link w:val="Titre4"/>
    <w:uiPriority w:val="9"/>
    <w:rPr>
      <w:rFonts w:asciiTheme="majorHAnsi" w:eastAsiaTheme="majorEastAsia" w:hAnsiTheme="majorHAnsi" w:cstheme="majorBidi"/>
      <w:i/>
      <w:iCs/>
      <w:color w:val="2F5496" w:themeColor="accent1" w:themeShade="BF"/>
      <w:lang w:val="en-US"/>
    </w:rPr>
  </w:style>
  <w:style w:type="character" w:customStyle="1" w:styleId="Titre5Car">
    <w:name w:val="Titre 5 Car"/>
    <w:basedOn w:val="Policepardfaut"/>
    <w:link w:val="Titre5"/>
    <w:uiPriority w:val="9"/>
    <w:semiHidden/>
    <w:rPr>
      <w:rFonts w:asciiTheme="majorHAnsi" w:eastAsiaTheme="majorEastAsia" w:hAnsiTheme="majorHAnsi" w:cstheme="majorBidi"/>
      <w:color w:val="2F5496" w:themeColor="accent1" w:themeShade="BF"/>
      <w:lang w:val="en-US"/>
    </w:rPr>
  </w:style>
  <w:style w:type="character" w:customStyle="1" w:styleId="Titre6Car">
    <w:name w:val="Titre 6 Car"/>
    <w:basedOn w:val="Policepardfaut"/>
    <w:link w:val="Titre6"/>
    <w:uiPriority w:val="9"/>
    <w:semiHidden/>
    <w:rPr>
      <w:rFonts w:asciiTheme="majorHAnsi" w:eastAsiaTheme="majorEastAsia" w:hAnsiTheme="majorHAnsi" w:cstheme="majorBidi"/>
      <w:color w:val="1F3763" w:themeColor="accent1" w:themeShade="7F"/>
      <w:lang w:val="en-US"/>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1F3763" w:themeColor="accent1" w:themeShade="7F"/>
      <w:lang w:val="en-US"/>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21"/>
      <w:szCs w:val="21"/>
      <w:lang w:val="en-US"/>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21"/>
      <w:szCs w:val="21"/>
      <w:lang w:val="en-US"/>
    </w:rPr>
  </w:style>
  <w:style w:type="paragraph" w:styleId="NormalWeb">
    <w:name w:val="Normal (Web)"/>
    <w:basedOn w:val="Normal"/>
    <w:uiPriority w:val="99"/>
    <w:semiHidden/>
    <w:unhideWhenUsed/>
    <w:rPr>
      <w:rFonts w:ascii="Times New Roman" w:hAnsi="Times New Roman" w:cs="Times New Roman"/>
    </w:rPr>
  </w:style>
  <w:style w:type="character" w:styleId="Textedelespacerserv">
    <w:name w:val="Placeholder Text"/>
    <w:basedOn w:val="Policepardfaut"/>
    <w:uiPriority w:val="99"/>
    <w:semiHidden/>
    <w:rPr>
      <w:color w:val="808080"/>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lang w:val="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lang w:val="en-US"/>
    </w:rPr>
  </w:style>
  <w:style w:type="paragraph" w:styleId="Textedebulles">
    <w:name w:val="Balloon Text"/>
    <w:basedOn w:val="Normal"/>
    <w:link w:val="TextedebullesCar"/>
    <w:uiPriority w:val="99"/>
    <w:semiHidden/>
    <w:unhideWhenUse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Pr>
      <w:rFonts w:ascii="Times New Roman" w:hAnsi="Times New Roman" w:cs="Times New Roman"/>
      <w:sz w:val="18"/>
      <w:szCs w:val="18"/>
      <w:lang w:val="en-US"/>
    </w:r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gende">
    <w:name w:val="caption"/>
    <w:basedOn w:val="Normal"/>
    <w:next w:val="Normal"/>
    <w:uiPriority w:val="35"/>
    <w:unhideWhenUsed/>
    <w:qFormat/>
    <w:pPr>
      <w:spacing w:after="200"/>
    </w:pPr>
    <w:rPr>
      <w:i/>
      <w:iCs/>
      <w:color w:val="44546A" w:themeColor="text2"/>
      <w:sz w:val="18"/>
      <w:szCs w:val="18"/>
    </w:rPr>
  </w:style>
  <w:style w:type="character" w:customStyle="1" w:styleId="apple-converted-space">
    <w:name w:val="apple-converted-space"/>
    <w:basedOn w:val="Policepardfaut"/>
  </w:style>
  <w:style w:type="character" w:styleId="Accentuation">
    <w:name w:val="Emphasis"/>
    <w:basedOn w:val="Policepardfaut"/>
    <w:uiPriority w:val="20"/>
    <w:qFormat/>
    <w:rPr>
      <w:i/>
      <w:iCs/>
    </w:rPr>
  </w:style>
  <w:style w:type="character" w:styleId="Lienhypertexte">
    <w:name w:val="Hyperlink"/>
    <w:basedOn w:val="Policepardfaut"/>
    <w:uiPriority w:val="99"/>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styleId="Bibliographie">
    <w:name w:val="Bibliography"/>
    <w:basedOn w:val="Normal"/>
    <w:next w:val="Normal"/>
    <w:uiPriority w:val="37"/>
    <w:unhideWhenUsed/>
    <w:pPr>
      <w:tabs>
        <w:tab w:val="left" w:pos="380"/>
      </w:tabs>
      <w:spacing w:line="480" w:lineRule="auto"/>
      <w:ind w:left="384" w:hanging="384"/>
    </w:pPr>
  </w:style>
  <w:style w:type="paragraph" w:styleId="Rvision">
    <w:name w:val="Revision"/>
    <w:hidden/>
    <w:uiPriority w:val="99"/>
    <w:semiHidden/>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E1009-A005-476A-8B16-58317BFF4B8F}">
  <ds:schemaRefs>
    <ds:schemaRef ds:uri="http://schemas.openxmlformats.org/officeDocument/2006/bibliography"/>
  </ds:schemaRefs>
</ds:datastoreItem>
</file>

<file path=docMetadata/LabelInfo.xml><?xml version="1.0" encoding="utf-8"?>
<clbl:labelList xmlns:clbl="http://schemas.microsoft.com/office/2020/mipLabelMetadata">
  <clbl:label id="{b235b67c-bf48-4671-b1a1-da444c1bef66}" enabled="0" method="" siteId="{b235b67c-bf48-4671-b1a1-da444c1bef6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7856</Words>
  <Characters>43211</Characters>
  <Application>Microsoft Office Word</Application>
  <DocSecurity>0</DocSecurity>
  <Lines>360</Lines>
  <Paragraphs>101</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T</dc:creator>
  <cp:keywords/>
  <dc:description/>
  <cp:lastModifiedBy>Michele T</cp:lastModifiedBy>
  <cp:revision>3</cp:revision>
  <cp:lastPrinted>2025-10-23T14:20:00Z</cp:lastPrinted>
  <dcterms:created xsi:type="dcterms:W3CDTF">2025-10-23T17:09:00Z</dcterms:created>
  <dcterms:modified xsi:type="dcterms:W3CDTF">2025-10-23T17:25:00Z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id="cUnw9OO8"/&gt;&lt;style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 name="dontAskDelayCitationUpdates" value="true"/&gt;&lt;/prefs&gt;&lt;/data&gt;</vt:lpwstr>
  </property>
</Properties>
</file>