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363E2B" w14:textId="77777777" w:rsidR="00EE5B0F" w:rsidRPr="00A309DA" w:rsidRDefault="00EE5B0F" w:rsidP="00EE5B0F">
      <w:pPr>
        <w:spacing w:line="480" w:lineRule="auto"/>
        <w:jc w:val="both"/>
        <w:rPr>
          <w:rFonts w:ascii="Times New Roman" w:hAnsi="Times New Roman" w:cs="Times New Roman"/>
          <w:b/>
          <w:bCs/>
          <w:lang w:val="en-GB"/>
        </w:rPr>
      </w:pPr>
      <w:r w:rsidRPr="00A309DA">
        <w:rPr>
          <w:rFonts w:ascii="Times New Roman" w:hAnsi="Times New Roman" w:cs="Times New Roman"/>
          <w:b/>
          <w:bCs/>
          <w:lang w:val="en-GB"/>
        </w:rPr>
        <w:t>SUPPLEMENTAL MATERIAL</w:t>
      </w:r>
    </w:p>
    <w:p w14:paraId="13FBC793" w14:textId="77777777" w:rsidR="00EE5B0F" w:rsidRPr="00A309DA" w:rsidRDefault="00EE5B0F" w:rsidP="00EE5B0F">
      <w:pPr>
        <w:spacing w:line="480" w:lineRule="auto"/>
        <w:jc w:val="both"/>
        <w:rPr>
          <w:rFonts w:ascii="Times New Roman" w:hAnsi="Times New Roman" w:cs="Times New Roman"/>
          <w:b/>
          <w:bCs/>
          <w:lang w:val="en-GB"/>
        </w:rPr>
      </w:pPr>
    </w:p>
    <w:p w14:paraId="3D23FE9C" w14:textId="77777777" w:rsidR="00EE5B0F" w:rsidRPr="00A309DA" w:rsidRDefault="00EE5B0F" w:rsidP="00EE5B0F">
      <w:pPr>
        <w:spacing w:line="480" w:lineRule="auto"/>
        <w:jc w:val="both"/>
        <w:rPr>
          <w:rFonts w:ascii="Times New Roman" w:hAnsi="Times New Roman" w:cs="Times New Roman"/>
          <w:lang w:val="en-US"/>
        </w:rPr>
      </w:pPr>
      <w:r w:rsidRPr="00A309DA">
        <w:rPr>
          <w:rFonts w:ascii="Times New Roman" w:hAnsi="Times New Roman" w:cs="Times New Roman"/>
          <w:b/>
          <w:bCs/>
          <w:lang w:val="en-GB"/>
        </w:rPr>
        <w:t xml:space="preserve">Figure S1 (related to figure 2). </w:t>
      </w:r>
      <w:r w:rsidRPr="00A309DA">
        <w:rPr>
          <w:rFonts w:ascii="Times New Roman" w:hAnsi="Times New Roman" w:cs="Times New Roman"/>
          <w:b/>
          <w:lang w:val="en-US"/>
        </w:rPr>
        <w:t xml:space="preserve">(A-D) </w:t>
      </w:r>
      <w:r w:rsidRPr="00A309DA">
        <w:rPr>
          <w:rFonts w:ascii="Times New Roman" w:hAnsi="Times New Roman" w:cs="Times New Roman"/>
          <w:bCs/>
          <w:lang w:val="en-US"/>
        </w:rPr>
        <w:t>Analysis of an independent</w:t>
      </w:r>
      <w:r w:rsidRPr="00A309DA">
        <w:rPr>
          <w:rFonts w:ascii="Times New Roman" w:hAnsi="Times New Roman" w:cs="Times New Roman"/>
          <w:b/>
          <w:lang w:val="en-US"/>
        </w:rPr>
        <w:t xml:space="preserve"> </w:t>
      </w:r>
      <w:r w:rsidRPr="00A309DA">
        <w:rPr>
          <w:rFonts w:ascii="Times New Roman" w:hAnsi="Times New Roman" w:cs="Times New Roman"/>
          <w:lang w:val="en-US"/>
        </w:rPr>
        <w:t xml:space="preserve">H3K9me3 CUT&amp;Tag experiment in HSC of WT-LPS and WT. </w:t>
      </w:r>
      <w:r w:rsidRPr="00A309DA">
        <w:rPr>
          <w:rFonts w:ascii="Times New Roman" w:hAnsi="Times New Roman" w:cs="Times New Roman"/>
          <w:b/>
          <w:bCs/>
          <w:lang w:val="en-GB"/>
        </w:rPr>
        <w:t xml:space="preserve">(A) </w:t>
      </w:r>
      <w:r w:rsidRPr="00A309DA">
        <w:rPr>
          <w:rFonts w:ascii="Times New Roman" w:hAnsi="Times New Roman" w:cs="Times New Roman"/>
          <w:lang w:val="en-GB"/>
        </w:rPr>
        <w:t xml:space="preserve">Volcano plot </w:t>
      </w:r>
      <w:r w:rsidRPr="00A309DA">
        <w:rPr>
          <w:rFonts w:ascii="Times New Roman" w:hAnsi="Times New Roman" w:cs="Times New Roman"/>
          <w:lang w:val="en-US"/>
        </w:rPr>
        <w:t>of the TE differentially enriched in H3K9me3 between WT-LPS and WT conditions.</w:t>
      </w:r>
      <w:r w:rsidRPr="00A309DA">
        <w:rPr>
          <w:rFonts w:ascii="Times New Roman" w:hAnsi="Times New Roman" w:cs="Times New Roman"/>
          <w:b/>
          <w:bCs/>
          <w:lang w:val="en-GB"/>
        </w:rPr>
        <w:t xml:space="preserve"> </w:t>
      </w:r>
      <w:r w:rsidRPr="00A309DA">
        <w:rPr>
          <w:rFonts w:ascii="Times New Roman" w:hAnsi="Times New Roman" w:cs="Times New Roman"/>
          <w:lang w:val="en-US"/>
        </w:rPr>
        <w:t>The horizontal axis represents the –log10(pValue) and the vertical axis the log2 fold change (FC). TE presenting a significant (</w:t>
      </w:r>
      <w:r w:rsidRPr="00A309DA">
        <w:rPr>
          <w:rFonts w:ascii="Times New Roman" w:hAnsi="Times New Roman" w:cs="Times New Roman"/>
          <w:i/>
          <w:iCs/>
          <w:lang w:val="en-US"/>
        </w:rPr>
        <w:t xml:space="preserve">p&lt;0.05) </w:t>
      </w:r>
      <w:r w:rsidRPr="00A309DA">
        <w:rPr>
          <w:rFonts w:ascii="Times New Roman" w:hAnsi="Times New Roman" w:cs="Times New Roman"/>
          <w:lang w:val="en-US"/>
        </w:rPr>
        <w:t xml:space="preserve">increase (red) or decrease (green) enrichment in H3K9me3 are shown. </w:t>
      </w:r>
      <w:r w:rsidRPr="00A309DA">
        <w:rPr>
          <w:rFonts w:ascii="Times New Roman" w:hAnsi="Times New Roman" w:cs="Times New Roman"/>
          <w:b/>
          <w:lang w:val="en-US"/>
        </w:rPr>
        <w:t>(B)</w:t>
      </w:r>
      <w:r w:rsidRPr="00A309DA">
        <w:rPr>
          <w:rFonts w:ascii="Times New Roman" w:hAnsi="Times New Roman" w:cs="Times New Roman"/>
          <w:lang w:val="en-US"/>
        </w:rPr>
        <w:t xml:space="preserve"> Violin plot representing the distribution of H3K9me3 concentration at each TE locus retrieved in </w:t>
      </w:r>
      <w:r w:rsidRPr="00A309DA">
        <w:rPr>
          <w:rFonts w:ascii="Times New Roman" w:hAnsi="Times New Roman" w:cs="Times New Roman"/>
          <w:bCs/>
          <w:lang w:val="en-US"/>
        </w:rPr>
        <w:t xml:space="preserve">(A). </w:t>
      </w:r>
      <w:r w:rsidRPr="00A309DA">
        <w:rPr>
          <w:rFonts w:ascii="Times New Roman" w:hAnsi="Times New Roman" w:cs="Times New Roman"/>
          <w:lang w:val="en-US"/>
        </w:rPr>
        <w:t xml:space="preserve"> </w:t>
      </w:r>
      <w:r w:rsidRPr="00A309DA">
        <w:rPr>
          <w:rFonts w:ascii="Times New Roman" w:hAnsi="Times New Roman" w:cs="Times New Roman"/>
          <w:b/>
          <w:lang w:val="en-US"/>
        </w:rPr>
        <w:t>(C)</w:t>
      </w:r>
      <w:r w:rsidRPr="00A309DA">
        <w:rPr>
          <w:rFonts w:ascii="Times New Roman" w:hAnsi="Times New Roman" w:cs="Times New Roman"/>
          <w:lang w:val="en-US"/>
        </w:rPr>
        <w:t xml:space="preserve"> Repartition of the % of each family of TE among the total TE loci in the mouse mm10 genome (</w:t>
      </w:r>
      <w:r w:rsidRPr="00A309DA">
        <w:rPr>
          <w:rFonts w:ascii="Times New Roman" w:hAnsi="Times New Roman" w:cs="Times New Roman"/>
          <w:i/>
          <w:lang w:val="en-US"/>
        </w:rPr>
        <w:t>top</w:t>
      </w:r>
      <w:r w:rsidRPr="00A309DA">
        <w:rPr>
          <w:rFonts w:ascii="Times New Roman" w:hAnsi="Times New Roman" w:cs="Times New Roman"/>
          <w:lang w:val="en-US"/>
        </w:rPr>
        <w:t>) and among the TE retrieved in (A) presenting a significant decrease (</w:t>
      </w:r>
      <w:r w:rsidRPr="00A309DA">
        <w:rPr>
          <w:rFonts w:ascii="Times New Roman" w:hAnsi="Times New Roman" w:cs="Times New Roman"/>
          <w:i/>
          <w:lang w:val="en-US"/>
        </w:rPr>
        <w:t>middle</w:t>
      </w:r>
      <w:r w:rsidRPr="00A309DA">
        <w:rPr>
          <w:rFonts w:ascii="Times New Roman" w:hAnsi="Times New Roman" w:cs="Times New Roman"/>
          <w:lang w:val="en-US"/>
        </w:rPr>
        <w:t xml:space="preserve"> - loss) or increase (</w:t>
      </w:r>
      <w:r w:rsidRPr="00A309DA">
        <w:rPr>
          <w:rFonts w:ascii="Times New Roman" w:hAnsi="Times New Roman" w:cs="Times New Roman"/>
          <w:i/>
          <w:lang w:val="en-US"/>
        </w:rPr>
        <w:t>bottom</w:t>
      </w:r>
      <w:r w:rsidRPr="00A309DA">
        <w:rPr>
          <w:rFonts w:ascii="Times New Roman" w:hAnsi="Times New Roman" w:cs="Times New Roman"/>
          <w:lang w:val="en-US"/>
        </w:rPr>
        <w:t xml:space="preserve"> – gain) of H3K9me3. Hypergeometric test. ***p&lt;0.01, ****p&lt;0.0001 </w:t>
      </w:r>
      <w:r w:rsidRPr="00A309DA">
        <w:rPr>
          <w:rFonts w:ascii="Times New Roman" w:hAnsi="Times New Roman" w:cs="Times New Roman"/>
          <w:b/>
          <w:lang w:val="en-US"/>
        </w:rPr>
        <w:t>(D)</w:t>
      </w:r>
      <w:r w:rsidRPr="00A309DA">
        <w:rPr>
          <w:rFonts w:ascii="Times New Roman" w:hAnsi="Times New Roman" w:cs="Times New Roman"/>
          <w:lang w:val="en-US"/>
        </w:rPr>
        <w:t xml:space="preserve"> Violin plot representing the distribution of H3K9me3 concentration at each locus retrieved in </w:t>
      </w:r>
      <w:r w:rsidRPr="00A309DA">
        <w:rPr>
          <w:rFonts w:ascii="Times New Roman" w:hAnsi="Times New Roman" w:cs="Times New Roman"/>
          <w:bCs/>
          <w:lang w:val="en-US"/>
        </w:rPr>
        <w:t>(A)</w:t>
      </w:r>
      <w:r>
        <w:rPr>
          <w:rFonts w:ascii="Times New Roman" w:hAnsi="Times New Roman" w:cs="Times New Roman"/>
          <w:lang w:val="en-US"/>
        </w:rPr>
        <w:t xml:space="preserve"> for LINE and</w:t>
      </w:r>
      <w:r w:rsidRPr="00A309DA">
        <w:rPr>
          <w:rFonts w:ascii="Times New Roman" w:hAnsi="Times New Roman" w:cs="Times New Roman"/>
          <w:lang w:val="en-US"/>
        </w:rPr>
        <w:t xml:space="preserve"> LTR families of TEs in WT and WT-LPS conditions. Wilcoxon test. ****p&lt;0.0001. </w:t>
      </w:r>
    </w:p>
    <w:p w14:paraId="28EB86F5" w14:textId="77777777" w:rsidR="00EE5B0F" w:rsidRPr="00A309DA" w:rsidRDefault="00EE5B0F" w:rsidP="00EE5B0F">
      <w:pPr>
        <w:spacing w:line="480" w:lineRule="auto"/>
        <w:jc w:val="both"/>
        <w:rPr>
          <w:rFonts w:ascii="Times New Roman" w:hAnsi="Times New Roman" w:cs="Times New Roman"/>
          <w:b/>
          <w:bCs/>
          <w:lang w:val="en-GB"/>
        </w:rPr>
      </w:pPr>
    </w:p>
    <w:p w14:paraId="6EA52823" w14:textId="77777777" w:rsidR="00EE5B0F" w:rsidRPr="00A309DA" w:rsidRDefault="00EE5B0F" w:rsidP="00EE5B0F">
      <w:pPr>
        <w:spacing w:line="480" w:lineRule="auto"/>
        <w:jc w:val="both"/>
        <w:rPr>
          <w:rFonts w:ascii="Times New Roman" w:hAnsi="Times New Roman" w:cs="Times New Roman"/>
          <w:lang w:val="en-US"/>
        </w:rPr>
      </w:pPr>
      <w:r w:rsidRPr="00A309DA">
        <w:rPr>
          <w:rFonts w:ascii="Times New Roman" w:hAnsi="Times New Roman" w:cs="Times New Roman"/>
          <w:b/>
          <w:bCs/>
          <w:lang w:val="en-GB"/>
        </w:rPr>
        <w:t xml:space="preserve">Figure S2 (related to figure 2). </w:t>
      </w:r>
      <w:r w:rsidRPr="00A309DA">
        <w:rPr>
          <w:rFonts w:ascii="Times New Roman" w:hAnsi="Times New Roman" w:cs="Times New Roman"/>
          <w:b/>
          <w:lang w:val="en-US"/>
        </w:rPr>
        <w:t>(A-B)</w:t>
      </w:r>
      <w:r w:rsidRPr="00A309DA">
        <w:rPr>
          <w:rFonts w:ascii="Times New Roman" w:hAnsi="Times New Roman" w:cs="Times New Roman"/>
          <w:lang w:val="en-US"/>
        </w:rPr>
        <w:t xml:space="preserve"> Correlation plot representing H3K9me3 concentration quantified at differentially enriched LINE (A) or LTR (B) elements retrieved in Figure 2A </w:t>
      </w:r>
      <w:r w:rsidRPr="00A309DA">
        <w:rPr>
          <w:rFonts w:ascii="Times New Roman" w:hAnsi="Times New Roman" w:cs="Times New Roman"/>
          <w:i/>
          <w:iCs/>
          <w:lang w:val="en-US"/>
        </w:rPr>
        <w:t>vs</w:t>
      </w:r>
      <w:r w:rsidRPr="00A309DA">
        <w:rPr>
          <w:rFonts w:ascii="Times New Roman" w:hAnsi="Times New Roman" w:cs="Times New Roman"/>
          <w:lang w:val="en-US"/>
        </w:rPr>
        <w:t xml:space="preserve"> their age in million years (My) in WT and WT-LPS conditions. R, Pearson correlation coefficient; p, pvalue. </w:t>
      </w:r>
      <w:r w:rsidRPr="00A309DA">
        <w:rPr>
          <w:rFonts w:ascii="Times New Roman" w:hAnsi="Times New Roman" w:cs="Times New Roman"/>
          <w:b/>
          <w:lang w:val="en-US"/>
        </w:rPr>
        <w:t>(C-J)</w:t>
      </w:r>
      <w:r w:rsidRPr="00A309DA">
        <w:rPr>
          <w:rFonts w:ascii="Times New Roman" w:hAnsi="Times New Roman" w:cs="Times New Roman"/>
          <w:lang w:val="en-US"/>
        </w:rPr>
        <w:t xml:space="preserve"> Plot profiles of the mean +/- SEM H3K9me3 enrichment along L1MdA (C) and IAPEz (D) sequences, intact (E) vs degenerate (F) L1Md, intact (G) vs degenerate (H) IAP, (intact meaning &gt;97% conservation as previously defined </w:t>
      </w:r>
      <w:r w:rsidRPr="00A309DA">
        <w:rPr>
          <w:rFonts w:ascii="Times New Roman" w:hAnsi="Times New Roman" w:cs="Times New Roman"/>
          <w:lang w:val="en-US"/>
        </w:rPr>
        <w:fldChar w:fldCharType="begin"/>
      </w:r>
      <w:r w:rsidRPr="00A309DA">
        <w:rPr>
          <w:rFonts w:ascii="Times New Roman" w:hAnsi="Times New Roman" w:cs="Times New Roman"/>
          <w:lang w:val="en-US"/>
        </w:rPr>
        <w:instrText xml:space="preserve"> ADDIN ZOTERO_ITEM CSL_CITATION {"citationID":"LB6jeKjN","properties":{"formattedCitation":"(Bulut-Karslioglu et al., 2014)","plainCitation":"(Bulut-Karslioglu et al., 2014)","noteIndex":0},"citationItems":[{"id":175,"uris":["http://zotero.org/users/8176133/items/UKM7VGZY"],"itemData":{"id":175,"type":"article-journal","abstract":"Heterochromatin is required to restrict aberrant expression of retrotransposons, but it remains poorly defined due to the underlying repeat-rich sequences. We dissected Suv39h-dependent histone H3 lysine 9 trimethylation (H3K9me3) by genome-wide ChIP sequencing in mouse embryonic stem cells (ESCs). Refined bioinformatic analyses of repeat subfamilies indicated selective accumulation of Suv39h-dependent H3K9me3 at interspersed repetitive elements that cover </w:instrText>
      </w:r>
      <w:r w:rsidRPr="00A309DA">
        <w:rPr>
          <w:rFonts w:ascii="Cambria Math" w:hAnsi="Cambria Math" w:cs="Cambria Math"/>
          <w:lang w:val="en-US"/>
        </w:rPr>
        <w:instrText>∼</w:instrText>
      </w:r>
      <w:r w:rsidRPr="00A309DA">
        <w:rPr>
          <w:rFonts w:ascii="Times New Roman" w:hAnsi="Times New Roman" w:cs="Times New Roman"/>
          <w:lang w:val="en-US"/>
        </w:rPr>
        <w:instrText xml:space="preserve">5% of the ESC epigenome. The majority of the </w:instrText>
      </w:r>
      <w:r w:rsidRPr="00A309DA">
        <w:rPr>
          <w:rFonts w:ascii="Cambria Math" w:hAnsi="Cambria Math" w:cs="Cambria Math"/>
          <w:lang w:val="en-US"/>
        </w:rPr>
        <w:instrText>∼</w:instrText>
      </w:r>
      <w:r w:rsidRPr="00A309DA">
        <w:rPr>
          <w:rFonts w:ascii="Times New Roman" w:hAnsi="Times New Roman" w:cs="Times New Roman"/>
          <w:lang w:val="en-US"/>
        </w:rPr>
        <w:instrText xml:space="preserve">8,150 intact long interspersed nuclear elements (LINEs) and endogenous retroviruses (ERVs), but only a minor fraction of the &gt;1.8 million degenerate and truncated LINEs/ERVs, are enriched for Suv39h-dependent H3K9me3. Transcriptional repression of intact LINEs and ERVs is differentially regulated by Suv39h and other chromatin modifiers in ESCs but governed by DNA methylation in committed cells. These data provide a function for Suv39h-dependent H3K9me3 chromatin to specifically repress intact LINE elements in the ESC epigenome.","container-title":"Molecular Cell","DOI":"10.1016/j.molcel.2014.05.029","ISSN":"1097-4164","issue":"2","journalAbbreviation":"Mol Cell","language":"eng","note":"PMID: 24981170","page":"277-290","source":"PubMed","title":"Suv39h-dependent H3K9me3 marks intact retrotransposons and silences LINE elements in mouse embryonic stem cells","volume":"55","author":[{"family":"Bulut-Karslioglu","given":"Aydan"},{"family":"De La Rosa-Velázquez","given":"Inti A."},{"family":"Ramirez","given":"Fidel"},{"family":"Barenboim","given":"Maxim"},{"family":"Onishi-Seebacher","given":"Megumi"},{"family":"Arand","given":"Julia"},{"family":"Galán","given":"Carmen"},{"family":"Winter","given":"Georg E."},{"family":"Engist","given":"Bettina"},{"family":"Gerle","given":"Borbala"},{"family":"O'Sullivan","given":"Roderick J."},{"family":"Martens","given":"Joost H. A."},{"family":"Walter","given":"Jörn"},{"family":"Manke","given":"Thomas"},{"family":"Lachner","given":"Monika"},{"family":"Jenuwein","given":"Thomas"}],"issued":{"date-parts":[["2014",7,17]]}}}],"schema":"https://github.com/citation-style-language/schema/raw/master/csl-citation.json"} </w:instrText>
      </w:r>
      <w:r w:rsidRPr="00A309DA">
        <w:rPr>
          <w:rFonts w:ascii="Times New Roman" w:hAnsi="Times New Roman" w:cs="Times New Roman"/>
          <w:lang w:val="en-US"/>
        </w:rPr>
        <w:fldChar w:fldCharType="separate"/>
      </w:r>
      <w:r w:rsidRPr="00A309DA">
        <w:rPr>
          <w:rFonts w:ascii="Times New Roman" w:hAnsi="Times New Roman" w:cs="Times New Roman"/>
          <w:noProof/>
          <w:lang w:val="en-US"/>
        </w:rPr>
        <w:t>(Bulut-Karslioglu et al., 2014)</w:t>
      </w:r>
      <w:r w:rsidRPr="00A309DA">
        <w:rPr>
          <w:rFonts w:ascii="Times New Roman" w:hAnsi="Times New Roman" w:cs="Times New Roman"/>
          <w:lang w:val="en-US"/>
        </w:rPr>
        <w:fldChar w:fldCharType="end"/>
      </w:r>
      <w:r w:rsidRPr="00A309DA">
        <w:rPr>
          <w:rFonts w:ascii="Times New Roman" w:hAnsi="Times New Roman" w:cs="Times New Roman"/>
          <w:lang w:val="en-US"/>
        </w:rPr>
        <w:t xml:space="preserve">), and &gt;5kb (I) and &lt;5kb (J) L1Md sequences +/- 1kb flanking regions in WT-LPS (orange) </w:t>
      </w:r>
      <w:r w:rsidRPr="00A309DA">
        <w:rPr>
          <w:rFonts w:ascii="Times New Roman" w:hAnsi="Times New Roman" w:cs="Times New Roman"/>
          <w:i/>
          <w:iCs/>
          <w:lang w:val="en-US"/>
        </w:rPr>
        <w:t>vs</w:t>
      </w:r>
      <w:r w:rsidRPr="00A309DA">
        <w:rPr>
          <w:rFonts w:ascii="Times New Roman" w:hAnsi="Times New Roman" w:cs="Times New Roman"/>
          <w:lang w:val="en-US"/>
        </w:rPr>
        <w:t xml:space="preserve"> WT (blue) conditions. (2-3 samples per condition)</w:t>
      </w:r>
      <w:r>
        <w:rPr>
          <w:rFonts w:ascii="Times New Roman" w:hAnsi="Times New Roman" w:cs="Times New Roman"/>
          <w:lang w:val="en-US"/>
        </w:rPr>
        <w:t>. Red crosses symbolize sequence variation towards concensus sequence in degenerate L1Md or IAP.</w:t>
      </w:r>
      <w:r w:rsidRPr="00A309DA">
        <w:rPr>
          <w:rFonts w:ascii="Times New Roman" w:hAnsi="Times New Roman" w:cs="Times New Roman"/>
          <w:b/>
          <w:lang w:val="en-US"/>
        </w:rPr>
        <w:t xml:space="preserve"> </w:t>
      </w:r>
    </w:p>
    <w:p w14:paraId="5101BD53" w14:textId="77777777" w:rsidR="00EE5B0F" w:rsidRPr="00A309DA" w:rsidRDefault="00EE5B0F" w:rsidP="00EE5B0F">
      <w:pPr>
        <w:spacing w:line="480" w:lineRule="auto"/>
        <w:jc w:val="both"/>
        <w:rPr>
          <w:rFonts w:ascii="Times New Roman" w:hAnsi="Times New Roman" w:cs="Times New Roman"/>
          <w:b/>
          <w:bCs/>
          <w:lang w:val="en-GB"/>
        </w:rPr>
      </w:pPr>
    </w:p>
    <w:p w14:paraId="4AC907AC" w14:textId="77777777" w:rsidR="00EE5B0F" w:rsidRPr="00A309DA" w:rsidRDefault="00EE5B0F" w:rsidP="00EE5B0F">
      <w:pPr>
        <w:widowControl w:val="0"/>
        <w:autoSpaceDE w:val="0"/>
        <w:autoSpaceDN w:val="0"/>
        <w:adjustRightInd w:val="0"/>
        <w:spacing w:after="240" w:line="480" w:lineRule="auto"/>
        <w:jc w:val="both"/>
        <w:rPr>
          <w:rFonts w:ascii="Times New Roman" w:hAnsi="Times New Roman" w:cs="Times New Roman"/>
          <w:b/>
          <w:bCs/>
          <w:lang w:val="en-GB"/>
        </w:rPr>
      </w:pPr>
      <w:r w:rsidRPr="00A309DA">
        <w:rPr>
          <w:rFonts w:ascii="Times New Roman" w:hAnsi="Times New Roman" w:cs="Times New Roman"/>
          <w:b/>
          <w:bCs/>
          <w:lang w:val="en-GB"/>
        </w:rPr>
        <w:t xml:space="preserve">Figure S3 (related to figure 3).   </w:t>
      </w:r>
      <w:r w:rsidRPr="00A309DA">
        <w:rPr>
          <w:rFonts w:ascii="Times New Roman" w:hAnsi="Times New Roman" w:cs="Times New Roman"/>
          <w:b/>
          <w:lang w:val="en-US"/>
        </w:rPr>
        <w:t>(A-D)</w:t>
      </w:r>
      <w:r w:rsidRPr="00A309DA">
        <w:rPr>
          <w:rFonts w:ascii="Times New Roman" w:hAnsi="Times New Roman" w:cs="Times New Roman"/>
          <w:lang w:val="en-US"/>
        </w:rPr>
        <w:t xml:space="preserve"> Plot profile of the mean +/- SEM H3K9me3 enrichment along intact (A) or degenerate (B) and &gt;5kb (C) or &lt;5kb (D) L1Md sequences  +/- 1kb flanking regions in </w:t>
      </w:r>
      <w:r w:rsidRPr="00A309DA">
        <w:rPr>
          <w:rFonts w:ascii="Times New Roman" w:hAnsi="Times New Roman" w:cs="Times New Roman"/>
          <w:i/>
          <w:lang w:val="en-US"/>
        </w:rPr>
        <w:t>Tet2</w:t>
      </w:r>
      <w:r w:rsidRPr="00A309DA">
        <w:rPr>
          <w:rFonts w:ascii="Times New Roman" w:hAnsi="Times New Roman" w:cs="Times New Roman"/>
          <w:i/>
          <w:vertAlign w:val="superscript"/>
          <w:lang w:val="en-US"/>
        </w:rPr>
        <w:t>-/-</w:t>
      </w:r>
      <w:r w:rsidRPr="00A309DA">
        <w:rPr>
          <w:rFonts w:ascii="Times New Roman" w:hAnsi="Times New Roman" w:cs="Times New Roman"/>
          <w:lang w:val="en-US"/>
        </w:rPr>
        <w:t xml:space="preserve">-LPS (red) and </w:t>
      </w:r>
      <w:r w:rsidRPr="00A309DA">
        <w:rPr>
          <w:rFonts w:ascii="Times New Roman" w:hAnsi="Times New Roman" w:cs="Times New Roman"/>
          <w:i/>
          <w:lang w:val="en-US"/>
        </w:rPr>
        <w:t>Tet2</w:t>
      </w:r>
      <w:r w:rsidRPr="00A309DA">
        <w:rPr>
          <w:rFonts w:ascii="Times New Roman" w:hAnsi="Times New Roman" w:cs="Times New Roman"/>
          <w:i/>
          <w:vertAlign w:val="superscript"/>
          <w:lang w:val="en-US"/>
        </w:rPr>
        <w:t xml:space="preserve">-/- </w:t>
      </w:r>
      <w:r w:rsidRPr="00A309DA">
        <w:rPr>
          <w:rFonts w:ascii="Times New Roman" w:hAnsi="Times New Roman" w:cs="Times New Roman"/>
          <w:iCs/>
          <w:lang w:val="en-US"/>
        </w:rPr>
        <w:t>(green)</w:t>
      </w:r>
      <w:r w:rsidRPr="00A309DA">
        <w:rPr>
          <w:rFonts w:ascii="Times New Roman" w:hAnsi="Times New Roman" w:cs="Times New Roman"/>
          <w:i/>
          <w:vertAlign w:val="superscript"/>
          <w:lang w:val="en-US"/>
        </w:rPr>
        <w:t xml:space="preserve"> </w:t>
      </w:r>
      <w:r w:rsidRPr="00A309DA">
        <w:rPr>
          <w:rFonts w:ascii="Times New Roman" w:hAnsi="Times New Roman" w:cs="Times New Roman"/>
          <w:lang w:val="en-US"/>
        </w:rPr>
        <w:t xml:space="preserve">conditions (2 samples per condition). </w:t>
      </w:r>
    </w:p>
    <w:p w14:paraId="1D382841" w14:textId="77777777" w:rsidR="00EE5B0F" w:rsidRPr="00A309DA" w:rsidRDefault="00EE5B0F" w:rsidP="00EE5B0F">
      <w:pPr>
        <w:spacing w:line="480" w:lineRule="auto"/>
        <w:jc w:val="both"/>
        <w:rPr>
          <w:rFonts w:ascii="Times New Roman" w:hAnsi="Times New Roman" w:cs="Times New Roman"/>
          <w:b/>
          <w:lang w:val="en-US"/>
        </w:rPr>
      </w:pPr>
    </w:p>
    <w:p w14:paraId="0E6D0621" w14:textId="77777777" w:rsidR="00EE5B0F" w:rsidRPr="00A309DA" w:rsidRDefault="00EE5B0F" w:rsidP="00EE5B0F">
      <w:pPr>
        <w:spacing w:line="480" w:lineRule="auto"/>
        <w:jc w:val="both"/>
        <w:rPr>
          <w:rFonts w:ascii="Times New Roman" w:hAnsi="Times New Roman" w:cs="Times New Roman"/>
          <w:lang w:val="en-US"/>
        </w:rPr>
      </w:pPr>
      <w:r w:rsidRPr="00A309DA">
        <w:rPr>
          <w:rFonts w:ascii="Times New Roman" w:hAnsi="Times New Roman" w:cs="Times New Roman"/>
          <w:b/>
          <w:lang w:val="en-US"/>
        </w:rPr>
        <w:t>Figure S4 (related to Figure 4):</w:t>
      </w:r>
      <w:r w:rsidRPr="00A309DA">
        <w:rPr>
          <w:rFonts w:ascii="Times New Roman" w:hAnsi="Times New Roman" w:cs="Times New Roman"/>
          <w:lang w:val="en-US"/>
        </w:rPr>
        <w:t xml:space="preserve"> </w:t>
      </w:r>
      <w:r w:rsidRPr="00A309DA">
        <w:rPr>
          <w:rFonts w:ascii="Times New Roman" w:hAnsi="Times New Roman" w:cs="Times New Roman"/>
          <w:b/>
          <w:lang w:val="en-US"/>
        </w:rPr>
        <w:t xml:space="preserve">(A-B) </w:t>
      </w:r>
      <w:r w:rsidRPr="00A309DA">
        <w:rPr>
          <w:rFonts w:ascii="Times New Roman" w:hAnsi="Times New Roman" w:cs="Times New Roman"/>
          <w:lang w:val="en-GB"/>
        </w:rPr>
        <w:t xml:space="preserve">Volcano plot </w:t>
      </w:r>
      <w:r w:rsidRPr="00A309DA">
        <w:rPr>
          <w:rFonts w:ascii="Times New Roman" w:hAnsi="Times New Roman" w:cs="Times New Roman"/>
          <w:lang w:val="en-US"/>
        </w:rPr>
        <w:t xml:space="preserve">of gene expression changes between WT-LPS and WT (A) and between </w:t>
      </w:r>
      <w:r w:rsidRPr="00A309DA">
        <w:rPr>
          <w:rFonts w:ascii="Times New Roman" w:hAnsi="Times New Roman" w:cs="Times New Roman"/>
          <w:i/>
          <w:lang w:val="en-US"/>
        </w:rPr>
        <w:t>Tet2</w:t>
      </w:r>
      <w:r w:rsidRPr="00A309DA">
        <w:rPr>
          <w:rFonts w:ascii="Times New Roman" w:hAnsi="Times New Roman" w:cs="Times New Roman"/>
          <w:i/>
          <w:vertAlign w:val="superscript"/>
          <w:lang w:val="en-US"/>
        </w:rPr>
        <w:t>-/-</w:t>
      </w:r>
      <w:r w:rsidRPr="00A309DA">
        <w:rPr>
          <w:rFonts w:ascii="Times New Roman" w:hAnsi="Times New Roman" w:cs="Times New Roman"/>
          <w:lang w:val="en-US"/>
        </w:rPr>
        <w:t xml:space="preserve">-LPS and </w:t>
      </w:r>
      <w:r w:rsidRPr="00A309DA">
        <w:rPr>
          <w:rFonts w:ascii="Times New Roman" w:hAnsi="Times New Roman" w:cs="Times New Roman"/>
          <w:i/>
          <w:lang w:val="en-US"/>
        </w:rPr>
        <w:t>Tet2</w:t>
      </w:r>
      <w:r w:rsidRPr="00A309DA">
        <w:rPr>
          <w:rFonts w:ascii="Times New Roman" w:hAnsi="Times New Roman" w:cs="Times New Roman"/>
          <w:i/>
          <w:vertAlign w:val="superscript"/>
          <w:lang w:val="en-US"/>
        </w:rPr>
        <w:t xml:space="preserve">-/- </w:t>
      </w:r>
      <w:r w:rsidRPr="00A309DA">
        <w:rPr>
          <w:rFonts w:ascii="Times New Roman" w:hAnsi="Times New Roman" w:cs="Times New Roman"/>
          <w:lang w:val="en-US"/>
        </w:rPr>
        <w:t>(B)</w:t>
      </w:r>
      <w:r w:rsidRPr="00A309DA">
        <w:rPr>
          <w:rFonts w:ascii="Times New Roman" w:hAnsi="Times New Roman" w:cs="Times New Roman"/>
          <w:i/>
          <w:vertAlign w:val="superscript"/>
          <w:lang w:val="en-US"/>
        </w:rPr>
        <w:t xml:space="preserve"> </w:t>
      </w:r>
      <w:r w:rsidRPr="00A309DA">
        <w:rPr>
          <w:rFonts w:ascii="Times New Roman" w:hAnsi="Times New Roman" w:cs="Times New Roman"/>
          <w:lang w:val="en-US"/>
        </w:rPr>
        <w:t>conditions.</w:t>
      </w:r>
      <w:r w:rsidRPr="00A309DA">
        <w:rPr>
          <w:rFonts w:ascii="Times New Roman" w:hAnsi="Times New Roman" w:cs="Times New Roman"/>
          <w:b/>
          <w:bCs/>
          <w:lang w:val="en-GB"/>
        </w:rPr>
        <w:t xml:space="preserve"> </w:t>
      </w:r>
      <w:r w:rsidRPr="00A309DA">
        <w:rPr>
          <w:rFonts w:ascii="Times New Roman" w:hAnsi="Times New Roman" w:cs="Times New Roman"/>
          <w:lang w:val="en-US"/>
        </w:rPr>
        <w:t>The vertical axis represents the –log10(pValue) and the horizontal axis the log2 fold change (FC). Genes presenting a significant (</w:t>
      </w:r>
      <w:r w:rsidRPr="00A309DA">
        <w:rPr>
          <w:rFonts w:ascii="Times New Roman" w:hAnsi="Times New Roman" w:cs="Times New Roman"/>
          <w:i/>
          <w:iCs/>
          <w:lang w:val="en-US"/>
        </w:rPr>
        <w:t xml:space="preserve">p&lt;0.05, 0.9&lt;FC&lt;1.1) </w:t>
      </w:r>
      <w:r w:rsidRPr="00A309DA">
        <w:rPr>
          <w:rFonts w:ascii="Times New Roman" w:hAnsi="Times New Roman" w:cs="Times New Roman"/>
          <w:lang w:val="en-US"/>
        </w:rPr>
        <w:t>increase (red) or decrease (green) expression are shown.</w:t>
      </w:r>
      <w:r w:rsidRPr="00A309DA">
        <w:rPr>
          <w:rFonts w:ascii="Times New Roman" w:hAnsi="Times New Roman" w:cs="Times New Roman"/>
          <w:b/>
          <w:bCs/>
          <w:lang w:val="en-GB"/>
        </w:rPr>
        <w:t xml:space="preserve"> (C-D) </w:t>
      </w:r>
      <w:r w:rsidRPr="00A309DA">
        <w:rPr>
          <w:rFonts w:ascii="Times New Roman" w:hAnsi="Times New Roman" w:cs="Times New Roman"/>
          <w:bCs/>
          <w:lang w:val="en-GB"/>
        </w:rPr>
        <w:t>Venn diagram of DEGs (</w:t>
      </w:r>
      <w:r w:rsidRPr="00A309DA">
        <w:rPr>
          <w:rFonts w:ascii="Times New Roman" w:hAnsi="Times New Roman" w:cs="Times New Roman"/>
          <w:i/>
          <w:iCs/>
          <w:lang w:val="en-US"/>
        </w:rPr>
        <w:t>p&lt;0.05, 0.9&lt;FC&lt;1.1</w:t>
      </w:r>
      <w:r w:rsidRPr="00A309DA">
        <w:rPr>
          <w:rFonts w:ascii="Times New Roman" w:hAnsi="Times New Roman" w:cs="Times New Roman"/>
          <w:bCs/>
          <w:lang w:val="en-GB"/>
        </w:rPr>
        <w:t xml:space="preserve">) observed between WT-LPS vs WT and </w:t>
      </w:r>
      <w:r w:rsidRPr="00A309DA">
        <w:rPr>
          <w:rFonts w:ascii="Times New Roman" w:hAnsi="Times New Roman" w:cs="Times New Roman"/>
          <w:i/>
          <w:lang w:val="en-US"/>
        </w:rPr>
        <w:t>Tet2</w:t>
      </w:r>
      <w:r w:rsidRPr="00A309DA">
        <w:rPr>
          <w:rFonts w:ascii="Times New Roman" w:hAnsi="Times New Roman" w:cs="Times New Roman"/>
          <w:i/>
          <w:vertAlign w:val="superscript"/>
          <w:lang w:val="en-US"/>
        </w:rPr>
        <w:t>-/-</w:t>
      </w:r>
      <w:r w:rsidRPr="00A309DA">
        <w:rPr>
          <w:rFonts w:ascii="Times New Roman" w:hAnsi="Times New Roman" w:cs="Times New Roman"/>
          <w:lang w:val="en-US"/>
        </w:rPr>
        <w:t xml:space="preserve">-LPS vs </w:t>
      </w:r>
      <w:r w:rsidRPr="00A309DA">
        <w:rPr>
          <w:rFonts w:ascii="Times New Roman" w:hAnsi="Times New Roman" w:cs="Times New Roman"/>
          <w:i/>
          <w:lang w:val="en-US"/>
        </w:rPr>
        <w:t>Tet2</w:t>
      </w:r>
      <w:r w:rsidRPr="00A309DA">
        <w:rPr>
          <w:rFonts w:ascii="Times New Roman" w:hAnsi="Times New Roman" w:cs="Times New Roman"/>
          <w:i/>
          <w:vertAlign w:val="superscript"/>
          <w:lang w:val="en-US"/>
        </w:rPr>
        <w:t>-/-</w:t>
      </w:r>
      <w:r w:rsidRPr="00A309DA">
        <w:rPr>
          <w:rFonts w:ascii="Times New Roman" w:hAnsi="Times New Roman" w:cs="Times New Roman"/>
          <w:bCs/>
          <w:lang w:val="en-GB"/>
        </w:rPr>
        <w:t xml:space="preserve">comparisons. In (C), all DEGs are shown, regardless of the direction of change and in (D), the genes have been separated according to the direction of change observed upon LPS treatment, with colours indicating the number of genes inversely (red) or commonly (green) deregulated in WT and </w:t>
      </w:r>
      <w:r w:rsidRPr="00A309DA">
        <w:rPr>
          <w:rFonts w:ascii="Times New Roman" w:hAnsi="Times New Roman" w:cs="Times New Roman"/>
          <w:i/>
          <w:lang w:val="en-US"/>
        </w:rPr>
        <w:t>Tet2</w:t>
      </w:r>
      <w:r w:rsidRPr="00A309DA">
        <w:rPr>
          <w:rFonts w:ascii="Times New Roman" w:hAnsi="Times New Roman" w:cs="Times New Roman"/>
          <w:i/>
          <w:vertAlign w:val="superscript"/>
          <w:lang w:val="en-US"/>
        </w:rPr>
        <w:t>-/-</w:t>
      </w:r>
      <w:r w:rsidRPr="00A309DA">
        <w:rPr>
          <w:rFonts w:ascii="Times New Roman" w:hAnsi="Times New Roman" w:cs="Times New Roman"/>
          <w:bCs/>
          <w:lang w:val="en-GB"/>
        </w:rPr>
        <w:t xml:space="preserve"> HSCs. </w:t>
      </w:r>
      <w:r w:rsidRPr="00A309DA">
        <w:rPr>
          <w:rFonts w:ascii="Times New Roman" w:hAnsi="Times New Roman" w:cs="Times New Roman"/>
          <w:b/>
          <w:bCs/>
          <w:lang w:val="en-GB"/>
        </w:rPr>
        <w:t xml:space="preserve">(E-F) </w:t>
      </w:r>
      <w:r>
        <w:rPr>
          <w:rFonts w:ascii="Times New Roman" w:hAnsi="Times New Roman" w:cs="Times New Roman"/>
          <w:bCs/>
          <w:lang w:val="en-GB"/>
        </w:rPr>
        <w:t>V</w:t>
      </w:r>
      <w:r w:rsidRPr="00A309DA">
        <w:rPr>
          <w:rFonts w:ascii="Times New Roman" w:hAnsi="Times New Roman" w:cs="Times New Roman"/>
          <w:bCs/>
          <w:lang w:val="en-GB"/>
        </w:rPr>
        <w:t xml:space="preserve">iolin plot representing </w:t>
      </w:r>
      <w:r>
        <w:rPr>
          <w:rFonts w:ascii="Times New Roman" w:hAnsi="Times New Roman" w:cs="Times New Roman"/>
          <w:bCs/>
          <w:lang w:val="en-GB"/>
        </w:rPr>
        <w:t xml:space="preserve">expression of the indicated </w:t>
      </w:r>
      <w:r w:rsidRPr="00A309DA">
        <w:rPr>
          <w:rFonts w:ascii="Times New Roman" w:hAnsi="Times New Roman" w:cs="Times New Roman"/>
          <w:bCs/>
          <w:lang w:val="en-GB"/>
        </w:rPr>
        <w:t>L1 subfamilies</w:t>
      </w:r>
      <w:r>
        <w:rPr>
          <w:rFonts w:ascii="Times New Roman" w:hAnsi="Times New Roman" w:cs="Times New Roman"/>
          <w:bCs/>
          <w:lang w:val="en-GB"/>
        </w:rPr>
        <w:t xml:space="preserve"> which are d</w:t>
      </w:r>
      <w:r w:rsidRPr="00A309DA">
        <w:rPr>
          <w:rFonts w:ascii="Times New Roman" w:hAnsi="Times New Roman" w:cs="Times New Roman"/>
          <w:bCs/>
          <w:lang w:val="en-GB"/>
        </w:rPr>
        <w:t xml:space="preserve">ifferentially expressed </w:t>
      </w:r>
      <w:r>
        <w:rPr>
          <w:rFonts w:ascii="Times New Roman" w:hAnsi="Times New Roman" w:cs="Times New Roman"/>
          <w:bCs/>
          <w:lang w:val="en-GB"/>
        </w:rPr>
        <w:t xml:space="preserve">(p&lt;0.05) </w:t>
      </w:r>
      <w:r w:rsidRPr="00A309DA">
        <w:rPr>
          <w:rFonts w:ascii="Times New Roman" w:hAnsi="Times New Roman" w:cs="Times New Roman"/>
          <w:bCs/>
          <w:lang w:val="en-GB"/>
        </w:rPr>
        <w:t xml:space="preserve">in WT-LPS vs WT (E) and </w:t>
      </w:r>
      <w:r w:rsidRPr="00A309DA">
        <w:rPr>
          <w:rFonts w:ascii="Times New Roman" w:hAnsi="Times New Roman" w:cs="Times New Roman"/>
          <w:i/>
          <w:lang w:val="en-US"/>
        </w:rPr>
        <w:t>Tet2</w:t>
      </w:r>
      <w:r w:rsidRPr="00A309DA">
        <w:rPr>
          <w:rFonts w:ascii="Times New Roman" w:hAnsi="Times New Roman" w:cs="Times New Roman"/>
          <w:i/>
          <w:vertAlign w:val="superscript"/>
          <w:lang w:val="en-US"/>
        </w:rPr>
        <w:t>-/-</w:t>
      </w:r>
      <w:r w:rsidRPr="00A309DA">
        <w:rPr>
          <w:rFonts w:ascii="Times New Roman" w:hAnsi="Times New Roman" w:cs="Times New Roman"/>
          <w:lang w:val="en-US"/>
        </w:rPr>
        <w:t xml:space="preserve">-LPS vs </w:t>
      </w:r>
      <w:r w:rsidRPr="00A309DA">
        <w:rPr>
          <w:rFonts w:ascii="Times New Roman" w:hAnsi="Times New Roman" w:cs="Times New Roman"/>
          <w:i/>
          <w:lang w:val="en-US"/>
        </w:rPr>
        <w:t>Tet2</w:t>
      </w:r>
      <w:r w:rsidRPr="00A309DA">
        <w:rPr>
          <w:rFonts w:ascii="Times New Roman" w:hAnsi="Times New Roman" w:cs="Times New Roman"/>
          <w:i/>
          <w:vertAlign w:val="superscript"/>
          <w:lang w:val="en-US"/>
        </w:rPr>
        <w:t>-/-</w:t>
      </w:r>
      <w:r w:rsidRPr="00A309DA">
        <w:rPr>
          <w:rFonts w:ascii="Times New Roman" w:hAnsi="Times New Roman" w:cs="Times New Roman"/>
          <w:lang w:val="en-US"/>
        </w:rPr>
        <w:t xml:space="preserve"> </w:t>
      </w:r>
      <w:r w:rsidRPr="00A309DA">
        <w:rPr>
          <w:rFonts w:ascii="Times New Roman" w:hAnsi="Times New Roman" w:cs="Times New Roman"/>
          <w:bCs/>
          <w:lang w:val="en-GB"/>
        </w:rPr>
        <w:t>(F) conditions.</w:t>
      </w:r>
    </w:p>
    <w:p w14:paraId="0790E287" w14:textId="77777777" w:rsidR="00EE5B0F" w:rsidRPr="00A309DA" w:rsidRDefault="00EE5B0F" w:rsidP="00EE5B0F">
      <w:pPr>
        <w:spacing w:line="480" w:lineRule="auto"/>
        <w:jc w:val="both"/>
        <w:rPr>
          <w:rFonts w:ascii="Times New Roman" w:hAnsi="Times New Roman" w:cs="Times New Roman"/>
          <w:bCs/>
          <w:lang w:val="en-GB"/>
        </w:rPr>
      </w:pPr>
    </w:p>
    <w:p w14:paraId="5C4F13E8" w14:textId="77777777" w:rsidR="00EE5B0F" w:rsidRPr="00A309DA" w:rsidRDefault="00EE5B0F" w:rsidP="00EE5B0F">
      <w:pPr>
        <w:widowControl w:val="0"/>
        <w:autoSpaceDE w:val="0"/>
        <w:autoSpaceDN w:val="0"/>
        <w:adjustRightInd w:val="0"/>
        <w:spacing w:after="240" w:line="480" w:lineRule="auto"/>
        <w:jc w:val="both"/>
        <w:rPr>
          <w:rFonts w:ascii="Times New Roman" w:hAnsi="Times New Roman" w:cs="Times New Roman"/>
          <w:b/>
          <w:bCs/>
          <w:lang w:val="en-GB"/>
        </w:rPr>
      </w:pPr>
      <w:r w:rsidRPr="00A309DA">
        <w:rPr>
          <w:rFonts w:ascii="Times New Roman" w:hAnsi="Times New Roman" w:cs="Times New Roman"/>
          <w:b/>
          <w:lang w:val="en-US"/>
        </w:rPr>
        <w:t xml:space="preserve">Figure S5 (related to Figure 6). </w:t>
      </w:r>
      <w:r w:rsidRPr="00A309DA">
        <w:rPr>
          <w:rFonts w:ascii="Times New Roman" w:hAnsi="Times New Roman" w:cs="Times New Roman"/>
          <w:b/>
          <w:bCs/>
          <w:lang w:val="en-GB"/>
        </w:rPr>
        <w:t xml:space="preserve">(A) </w:t>
      </w:r>
      <w:r w:rsidRPr="00A309DA">
        <w:rPr>
          <w:rFonts w:ascii="Times New Roman" w:hAnsi="Times New Roman" w:cs="Times New Roman"/>
          <w:lang w:val="en-US"/>
        </w:rPr>
        <w:t xml:space="preserve">Experimental design for reconstitution experiments using BM from mice treated with PBS (WT) or LPS (WT-LPS) every two days for 30 days; BMMC, bone marrow mononuclear cells. </w:t>
      </w:r>
      <w:r w:rsidRPr="00A309DA">
        <w:rPr>
          <w:rFonts w:ascii="Times New Roman" w:hAnsi="Times New Roman" w:cs="Times New Roman"/>
          <w:b/>
          <w:lang w:val="en-US"/>
        </w:rPr>
        <w:t>(B)</w:t>
      </w:r>
      <w:r w:rsidRPr="00A309DA">
        <w:rPr>
          <w:rFonts w:ascii="Times New Roman" w:hAnsi="Times New Roman" w:cs="Times New Roman"/>
          <w:lang w:val="en-US"/>
        </w:rPr>
        <w:t xml:space="preserve"> Percentage of CD45.2 donor contribution in blood in mice transplanted with WT or WT-LPS cells 5 months after reconstitution. </w:t>
      </w:r>
      <w:r w:rsidRPr="00A309DA">
        <w:rPr>
          <w:rFonts w:ascii="Times New Roman" w:hAnsi="Times New Roman" w:cs="Times New Roman"/>
          <w:b/>
          <w:lang w:val="en-US"/>
        </w:rPr>
        <w:t>(C-D)</w:t>
      </w:r>
      <w:r w:rsidRPr="00A309DA">
        <w:rPr>
          <w:rFonts w:ascii="Times New Roman" w:hAnsi="Times New Roman" w:cs="Times New Roman"/>
          <w:lang w:val="en-US"/>
        </w:rPr>
        <w:t xml:space="preserve"> Percentage of LSK CD45.2+ (C) or LSK CD34- Flk2- CD45.2+ (HSC) (D) donor contribution in BM 5 months after reconstitution. 5 mice per group. Mann Whitney test *p&lt;0.05. </w:t>
      </w:r>
      <w:r w:rsidRPr="00A309DA">
        <w:rPr>
          <w:rFonts w:ascii="Times New Roman" w:hAnsi="Times New Roman" w:cs="Times New Roman"/>
          <w:b/>
          <w:lang w:val="en-US"/>
        </w:rPr>
        <w:t xml:space="preserve">(E) </w:t>
      </w:r>
      <w:r w:rsidRPr="00A309DA">
        <w:rPr>
          <w:rFonts w:ascii="Times New Roman" w:hAnsi="Times New Roman" w:cs="Times New Roman"/>
          <w:lang w:val="en-US"/>
        </w:rPr>
        <w:t xml:space="preserve">Percentage of CD45.2 cells in </w:t>
      </w:r>
      <w:r w:rsidRPr="00A309DA">
        <w:rPr>
          <w:rFonts w:ascii="Times New Roman" w:hAnsi="Times New Roman" w:cs="Times New Roman"/>
          <w:lang w:val="en-US"/>
        </w:rPr>
        <w:lastRenderedPageBreak/>
        <w:t xml:space="preserve">blood after LPS treatment in mice engrafted with 10% WT or </w:t>
      </w:r>
      <w:r w:rsidRPr="00A309DA">
        <w:rPr>
          <w:rFonts w:ascii="Times New Roman" w:hAnsi="Times New Roman" w:cs="Times New Roman"/>
          <w:i/>
          <w:lang w:val="en-US"/>
        </w:rPr>
        <w:t>Tet2</w:t>
      </w:r>
      <w:r w:rsidRPr="00A309DA">
        <w:rPr>
          <w:rFonts w:ascii="Times New Roman" w:hAnsi="Times New Roman" w:cs="Times New Roman"/>
          <w:i/>
          <w:vertAlign w:val="superscript"/>
          <w:lang w:val="en-US"/>
        </w:rPr>
        <w:t>-/-</w:t>
      </w:r>
      <w:r w:rsidRPr="00A309DA">
        <w:rPr>
          <w:rFonts w:ascii="Times New Roman" w:hAnsi="Times New Roman" w:cs="Times New Roman"/>
          <w:vertAlign w:val="superscript"/>
          <w:lang w:val="en-US"/>
        </w:rPr>
        <w:t xml:space="preserve"> </w:t>
      </w:r>
      <w:r w:rsidRPr="00A309DA">
        <w:rPr>
          <w:rFonts w:ascii="Times New Roman" w:hAnsi="Times New Roman" w:cs="Times New Roman"/>
          <w:lang w:val="en-US"/>
        </w:rPr>
        <w:t>BM cells 3 months after the end of the treatment. 4-5 mice per group in 2 independent experiments. One-way ANOVA with Tukey’s multiple comparison test.</w:t>
      </w:r>
    </w:p>
    <w:p w14:paraId="60BB9454" w14:textId="77777777" w:rsidR="00EE5B0F" w:rsidRPr="00A309DA" w:rsidRDefault="00EE5B0F" w:rsidP="00EE5B0F">
      <w:pPr>
        <w:spacing w:line="480" w:lineRule="auto"/>
        <w:jc w:val="both"/>
        <w:rPr>
          <w:rFonts w:ascii="Times New Roman" w:hAnsi="Times New Roman" w:cs="Times New Roman"/>
          <w:b/>
          <w:bCs/>
          <w:lang w:val="en-GB"/>
        </w:rPr>
      </w:pPr>
      <w:r w:rsidRPr="00A309DA">
        <w:rPr>
          <w:rFonts w:ascii="Times New Roman" w:hAnsi="Times New Roman" w:cs="Times New Roman"/>
          <w:b/>
          <w:lang w:val="en-US"/>
        </w:rPr>
        <w:t>Figure S6 (related to Figure 7).</w:t>
      </w:r>
    </w:p>
    <w:p w14:paraId="17364DAF" w14:textId="77777777" w:rsidR="00EE5B0F" w:rsidRDefault="00EE5B0F" w:rsidP="00EE5B0F">
      <w:pPr>
        <w:widowControl w:val="0"/>
        <w:autoSpaceDE w:val="0"/>
        <w:autoSpaceDN w:val="0"/>
        <w:adjustRightInd w:val="0"/>
        <w:spacing w:after="240" w:line="480" w:lineRule="auto"/>
        <w:jc w:val="both"/>
        <w:rPr>
          <w:rFonts w:ascii="Times New Roman" w:hAnsi="Times New Roman" w:cs="Times New Roman"/>
          <w:lang w:val="en-US"/>
        </w:rPr>
      </w:pPr>
      <w:r w:rsidRPr="00A309DA">
        <w:rPr>
          <w:rFonts w:ascii="Times New Roman" w:hAnsi="Times New Roman" w:cs="Times New Roman"/>
          <w:b/>
          <w:lang w:val="en-US"/>
        </w:rPr>
        <w:t xml:space="preserve">(A) </w:t>
      </w:r>
      <w:r w:rsidRPr="00A309DA">
        <w:rPr>
          <w:rFonts w:ascii="Times New Roman" w:hAnsi="Times New Roman" w:cs="Times New Roman"/>
          <w:lang w:val="en-US"/>
        </w:rPr>
        <w:t xml:space="preserve">Gating strategy for studying </w:t>
      </w:r>
      <w:r>
        <w:rPr>
          <w:rFonts w:ascii="Times New Roman" w:hAnsi="Times New Roman" w:cs="Times New Roman"/>
          <w:lang w:val="en-US"/>
        </w:rPr>
        <w:t xml:space="preserve">the competition between </w:t>
      </w:r>
      <w:r w:rsidRPr="00A309DA">
        <w:rPr>
          <w:rFonts w:ascii="Times New Roman" w:hAnsi="Times New Roman" w:cs="Times New Roman"/>
          <w:i/>
          <w:lang w:val="en-US"/>
        </w:rPr>
        <w:t>Tet2</w:t>
      </w:r>
      <w:r w:rsidRPr="00A309DA">
        <w:rPr>
          <w:rFonts w:ascii="Times New Roman" w:hAnsi="Times New Roman" w:cs="Times New Roman"/>
          <w:i/>
          <w:vertAlign w:val="superscript"/>
          <w:lang w:val="en-US"/>
        </w:rPr>
        <w:t>-/-</w:t>
      </w:r>
      <w:r w:rsidRPr="00A309DA">
        <w:rPr>
          <w:rFonts w:ascii="Times New Roman" w:hAnsi="Times New Roman" w:cs="Times New Roman"/>
          <w:bCs/>
          <w:lang w:val="en-GB"/>
        </w:rPr>
        <w:t xml:space="preserve"> </w:t>
      </w:r>
      <w:r>
        <w:rPr>
          <w:rFonts w:ascii="Times New Roman" w:hAnsi="Times New Roman" w:cs="Times New Roman"/>
          <w:bCs/>
          <w:lang w:val="en-GB"/>
        </w:rPr>
        <w:t xml:space="preserve">cells transduced with an </w:t>
      </w:r>
      <w:r w:rsidRPr="00A309DA">
        <w:rPr>
          <w:rFonts w:ascii="Times New Roman" w:hAnsi="Times New Roman" w:cs="Times New Roman"/>
          <w:lang w:val="en-US"/>
        </w:rPr>
        <w:t>sh-control</w:t>
      </w:r>
      <w:r>
        <w:rPr>
          <w:rFonts w:ascii="Times New Roman" w:hAnsi="Times New Roman" w:cs="Times New Roman"/>
          <w:lang w:val="en-US"/>
        </w:rPr>
        <w:t xml:space="preserve">-GFP </w:t>
      </w:r>
      <w:r>
        <w:rPr>
          <w:rFonts w:ascii="Times New Roman" w:hAnsi="Times New Roman" w:cs="Times New Roman"/>
          <w:bCs/>
          <w:lang w:val="en-GB"/>
        </w:rPr>
        <w:t xml:space="preserve">and WT HSCs (CD34- low) transduced with </w:t>
      </w:r>
      <w:r>
        <w:rPr>
          <w:rFonts w:ascii="Times New Roman" w:hAnsi="Times New Roman" w:cs="Times New Roman"/>
          <w:lang w:val="en-US"/>
        </w:rPr>
        <w:t>an sh-control-mCherry or</w:t>
      </w:r>
      <w:r w:rsidRPr="00A309DA">
        <w:rPr>
          <w:rFonts w:ascii="Times New Roman" w:hAnsi="Times New Roman" w:cs="Times New Roman"/>
          <w:lang w:val="en-US"/>
        </w:rPr>
        <w:t xml:space="preserve"> sh-LINE</w:t>
      </w:r>
      <w:r>
        <w:rPr>
          <w:rFonts w:ascii="Times New Roman" w:hAnsi="Times New Roman" w:cs="Times New Roman"/>
          <w:lang w:val="en-US"/>
        </w:rPr>
        <w:t xml:space="preserve">-mcherry in the presence or absence of LPS during 3 days in liquid culture in vitro. </w:t>
      </w:r>
      <w:r>
        <w:rPr>
          <w:rFonts w:ascii="Times New Roman" w:hAnsi="Times New Roman" w:cs="Times New Roman"/>
          <w:b/>
          <w:lang w:val="en-US"/>
        </w:rPr>
        <w:t>(B</w:t>
      </w:r>
      <w:r w:rsidRPr="00A309DA">
        <w:rPr>
          <w:rFonts w:ascii="Times New Roman" w:hAnsi="Times New Roman" w:cs="Times New Roman"/>
          <w:b/>
          <w:lang w:val="en-US"/>
        </w:rPr>
        <w:t xml:space="preserve">) </w:t>
      </w:r>
      <w:r w:rsidRPr="00A309DA">
        <w:rPr>
          <w:rFonts w:ascii="Times New Roman" w:hAnsi="Times New Roman" w:cs="Times New Roman"/>
          <w:lang w:val="en-US"/>
        </w:rPr>
        <w:t xml:space="preserve">Gating strategy for studying </w:t>
      </w:r>
      <w:r>
        <w:rPr>
          <w:rFonts w:ascii="Times New Roman" w:hAnsi="Times New Roman" w:cs="Times New Roman"/>
          <w:lang w:val="en-US"/>
        </w:rPr>
        <w:t xml:space="preserve">the competition between </w:t>
      </w:r>
      <w:r w:rsidRPr="00A309DA">
        <w:rPr>
          <w:rFonts w:ascii="Times New Roman" w:hAnsi="Times New Roman" w:cs="Times New Roman"/>
          <w:i/>
          <w:lang w:val="en-US"/>
        </w:rPr>
        <w:t>Tet2</w:t>
      </w:r>
      <w:r w:rsidRPr="00A309DA">
        <w:rPr>
          <w:rFonts w:ascii="Times New Roman" w:hAnsi="Times New Roman" w:cs="Times New Roman"/>
          <w:i/>
          <w:vertAlign w:val="superscript"/>
          <w:lang w:val="en-US"/>
        </w:rPr>
        <w:t>-/-</w:t>
      </w:r>
      <w:r w:rsidRPr="00A309DA">
        <w:rPr>
          <w:rFonts w:ascii="Times New Roman" w:hAnsi="Times New Roman" w:cs="Times New Roman"/>
          <w:bCs/>
          <w:lang w:val="en-GB"/>
        </w:rPr>
        <w:t xml:space="preserve"> </w:t>
      </w:r>
      <w:r>
        <w:rPr>
          <w:rFonts w:ascii="Times New Roman" w:hAnsi="Times New Roman" w:cs="Times New Roman"/>
          <w:bCs/>
          <w:lang w:val="en-GB"/>
        </w:rPr>
        <w:t xml:space="preserve">cells transduced with an </w:t>
      </w:r>
      <w:r w:rsidRPr="00A309DA">
        <w:rPr>
          <w:rFonts w:ascii="Times New Roman" w:hAnsi="Times New Roman" w:cs="Times New Roman"/>
          <w:lang w:val="en-US"/>
        </w:rPr>
        <w:t>sh-control</w:t>
      </w:r>
      <w:r>
        <w:rPr>
          <w:rFonts w:ascii="Times New Roman" w:hAnsi="Times New Roman" w:cs="Times New Roman"/>
          <w:lang w:val="en-US"/>
        </w:rPr>
        <w:t>-GFP</w:t>
      </w:r>
      <w:r>
        <w:rPr>
          <w:rFonts w:ascii="Times New Roman" w:hAnsi="Times New Roman" w:cs="Times New Roman"/>
          <w:bCs/>
          <w:lang w:val="en-GB"/>
        </w:rPr>
        <w:t xml:space="preserve"> and WT cells transduced with </w:t>
      </w:r>
      <w:r>
        <w:rPr>
          <w:rFonts w:ascii="Times New Roman" w:hAnsi="Times New Roman" w:cs="Times New Roman"/>
          <w:lang w:val="en-US"/>
        </w:rPr>
        <w:t>an sh-control-mCherry or</w:t>
      </w:r>
      <w:r w:rsidRPr="00A309DA">
        <w:rPr>
          <w:rFonts w:ascii="Times New Roman" w:hAnsi="Times New Roman" w:cs="Times New Roman"/>
          <w:lang w:val="en-US"/>
        </w:rPr>
        <w:t xml:space="preserve"> sh-LINE</w:t>
      </w:r>
      <w:r>
        <w:rPr>
          <w:rFonts w:ascii="Times New Roman" w:hAnsi="Times New Roman" w:cs="Times New Roman"/>
          <w:lang w:val="en-US"/>
        </w:rPr>
        <w:t xml:space="preserve">-mcherry in the peripheral blood of CD45.2 recipient mice before (T-1) or 3 months after LPS or PBS treatment. </w:t>
      </w:r>
    </w:p>
    <w:p w14:paraId="640F1C37"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B0F"/>
    <w:rsid w:val="002E281E"/>
    <w:rsid w:val="003201BB"/>
    <w:rsid w:val="007A7D10"/>
    <w:rsid w:val="00865217"/>
    <w:rsid w:val="00EE5B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3B63E"/>
  <w15:chartTrackingRefBased/>
  <w15:docId w15:val="{A0F34515-7A17-4F5F-8660-28A80D085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5B0F"/>
    <w:pPr>
      <w:spacing w:after="0" w:line="240" w:lineRule="auto"/>
    </w:pPr>
    <w:rPr>
      <w:rFonts w:eastAsiaTheme="minorEastAsia"/>
      <w:kern w:val="0"/>
      <w:lang w:val="fr-FR" w:eastAsia="fr-FR"/>
      <w14:ligatures w14:val="none"/>
    </w:rPr>
  </w:style>
  <w:style w:type="paragraph" w:styleId="Heading1">
    <w:name w:val="heading 1"/>
    <w:basedOn w:val="Normal"/>
    <w:next w:val="Normal"/>
    <w:link w:val="Heading1Char"/>
    <w:uiPriority w:val="9"/>
    <w:qFormat/>
    <w:rsid w:val="00EE5B0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EE5B0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EE5B0F"/>
    <w:pPr>
      <w:keepNext/>
      <w:keepLines/>
      <w:spacing w:before="160" w:after="80" w:line="278" w:lineRule="auto"/>
      <w:outlineLvl w:val="2"/>
    </w:pPr>
    <w:rPr>
      <w:rFonts w:eastAsiaTheme="majorEastAsia"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EE5B0F"/>
    <w:pPr>
      <w:keepNext/>
      <w:keepLines/>
      <w:spacing w:before="80" w:after="40" w:line="278" w:lineRule="auto"/>
      <w:outlineLvl w:val="3"/>
    </w:pPr>
    <w:rPr>
      <w:rFonts w:eastAsiaTheme="majorEastAsia"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EE5B0F"/>
    <w:pPr>
      <w:keepNext/>
      <w:keepLines/>
      <w:spacing w:before="80" w:after="40" w:line="278" w:lineRule="auto"/>
      <w:outlineLvl w:val="4"/>
    </w:pPr>
    <w:rPr>
      <w:rFonts w:eastAsiaTheme="majorEastAsia"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EE5B0F"/>
    <w:pPr>
      <w:keepNext/>
      <w:keepLines/>
      <w:spacing w:before="40" w:line="278" w:lineRule="auto"/>
      <w:outlineLvl w:val="5"/>
    </w:pPr>
    <w:rPr>
      <w:rFonts w:eastAsiaTheme="majorEastAsia"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EE5B0F"/>
    <w:pPr>
      <w:keepNext/>
      <w:keepLines/>
      <w:spacing w:before="40" w:line="278" w:lineRule="auto"/>
      <w:outlineLvl w:val="6"/>
    </w:pPr>
    <w:rPr>
      <w:rFonts w:eastAsiaTheme="majorEastAsia"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EE5B0F"/>
    <w:pPr>
      <w:keepNext/>
      <w:keepLines/>
      <w:spacing w:line="278" w:lineRule="auto"/>
      <w:outlineLvl w:val="7"/>
    </w:pPr>
    <w:rPr>
      <w:rFonts w:eastAsiaTheme="majorEastAsia"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EE5B0F"/>
    <w:pPr>
      <w:keepNext/>
      <w:keepLines/>
      <w:spacing w:line="278" w:lineRule="auto"/>
      <w:outlineLvl w:val="8"/>
    </w:pPr>
    <w:rPr>
      <w:rFonts w:eastAsiaTheme="majorEastAsia"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5B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5B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5B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5B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5B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5B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5B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5B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5B0F"/>
    <w:rPr>
      <w:rFonts w:eastAsiaTheme="majorEastAsia" w:cstheme="majorBidi"/>
      <w:color w:val="272727" w:themeColor="text1" w:themeTint="D8"/>
    </w:rPr>
  </w:style>
  <w:style w:type="paragraph" w:styleId="Title">
    <w:name w:val="Title"/>
    <w:basedOn w:val="Normal"/>
    <w:next w:val="Normal"/>
    <w:link w:val="TitleChar"/>
    <w:uiPriority w:val="10"/>
    <w:qFormat/>
    <w:rsid w:val="00EE5B0F"/>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EE5B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5B0F"/>
    <w:pPr>
      <w:numPr>
        <w:ilvl w:val="1"/>
      </w:numPr>
      <w:spacing w:after="160" w:line="278" w:lineRule="auto"/>
    </w:pPr>
    <w:rPr>
      <w:rFonts w:eastAsiaTheme="majorEastAsia"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EE5B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5B0F"/>
    <w:pPr>
      <w:spacing w:before="160" w:after="160" w:line="278" w:lineRule="auto"/>
      <w:jc w:val="center"/>
    </w:pPr>
    <w:rPr>
      <w:rFonts w:eastAsiaTheme="minorHAns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EE5B0F"/>
    <w:rPr>
      <w:i/>
      <w:iCs/>
      <w:color w:val="404040" w:themeColor="text1" w:themeTint="BF"/>
    </w:rPr>
  </w:style>
  <w:style w:type="paragraph" w:styleId="ListParagraph">
    <w:name w:val="List Paragraph"/>
    <w:basedOn w:val="Normal"/>
    <w:uiPriority w:val="34"/>
    <w:qFormat/>
    <w:rsid w:val="00EE5B0F"/>
    <w:pPr>
      <w:spacing w:after="160" w:line="278" w:lineRule="auto"/>
      <w:ind w:left="720"/>
      <w:contextualSpacing/>
    </w:pPr>
    <w:rPr>
      <w:rFonts w:eastAsiaTheme="minorHAnsi"/>
      <w:kern w:val="2"/>
      <w:lang w:val="en-US" w:eastAsia="en-US"/>
      <w14:ligatures w14:val="standardContextual"/>
    </w:rPr>
  </w:style>
  <w:style w:type="character" w:styleId="IntenseEmphasis">
    <w:name w:val="Intense Emphasis"/>
    <w:basedOn w:val="DefaultParagraphFont"/>
    <w:uiPriority w:val="21"/>
    <w:qFormat/>
    <w:rsid w:val="00EE5B0F"/>
    <w:rPr>
      <w:i/>
      <w:iCs/>
      <w:color w:val="0F4761" w:themeColor="accent1" w:themeShade="BF"/>
    </w:rPr>
  </w:style>
  <w:style w:type="paragraph" w:styleId="IntenseQuote">
    <w:name w:val="Intense Quote"/>
    <w:basedOn w:val="Normal"/>
    <w:next w:val="Normal"/>
    <w:link w:val="IntenseQuoteChar"/>
    <w:uiPriority w:val="30"/>
    <w:qFormat/>
    <w:rsid w:val="00EE5B0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EE5B0F"/>
    <w:rPr>
      <w:i/>
      <w:iCs/>
      <w:color w:val="0F4761" w:themeColor="accent1" w:themeShade="BF"/>
    </w:rPr>
  </w:style>
  <w:style w:type="character" w:styleId="IntenseReference">
    <w:name w:val="Intense Reference"/>
    <w:basedOn w:val="DefaultParagraphFont"/>
    <w:uiPriority w:val="32"/>
    <w:qFormat/>
    <w:rsid w:val="00EE5B0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1021</Words>
  <Characters>5863</Characters>
  <Application>Microsoft Office Word</Application>
  <DocSecurity>0</DocSecurity>
  <Lines>94</Lines>
  <Paragraphs>17</Paragraphs>
  <ScaleCrop>false</ScaleCrop>
  <Company>Springer Nature</Company>
  <LinksUpToDate>false</LinksUpToDate>
  <CharactersWithSpaces>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2025-10-29T08:09:00Z</dcterms:created>
  <dcterms:modified xsi:type="dcterms:W3CDTF">2025-10-29T08:10:00Z</dcterms:modified>
</cp:coreProperties>
</file>