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spacing w:before="200" w:after="140"/>
        <w:rPr>
          <w:outline w:val="0"/>
          <w:color w:val="367da2"/>
          <w:sz w:val="22"/>
          <w:szCs w:val="22"/>
          <w:u w:color="367da2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Additional File 6: Legal Coverage of IVF Coverage in Europe in 2009</w:t>
      </w:r>
    </w:p>
    <w:tbl>
      <w:tblPr>
        <w:tblW w:w="92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48"/>
        <w:gridCol w:w="1848"/>
        <w:gridCol w:w="1848"/>
        <w:gridCol w:w="1848"/>
        <w:gridCol w:w="1848"/>
      </w:tblGrid>
      <w:tr>
        <w:tblPrEx>
          <w:shd w:val="clear" w:color="auto" w:fill="00a2ff"/>
        </w:tblPrEx>
        <w:trPr>
          <w:trHeight w:val="494" w:hRule="atLeast"/>
          <w:tblHeader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Country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Coverage Level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Maximum Cycles Covered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  <w:rPr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Age Limit 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(Years)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Only Medication Indications</w:t>
            </w:r>
          </w:p>
        </w:tc>
      </w:tr>
      <w:tr>
        <w:tblPrEx>
          <w:shd w:val="clear" w:color="auto" w:fill="cadfff"/>
        </w:tblPrEx>
        <w:trPr>
          <w:trHeight w:val="415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de-DE"/>
              </w:rPr>
              <w:t>Austria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4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  <w:rPr>
                <w:shd w:val="nil" w:color="auto" w:fill="auto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female &lt;40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Male &lt;50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it-IT"/>
              </w:rPr>
              <w:t>Belgium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6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&lt;40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da-DK"/>
              </w:rPr>
              <w:t>Denmark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&lt;40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No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nl-NL"/>
              </w:rPr>
              <w:t>Finland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it-IT"/>
              </w:rPr>
              <w:t>None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No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fr-FR"/>
              </w:rPr>
              <w:t>France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4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&lt;43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415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Germany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  <w:rPr>
                <w:shd w:val="nil" w:color="auto" w:fill="auto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female &lt;40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Male &lt;50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Greece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&lt;50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415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it-IT"/>
              </w:rPr>
              <w:t>Italy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  <w:rPr>
                <w:shd w:val="nil" w:color="auto" w:fill="auto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Soft 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(child-bearing age)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Netherlands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&lt;45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pt-PT"/>
              </w:rPr>
              <w:t>Portugal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it-IT"/>
              </w:rPr>
              <w:t>None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Spain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3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de-DE"/>
              </w:rPr>
              <w:t>Soft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415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Sweden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Full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  <w:rPr>
                <w:shd w:val="nil" w:color="auto" w:fill="auto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Soft </w:t>
            </w:r>
          </w:p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(child-bearing age)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</w:rPr>
              <w:t>UK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Partial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Varies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Strict &lt;40</w:t>
            </w:r>
          </w:p>
        </w:tc>
        <w:tc>
          <w:tcPr>
            <w:tcW w:type="dxa" w:w="18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 Light" w:hAnsi="Helvetica Neue Light"/>
                <w:sz w:val="16"/>
                <w:szCs w:val="16"/>
                <w:shd w:val="nil" w:color="auto" w:fill="auto"/>
                <w:rtl w:val="0"/>
                <w:lang w:val="en-US"/>
              </w:rPr>
              <w:t>Yes</w:t>
            </w:r>
          </w:p>
        </w:tc>
      </w:tr>
    </w:tbl>
    <w:p>
      <w:pPr>
        <w:pStyle w:val="Heading 2"/>
        <w:keepNext w:val="0"/>
        <w:widowControl w:val="0"/>
        <w:spacing w:before="200" w:after="140"/>
        <w:ind w:left="108" w:hanging="108"/>
        <w:rPr>
          <w:outline w:val="0"/>
          <w:color w:val="367da2"/>
          <w:sz w:val="22"/>
          <w:szCs w:val="22"/>
          <w:u w:color="367da2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</w:p>
    <w:p>
      <w:pPr>
        <w:pStyle w:val="Default"/>
        <w:suppressAutoHyphens w:val="1"/>
        <w:spacing w:before="0" w:after="180"/>
        <w:jc w:val="both"/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6: Legal Coverage of IVF Coverage in Europe in 2009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