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6E852" w14:textId="77777777" w:rsidR="00FF5358" w:rsidRPr="00FE058F" w:rsidRDefault="00FF5358" w:rsidP="00FF535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E058F">
        <w:rPr>
          <w:rFonts w:ascii="Times New Roman" w:eastAsia="Times New Roman" w:hAnsi="Times New Roman" w:cs="Times New Roman"/>
          <w:color w:val="000000"/>
          <w:kern w:val="0"/>
          <w:sz w:val="40"/>
          <w:szCs w:val="40"/>
          <w14:ligatures w14:val="none"/>
        </w:rPr>
        <w:t>Information flow causality reveals climate regime shifts during compound dry–hot events</w:t>
      </w:r>
    </w:p>
    <w:p w14:paraId="76AB6C13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627330" w14:textId="77777777" w:rsidR="00D650E0" w:rsidRPr="00FE058F" w:rsidRDefault="00D650E0" w:rsidP="00D650E0">
      <w:pPr>
        <w:spacing w:after="0" w:line="240" w:lineRule="auto"/>
        <w:rPr>
          <w:rFonts w:ascii="Times New Roman" w:eastAsia="Times New Roman" w:hAnsi="Times New Roman" w:cs="Times New Roman"/>
          <w:kern w:val="0"/>
          <w:lang w:val="de-DE"/>
          <w14:ligatures w14:val="none"/>
        </w:rPr>
      </w:pPr>
      <w:proofErr w:type="spellStart"/>
      <w:r w:rsidRPr="00FE058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de-DE"/>
          <w14:ligatures w14:val="none"/>
        </w:rPr>
        <w:t>Yikui</w:t>
      </w:r>
      <w:proofErr w:type="spellEnd"/>
      <w:r w:rsidRPr="00FE058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de-DE"/>
          <w14:ligatures w14:val="none"/>
        </w:rPr>
        <w:t xml:space="preserve"> Zhang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vertAlign w:val="superscript"/>
          <w:lang w:val="de-DE"/>
          <w14:ligatures w14:val="none"/>
        </w:rPr>
        <w:t>1,2*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de-DE"/>
          <w14:ligatures w14:val="none"/>
        </w:rPr>
        <w:t>, Daniel Hagan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vertAlign w:val="superscript"/>
          <w:lang w:val="de-DE"/>
          <w14:ligatures w14:val="none"/>
        </w:rPr>
        <w:t>3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de-DE"/>
          <w14:ligatures w14:val="none"/>
        </w:rPr>
        <w:t>, Diego G. Miralles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vertAlign w:val="superscript"/>
          <w:lang w:val="de-DE"/>
          <w14:ligatures w14:val="none"/>
        </w:rPr>
        <w:t>3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de-DE"/>
          <w14:ligatures w14:val="none"/>
        </w:rPr>
        <w:t>, Klaus Goergen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vertAlign w:val="superscript"/>
          <w:lang w:val="de-DE"/>
          <w14:ligatures w14:val="none"/>
        </w:rPr>
        <w:t>1,2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de-DE"/>
          <w14:ligatures w14:val="none"/>
        </w:rPr>
        <w:t>, Stefan Kollet</w:t>
      </w:r>
      <w:r w:rsidRPr="00FE058F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vertAlign w:val="superscript"/>
          <w:lang w:val="de-DE"/>
          <w14:ligatures w14:val="none"/>
        </w:rPr>
        <w:t>1,2</w:t>
      </w:r>
    </w:p>
    <w:p w14:paraId="18A766A1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:lang w:val="de-DE"/>
          <w14:ligatures w14:val="none"/>
        </w:rPr>
      </w:pPr>
    </w:p>
    <w:p w14:paraId="6918FEF6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(1) </w:t>
      </w:r>
      <w:proofErr w:type="spellStart"/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Agrosphäre</w:t>
      </w:r>
      <w:proofErr w:type="spellEnd"/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(IBG-3), Institute of Bio- and Geosciences, </w:t>
      </w:r>
      <w:proofErr w:type="spellStart"/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Forschungszentrum</w:t>
      </w:r>
      <w:proofErr w:type="spellEnd"/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Jülich, Germany</w:t>
      </w:r>
    </w:p>
    <w:p w14:paraId="7EFA005A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(2) Centre for High-Performance Scientific Computing in Terrestrial Systems, </w:t>
      </w:r>
      <w:proofErr w:type="spellStart"/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Geoverbund</w:t>
      </w:r>
      <w:proofErr w:type="spellEnd"/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ABC/J, Jülich, Germany</w:t>
      </w:r>
    </w:p>
    <w:p w14:paraId="57EC667E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(3) Hydro-Climate Extremes Lab (H-CEL), Ghent University, Ghent 9000, Belgium</w:t>
      </w:r>
    </w:p>
    <w:p w14:paraId="2324DBE6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14BE26" w14:textId="77777777" w:rsidR="00FF5358" w:rsidRPr="00FE058F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058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*Correspondence: yik.zhang@fz-juelich.de.</w:t>
      </w:r>
    </w:p>
    <w:p w14:paraId="1F7202F8" w14:textId="77777777" w:rsidR="00FF5358" w:rsidRDefault="00FF5358" w:rsidP="00FF5358">
      <w:pPr>
        <w:rPr>
          <w:rFonts w:ascii="Arial" w:hAnsi="Arial" w:cs="Arial"/>
          <w:b/>
          <w:bCs/>
          <w:color w:val="000000"/>
          <w:sz w:val="26"/>
          <w:szCs w:val="26"/>
        </w:rPr>
      </w:pPr>
    </w:p>
    <w:p w14:paraId="7BA9378E" w14:textId="3861EA9B" w:rsidR="00FF5358" w:rsidRPr="00FF5358" w:rsidRDefault="00FF5358" w:rsidP="00FF5358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FF5358">
        <w:rPr>
          <w:rFonts w:ascii="Times New Roman" w:hAnsi="Times New Roman" w:cs="Times New Roman"/>
          <w:b/>
          <w:bCs/>
          <w:color w:val="000000"/>
          <w:sz w:val="26"/>
          <w:szCs w:val="26"/>
        </w:rPr>
        <w:t>Supplementary Information</w:t>
      </w:r>
    </w:p>
    <w:p w14:paraId="25C54092" w14:textId="77777777" w:rsidR="00FF5358" w:rsidRPr="00FF5358" w:rsidRDefault="00FF5358" w:rsidP="00FF5358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FF5358">
        <w:rPr>
          <w:rFonts w:ascii="Times New Roman" w:hAnsi="Times New Roman" w:cs="Times New Roman"/>
          <w:b/>
          <w:bCs/>
          <w:color w:val="000000"/>
        </w:rPr>
        <w:t>A. Information flow rate calculation</w:t>
      </w:r>
    </w:p>
    <w:p w14:paraId="25FD619F" w14:textId="0EAE42B2" w:rsidR="00FF5358" w:rsidRPr="00FF5358" w:rsidRDefault="00FF5358" w:rsidP="00FF5358">
      <w:pP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FF5358">
        <w:rPr>
          <w:rFonts w:ascii="Times New Roman" w:hAnsi="Times New Roman" w:cs="Times New Roman"/>
          <w:color w:val="000000"/>
          <w:sz w:val="22"/>
          <w:szCs w:val="22"/>
        </w:rPr>
        <w:t xml:space="preserve">Explanations on </w:t>
      </w:r>
      <m:oMath>
        <m:f>
          <m:fPr>
            <m:ctrlPr>
              <w:rPr>
                <w:rFonts w:ascii="Cambria Math" w:hAnsi="Cambria Math" w:cs="Times New Roman"/>
                <w:i/>
                <w:color w:val="000000"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Cov(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,</m:t>
            </m:r>
            <m:acc>
              <m:accPr>
                <m:chr m:val="̇"/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14:ligatures w14:val="none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:sz w:val="22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14:ligatures w14:val="none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14:ligatures w14:val="none"/>
                      </w:rPr>
                      <m:t>1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)</m:t>
            </m:r>
          </m:num>
          <m:den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σ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:sz w:val="22"/>
                        <w:szCs w:val="22"/>
                        <w:shd w:val="clear" w:color="auto" w:fill="FFFFFF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:shd w:val="clear" w:color="auto" w:fill="FFFFFF"/>
                        <w14:ligatures w14:val="none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:shd w:val="clear" w:color="auto" w:fill="FFFFFF"/>
                        <w14:ligatures w14:val="none"/>
                      </w:rPr>
                      <m:t>1</m:t>
                    </m:r>
                  </m:sub>
                </m:sSub>
              </m:sub>
              <m:sup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2</m:t>
                </m:r>
              </m:sup>
            </m:sSubSup>
          </m:den>
        </m:f>
      </m:oMath>
      <w:r w:rsidRPr="00FF5358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in Eq. 1 and Eq. 2:</w:t>
      </w:r>
    </w:p>
    <w:p w14:paraId="0496C9C9" w14:textId="7EA09075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Given a linear relationship between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1</m:t>
            </m:r>
          </m:sub>
        </m:sSub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and 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14:ligatures w14:val="none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14:ligatures w14:val="none"/>
                  </w:rPr>
                  <m:t>1</m:t>
                </m:r>
              </m:sub>
            </m:sSub>
          </m:e>
        </m:acc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:</w:t>
      </w:r>
    </w:p>
    <w:p w14:paraId="27C7E044" w14:textId="6FC72F3C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40A487A5" wp14:editId="02F4A3E1">
            <wp:extent cx="1017905" cy="191135"/>
            <wp:effectExtent l="0" t="0" r="0" b="0"/>
            <wp:docPr id="6763279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 xml:space="preserve">   (1)</w:t>
      </w:r>
    </w:p>
    <w:p w14:paraId="39F345AE" w14:textId="77777777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C4E7CC" w14:textId="7780E4CB" w:rsidR="00FF5358" w:rsidRPr="00373A1E" w:rsidRDefault="009146F3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W</w:t>
      </w:r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here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:</w:t>
      </w:r>
    </w:p>
    <w:p w14:paraId="50FD50CE" w14:textId="03321407" w:rsidR="00FF5358" w:rsidRPr="00373A1E" w:rsidRDefault="001E7CD3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1</m:t>
            </m:r>
          </m:sub>
        </m:sSub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</w:t>
      </w:r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is the independent variable </w:t>
      </w:r>
    </w:p>
    <w:p w14:paraId="2111C48E" w14:textId="45BC8602" w:rsidR="00FF5358" w:rsidRPr="00373A1E" w:rsidRDefault="001E7CD3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14:ligatures w14:val="none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14:ligatures w14:val="none"/>
                  </w:rPr>
                  <m:t>1</m:t>
                </m:r>
              </m:sub>
            </m:sSub>
          </m:e>
        </m:acc>
      </m:oMath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is the dependent variable (tendency)</w:t>
      </w:r>
    </w:p>
    <w:p w14:paraId="41AE4DA2" w14:textId="2856B131" w:rsidR="00FF5358" w:rsidRPr="00373A1E" w:rsidRDefault="001E7CD3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m:oMath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:shd w:val="clear" w:color="auto" w:fill="FFFFFF"/>
            <w14:ligatures w14:val="none"/>
          </w:rPr>
          <m:t>β</m:t>
        </m:r>
      </m:oMath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</w:t>
      </w:r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is the regression coefficient </w:t>
      </w:r>
    </w:p>
    <w:p w14:paraId="56E515B8" w14:textId="47DB11AF" w:rsidR="00FF5358" w:rsidRPr="00373A1E" w:rsidRDefault="001E7CD3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m:oMath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:shd w:val="clear" w:color="auto" w:fill="FFFFFF"/>
            <w14:ligatures w14:val="none"/>
          </w:rPr>
          <m:t>ε</m:t>
        </m:r>
      </m:oMath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is the residual, assumed to satisfy</w:t>
      </w:r>
      <w:r w:rsidR="00066581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:shd w:val="clear" w:color="auto" w:fill="FFFFFF"/>
            <w14:ligatures w14:val="none"/>
          </w:rPr>
          <m:t>E</m:t>
        </m:r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ε</m:t>
            </m:r>
          </m:e>
        </m:d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:shd w:val="clear" w:color="auto" w:fill="FFFFFF"/>
            <w14:ligatures w14:val="none"/>
          </w:rPr>
          <m:t>=0</m:t>
        </m:r>
      </m:oMath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 (uncorrelated with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1</m:t>
            </m:r>
          </m:sub>
        </m:sSub>
      </m:oMath>
      <w:r w:rsidR="00FF5358"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) </w:t>
      </w:r>
    </w:p>
    <w:p w14:paraId="2D7F13D4" w14:textId="77777777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2879A3" w14:textId="77777777" w:rsidR="00FF5358" w:rsidRPr="00373A1E" w:rsidRDefault="00FF5358" w:rsidP="00FF5358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The least-squares estimate minimizes the mean-squared residual:</w:t>
      </w:r>
    </w:p>
    <w:p w14:paraId="4ECF694F" w14:textId="7F56A475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256008E1" wp14:editId="7041571C">
            <wp:extent cx="1438910" cy="286385"/>
            <wp:effectExtent l="0" t="0" r="0" b="5715"/>
            <wp:docPr id="14697171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2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0607E8B9" w14:textId="1C5B63DC" w:rsidR="00FF5358" w:rsidRPr="00373A1E" w:rsidRDefault="00FF5358" w:rsidP="00FF5358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Taking the derivative with respect to </w:t>
      </w:r>
      <m:oMath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:shd w:val="clear" w:color="auto" w:fill="FFFFFF"/>
            <w14:ligatures w14:val="none"/>
          </w:rPr>
          <m:t>β</m:t>
        </m:r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and setting it to zero:</w:t>
      </w:r>
    </w:p>
    <w:p w14:paraId="7877BFB2" w14:textId="515D1BE2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664C1E37" wp14:editId="11301ECB">
            <wp:extent cx="3450590" cy="389890"/>
            <wp:effectExtent l="0" t="0" r="3810" b="3810"/>
            <wp:docPr id="143569515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9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3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501FC3D" w14:textId="11482F0B" w:rsidR="00FF5358" w:rsidRPr="00373A1E" w:rsidRDefault="00FF5358" w:rsidP="00FF5358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Solving for </w:t>
      </w:r>
      <m:oMath>
        <m:r>
          <w:rPr>
            <w:rFonts w:ascii="Cambria Math" w:eastAsia="Times New Roman" w:hAnsi="Cambria Math" w:cs="Times New Roman"/>
            <w:color w:val="000000"/>
            <w:kern w:val="0"/>
            <w:sz w:val="22"/>
            <w:szCs w:val="22"/>
            <w:shd w:val="clear" w:color="auto" w:fill="FFFFFF"/>
            <w14:ligatures w14:val="none"/>
          </w:rPr>
          <m:t>β</m:t>
        </m:r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:</w:t>
      </w:r>
    </w:p>
    <w:p w14:paraId="58366B47" w14:textId="4C5EEDAF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61A919FE" wp14:editId="2F570F60">
            <wp:extent cx="1693545" cy="198755"/>
            <wp:effectExtent l="0" t="0" r="0" b="4445"/>
            <wp:docPr id="102936625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3ABE68B2" w14:textId="77777777" w:rsidR="00FF5358" w:rsidRPr="00373A1E" w:rsidRDefault="00FF5358" w:rsidP="00FF5358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Rearranging:</w:t>
      </w:r>
    </w:p>
    <w:p w14:paraId="35C34FB4" w14:textId="2F00A154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39F59125" wp14:editId="1CCE05EB">
            <wp:extent cx="3133090" cy="413385"/>
            <wp:effectExtent l="0" t="0" r="3810" b="5715"/>
            <wp:docPr id="152829722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90" cy="4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="001E7CD3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0D57A78" w14:textId="52B4CA72" w:rsidR="00FF5358" w:rsidRPr="00373A1E" w:rsidRDefault="00FF5358" w:rsidP="00FF5358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lastRenderedPageBreak/>
        <w:t xml:space="preserve">Thus, the ratio </w:t>
      </w:r>
      <m:oMath>
        <m:f>
          <m:fPr>
            <m:ctrlPr>
              <w:rPr>
                <w:rFonts w:ascii="Cambria Math" w:hAnsi="Cambria Math" w:cs="Times New Roman"/>
                <w:i/>
                <w:color w:val="000000"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Cov(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,</m:t>
            </m:r>
            <m:acc>
              <m:accPr>
                <m:chr m:val="̇"/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14:ligatures w14:val="none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:sz w:val="22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14:ligatures w14:val="none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14:ligatures w14:val="none"/>
                      </w:rPr>
                      <m:t>1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)</m:t>
            </m:r>
          </m:num>
          <m:den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σ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0"/>
                        <w:sz w:val="22"/>
                        <w:szCs w:val="22"/>
                        <w:shd w:val="clear" w:color="auto" w:fill="FFFFFF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:shd w:val="clear" w:color="auto" w:fill="FFFFFF"/>
                        <w14:ligatures w14:val="none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0"/>
                        <w:sz w:val="22"/>
                        <w:szCs w:val="22"/>
                        <w:shd w:val="clear" w:color="auto" w:fill="FFFFFF"/>
                        <w14:ligatures w14:val="none"/>
                      </w:rPr>
                      <m:t>1</m:t>
                    </m:r>
                  </m:sub>
                </m:sSub>
              </m:sub>
              <m:sup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:shd w:val="clear" w:color="auto" w:fill="FFFFFF"/>
                    <w14:ligatures w14:val="none"/>
                  </w:rPr>
                  <m:t>2</m:t>
                </m:r>
              </m:sup>
            </m:sSubSup>
          </m:den>
        </m:f>
      </m:oMath>
      <w:r w:rsidR="001E7CD3" w:rsidRPr="00FF5358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is simply the regression slope of 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14:ligatures w14:val="none"/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kern w:val="0"/>
                    <w:sz w:val="22"/>
                    <w:szCs w:val="22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14:ligatures w14:val="none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kern w:val="0"/>
                    <w:sz w:val="22"/>
                    <w:szCs w:val="22"/>
                    <w14:ligatures w14:val="none"/>
                  </w:rPr>
                  <m:t>1</m:t>
                </m:r>
              </m:sub>
            </m:sSub>
          </m:e>
        </m:acc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 on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1</m:t>
            </m:r>
          </m:sub>
        </m:sSub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 xml:space="preserve">, which represents how much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kern w:val="0"/>
                <w:sz w:val="22"/>
                <w:szCs w:val="22"/>
                <w:shd w:val="clear" w:color="auto" w:fill="FFFFFF"/>
                <w14:ligatures w14:val="none"/>
              </w:rPr>
              <m:t>1</m:t>
            </m:r>
          </m:sub>
        </m:sSub>
      </m:oMath>
      <w:r w:rsidRPr="00373A1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14:ligatures w14:val="none"/>
        </w:rPr>
        <w:t>’s current deviation explains its future rate of change</w:t>
      </w:r>
    </w:p>
    <w:p w14:paraId="38C80B69" w14:textId="77777777" w:rsidR="00FF5358" w:rsidRPr="00373A1E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02652F" w14:textId="77777777" w:rsidR="00FF5358" w:rsidRDefault="00FF5358" w:rsidP="00FF5358">
      <w:pPr>
        <w:rPr>
          <w:rFonts w:ascii="Times New Roman" w:hAnsi="Times New Roman" w:cs="Times New Roman"/>
        </w:rPr>
      </w:pPr>
    </w:p>
    <w:p w14:paraId="2768B27F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36A642B9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64F5CA9D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52A5704D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28467022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49C54C02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2C05012D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58A6D88B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66680580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2612E73A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53D3607E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2B745A00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7F902328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71360582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45A36806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63F70A19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3D4E13D4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0B7EA781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57A32289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090513E6" w14:textId="77777777" w:rsidR="00517377" w:rsidRDefault="00517377" w:rsidP="00FF5358">
      <w:pPr>
        <w:rPr>
          <w:rFonts w:ascii="Times New Roman" w:hAnsi="Times New Roman" w:cs="Times New Roman"/>
        </w:rPr>
      </w:pPr>
    </w:p>
    <w:p w14:paraId="7B875ABB" w14:textId="77777777" w:rsidR="00517377" w:rsidRPr="00FF5358" w:rsidRDefault="00517377" w:rsidP="00FF5358">
      <w:pPr>
        <w:rPr>
          <w:rFonts w:ascii="Times New Roman" w:hAnsi="Times New Roman" w:cs="Times New Roman"/>
        </w:rPr>
      </w:pPr>
    </w:p>
    <w:p w14:paraId="10F0A5A7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2733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</w:t>
      </w:r>
      <w:r w:rsidRPr="00FF535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.</w:t>
      </w:r>
      <w:r w:rsidRPr="002733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Pr="00FF535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Additional i</w:t>
      </w:r>
      <w:r w:rsidRPr="002733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nformation flow analysis results</w:t>
      </w:r>
    </w:p>
    <w:p w14:paraId="7B0FA885" w14:textId="77777777" w:rsidR="00FF5358" w:rsidRPr="002733D3" w:rsidRDefault="00FF5358" w:rsidP="00FF535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C0E0A4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w:lastRenderedPageBreak/>
        <w:drawing>
          <wp:inline distT="0" distB="0" distL="0" distR="0" wp14:anchorId="6896A219" wp14:editId="75D577DD">
            <wp:extent cx="2799080" cy="3411220"/>
            <wp:effectExtent l="0" t="0" r="0" b="5080"/>
            <wp:docPr id="181226006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080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w:drawing>
          <wp:inline distT="0" distB="0" distL="0" distR="0" wp14:anchorId="196450E0" wp14:editId="387F50F5">
            <wp:extent cx="2799080" cy="3411220"/>
            <wp:effectExtent l="0" t="0" r="0" b="5080"/>
            <wp:docPr id="2055244997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080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6C3D3" w14:textId="77777777" w:rsidR="00FF5358" w:rsidRPr="002733D3" w:rsidRDefault="00FF5358" w:rsidP="00FF535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Figure B1. Maps for time-averaged IF of SM–&gt;T over the entire analysis domain in 2003 summer (left) and over 1990-2022 (right). The two black boxes indicate the two selected domains in FR and BI. The Unit of IF is in </w:t>
      </w:r>
      <w:proofErr w:type="spellStart"/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nats</w:t>
      </w:r>
      <w:proofErr w:type="spellEnd"/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/h</w:t>
      </w:r>
      <w:r w:rsidRPr="002733D3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.</w:t>
      </w:r>
    </w:p>
    <w:p w14:paraId="53436419" w14:textId="77777777" w:rsidR="00FF5358" w:rsidRPr="002733D3" w:rsidRDefault="00FF5358" w:rsidP="00FF5358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33D3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5B63E2E1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bdr w:val="none" w:sz="0" w:space="0" w:color="auto" w:frame="1"/>
          <w14:ligatures w14:val="none"/>
        </w:rPr>
        <w:drawing>
          <wp:inline distT="0" distB="0" distL="0" distR="0" wp14:anchorId="07518799" wp14:editId="3C2A226A">
            <wp:extent cx="2743200" cy="1772920"/>
            <wp:effectExtent l="0" t="0" r="0" b="5080"/>
            <wp:docPr id="1630307791" name="Picture 50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307791" name="Picture 50" descr="A screen 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bdr w:val="none" w:sz="0" w:space="0" w:color="auto" w:frame="1"/>
          <w14:ligatures w14:val="none"/>
        </w:rPr>
        <w:drawing>
          <wp:inline distT="0" distB="0" distL="0" distR="0" wp14:anchorId="6721E950" wp14:editId="37771FF0">
            <wp:extent cx="2687320" cy="1757045"/>
            <wp:effectExtent l="0" t="0" r="5080" b="0"/>
            <wp:docPr id="830146395" name="Picture 49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146395" name="Picture 49" descr="A screen 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320" cy="175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3BCBD" w14:textId="77777777" w:rsidR="00FF5358" w:rsidRPr="002733D3" w:rsidRDefault="00FF5358" w:rsidP="00FF535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Figure B2. Scatter plots of daily SM–&gt;T (first column) and R–&gt;T (second column) from 1990 to 2022 in selected domains in </w:t>
      </w:r>
      <w:r w:rsidRPr="002733D3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Iberian Peninsula (</w:t>
      </w:r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IP). The CDHE period ranges from August 3rd to August 14th, 2003. Each grid point represents the average value over a domain at daily timescales and the </w:t>
      </w:r>
      <w:proofErr w:type="spellStart"/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colorbar</w:t>
      </w:r>
      <w:proofErr w:type="spellEnd"/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represents the magnitude of SM–&gt;T. The Unit of IF is in </w:t>
      </w:r>
      <w:proofErr w:type="spellStart"/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nats</w:t>
      </w:r>
      <w:proofErr w:type="spellEnd"/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/h</w:t>
      </w:r>
      <w:r w:rsidRPr="002733D3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.</w:t>
      </w:r>
    </w:p>
    <w:p w14:paraId="046C60D3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CB410A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w:lastRenderedPageBreak/>
        <w:drawing>
          <wp:inline distT="0" distB="0" distL="0" distR="0" wp14:anchorId="7EF403B0" wp14:editId="70111573">
            <wp:extent cx="5732780" cy="1621790"/>
            <wp:effectExtent l="0" t="0" r="0" b="3810"/>
            <wp:docPr id="650574788" name="Picture 48" descr="A graph of a wav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574788" name="Picture 48" descr="A graph of a wav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AF3ED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5358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w:drawing>
          <wp:inline distT="0" distB="0" distL="0" distR="0" wp14:anchorId="5F62495C" wp14:editId="5A70BFC2">
            <wp:extent cx="5732780" cy="1621790"/>
            <wp:effectExtent l="0" t="0" r="0" b="3810"/>
            <wp:docPr id="1077001328" name="Picture 47" descr="A graph with blue and orang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001328" name="Picture 47" descr="A graph with blue and orang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C9606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D45699" w14:textId="77777777" w:rsidR="00FF5358" w:rsidRPr="002733D3" w:rsidRDefault="00FF5358" w:rsidP="00FF535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733D3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Figure B3. Domain-averaged hourly time series of 2-meter temperature (T) in a 10*10 grid domain in as in figure 3, in 2003 (blue) and 2004 (orange) summer. a). France (FR); b). British Isle (BI). The red dashed box highlights the 2003 CDHE period and the shaded area represents the confidence interval over the 10*10 domain.</w:t>
      </w:r>
    </w:p>
    <w:p w14:paraId="270AED12" w14:textId="77777777" w:rsidR="00FF5358" w:rsidRPr="002733D3" w:rsidRDefault="00FF5358" w:rsidP="00FF53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8E461B5" w14:textId="77777777" w:rsidR="00FF5358" w:rsidRDefault="00FF5358"/>
    <w:sectPr w:rsidR="00FF53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358"/>
    <w:rsid w:val="00066581"/>
    <w:rsid w:val="001E7CD3"/>
    <w:rsid w:val="003D7201"/>
    <w:rsid w:val="00517377"/>
    <w:rsid w:val="009146F3"/>
    <w:rsid w:val="009C77D8"/>
    <w:rsid w:val="00D650E0"/>
    <w:rsid w:val="00FF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7123F6"/>
  <w15:chartTrackingRefBased/>
  <w15:docId w15:val="{E00814F9-6110-3242-B60C-8996AEF49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358"/>
  </w:style>
  <w:style w:type="paragraph" w:styleId="Heading1">
    <w:name w:val="heading 1"/>
    <w:basedOn w:val="Normal"/>
    <w:next w:val="Normal"/>
    <w:link w:val="Heading1Char"/>
    <w:uiPriority w:val="9"/>
    <w:qFormat/>
    <w:rsid w:val="00FF53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3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3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3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3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3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3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3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3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3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3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3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3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3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3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3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3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3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3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3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3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3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3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3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3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3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3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3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358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1E7CD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t62172</dc:creator>
  <cp:keywords/>
  <dc:description/>
  <cp:lastModifiedBy>t62172</cp:lastModifiedBy>
  <cp:revision>7</cp:revision>
  <dcterms:created xsi:type="dcterms:W3CDTF">2025-09-30T16:22:00Z</dcterms:created>
  <dcterms:modified xsi:type="dcterms:W3CDTF">2025-09-30T21:21:00Z</dcterms:modified>
</cp:coreProperties>
</file>