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044F39" w14:textId="77777777" w:rsidR="005F7936" w:rsidRDefault="007B1201" w:rsidP="005F7936">
      <w:pPr>
        <w:rPr>
          <w:rFonts w:ascii="Arial" w:eastAsia="Arial" w:hAnsi="Arial" w:cs="Arial"/>
          <w:sz w:val="22"/>
          <w:szCs w:val="22"/>
        </w:rPr>
      </w:pPr>
      <w:r>
        <w:rPr>
          <w:rFonts w:ascii="Arial" w:eastAsia="Arial" w:hAnsi="Arial" w:cs="Arial"/>
          <w:b/>
          <w:sz w:val="22"/>
          <w:szCs w:val="22"/>
        </w:rPr>
        <w:t xml:space="preserve">Supplementary Note 1: Microbe-metabolite participation in significant pairwise Spearman </w:t>
      </w:r>
      <w:proofErr w:type="spellStart"/>
      <w:r>
        <w:rPr>
          <w:rFonts w:ascii="Arial" w:eastAsia="Arial" w:hAnsi="Arial" w:cs="Arial"/>
          <w:b/>
          <w:sz w:val="22"/>
          <w:szCs w:val="22"/>
        </w:rPr>
        <w:t>correlation</w:t>
      </w:r>
      <w:proofErr w:type="spellEnd"/>
    </w:p>
    <w:p w14:paraId="1007455E" w14:textId="2D5CB123" w:rsidR="00B8663F" w:rsidRDefault="007B1201" w:rsidP="005F7936">
      <w:pPr>
        <w:rPr>
          <w:rFonts w:ascii="Arial" w:eastAsia="Arial" w:hAnsi="Arial" w:cs="Arial"/>
          <w:sz w:val="22"/>
          <w:szCs w:val="22"/>
        </w:rPr>
      </w:pPr>
      <w:r>
        <w:rPr>
          <w:rFonts w:ascii="Arial" w:eastAsia="Arial" w:hAnsi="Arial" w:cs="Arial"/>
          <w:sz w:val="22"/>
          <w:szCs w:val="22"/>
        </w:rPr>
        <w:t xml:space="preserve">Univariate pairwise Spearman correlations were performed to identify significant microbe-metabolite pairs. Significance was determined by the Spearman false discovery rate (FDR) threshold of 0.05 following a </w:t>
      </w:r>
      <w:proofErr w:type="spellStart"/>
      <w:r>
        <w:rPr>
          <w:rFonts w:ascii="Arial" w:eastAsia="Arial" w:hAnsi="Arial" w:cs="Arial"/>
          <w:sz w:val="22"/>
          <w:szCs w:val="22"/>
        </w:rPr>
        <w:t>Benjamini</w:t>
      </w:r>
      <w:proofErr w:type="spellEnd"/>
      <w:r>
        <w:rPr>
          <w:rFonts w:ascii="Arial" w:eastAsia="Arial" w:hAnsi="Arial" w:cs="Arial"/>
          <w:sz w:val="22"/>
          <w:szCs w:val="22"/>
        </w:rPr>
        <w:t xml:space="preserve">-Hochberg multiple hypothesis testing procedure.  At both time points a majority of genera and metabolites were significantly correlated, where at 6 weeks, 28 genera (65% of total genera) and 36 metabolites (100% of metabolites) were part of 516 significant correlations (16.6% of total pairwise comparisons) while at 12 months, 59 genera (81.9% of total genera) and 29 metabolites (80% of metabolites) were involved in 214 significant correlations (8.01% of total pairwise comparisons). This result also supported the observation that at 6 weeks the microbiome was marginally more associated with the metabolome compared to 12 months. Similar to </w:t>
      </w:r>
      <w:proofErr w:type="spellStart"/>
      <w:r w:rsidR="001971E2">
        <w:rPr>
          <w:rFonts w:ascii="Arial" w:eastAsia="Arial" w:hAnsi="Arial" w:cs="Arial"/>
          <w:sz w:val="22"/>
          <w:szCs w:val="22"/>
        </w:rPr>
        <w:t>s</w:t>
      </w:r>
      <w:r>
        <w:rPr>
          <w:rFonts w:ascii="Arial" w:eastAsia="Arial" w:hAnsi="Arial" w:cs="Arial"/>
          <w:sz w:val="22"/>
          <w:szCs w:val="22"/>
        </w:rPr>
        <w:t>CCA</w:t>
      </w:r>
      <w:proofErr w:type="spellEnd"/>
      <w:r>
        <w:rPr>
          <w:rFonts w:ascii="Arial" w:eastAsia="Arial" w:hAnsi="Arial" w:cs="Arial"/>
          <w:sz w:val="22"/>
          <w:szCs w:val="22"/>
        </w:rPr>
        <w:t xml:space="preserve"> results, untargeted data set showed a similar signal at both time points. Specifically, at 6 weeks, 37 genera (86% of genera) and 198 metabolite bins (95.1% of bins) were part of 1480 significant associations (16.5% of pairwise comparisons). </w:t>
      </w:r>
      <w:r w:rsidR="00FD01C5">
        <w:rPr>
          <w:rFonts w:ascii="Arial" w:eastAsia="Arial" w:hAnsi="Arial" w:cs="Arial"/>
          <w:sz w:val="22"/>
          <w:szCs w:val="22"/>
        </w:rPr>
        <w:t>Similarly,</w:t>
      </w:r>
      <w:r>
        <w:rPr>
          <w:rFonts w:ascii="Arial" w:eastAsia="Arial" w:hAnsi="Arial" w:cs="Arial"/>
          <w:sz w:val="22"/>
          <w:szCs w:val="22"/>
        </w:rPr>
        <w:t xml:space="preserve"> at 12 months, 67 genera (93% of genera) and 207 metabolite bins (99.5% of bins) were part of 1392 significant associations (9.2% of total pairwise comparisons). </w:t>
      </w:r>
    </w:p>
    <w:p w14:paraId="01FCD682" w14:textId="77777777" w:rsidR="00B8663F" w:rsidRDefault="00B8663F" w:rsidP="005F7936">
      <w:pPr>
        <w:rPr>
          <w:rFonts w:ascii="Arial" w:eastAsia="Arial" w:hAnsi="Arial" w:cs="Arial"/>
          <w:sz w:val="22"/>
          <w:szCs w:val="22"/>
        </w:rPr>
      </w:pPr>
    </w:p>
    <w:p w14:paraId="6DECBD8D" w14:textId="77777777" w:rsidR="0068223F" w:rsidRDefault="007B1201" w:rsidP="005F7936">
      <w:pPr>
        <w:rPr>
          <w:rFonts w:ascii="Arial" w:eastAsia="Arial" w:hAnsi="Arial" w:cs="Arial"/>
          <w:b/>
          <w:sz w:val="22"/>
          <w:szCs w:val="22"/>
        </w:rPr>
      </w:pPr>
      <w:r>
        <w:rPr>
          <w:rFonts w:ascii="Arial" w:eastAsia="Arial" w:hAnsi="Arial" w:cs="Arial"/>
          <w:b/>
          <w:sz w:val="22"/>
          <w:szCs w:val="22"/>
        </w:rPr>
        <w:t>Supplementary Note 2: Sparse canonical correlation analysis selects microbes and metabolites important to the inter-</w:t>
      </w:r>
      <w:proofErr w:type="spellStart"/>
      <w:r>
        <w:rPr>
          <w:rFonts w:ascii="Arial" w:eastAsia="Arial" w:hAnsi="Arial" w:cs="Arial"/>
          <w:b/>
          <w:sz w:val="22"/>
          <w:szCs w:val="22"/>
        </w:rPr>
        <w:t>omic</w:t>
      </w:r>
      <w:proofErr w:type="spellEnd"/>
      <w:r>
        <w:rPr>
          <w:rFonts w:ascii="Arial" w:eastAsia="Arial" w:hAnsi="Arial" w:cs="Arial"/>
          <w:b/>
          <w:sz w:val="22"/>
          <w:szCs w:val="22"/>
        </w:rPr>
        <w:t xml:space="preserve"> correlation. </w:t>
      </w:r>
    </w:p>
    <w:p w14:paraId="5BBDF347" w14:textId="466A8B32" w:rsidR="00B8663F" w:rsidRDefault="007B1201" w:rsidP="005F7936">
      <w:pPr>
        <w:rPr>
          <w:rFonts w:ascii="Arial" w:eastAsia="Arial" w:hAnsi="Arial" w:cs="Arial"/>
          <w:sz w:val="22"/>
          <w:szCs w:val="22"/>
        </w:rPr>
      </w:pPr>
      <w:r>
        <w:rPr>
          <w:rFonts w:ascii="Arial" w:eastAsia="Arial" w:hAnsi="Arial" w:cs="Arial"/>
          <w:sz w:val="22"/>
          <w:szCs w:val="22"/>
        </w:rPr>
        <w:t>Only</w:t>
      </w:r>
      <w:r>
        <w:rPr>
          <w:rFonts w:ascii="Arial" w:eastAsia="Arial" w:hAnsi="Arial" w:cs="Arial"/>
          <w:b/>
          <w:sz w:val="22"/>
          <w:szCs w:val="22"/>
        </w:rPr>
        <w:t xml:space="preserve"> </w:t>
      </w:r>
      <w:r>
        <w:rPr>
          <w:rFonts w:ascii="Arial" w:eastAsia="Arial" w:hAnsi="Arial" w:cs="Arial"/>
          <w:sz w:val="22"/>
          <w:szCs w:val="22"/>
        </w:rPr>
        <w:t>a small subset of metabolites and microbes were selected (27% of taxa for both time points; 16.9% of metabolites at 6 weeks and 19.4% of metabolites at 12 months). At both time points, selected taxa belong to the Firmicutes, Actinobacteria and Proteobacteria phyla with Firmicutes being the most represented (58.3% of selected taxa at 6 weeks; 70% of selected taxa at 12 months). Actinobacteria was the second most selected phylum (25% of selected taxa) at 6 weeks while at 12 months it was Proteobacteria (30% of selected taxa). For metabolites, amino acids were the most represented metabolite class (Supplementary Table 1) (60% of selected metabolites at 6 weeks, 85% of selected metabolites at 12 months). 6-week samples demonstrated a larger diversity of metabolite classes, with additional representatives from carboxylic acids group, nucleotides and short chain fatty acids (SCFA) while at 12 months, the only non-amino-acid metabolite is uracil (of the nucleotide class). Across both time points, 3 genera (</w:t>
      </w:r>
      <w:proofErr w:type="spellStart"/>
      <w:r>
        <w:rPr>
          <w:rFonts w:ascii="Arial" w:eastAsia="Arial" w:hAnsi="Arial" w:cs="Arial"/>
          <w:i/>
          <w:sz w:val="22"/>
          <w:szCs w:val="22"/>
        </w:rPr>
        <w:t>Flavonifractor</w:t>
      </w:r>
      <w:proofErr w:type="spellEnd"/>
      <w:r>
        <w:rPr>
          <w:rFonts w:ascii="Arial" w:eastAsia="Arial" w:hAnsi="Arial" w:cs="Arial"/>
          <w:i/>
          <w:sz w:val="22"/>
          <w:szCs w:val="22"/>
        </w:rPr>
        <w:t xml:space="preserve">, </w:t>
      </w:r>
      <w:proofErr w:type="spellStart"/>
      <w:r>
        <w:rPr>
          <w:rFonts w:ascii="Arial" w:eastAsia="Arial" w:hAnsi="Arial" w:cs="Arial"/>
          <w:i/>
          <w:sz w:val="22"/>
          <w:szCs w:val="22"/>
        </w:rPr>
        <w:t>Haemophilus</w:t>
      </w:r>
      <w:proofErr w:type="spellEnd"/>
      <w:r>
        <w:rPr>
          <w:rFonts w:ascii="Arial" w:eastAsia="Arial" w:hAnsi="Arial" w:cs="Arial"/>
          <w:i/>
          <w:sz w:val="22"/>
          <w:szCs w:val="22"/>
        </w:rPr>
        <w:t xml:space="preserve"> </w:t>
      </w:r>
      <w:r>
        <w:rPr>
          <w:rFonts w:ascii="Arial" w:eastAsia="Arial" w:hAnsi="Arial" w:cs="Arial"/>
          <w:sz w:val="22"/>
          <w:szCs w:val="22"/>
        </w:rPr>
        <w:t xml:space="preserve">and </w:t>
      </w:r>
      <w:r>
        <w:rPr>
          <w:rFonts w:ascii="Arial" w:eastAsia="Arial" w:hAnsi="Arial" w:cs="Arial"/>
          <w:i/>
          <w:sz w:val="22"/>
          <w:szCs w:val="22"/>
        </w:rPr>
        <w:t xml:space="preserve">Acinetobacter </w:t>
      </w:r>
      <w:r>
        <w:rPr>
          <w:rFonts w:ascii="Arial" w:eastAsia="Arial" w:hAnsi="Arial" w:cs="Arial"/>
          <w:sz w:val="22"/>
          <w:szCs w:val="22"/>
        </w:rPr>
        <w:t xml:space="preserve">genera) and 5 metabolites (lysine, isoleucine, leucine, uracil, phenylalanine) were consistently selected. Surprisingly, in the untargeted analysis, nearly half of taxa and metabolites were selected at 6 weeks while the number remained more similar to the targeted analysis at 12 months (6 weeks: 46% of taxa and 42% of metabolite bins; 12 months: 13.8% of taxa and  17.3% of metabolite bins). However, the taxonomic distribution of those selected taxa remained similar, with Firmicutes being the most dominating phyla (60% of selected taxa at both time points). Additionally, for both time points, the sign of the </w:t>
      </w:r>
      <w:proofErr w:type="spellStart"/>
      <w:r w:rsidR="001971E2">
        <w:rPr>
          <w:rFonts w:ascii="Arial" w:eastAsia="Arial" w:hAnsi="Arial" w:cs="Arial"/>
          <w:sz w:val="22"/>
          <w:szCs w:val="22"/>
        </w:rPr>
        <w:t>s</w:t>
      </w:r>
      <w:r>
        <w:rPr>
          <w:rFonts w:ascii="Arial" w:eastAsia="Arial" w:hAnsi="Arial" w:cs="Arial"/>
          <w:sz w:val="22"/>
          <w:szCs w:val="22"/>
        </w:rPr>
        <w:t>CCA</w:t>
      </w:r>
      <w:proofErr w:type="spellEnd"/>
      <w:r>
        <w:rPr>
          <w:rFonts w:ascii="Arial" w:eastAsia="Arial" w:hAnsi="Arial" w:cs="Arial"/>
          <w:sz w:val="22"/>
          <w:szCs w:val="22"/>
        </w:rPr>
        <w:t xml:space="preserve"> loadings for selected variables were also concordant with patterns of negative and positive correlation via univariate Spearman correlations (Figure 3, right panels). Notably, all selected metabolites contain negative loadings for both time points, with the majority of selected pairwise correlation to be negative (6 weeks: 76.6% of selected pairwise comparisons, 12 months: 60.7% of selected pairwise comparisons). This pattern is replicated in the untargeted data set as well (6 weeks: 61.3% of selected pairwise comparisons, 12 months: 70% of selected pairwise comparisons). </w:t>
      </w:r>
    </w:p>
    <w:p w14:paraId="212AC3B8" w14:textId="77777777" w:rsidR="00B8663F" w:rsidRDefault="00B8663F" w:rsidP="005F7936">
      <w:pPr>
        <w:rPr>
          <w:rFonts w:ascii="Arial" w:eastAsia="Arial" w:hAnsi="Arial" w:cs="Arial"/>
          <w:sz w:val="22"/>
          <w:szCs w:val="22"/>
        </w:rPr>
      </w:pPr>
    </w:p>
    <w:p w14:paraId="4D174D12" w14:textId="77777777" w:rsidR="0068223F" w:rsidRDefault="007B1201" w:rsidP="005F7936">
      <w:pPr>
        <w:rPr>
          <w:rFonts w:ascii="Arial" w:eastAsia="Arial" w:hAnsi="Arial" w:cs="Arial"/>
          <w:b/>
          <w:sz w:val="22"/>
          <w:szCs w:val="22"/>
        </w:rPr>
      </w:pPr>
      <w:r>
        <w:rPr>
          <w:rFonts w:ascii="Arial" w:eastAsia="Arial" w:hAnsi="Arial" w:cs="Arial"/>
          <w:b/>
          <w:sz w:val="22"/>
          <w:szCs w:val="22"/>
        </w:rPr>
        <w:t xml:space="preserve">Supplementary Note 3: Prediction results. </w:t>
      </w:r>
    </w:p>
    <w:p w14:paraId="385D817C" w14:textId="096043D7" w:rsidR="002C3E4C" w:rsidRDefault="007B1201" w:rsidP="005F7936">
      <w:pPr>
        <w:rPr>
          <w:rFonts w:ascii="Arial" w:eastAsia="Arial" w:hAnsi="Arial" w:cs="Arial"/>
          <w:sz w:val="22"/>
          <w:szCs w:val="22"/>
        </w:rPr>
      </w:pPr>
      <w:r>
        <w:rPr>
          <w:rFonts w:ascii="Arial" w:eastAsia="Arial" w:hAnsi="Arial" w:cs="Arial"/>
          <w:sz w:val="22"/>
          <w:szCs w:val="22"/>
        </w:rPr>
        <w:t>Under R</w:t>
      </w:r>
      <w:r>
        <w:rPr>
          <w:rFonts w:ascii="Arial" w:eastAsia="Arial" w:hAnsi="Arial" w:cs="Arial"/>
          <w:sz w:val="22"/>
          <w:szCs w:val="22"/>
          <w:vertAlign w:val="superscript"/>
        </w:rPr>
        <w:t>2</w:t>
      </w:r>
      <w:r>
        <w:rPr>
          <w:rFonts w:ascii="Arial" w:eastAsia="Arial" w:hAnsi="Arial" w:cs="Arial"/>
          <w:sz w:val="22"/>
          <w:szCs w:val="22"/>
        </w:rPr>
        <w:t xml:space="preserve">, at 6 weeks only 8 (22.2%) metabolites (Butyrate, Glycerol, </w:t>
      </w:r>
      <w:proofErr w:type="spellStart"/>
      <w:r>
        <w:rPr>
          <w:rFonts w:ascii="Arial" w:eastAsia="Arial" w:hAnsi="Arial" w:cs="Arial"/>
          <w:sz w:val="22"/>
          <w:szCs w:val="22"/>
        </w:rPr>
        <w:t>Isobutyrate</w:t>
      </w:r>
      <w:proofErr w:type="spellEnd"/>
      <w:r>
        <w:rPr>
          <w:rFonts w:ascii="Arial" w:eastAsia="Arial" w:hAnsi="Arial" w:cs="Arial"/>
          <w:sz w:val="22"/>
          <w:szCs w:val="22"/>
        </w:rPr>
        <w:t xml:space="preserve">, Isoleucine, Leucine, Methionine, Phenylalanine and Tyrosine) were predictable, with a mean of 4.85% and a maximum of 11.8% (Butyrate using EN). At 12 months, only 14 (38.9%) of metabolites (Butyrate, </w:t>
      </w:r>
      <w:proofErr w:type="spellStart"/>
      <w:r>
        <w:rPr>
          <w:rFonts w:ascii="Arial" w:eastAsia="Arial" w:hAnsi="Arial" w:cs="Arial"/>
          <w:sz w:val="22"/>
          <w:szCs w:val="22"/>
        </w:rPr>
        <w:t>Formate</w:t>
      </w:r>
      <w:proofErr w:type="spellEnd"/>
      <w:r>
        <w:rPr>
          <w:rFonts w:ascii="Arial" w:eastAsia="Arial" w:hAnsi="Arial" w:cs="Arial"/>
          <w:sz w:val="22"/>
          <w:szCs w:val="22"/>
        </w:rPr>
        <w:t xml:space="preserve">, Inosine, </w:t>
      </w:r>
      <w:proofErr w:type="spellStart"/>
      <w:r>
        <w:rPr>
          <w:rFonts w:ascii="Arial" w:eastAsia="Arial" w:hAnsi="Arial" w:cs="Arial"/>
          <w:sz w:val="22"/>
          <w:szCs w:val="22"/>
        </w:rPr>
        <w:t>Isobutyerate</w:t>
      </w:r>
      <w:proofErr w:type="spellEnd"/>
      <w:r>
        <w:rPr>
          <w:rFonts w:ascii="Arial" w:eastAsia="Arial" w:hAnsi="Arial" w:cs="Arial"/>
          <w:sz w:val="22"/>
          <w:szCs w:val="22"/>
        </w:rPr>
        <w:t>, Isoleucine, Lactate, Leucine, Methionine, Phenylalanine, Propionate, Propylene glycol, Tyrosine, Uracil, Valine) were predictable, with a mean of 4.81% and a maximum of 8.7% (Propylene Glycol using RF). When looking at the average R</w:t>
      </w:r>
      <w:r>
        <w:rPr>
          <w:rFonts w:ascii="Arial" w:eastAsia="Arial" w:hAnsi="Arial" w:cs="Arial"/>
          <w:sz w:val="22"/>
          <w:szCs w:val="22"/>
          <w:vertAlign w:val="superscript"/>
        </w:rPr>
        <w:t>2</w:t>
      </w:r>
      <w:r>
        <w:rPr>
          <w:rFonts w:ascii="Arial" w:eastAsia="Arial" w:hAnsi="Arial" w:cs="Arial"/>
          <w:sz w:val="22"/>
          <w:szCs w:val="22"/>
        </w:rPr>
        <w:t xml:space="preserve"> across all metabolites, performance was not good (-5.6% at 6 weeks; -3.07% at 12 months). This negative R</w:t>
      </w:r>
      <w:r>
        <w:rPr>
          <w:rFonts w:ascii="Arial" w:eastAsia="Arial" w:hAnsi="Arial" w:cs="Arial"/>
          <w:sz w:val="22"/>
          <w:szCs w:val="22"/>
          <w:vertAlign w:val="superscript"/>
        </w:rPr>
        <w:t>2</w:t>
      </w:r>
      <w:r>
        <w:rPr>
          <w:rFonts w:ascii="Arial" w:eastAsia="Arial" w:hAnsi="Arial" w:cs="Arial"/>
          <w:sz w:val="22"/>
          <w:szCs w:val="22"/>
        </w:rPr>
        <w:t xml:space="preserve"> value implies that the predicted model performs worse than the naïve, intercept only model. Conversely, correlative performance was much better. At 6 weeks 26 metabolites (83%) were predictable, with a mean correlation of 0.344 and a maximum of 0.669 (Butyrate using EN). Similarly, at 12 months all 36 targeted metabolites were predictable, with a mean of 0.265 and a maximum of 0.549 (Succinate using EN). Using the SCC cutoff of 0.3 as criteria for well predicted metabolites, </w:t>
      </w:r>
      <w:r w:rsidR="00002617">
        <w:rPr>
          <w:rFonts w:ascii="Arial" w:eastAsia="Arial" w:hAnsi="Arial" w:cs="Arial"/>
          <w:sz w:val="22"/>
          <w:szCs w:val="22"/>
        </w:rPr>
        <w:t>many</w:t>
      </w:r>
      <w:r>
        <w:rPr>
          <w:rFonts w:ascii="Arial" w:eastAsia="Arial" w:hAnsi="Arial" w:cs="Arial"/>
          <w:sz w:val="22"/>
          <w:szCs w:val="22"/>
        </w:rPr>
        <w:t xml:space="preserve"> metabolites at 6 weeks were still retained (25 metabolites - 69.4%). Conversely, at 12 months, only 13 metabolites remained to be well predicted (38.9%). On average, </w:t>
      </w:r>
      <w:r w:rsidR="00FD01C5">
        <w:rPr>
          <w:rFonts w:ascii="Arial" w:eastAsia="Arial" w:hAnsi="Arial" w:cs="Arial"/>
          <w:sz w:val="22"/>
          <w:szCs w:val="22"/>
        </w:rPr>
        <w:t>performance</w:t>
      </w:r>
      <w:r>
        <w:rPr>
          <w:rFonts w:ascii="Arial" w:eastAsia="Arial" w:hAnsi="Arial" w:cs="Arial"/>
          <w:sz w:val="22"/>
          <w:szCs w:val="22"/>
        </w:rPr>
        <w:t xml:space="preserve"> based on SCC was good with a mean SCC value of 0.339 at 6 weeks and 0.249 at 12 months. </w:t>
      </w:r>
    </w:p>
    <w:p w14:paraId="00A32D22" w14:textId="1F6D1F7B" w:rsidR="00B8663F" w:rsidRDefault="007B1201" w:rsidP="005F7936">
      <w:pPr>
        <w:rPr>
          <w:rFonts w:ascii="Arial" w:eastAsia="Arial" w:hAnsi="Arial" w:cs="Arial"/>
          <w:b/>
          <w:sz w:val="22"/>
          <w:szCs w:val="22"/>
        </w:rPr>
      </w:pPr>
      <w:r>
        <w:rPr>
          <w:rFonts w:ascii="Arial" w:eastAsia="Arial" w:hAnsi="Arial" w:cs="Arial"/>
          <w:sz w:val="22"/>
          <w:szCs w:val="22"/>
        </w:rPr>
        <w:t>In the untargeted analysis looking at the entire metabolome, performance was much better for both metrics. Under R</w:t>
      </w:r>
      <w:r>
        <w:rPr>
          <w:rFonts w:ascii="Arial" w:eastAsia="Arial" w:hAnsi="Arial" w:cs="Arial"/>
          <w:sz w:val="22"/>
          <w:szCs w:val="22"/>
          <w:vertAlign w:val="superscript"/>
        </w:rPr>
        <w:t>2</w:t>
      </w:r>
      <w:r>
        <w:rPr>
          <w:rFonts w:ascii="Arial" w:eastAsia="Arial" w:hAnsi="Arial" w:cs="Arial"/>
          <w:sz w:val="22"/>
          <w:szCs w:val="22"/>
        </w:rPr>
        <w:t xml:space="preserve">, 116 (56.7%) of metabolite bins were predictable at a maximum of 42.7% (Bin 33 using SPLS) and a mean of 16.7% at 6 weeks while at 12 months, 94 (45.1%) of metabolite </w:t>
      </w:r>
      <w:r>
        <w:rPr>
          <w:rFonts w:ascii="Arial" w:eastAsia="Arial" w:hAnsi="Arial" w:cs="Arial"/>
          <w:sz w:val="22"/>
          <w:szCs w:val="22"/>
        </w:rPr>
        <w:lastRenderedPageBreak/>
        <w:t xml:space="preserve">bins were ell predicted at a maximum of 22.7% (Bin 16 using SVM) and a mean of 8.19%. The overall average across all metabolites is 3.91% (6 weeks) </w:t>
      </w:r>
      <w:r w:rsidR="00FD01C5">
        <w:rPr>
          <w:rFonts w:ascii="Arial" w:eastAsia="Arial" w:hAnsi="Arial" w:cs="Arial"/>
          <w:sz w:val="22"/>
          <w:szCs w:val="22"/>
        </w:rPr>
        <w:t>and -</w:t>
      </w:r>
      <w:r>
        <w:rPr>
          <w:rFonts w:ascii="Arial" w:eastAsia="Arial" w:hAnsi="Arial" w:cs="Arial"/>
          <w:sz w:val="22"/>
          <w:szCs w:val="22"/>
        </w:rPr>
        <w:t xml:space="preserve">0.59% (12 months). This trend was similarly observed using SCC, as all </w:t>
      </w:r>
      <w:proofErr w:type="spellStart"/>
      <w:r>
        <w:rPr>
          <w:rFonts w:ascii="Arial" w:eastAsia="Arial" w:hAnsi="Arial" w:cs="Arial"/>
          <w:sz w:val="22"/>
          <w:szCs w:val="22"/>
        </w:rPr>
        <w:t>all</w:t>
      </w:r>
      <w:proofErr w:type="spellEnd"/>
      <w:r>
        <w:rPr>
          <w:rFonts w:ascii="Arial" w:eastAsia="Arial" w:hAnsi="Arial" w:cs="Arial"/>
          <w:sz w:val="22"/>
          <w:szCs w:val="22"/>
        </w:rPr>
        <w:t xml:space="preserve"> 208 metabolites bins were predictable for both time points (using SCC = 0 as the threshold). Specifically, of the predictable metabolites at 6 weeks the maximum value was 0.687 (Bin 32 using EN) with a mean of 0.352 while at 12 months, the maximum value was 0.53 (Bin 16 using SVM) and a mean of 0.253. Using the SCC cutoff of 0.3 as above, at 6 weeks 120 metabolite bins (57% of bins) were well predicted while at 12 months only 60 (28.8% of bins) were well predicted.</w:t>
      </w:r>
    </w:p>
    <w:p w14:paraId="02C1047E" w14:textId="218F47FC" w:rsidR="00B8663F" w:rsidRDefault="00B8663F" w:rsidP="005F7936">
      <w:pPr>
        <w:rPr>
          <w:rFonts w:ascii="Arial" w:eastAsia="Arial" w:hAnsi="Arial" w:cs="Arial"/>
          <w:b/>
          <w:sz w:val="22"/>
          <w:szCs w:val="22"/>
        </w:rPr>
      </w:pPr>
    </w:p>
    <w:p w14:paraId="41D5FBA6" w14:textId="77777777" w:rsidR="00B8663F" w:rsidRDefault="007B1201" w:rsidP="00680097">
      <w:pPr>
        <w:jc w:val="cente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2875F3AE" wp14:editId="527DFD48">
            <wp:extent cx="7475220" cy="6027420"/>
            <wp:effectExtent l="0" t="0" r="0" b="0"/>
            <wp:docPr id="1" name="image4.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screenshot of a cell phone&#10;&#10;Description automatically generated"/>
                    <pic:cNvPicPr preferRelativeResize="0"/>
                  </pic:nvPicPr>
                  <pic:blipFill>
                    <a:blip r:embed="rId5"/>
                    <a:srcRect/>
                    <a:stretch>
                      <a:fillRect/>
                    </a:stretch>
                  </pic:blipFill>
                  <pic:spPr>
                    <a:xfrm>
                      <a:off x="0" y="0"/>
                      <a:ext cx="7475220" cy="6027420"/>
                    </a:xfrm>
                    <a:prstGeom prst="rect">
                      <a:avLst/>
                    </a:prstGeom>
                    <a:ln/>
                  </pic:spPr>
                </pic:pic>
              </a:graphicData>
            </a:graphic>
          </wp:inline>
        </w:drawing>
      </w:r>
    </w:p>
    <w:p w14:paraId="0B8DB963" w14:textId="0C653F41" w:rsidR="004D5C39" w:rsidRDefault="007B1201" w:rsidP="005F7936">
      <w:pPr>
        <w:rPr>
          <w:rFonts w:ascii="Arial" w:eastAsia="Arial" w:hAnsi="Arial" w:cs="Arial"/>
          <w:sz w:val="22"/>
          <w:szCs w:val="22"/>
        </w:rPr>
      </w:pPr>
      <w:r>
        <w:rPr>
          <w:rFonts w:ascii="Arial" w:eastAsia="Arial" w:hAnsi="Arial" w:cs="Arial"/>
          <w:b/>
          <w:sz w:val="22"/>
          <w:szCs w:val="22"/>
        </w:rPr>
        <w:t xml:space="preserve">Figure S1. </w:t>
      </w:r>
      <w:r>
        <w:rPr>
          <w:rFonts w:ascii="Arial" w:eastAsia="Arial" w:hAnsi="Arial" w:cs="Arial"/>
          <w:sz w:val="22"/>
          <w:szCs w:val="22"/>
        </w:rPr>
        <w:t xml:space="preserve">Inter-omics Procrustes biplots comparing </w:t>
      </w:r>
      <w:proofErr w:type="spellStart"/>
      <w:r>
        <w:rPr>
          <w:rFonts w:ascii="Arial" w:eastAsia="Arial" w:hAnsi="Arial" w:cs="Arial"/>
          <w:sz w:val="22"/>
          <w:szCs w:val="22"/>
        </w:rPr>
        <w:t>PCoA</w:t>
      </w:r>
      <w:proofErr w:type="spellEnd"/>
      <w:r>
        <w:rPr>
          <w:rFonts w:ascii="Arial" w:eastAsia="Arial" w:hAnsi="Arial" w:cs="Arial"/>
          <w:sz w:val="22"/>
          <w:szCs w:val="22"/>
        </w:rPr>
        <w:t xml:space="preserve"> ordinations of untargeted metabolite profiles and taxonomic relative abundances for 6 weeks (left panels) (n = 158) and 12 months (right panels) (n = 262). Top panels present analyses based on ordinations from Euclidean distances of genus level abundances after centered log ratio transformation and Euclidean distances of arcsine square root transformed metabolite relative abundances. Bottom panel presents analyses based on generalized </w:t>
      </w:r>
      <w:proofErr w:type="spellStart"/>
      <w:r>
        <w:rPr>
          <w:rFonts w:ascii="Arial" w:eastAsia="Arial" w:hAnsi="Arial" w:cs="Arial"/>
          <w:sz w:val="22"/>
          <w:szCs w:val="22"/>
        </w:rPr>
        <w:t>Unifrac</w:t>
      </w:r>
      <w:proofErr w:type="spellEnd"/>
      <w:r>
        <w:rPr>
          <w:rFonts w:ascii="Arial" w:eastAsia="Arial" w:hAnsi="Arial" w:cs="Arial"/>
          <w:sz w:val="22"/>
          <w:szCs w:val="22"/>
        </w:rPr>
        <w:t xml:space="preserve"> distance of amplicon sequence variant (ASV) relative abundances and Euclidean distances of arcsine square root transformed metabolite relative abundances.</w:t>
      </w:r>
    </w:p>
    <w:p w14:paraId="2338676C" w14:textId="77777777" w:rsidR="008E2694" w:rsidRPr="008E2694" w:rsidRDefault="008E2694" w:rsidP="005F7936">
      <w:pPr>
        <w:rPr>
          <w:rFonts w:ascii="Arial" w:eastAsia="Arial" w:hAnsi="Arial" w:cs="Arial"/>
          <w:sz w:val="22"/>
          <w:szCs w:val="22"/>
        </w:rPr>
      </w:pPr>
    </w:p>
    <w:p w14:paraId="038A13F0" w14:textId="1A1825C4" w:rsidR="00B8663F" w:rsidRDefault="004D5C39" w:rsidP="005F7936">
      <w:pPr>
        <w:jc w:val="center"/>
        <w:rPr>
          <w:rFonts w:ascii="Arial" w:eastAsia="Arial" w:hAnsi="Arial" w:cs="Arial"/>
          <w:sz w:val="22"/>
          <w:szCs w:val="22"/>
        </w:rPr>
      </w:pPr>
      <w:r>
        <w:rPr>
          <w:rFonts w:ascii="Arial" w:eastAsia="Arial" w:hAnsi="Arial" w:cs="Arial"/>
          <w:noProof/>
          <w:sz w:val="22"/>
          <w:szCs w:val="22"/>
        </w:rPr>
        <w:drawing>
          <wp:inline distT="0" distB="0" distL="0" distR="0" wp14:anchorId="2B6D94FD" wp14:editId="793E0312">
            <wp:extent cx="6220383" cy="5722620"/>
            <wp:effectExtent l="0" t="0" r="9525" b="0"/>
            <wp:docPr id="5" name="Picture 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c_plots_unta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23842" cy="5725802"/>
                    </a:xfrm>
                    <a:prstGeom prst="rect">
                      <a:avLst/>
                    </a:prstGeom>
                  </pic:spPr>
                </pic:pic>
              </a:graphicData>
            </a:graphic>
          </wp:inline>
        </w:drawing>
      </w:r>
    </w:p>
    <w:p w14:paraId="625C8571" w14:textId="03012B13" w:rsidR="008E2694" w:rsidRDefault="007B1201" w:rsidP="005F7936">
      <w:pPr>
        <w:rPr>
          <w:rFonts w:ascii="Arial" w:eastAsia="Arial" w:hAnsi="Arial" w:cs="Arial"/>
          <w:sz w:val="22"/>
          <w:szCs w:val="22"/>
        </w:rPr>
      </w:pPr>
      <w:r>
        <w:rPr>
          <w:rFonts w:ascii="Arial" w:eastAsia="Arial" w:hAnsi="Arial" w:cs="Arial"/>
          <w:b/>
          <w:sz w:val="22"/>
          <w:szCs w:val="22"/>
        </w:rPr>
        <w:t>Figure S2.</w:t>
      </w:r>
      <w:r w:rsidR="001971E2">
        <w:rPr>
          <w:rFonts w:ascii="Arial" w:eastAsia="Arial" w:hAnsi="Arial" w:cs="Arial"/>
          <w:sz w:val="22"/>
          <w:szCs w:val="22"/>
        </w:rPr>
        <w:t xml:space="preserve"> </w:t>
      </w:r>
      <w:r w:rsidR="001971E2" w:rsidRPr="001971E2">
        <w:rPr>
          <w:rFonts w:ascii="Arial" w:eastAsia="Arial" w:hAnsi="Arial" w:cs="Arial"/>
          <w:sz w:val="22"/>
          <w:szCs w:val="22"/>
        </w:rPr>
        <w:t xml:space="preserve">Pairwise Spearman correlation of </w:t>
      </w:r>
      <w:r w:rsidR="00170C9B">
        <w:rPr>
          <w:rFonts w:ascii="Arial" w:eastAsia="Arial" w:hAnsi="Arial" w:cs="Arial"/>
          <w:sz w:val="22"/>
          <w:szCs w:val="22"/>
        </w:rPr>
        <w:t xml:space="preserve">metabolite bins </w:t>
      </w:r>
      <w:r w:rsidR="001971E2" w:rsidRPr="001971E2">
        <w:rPr>
          <w:rFonts w:ascii="Arial" w:eastAsia="Arial" w:hAnsi="Arial" w:cs="Arial"/>
          <w:sz w:val="22"/>
          <w:szCs w:val="22"/>
        </w:rPr>
        <w:t xml:space="preserve">and genus-level taxonomic abundances for 6-weeks (panel A, N = 168) and 12-months (panel B, N = 282) infants. Left panel displays the overall correlation pattern, where non-significant correlations are not colored (false discovery rate (FDR) controlled q-value &lt; 0.05). Right panel displays the same heatmap restricted to taxa and metabolites selected by the sparse CCA procedure. Additionally, correlation coefficient of the first </w:t>
      </w:r>
      <w:proofErr w:type="spellStart"/>
      <w:r w:rsidR="001971E2" w:rsidRPr="001971E2">
        <w:rPr>
          <w:rFonts w:ascii="Arial" w:eastAsia="Arial" w:hAnsi="Arial" w:cs="Arial"/>
          <w:sz w:val="22"/>
          <w:szCs w:val="22"/>
        </w:rPr>
        <w:t>sCCA</w:t>
      </w:r>
      <w:proofErr w:type="spellEnd"/>
      <w:r w:rsidR="001971E2" w:rsidRPr="001971E2">
        <w:rPr>
          <w:rFonts w:ascii="Arial" w:eastAsia="Arial" w:hAnsi="Arial" w:cs="Arial"/>
          <w:sz w:val="22"/>
          <w:szCs w:val="22"/>
        </w:rPr>
        <w:t xml:space="preserve"> variate pair, bootstrapped 95% confidence interval and permutation p-value are also reported. </w:t>
      </w:r>
    </w:p>
    <w:p w14:paraId="2A1A4593" w14:textId="77777777" w:rsidR="008E2694" w:rsidRDefault="008E2694" w:rsidP="005F7936">
      <w:pPr>
        <w:rPr>
          <w:rFonts w:ascii="Arial" w:eastAsia="Arial" w:hAnsi="Arial" w:cs="Arial"/>
          <w:sz w:val="22"/>
          <w:szCs w:val="22"/>
        </w:rPr>
      </w:pPr>
    </w:p>
    <w:p w14:paraId="672B1BE2" w14:textId="77777777" w:rsidR="00B8663F" w:rsidRDefault="007B1201" w:rsidP="005F7936">
      <w:pPr>
        <w:jc w:val="cente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4450325C" wp14:editId="5FAC8B5A">
            <wp:extent cx="5326380" cy="5273040"/>
            <wp:effectExtent l="0" t="0" r="7620" b="3810"/>
            <wp:docPr id="3" name="image1.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10;&#10;Description automatically generated"/>
                    <pic:cNvPicPr preferRelativeResize="0"/>
                  </pic:nvPicPr>
                  <pic:blipFill>
                    <a:blip r:embed="rId7"/>
                    <a:srcRect/>
                    <a:stretch>
                      <a:fillRect/>
                    </a:stretch>
                  </pic:blipFill>
                  <pic:spPr>
                    <a:xfrm>
                      <a:off x="0" y="0"/>
                      <a:ext cx="5326914" cy="5273569"/>
                    </a:xfrm>
                    <a:prstGeom prst="rect">
                      <a:avLst/>
                    </a:prstGeom>
                    <a:ln/>
                  </pic:spPr>
                </pic:pic>
              </a:graphicData>
            </a:graphic>
          </wp:inline>
        </w:drawing>
      </w:r>
    </w:p>
    <w:p w14:paraId="7BD98E0E" w14:textId="77777777" w:rsidR="00B8663F" w:rsidRDefault="007B1201" w:rsidP="005F7936">
      <w:pPr>
        <w:rPr>
          <w:rFonts w:ascii="Arial" w:eastAsia="Arial" w:hAnsi="Arial" w:cs="Arial"/>
          <w:sz w:val="22"/>
          <w:szCs w:val="22"/>
        </w:rPr>
      </w:pPr>
      <w:r>
        <w:rPr>
          <w:rFonts w:ascii="Arial" w:eastAsia="Arial" w:hAnsi="Arial" w:cs="Arial"/>
          <w:b/>
          <w:sz w:val="22"/>
          <w:szCs w:val="22"/>
        </w:rPr>
        <w:t xml:space="preserve">Figure S3. </w:t>
      </w:r>
      <w:r>
        <w:rPr>
          <w:rFonts w:ascii="Arial" w:eastAsia="Arial" w:hAnsi="Arial" w:cs="Arial"/>
          <w:sz w:val="22"/>
          <w:szCs w:val="22"/>
        </w:rPr>
        <w:t xml:space="preserve">Comparative analysis predictive model performance across all metabolites in the untargeted dataset for both 6-weeks (n = 158) and 12-months (n = 282) timepoints. Top panel shows superimposed boxplots and violin plots of the distribution of predictive posterior mean for each evaluation metric across all 208 spectral bins. Bottom panels show aggregated model rankings for all metabolites using R-squared (left) and spearman correlation (right) using </w:t>
      </w:r>
      <w:proofErr w:type="spellStart"/>
      <w:r>
        <w:rPr>
          <w:rFonts w:ascii="Arial" w:eastAsia="Arial" w:hAnsi="Arial" w:cs="Arial"/>
          <w:sz w:val="22"/>
          <w:szCs w:val="22"/>
        </w:rPr>
        <w:t>Borda</w:t>
      </w:r>
      <w:proofErr w:type="spellEnd"/>
      <w:r>
        <w:rPr>
          <w:rFonts w:ascii="Arial" w:eastAsia="Arial" w:hAnsi="Arial" w:cs="Arial"/>
          <w:sz w:val="22"/>
          <w:szCs w:val="22"/>
        </w:rPr>
        <w:t xml:space="preserve"> scores (Methods).</w:t>
      </w:r>
    </w:p>
    <w:p w14:paraId="642BB0EF" w14:textId="77777777" w:rsidR="00B8663F" w:rsidRDefault="007B1201" w:rsidP="005F7936">
      <w:pPr>
        <w:rPr>
          <w:rFonts w:ascii="Arial" w:eastAsia="Arial" w:hAnsi="Arial" w:cs="Arial"/>
          <w:sz w:val="22"/>
          <w:szCs w:val="22"/>
        </w:rPr>
      </w:pPr>
      <w:r>
        <w:br w:type="page"/>
      </w:r>
    </w:p>
    <w:p w14:paraId="7B2FB8C8" w14:textId="77777777" w:rsidR="00B8663F" w:rsidRDefault="007B1201" w:rsidP="005F7936">
      <w:pPr>
        <w:jc w:val="center"/>
        <w:rPr>
          <w:rFonts w:ascii="Arial" w:eastAsia="Arial" w:hAnsi="Arial" w:cs="Arial"/>
          <w:b/>
          <w:sz w:val="22"/>
          <w:szCs w:val="22"/>
        </w:rPr>
      </w:pPr>
      <w:r>
        <w:rPr>
          <w:rFonts w:ascii="Arial" w:eastAsia="Arial" w:hAnsi="Arial" w:cs="Arial"/>
          <w:b/>
          <w:noProof/>
          <w:sz w:val="22"/>
          <w:szCs w:val="22"/>
        </w:rPr>
        <w:lastRenderedPageBreak/>
        <w:drawing>
          <wp:inline distT="0" distB="0" distL="0" distR="0" wp14:anchorId="0FEDFCF6" wp14:editId="55FA11F2">
            <wp:extent cx="7726680" cy="5798820"/>
            <wp:effectExtent l="0" t="0" r="762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7726680" cy="5798820"/>
                    </a:xfrm>
                    <a:prstGeom prst="rect">
                      <a:avLst/>
                    </a:prstGeom>
                    <a:ln/>
                  </pic:spPr>
                </pic:pic>
              </a:graphicData>
            </a:graphic>
          </wp:inline>
        </w:drawing>
      </w:r>
    </w:p>
    <w:p w14:paraId="5472D618" w14:textId="4F7E7671" w:rsidR="00BA3A4C" w:rsidRDefault="007B1201" w:rsidP="005F7936">
      <w:pPr>
        <w:rPr>
          <w:rFonts w:ascii="Arial" w:eastAsia="Arial" w:hAnsi="Arial" w:cs="Arial"/>
          <w:sz w:val="22"/>
          <w:szCs w:val="22"/>
        </w:rPr>
      </w:pPr>
      <w:r>
        <w:rPr>
          <w:rFonts w:ascii="Arial" w:eastAsia="Arial" w:hAnsi="Arial" w:cs="Arial"/>
          <w:b/>
          <w:sz w:val="22"/>
          <w:szCs w:val="22"/>
        </w:rPr>
        <w:t xml:space="preserve">Figure S4. </w:t>
      </w:r>
      <w:r>
        <w:rPr>
          <w:rFonts w:ascii="Arial" w:eastAsia="Arial" w:hAnsi="Arial" w:cs="Arial"/>
          <w:sz w:val="22"/>
          <w:szCs w:val="22"/>
        </w:rPr>
        <w:t xml:space="preserve">Results for positive (Panel A) and negative simulations (Panel B). Positive simulations were conducted based on bootstrapped resamples of the original data (12-month time point) and a normally distributed outcome vector which represented a log-transformed metabolite profile. Different levels of model saturation (horizontal, model sparsity (spar) at 0.05, 0.1, 0.5, 0.95) and effect sizes (vertical, signal-to-noise ratio (snr) at 0.5, 0.7, 3, 5) were assessed, with 100 data sets generated for each setting combination. Negative simulations were conducted based on permutations of the original data (12-month time point), with a total of 1000 permutations. </w:t>
      </w:r>
      <w:r w:rsidR="006A181E">
        <w:rPr>
          <w:rFonts w:ascii="Arial" w:eastAsia="Arial" w:hAnsi="Arial" w:cs="Arial"/>
          <w:sz w:val="22"/>
          <w:szCs w:val="22"/>
        </w:rPr>
        <w:t xml:space="preserve">Highly negative outliers were removed for the purposes of visualization. </w:t>
      </w:r>
    </w:p>
    <w:p w14:paraId="4192B1AE" w14:textId="33B737E1" w:rsidR="00090405" w:rsidRDefault="00090405" w:rsidP="005F7936">
      <w:pPr>
        <w:rPr>
          <w:rFonts w:ascii="Arial" w:eastAsia="Arial" w:hAnsi="Arial" w:cs="Arial"/>
          <w:sz w:val="22"/>
          <w:szCs w:val="22"/>
        </w:rPr>
      </w:pPr>
    </w:p>
    <w:p w14:paraId="16E77A26" w14:textId="132D6FFA" w:rsidR="00090405" w:rsidRPr="00090405" w:rsidRDefault="00090405" w:rsidP="00680097">
      <w:pPr>
        <w:jc w:val="center"/>
        <w:rPr>
          <w:rFonts w:ascii="Arial" w:eastAsia="Arial" w:hAnsi="Arial" w:cs="Arial"/>
          <w:sz w:val="22"/>
          <w:szCs w:val="22"/>
        </w:rPr>
      </w:pPr>
      <w:r>
        <w:rPr>
          <w:rFonts w:ascii="Arial" w:eastAsia="Arial" w:hAnsi="Arial" w:cs="Arial"/>
          <w:noProof/>
          <w:sz w:val="22"/>
          <w:szCs w:val="22"/>
        </w:rPr>
        <w:drawing>
          <wp:inline distT="0" distB="0" distL="0" distR="0" wp14:anchorId="512D889C" wp14:editId="7CA80D39">
            <wp:extent cx="7191375" cy="5753100"/>
            <wp:effectExtent l="0" t="0" r="9525" b="0"/>
            <wp:docPr id="9"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 up of a 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95582" cy="5756466"/>
                    </a:xfrm>
                    <a:prstGeom prst="rect">
                      <a:avLst/>
                    </a:prstGeom>
                  </pic:spPr>
                </pic:pic>
              </a:graphicData>
            </a:graphic>
          </wp:inline>
        </w:drawing>
      </w:r>
    </w:p>
    <w:p w14:paraId="0187AE1C" w14:textId="77970AAE" w:rsidR="00BA3A4C" w:rsidRDefault="00BA3A4C" w:rsidP="005F7936">
      <w:pPr>
        <w:rPr>
          <w:rFonts w:ascii="Arial" w:eastAsia="Arial" w:hAnsi="Arial" w:cs="Arial"/>
          <w:sz w:val="22"/>
          <w:szCs w:val="22"/>
        </w:rPr>
      </w:pPr>
      <w:r>
        <w:rPr>
          <w:rFonts w:ascii="Arial" w:eastAsia="Arial" w:hAnsi="Arial" w:cs="Arial"/>
          <w:b/>
          <w:sz w:val="22"/>
          <w:szCs w:val="22"/>
        </w:rPr>
        <w:t xml:space="preserve">Figure S5. </w:t>
      </w:r>
      <w:r>
        <w:rPr>
          <w:rFonts w:ascii="Arial" w:eastAsia="Arial" w:hAnsi="Arial" w:cs="Arial"/>
          <w:sz w:val="22"/>
          <w:szCs w:val="22"/>
        </w:rPr>
        <w:t xml:space="preserve">Inter-omics Procrustes biplots comparing </w:t>
      </w:r>
      <w:proofErr w:type="spellStart"/>
      <w:r>
        <w:rPr>
          <w:rFonts w:ascii="Arial" w:eastAsia="Arial" w:hAnsi="Arial" w:cs="Arial"/>
          <w:sz w:val="22"/>
          <w:szCs w:val="22"/>
        </w:rPr>
        <w:t>PCoA</w:t>
      </w:r>
      <w:proofErr w:type="spellEnd"/>
      <w:r>
        <w:rPr>
          <w:rFonts w:ascii="Arial" w:eastAsia="Arial" w:hAnsi="Arial" w:cs="Arial"/>
          <w:sz w:val="22"/>
          <w:szCs w:val="22"/>
        </w:rPr>
        <w:t xml:space="preserve"> ordinations of </w:t>
      </w:r>
      <w:r w:rsidR="00090405">
        <w:rPr>
          <w:rFonts w:ascii="Arial" w:eastAsia="Arial" w:hAnsi="Arial" w:cs="Arial"/>
          <w:sz w:val="22"/>
          <w:szCs w:val="22"/>
        </w:rPr>
        <w:t xml:space="preserve">targeted </w:t>
      </w:r>
      <w:r>
        <w:rPr>
          <w:rFonts w:ascii="Arial" w:eastAsia="Arial" w:hAnsi="Arial" w:cs="Arial"/>
          <w:sz w:val="22"/>
          <w:szCs w:val="22"/>
        </w:rPr>
        <w:t xml:space="preserve">metabolite profiles and taxonomic relative abundances </w:t>
      </w:r>
      <w:r w:rsidR="00090405">
        <w:rPr>
          <w:rFonts w:ascii="Arial" w:eastAsia="Arial" w:hAnsi="Arial" w:cs="Arial"/>
          <w:sz w:val="22"/>
          <w:szCs w:val="22"/>
        </w:rPr>
        <w:t xml:space="preserve">in the sensitivity analyses </w:t>
      </w:r>
      <w:r>
        <w:rPr>
          <w:rFonts w:ascii="Arial" w:eastAsia="Arial" w:hAnsi="Arial" w:cs="Arial"/>
          <w:sz w:val="22"/>
          <w:szCs w:val="22"/>
        </w:rPr>
        <w:t xml:space="preserve">for 6 weeks (left panels) (n = </w:t>
      </w:r>
      <w:r w:rsidR="00090405">
        <w:rPr>
          <w:rFonts w:ascii="Arial" w:eastAsia="Arial" w:hAnsi="Arial" w:cs="Arial"/>
          <w:sz w:val="22"/>
          <w:szCs w:val="22"/>
        </w:rPr>
        <w:t>65</w:t>
      </w:r>
      <w:r>
        <w:rPr>
          <w:rFonts w:ascii="Arial" w:eastAsia="Arial" w:hAnsi="Arial" w:cs="Arial"/>
          <w:sz w:val="22"/>
          <w:szCs w:val="22"/>
        </w:rPr>
        <w:t xml:space="preserve">) and 12 months (right panels) (n = </w:t>
      </w:r>
      <w:r w:rsidR="00090405">
        <w:rPr>
          <w:rFonts w:ascii="Arial" w:eastAsia="Arial" w:hAnsi="Arial" w:cs="Arial"/>
          <w:sz w:val="22"/>
          <w:szCs w:val="22"/>
        </w:rPr>
        <w:t>65</w:t>
      </w:r>
      <w:r>
        <w:rPr>
          <w:rFonts w:ascii="Arial" w:eastAsia="Arial" w:hAnsi="Arial" w:cs="Arial"/>
          <w:sz w:val="22"/>
          <w:szCs w:val="22"/>
        </w:rPr>
        <w:t xml:space="preserve">). Top panels present analyses based on ordinations from Euclidean distances of genus level abundances after centered log ratio transformation and Euclidean distances of arcsine square root transformed metabolite relative abundances. Bottom panel presents analyses based on generalized </w:t>
      </w:r>
      <w:proofErr w:type="spellStart"/>
      <w:r>
        <w:rPr>
          <w:rFonts w:ascii="Arial" w:eastAsia="Arial" w:hAnsi="Arial" w:cs="Arial"/>
          <w:sz w:val="22"/>
          <w:szCs w:val="22"/>
        </w:rPr>
        <w:t>Unifrac</w:t>
      </w:r>
      <w:proofErr w:type="spellEnd"/>
      <w:r>
        <w:rPr>
          <w:rFonts w:ascii="Arial" w:eastAsia="Arial" w:hAnsi="Arial" w:cs="Arial"/>
          <w:sz w:val="22"/>
          <w:szCs w:val="22"/>
        </w:rPr>
        <w:t xml:space="preserve"> distance of amplicon sequence variant (ASV) relative abundances and Euclidean distances of arcsine square root transformed metabolite relative abundances.</w:t>
      </w:r>
    </w:p>
    <w:p w14:paraId="0D83513B" w14:textId="292646A4" w:rsidR="00BA3A4C" w:rsidRDefault="00BA3A4C" w:rsidP="005F7936">
      <w:pPr>
        <w:rPr>
          <w:rFonts w:ascii="Arial" w:eastAsia="Arial" w:hAnsi="Arial" w:cs="Arial"/>
          <w:sz w:val="22"/>
          <w:szCs w:val="22"/>
        </w:rPr>
      </w:pPr>
    </w:p>
    <w:p w14:paraId="3C70DD5E" w14:textId="1B6A940C" w:rsidR="00090405" w:rsidRDefault="00090405" w:rsidP="00680097">
      <w:pPr>
        <w:jc w:val="center"/>
        <w:rPr>
          <w:rFonts w:ascii="Arial" w:eastAsia="Arial" w:hAnsi="Arial" w:cs="Arial"/>
          <w:sz w:val="22"/>
          <w:szCs w:val="22"/>
        </w:rPr>
      </w:pPr>
      <w:r>
        <w:rPr>
          <w:rFonts w:ascii="Arial" w:eastAsia="Arial" w:hAnsi="Arial" w:cs="Arial"/>
          <w:noProof/>
          <w:sz w:val="22"/>
          <w:szCs w:val="22"/>
        </w:rPr>
        <w:drawing>
          <wp:inline distT="0" distB="0" distL="0" distR="0" wp14:anchorId="62BE41F6" wp14:editId="3D3F31FC">
            <wp:extent cx="7307580" cy="5846062"/>
            <wp:effectExtent l="0" t="0" r="7620" b="2540"/>
            <wp:docPr id="10" name="Picture 10"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close up of text on a white backgr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17792" cy="5854231"/>
                    </a:xfrm>
                    <a:prstGeom prst="rect">
                      <a:avLst/>
                    </a:prstGeom>
                  </pic:spPr>
                </pic:pic>
              </a:graphicData>
            </a:graphic>
          </wp:inline>
        </w:drawing>
      </w:r>
    </w:p>
    <w:p w14:paraId="281FB1F0" w14:textId="15D62B53" w:rsidR="00BA3A4C" w:rsidRDefault="00BA3A4C" w:rsidP="005F7936">
      <w:pPr>
        <w:rPr>
          <w:rFonts w:ascii="Arial" w:eastAsia="Arial" w:hAnsi="Arial" w:cs="Arial"/>
          <w:sz w:val="22"/>
          <w:szCs w:val="22"/>
        </w:rPr>
      </w:pPr>
      <w:r>
        <w:rPr>
          <w:rFonts w:ascii="Arial" w:eastAsia="Arial" w:hAnsi="Arial" w:cs="Arial"/>
          <w:b/>
          <w:sz w:val="22"/>
          <w:szCs w:val="22"/>
        </w:rPr>
        <w:t>Figure S6</w:t>
      </w:r>
      <w:r w:rsidR="00090405">
        <w:rPr>
          <w:rFonts w:ascii="Arial" w:eastAsia="Arial" w:hAnsi="Arial" w:cs="Arial"/>
          <w:b/>
          <w:sz w:val="22"/>
          <w:szCs w:val="22"/>
        </w:rPr>
        <w:t xml:space="preserve">. </w:t>
      </w:r>
      <w:r>
        <w:rPr>
          <w:rFonts w:ascii="Arial" w:eastAsia="Arial" w:hAnsi="Arial" w:cs="Arial"/>
          <w:sz w:val="22"/>
          <w:szCs w:val="22"/>
        </w:rPr>
        <w:t xml:space="preserve">Inter-omics Procrustes biplots comparing </w:t>
      </w:r>
      <w:proofErr w:type="spellStart"/>
      <w:r>
        <w:rPr>
          <w:rFonts w:ascii="Arial" w:eastAsia="Arial" w:hAnsi="Arial" w:cs="Arial"/>
          <w:sz w:val="22"/>
          <w:szCs w:val="22"/>
        </w:rPr>
        <w:t>PCoA</w:t>
      </w:r>
      <w:proofErr w:type="spellEnd"/>
      <w:r>
        <w:rPr>
          <w:rFonts w:ascii="Arial" w:eastAsia="Arial" w:hAnsi="Arial" w:cs="Arial"/>
          <w:sz w:val="22"/>
          <w:szCs w:val="22"/>
        </w:rPr>
        <w:t xml:space="preserve"> ordinations of untargeted metabolite </w:t>
      </w:r>
      <w:r w:rsidR="008C1D57">
        <w:rPr>
          <w:rFonts w:ascii="Arial" w:eastAsia="Arial" w:hAnsi="Arial" w:cs="Arial"/>
          <w:sz w:val="22"/>
          <w:szCs w:val="22"/>
        </w:rPr>
        <w:t>bin relative concentrations and</w:t>
      </w:r>
      <w:r>
        <w:rPr>
          <w:rFonts w:ascii="Arial" w:eastAsia="Arial" w:hAnsi="Arial" w:cs="Arial"/>
          <w:sz w:val="22"/>
          <w:szCs w:val="22"/>
        </w:rPr>
        <w:t xml:space="preserve"> taxonomic relative abundances </w:t>
      </w:r>
      <w:r w:rsidR="008C1D57">
        <w:rPr>
          <w:rFonts w:ascii="Arial" w:eastAsia="Arial" w:hAnsi="Arial" w:cs="Arial"/>
          <w:sz w:val="22"/>
          <w:szCs w:val="22"/>
        </w:rPr>
        <w:t xml:space="preserve">in the sensitivity analyses </w:t>
      </w:r>
      <w:r>
        <w:rPr>
          <w:rFonts w:ascii="Arial" w:eastAsia="Arial" w:hAnsi="Arial" w:cs="Arial"/>
          <w:sz w:val="22"/>
          <w:szCs w:val="22"/>
        </w:rPr>
        <w:t>for 6 weeks (left panels) (n =</w:t>
      </w:r>
      <w:r w:rsidR="008C1D57">
        <w:rPr>
          <w:rFonts w:ascii="Arial" w:eastAsia="Arial" w:hAnsi="Arial" w:cs="Arial"/>
          <w:sz w:val="22"/>
          <w:szCs w:val="22"/>
        </w:rPr>
        <w:t xml:space="preserve"> 65</w:t>
      </w:r>
      <w:r>
        <w:rPr>
          <w:rFonts w:ascii="Arial" w:eastAsia="Arial" w:hAnsi="Arial" w:cs="Arial"/>
          <w:sz w:val="22"/>
          <w:szCs w:val="22"/>
        </w:rPr>
        <w:t xml:space="preserve">) and 12 months (right panels) (n = </w:t>
      </w:r>
      <w:r w:rsidR="008C1D57">
        <w:rPr>
          <w:rFonts w:ascii="Arial" w:eastAsia="Arial" w:hAnsi="Arial" w:cs="Arial"/>
          <w:sz w:val="22"/>
          <w:szCs w:val="22"/>
        </w:rPr>
        <w:t>65</w:t>
      </w:r>
      <w:r>
        <w:rPr>
          <w:rFonts w:ascii="Arial" w:eastAsia="Arial" w:hAnsi="Arial" w:cs="Arial"/>
          <w:sz w:val="22"/>
          <w:szCs w:val="22"/>
        </w:rPr>
        <w:t xml:space="preserve">). Top panels present analyses based on ordinations from Euclidean distances of genus level abundances after centered log ratio transformation and Euclidean distances of arcsine square root transformed metabolite relative abundances. Bottom panel presents analyses based on generalized </w:t>
      </w:r>
      <w:proofErr w:type="spellStart"/>
      <w:r>
        <w:rPr>
          <w:rFonts w:ascii="Arial" w:eastAsia="Arial" w:hAnsi="Arial" w:cs="Arial"/>
          <w:sz w:val="22"/>
          <w:szCs w:val="22"/>
        </w:rPr>
        <w:t>Unifrac</w:t>
      </w:r>
      <w:proofErr w:type="spellEnd"/>
      <w:r>
        <w:rPr>
          <w:rFonts w:ascii="Arial" w:eastAsia="Arial" w:hAnsi="Arial" w:cs="Arial"/>
          <w:sz w:val="22"/>
          <w:szCs w:val="22"/>
        </w:rPr>
        <w:t xml:space="preserve"> distance of amplicon sequence variant (ASV) relative abundances and Euclidean distances of arcsine square root transformed metabolite relative abundances.</w:t>
      </w:r>
    </w:p>
    <w:p w14:paraId="25437657" w14:textId="77777777" w:rsidR="00BA3A4C" w:rsidRDefault="00BA3A4C" w:rsidP="005F7936">
      <w:pPr>
        <w:rPr>
          <w:rFonts w:ascii="Arial" w:eastAsia="Arial" w:hAnsi="Arial" w:cs="Arial"/>
          <w:sz w:val="22"/>
          <w:szCs w:val="22"/>
        </w:rPr>
      </w:pPr>
    </w:p>
    <w:p w14:paraId="256E332A" w14:textId="0FADA6DB" w:rsidR="00E01344" w:rsidRDefault="00E01344" w:rsidP="005F7936">
      <w:pPr>
        <w:rPr>
          <w:rFonts w:ascii="Arial" w:eastAsia="Arial" w:hAnsi="Arial" w:cs="Arial"/>
          <w:sz w:val="22"/>
          <w:szCs w:val="22"/>
        </w:rPr>
      </w:pPr>
    </w:p>
    <w:p w14:paraId="13E6D5CF" w14:textId="56FC8E44" w:rsidR="00E01344" w:rsidRDefault="007C0E2C" w:rsidP="00680097">
      <w:pPr>
        <w:jc w:val="center"/>
        <w:rPr>
          <w:rFonts w:ascii="Arial" w:eastAsia="Arial" w:hAnsi="Arial" w:cs="Arial"/>
          <w:sz w:val="22"/>
          <w:szCs w:val="22"/>
        </w:rPr>
      </w:pPr>
      <w:r>
        <w:rPr>
          <w:rFonts w:ascii="Arial" w:eastAsia="Arial" w:hAnsi="Arial" w:cs="Arial"/>
          <w:noProof/>
          <w:sz w:val="22"/>
          <w:szCs w:val="22"/>
        </w:rPr>
        <w:drawing>
          <wp:inline distT="0" distB="0" distL="0" distR="0" wp14:anchorId="31EA98E7" wp14:editId="289C58AF">
            <wp:extent cx="7117080" cy="5693664"/>
            <wp:effectExtent l="0" t="0" r="7620" b="2540"/>
            <wp:docPr id="7" name="Picture 7"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 up of a 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128449" cy="5702759"/>
                    </a:xfrm>
                    <a:prstGeom prst="rect">
                      <a:avLst/>
                    </a:prstGeom>
                  </pic:spPr>
                </pic:pic>
              </a:graphicData>
            </a:graphic>
          </wp:inline>
        </w:drawing>
      </w:r>
    </w:p>
    <w:p w14:paraId="0694DF27" w14:textId="53D4C89B" w:rsidR="00BA3A4C" w:rsidRDefault="00E01344" w:rsidP="005F7936">
      <w:pPr>
        <w:rPr>
          <w:rFonts w:ascii="Arial" w:eastAsia="Arial" w:hAnsi="Arial" w:cs="Arial"/>
          <w:sz w:val="22"/>
          <w:szCs w:val="22"/>
        </w:rPr>
      </w:pPr>
      <w:r w:rsidRPr="00E01344">
        <w:rPr>
          <w:rFonts w:ascii="Arial" w:eastAsia="Arial" w:hAnsi="Arial" w:cs="Arial"/>
          <w:b/>
          <w:bCs/>
          <w:sz w:val="22"/>
          <w:szCs w:val="22"/>
        </w:rPr>
        <w:t>Figure S</w:t>
      </w:r>
      <w:r w:rsidR="00BA3A4C">
        <w:rPr>
          <w:rFonts w:ascii="Arial" w:eastAsia="Arial" w:hAnsi="Arial" w:cs="Arial"/>
          <w:b/>
          <w:bCs/>
          <w:sz w:val="22"/>
          <w:szCs w:val="22"/>
        </w:rPr>
        <w:t>7</w:t>
      </w:r>
      <w:r w:rsidR="00313A0F">
        <w:rPr>
          <w:rFonts w:ascii="Arial" w:eastAsia="Arial" w:hAnsi="Arial" w:cs="Arial"/>
          <w:b/>
          <w:bCs/>
          <w:sz w:val="22"/>
          <w:szCs w:val="22"/>
        </w:rPr>
        <w:t xml:space="preserve">. </w:t>
      </w:r>
      <w:r w:rsidR="00313A0F">
        <w:rPr>
          <w:rFonts w:ascii="Arial" w:eastAsia="Arial" w:hAnsi="Arial" w:cs="Arial"/>
          <w:sz w:val="22"/>
          <w:szCs w:val="22"/>
        </w:rPr>
        <w:t xml:space="preserve">Pairwise spearman correlation of </w:t>
      </w:r>
      <w:r w:rsidR="007C0E2C">
        <w:rPr>
          <w:rFonts w:ascii="Arial" w:eastAsia="Arial" w:hAnsi="Arial" w:cs="Arial"/>
          <w:sz w:val="22"/>
          <w:szCs w:val="22"/>
        </w:rPr>
        <w:t>concentration-fitted targeted metabolite concentrations</w:t>
      </w:r>
      <w:r w:rsidR="00313A0F">
        <w:rPr>
          <w:rFonts w:ascii="Arial" w:eastAsia="Arial" w:hAnsi="Arial" w:cs="Arial"/>
          <w:sz w:val="22"/>
          <w:szCs w:val="22"/>
        </w:rPr>
        <w:t xml:space="preserve"> and genus-level taxonomic abundances for 6-weeks (panel A, N = </w:t>
      </w:r>
      <w:r w:rsidR="00BA3A4C">
        <w:rPr>
          <w:rFonts w:ascii="Arial" w:eastAsia="Arial" w:hAnsi="Arial" w:cs="Arial"/>
          <w:sz w:val="22"/>
          <w:szCs w:val="22"/>
        </w:rPr>
        <w:t>65</w:t>
      </w:r>
      <w:r w:rsidR="00313A0F">
        <w:rPr>
          <w:rFonts w:ascii="Arial" w:eastAsia="Arial" w:hAnsi="Arial" w:cs="Arial"/>
          <w:sz w:val="22"/>
          <w:szCs w:val="22"/>
        </w:rPr>
        <w:t xml:space="preserve">) and 12-months (panel B, N = </w:t>
      </w:r>
      <w:r w:rsidR="00BA3A4C">
        <w:rPr>
          <w:rFonts w:ascii="Arial" w:eastAsia="Arial" w:hAnsi="Arial" w:cs="Arial"/>
          <w:sz w:val="22"/>
          <w:szCs w:val="22"/>
        </w:rPr>
        <w:t>65</w:t>
      </w:r>
      <w:r w:rsidR="00313A0F">
        <w:rPr>
          <w:rFonts w:ascii="Arial" w:eastAsia="Arial" w:hAnsi="Arial" w:cs="Arial"/>
          <w:sz w:val="22"/>
          <w:szCs w:val="22"/>
        </w:rPr>
        <w:t>) infants</w:t>
      </w:r>
      <w:r w:rsidR="00BA3A4C">
        <w:rPr>
          <w:rFonts w:ascii="Arial" w:eastAsia="Arial" w:hAnsi="Arial" w:cs="Arial"/>
          <w:sz w:val="22"/>
          <w:szCs w:val="22"/>
        </w:rPr>
        <w:t xml:space="preserve"> in sensitivity analyses</w:t>
      </w:r>
      <w:r w:rsidR="00313A0F">
        <w:rPr>
          <w:rFonts w:ascii="Arial" w:eastAsia="Arial" w:hAnsi="Arial" w:cs="Arial"/>
          <w:sz w:val="22"/>
          <w:szCs w:val="22"/>
        </w:rPr>
        <w:t>. Left panel displays the overall correlation pattern, where</w:t>
      </w:r>
      <w:r w:rsidR="007C0E2C">
        <w:rPr>
          <w:rFonts w:ascii="Arial" w:eastAsia="Arial" w:hAnsi="Arial" w:cs="Arial"/>
          <w:sz w:val="22"/>
          <w:szCs w:val="22"/>
        </w:rPr>
        <w:t xml:space="preserve"> non-significant correlations are not colored</w:t>
      </w:r>
      <w:r w:rsidR="00313A0F">
        <w:rPr>
          <w:rFonts w:ascii="Arial" w:eastAsia="Arial" w:hAnsi="Arial" w:cs="Arial"/>
          <w:sz w:val="22"/>
          <w:szCs w:val="22"/>
        </w:rPr>
        <w:t xml:space="preserve"> (FDR controlled q-value &lt; 0.05). Right panel displays the same heatmap restricted to taxa and metabolites selected by the </w:t>
      </w:r>
      <w:proofErr w:type="spellStart"/>
      <w:r w:rsidR="00313A0F">
        <w:rPr>
          <w:rFonts w:ascii="Arial" w:eastAsia="Arial" w:hAnsi="Arial" w:cs="Arial"/>
          <w:sz w:val="22"/>
          <w:szCs w:val="22"/>
        </w:rPr>
        <w:t>sCCA</w:t>
      </w:r>
      <w:proofErr w:type="spellEnd"/>
      <w:r w:rsidR="00313A0F">
        <w:rPr>
          <w:rFonts w:ascii="Arial" w:eastAsia="Arial" w:hAnsi="Arial" w:cs="Arial"/>
          <w:sz w:val="22"/>
          <w:szCs w:val="22"/>
        </w:rPr>
        <w:t xml:space="preserve"> procedure. Additionally, correlation coefficient of the first </w:t>
      </w:r>
      <w:proofErr w:type="spellStart"/>
      <w:r w:rsidR="00313A0F">
        <w:rPr>
          <w:rFonts w:ascii="Arial" w:eastAsia="Arial" w:hAnsi="Arial" w:cs="Arial"/>
          <w:sz w:val="22"/>
          <w:szCs w:val="22"/>
        </w:rPr>
        <w:t>sCCA</w:t>
      </w:r>
      <w:proofErr w:type="spellEnd"/>
      <w:r w:rsidR="00313A0F">
        <w:rPr>
          <w:rFonts w:ascii="Arial" w:eastAsia="Arial" w:hAnsi="Arial" w:cs="Arial"/>
          <w:sz w:val="22"/>
          <w:szCs w:val="22"/>
        </w:rPr>
        <w:t xml:space="preserve"> variate pair, bootstrapped 95% confidence interval (</w:t>
      </w:r>
      <w:proofErr w:type="spellStart"/>
      <w:r w:rsidR="00313A0F">
        <w:rPr>
          <w:rFonts w:ascii="Arial" w:eastAsia="Arial" w:hAnsi="Arial" w:cs="Arial"/>
          <w:sz w:val="22"/>
          <w:szCs w:val="22"/>
        </w:rPr>
        <w:t>nboot</w:t>
      </w:r>
      <w:proofErr w:type="spellEnd"/>
      <w:r w:rsidR="00313A0F">
        <w:rPr>
          <w:rFonts w:ascii="Arial" w:eastAsia="Arial" w:hAnsi="Arial" w:cs="Arial"/>
          <w:sz w:val="22"/>
          <w:szCs w:val="22"/>
        </w:rPr>
        <w:t xml:space="preserve"> = 5000) and permutation p-value (</w:t>
      </w:r>
      <w:proofErr w:type="spellStart"/>
      <w:r w:rsidR="00313A0F">
        <w:rPr>
          <w:rFonts w:ascii="Arial" w:eastAsia="Arial" w:hAnsi="Arial" w:cs="Arial"/>
          <w:sz w:val="22"/>
          <w:szCs w:val="22"/>
        </w:rPr>
        <w:t>nperm</w:t>
      </w:r>
      <w:proofErr w:type="spellEnd"/>
      <w:r w:rsidR="00313A0F">
        <w:rPr>
          <w:rFonts w:ascii="Arial" w:eastAsia="Arial" w:hAnsi="Arial" w:cs="Arial"/>
          <w:sz w:val="22"/>
          <w:szCs w:val="22"/>
        </w:rPr>
        <w:t xml:space="preserve"> = 1000) are also reported.</w:t>
      </w:r>
    </w:p>
    <w:p w14:paraId="623C17B0" w14:textId="76EBCFB4" w:rsidR="00BA3A4C" w:rsidRDefault="00BA3A4C" w:rsidP="00680097">
      <w:pPr>
        <w:jc w:val="center"/>
        <w:rPr>
          <w:rFonts w:ascii="Arial" w:eastAsia="Arial" w:hAnsi="Arial" w:cs="Arial"/>
          <w:sz w:val="22"/>
          <w:szCs w:val="22"/>
        </w:rPr>
      </w:pPr>
      <w:r>
        <w:rPr>
          <w:rFonts w:ascii="Arial" w:eastAsia="Arial" w:hAnsi="Arial" w:cs="Arial"/>
          <w:noProof/>
          <w:sz w:val="22"/>
          <w:szCs w:val="22"/>
        </w:rPr>
        <w:lastRenderedPageBreak/>
        <w:drawing>
          <wp:inline distT="0" distB="0" distL="0" distR="0" wp14:anchorId="4F8C368F" wp14:editId="7D5C5AA3">
            <wp:extent cx="7528560" cy="6022847"/>
            <wp:effectExtent l="0" t="0" r="0" b="0"/>
            <wp:docPr id="8" name="Picture 8"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 up of a 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38395" cy="6030715"/>
                    </a:xfrm>
                    <a:prstGeom prst="rect">
                      <a:avLst/>
                    </a:prstGeom>
                  </pic:spPr>
                </pic:pic>
              </a:graphicData>
            </a:graphic>
          </wp:inline>
        </w:drawing>
      </w:r>
    </w:p>
    <w:p w14:paraId="2A8C48A4" w14:textId="77777777" w:rsidR="00374634" w:rsidRDefault="00BA3A4C" w:rsidP="005F7936">
      <w:pPr>
        <w:rPr>
          <w:rFonts w:ascii="Arial" w:eastAsia="Arial" w:hAnsi="Arial" w:cs="Arial"/>
          <w:sz w:val="22"/>
          <w:szCs w:val="22"/>
        </w:rPr>
      </w:pPr>
      <w:r w:rsidRPr="00E01344">
        <w:rPr>
          <w:rFonts w:ascii="Arial" w:eastAsia="Arial" w:hAnsi="Arial" w:cs="Arial"/>
          <w:b/>
          <w:bCs/>
          <w:sz w:val="22"/>
          <w:szCs w:val="22"/>
        </w:rPr>
        <w:t>Figure S</w:t>
      </w:r>
      <w:r>
        <w:rPr>
          <w:rFonts w:ascii="Arial" w:eastAsia="Arial" w:hAnsi="Arial" w:cs="Arial"/>
          <w:b/>
          <w:bCs/>
          <w:sz w:val="22"/>
          <w:szCs w:val="22"/>
        </w:rPr>
        <w:t xml:space="preserve">8. </w:t>
      </w:r>
      <w:r>
        <w:rPr>
          <w:rFonts w:ascii="Arial" w:eastAsia="Arial" w:hAnsi="Arial" w:cs="Arial"/>
          <w:sz w:val="22"/>
          <w:szCs w:val="22"/>
        </w:rPr>
        <w:t xml:space="preserve">Pairwise spearman correlation of untargeted metabolite bin relative concentrations and genus-level taxonomic abundances for 6-weeks (panel A, N = 65) and 12-months (panel B, N = 65) infants in sensitivity analyses. Left panel displays the overall correlation pattern, where non-significant correlations are not colored (FDR controlled q-value &lt; 0.05). Right panel displays the same heatmap restricted to taxa and metabolites selected by the </w:t>
      </w:r>
      <w:proofErr w:type="spellStart"/>
      <w:r>
        <w:rPr>
          <w:rFonts w:ascii="Arial" w:eastAsia="Arial" w:hAnsi="Arial" w:cs="Arial"/>
          <w:sz w:val="22"/>
          <w:szCs w:val="22"/>
        </w:rPr>
        <w:t>sCCA</w:t>
      </w:r>
      <w:proofErr w:type="spellEnd"/>
      <w:r>
        <w:rPr>
          <w:rFonts w:ascii="Arial" w:eastAsia="Arial" w:hAnsi="Arial" w:cs="Arial"/>
          <w:sz w:val="22"/>
          <w:szCs w:val="22"/>
        </w:rPr>
        <w:t xml:space="preserve"> procedure. Additionally, correlation coefficient of the first </w:t>
      </w:r>
      <w:proofErr w:type="spellStart"/>
      <w:r>
        <w:rPr>
          <w:rFonts w:ascii="Arial" w:eastAsia="Arial" w:hAnsi="Arial" w:cs="Arial"/>
          <w:sz w:val="22"/>
          <w:szCs w:val="22"/>
        </w:rPr>
        <w:t>sCCA</w:t>
      </w:r>
      <w:proofErr w:type="spellEnd"/>
      <w:r>
        <w:rPr>
          <w:rFonts w:ascii="Arial" w:eastAsia="Arial" w:hAnsi="Arial" w:cs="Arial"/>
          <w:sz w:val="22"/>
          <w:szCs w:val="22"/>
        </w:rPr>
        <w:t xml:space="preserve"> variate pair, bootstrapped 95% confidence interval (</w:t>
      </w:r>
      <w:proofErr w:type="spellStart"/>
      <w:r>
        <w:rPr>
          <w:rFonts w:ascii="Arial" w:eastAsia="Arial" w:hAnsi="Arial" w:cs="Arial"/>
          <w:sz w:val="22"/>
          <w:szCs w:val="22"/>
        </w:rPr>
        <w:t>nboot</w:t>
      </w:r>
      <w:proofErr w:type="spellEnd"/>
      <w:r>
        <w:rPr>
          <w:rFonts w:ascii="Arial" w:eastAsia="Arial" w:hAnsi="Arial" w:cs="Arial"/>
          <w:sz w:val="22"/>
          <w:szCs w:val="22"/>
        </w:rPr>
        <w:t xml:space="preserve"> = 5000) and permutation p-value (</w:t>
      </w:r>
      <w:proofErr w:type="spellStart"/>
      <w:r>
        <w:rPr>
          <w:rFonts w:ascii="Arial" w:eastAsia="Arial" w:hAnsi="Arial" w:cs="Arial"/>
          <w:sz w:val="22"/>
          <w:szCs w:val="22"/>
        </w:rPr>
        <w:t>nperm</w:t>
      </w:r>
      <w:proofErr w:type="spellEnd"/>
      <w:r>
        <w:rPr>
          <w:rFonts w:ascii="Arial" w:eastAsia="Arial" w:hAnsi="Arial" w:cs="Arial"/>
          <w:sz w:val="22"/>
          <w:szCs w:val="22"/>
        </w:rPr>
        <w:t xml:space="preserve"> = 1000) are also reported.</w:t>
      </w:r>
    </w:p>
    <w:p w14:paraId="0EE40283" w14:textId="62CB8CB9" w:rsidR="00B8663F" w:rsidRPr="00374634" w:rsidRDefault="007B1201" w:rsidP="005F7936">
      <w:pPr>
        <w:rPr>
          <w:rFonts w:ascii="Arial" w:eastAsia="Arial" w:hAnsi="Arial" w:cs="Arial"/>
          <w:sz w:val="22"/>
          <w:szCs w:val="22"/>
        </w:rPr>
      </w:pPr>
      <w:r>
        <w:rPr>
          <w:rFonts w:ascii="Arial" w:eastAsia="Arial" w:hAnsi="Arial" w:cs="Arial"/>
          <w:b/>
          <w:sz w:val="22"/>
          <w:szCs w:val="22"/>
        </w:rPr>
        <w:lastRenderedPageBreak/>
        <w:t>Table S1. Metabolites selected for targeted analysis and their potential biological</w:t>
      </w:r>
      <w:r w:rsidR="008E2694">
        <w:rPr>
          <w:rFonts w:ascii="Arial" w:eastAsia="Arial" w:hAnsi="Arial" w:cs="Arial"/>
          <w:b/>
          <w:sz w:val="22"/>
          <w:szCs w:val="22"/>
        </w:rPr>
        <w:t xml:space="preserve"> </w:t>
      </w:r>
      <w:r>
        <w:rPr>
          <w:rFonts w:ascii="Arial" w:eastAsia="Arial" w:hAnsi="Arial" w:cs="Arial"/>
          <w:b/>
          <w:sz w:val="22"/>
          <w:szCs w:val="22"/>
        </w:rPr>
        <w:t>functions.</w:t>
      </w:r>
    </w:p>
    <w:tbl>
      <w:tblPr>
        <w:tblStyle w:val="a"/>
        <w:tblW w:w="144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10"/>
        <w:gridCol w:w="1710"/>
        <w:gridCol w:w="3330"/>
        <w:gridCol w:w="6120"/>
        <w:gridCol w:w="1620"/>
      </w:tblGrid>
      <w:tr w:rsidR="00B8663F" w14:paraId="11FD5335" w14:textId="77777777" w:rsidTr="005F7936">
        <w:tc>
          <w:tcPr>
            <w:tcW w:w="1710" w:type="dxa"/>
            <w:shd w:val="clear" w:color="auto" w:fill="auto"/>
          </w:tcPr>
          <w:p w14:paraId="5C410BB1" w14:textId="77777777" w:rsidR="00B8663F" w:rsidRDefault="007B1201" w:rsidP="005F7936">
            <w:pPr>
              <w:rPr>
                <w:rFonts w:ascii="Arial" w:eastAsia="Arial" w:hAnsi="Arial" w:cs="Arial"/>
                <w:b/>
                <w:sz w:val="22"/>
                <w:szCs w:val="22"/>
              </w:rPr>
            </w:pPr>
            <w:r>
              <w:rPr>
                <w:rFonts w:ascii="Arial" w:eastAsia="Arial" w:hAnsi="Arial" w:cs="Arial"/>
                <w:b/>
                <w:sz w:val="22"/>
                <w:szCs w:val="22"/>
              </w:rPr>
              <w:t>Metabolite class</w:t>
            </w:r>
          </w:p>
        </w:tc>
        <w:tc>
          <w:tcPr>
            <w:tcW w:w="1710" w:type="dxa"/>
            <w:shd w:val="clear" w:color="auto" w:fill="auto"/>
          </w:tcPr>
          <w:p w14:paraId="466A76AB" w14:textId="77777777" w:rsidR="00B8663F" w:rsidRDefault="007B1201" w:rsidP="005F7936">
            <w:pPr>
              <w:rPr>
                <w:rFonts w:ascii="Arial" w:eastAsia="Arial" w:hAnsi="Arial" w:cs="Arial"/>
                <w:b/>
                <w:color w:val="000000"/>
                <w:sz w:val="22"/>
                <w:szCs w:val="22"/>
              </w:rPr>
            </w:pPr>
            <w:r>
              <w:rPr>
                <w:rFonts w:ascii="Arial" w:eastAsia="Arial" w:hAnsi="Arial" w:cs="Arial"/>
                <w:b/>
                <w:color w:val="000000"/>
                <w:sz w:val="22"/>
                <w:szCs w:val="22"/>
              </w:rPr>
              <w:t>Metabolites</w:t>
            </w:r>
          </w:p>
        </w:tc>
        <w:tc>
          <w:tcPr>
            <w:tcW w:w="3330" w:type="dxa"/>
            <w:shd w:val="clear" w:color="auto" w:fill="auto"/>
          </w:tcPr>
          <w:p w14:paraId="7D575123" w14:textId="77777777" w:rsidR="00B8663F" w:rsidRDefault="007B1201" w:rsidP="005F7936">
            <w:pPr>
              <w:rPr>
                <w:rFonts w:ascii="Arial" w:eastAsia="Arial" w:hAnsi="Arial" w:cs="Arial"/>
                <w:b/>
                <w:sz w:val="22"/>
                <w:szCs w:val="22"/>
              </w:rPr>
            </w:pPr>
            <w:r>
              <w:rPr>
                <w:rFonts w:ascii="Arial" w:eastAsia="Arial" w:hAnsi="Arial" w:cs="Arial"/>
                <w:b/>
                <w:sz w:val="22"/>
                <w:szCs w:val="22"/>
              </w:rPr>
              <w:t>Examples of associated</w:t>
            </w:r>
          </w:p>
          <w:p w14:paraId="19D0B5CF" w14:textId="77777777" w:rsidR="00B8663F" w:rsidRDefault="007B1201" w:rsidP="005F7936">
            <w:pPr>
              <w:rPr>
                <w:rFonts w:ascii="Arial" w:eastAsia="Arial" w:hAnsi="Arial" w:cs="Arial"/>
                <w:b/>
                <w:sz w:val="22"/>
                <w:szCs w:val="22"/>
              </w:rPr>
            </w:pPr>
            <w:r>
              <w:rPr>
                <w:rFonts w:ascii="Arial" w:eastAsia="Arial" w:hAnsi="Arial" w:cs="Arial"/>
                <w:b/>
                <w:sz w:val="22"/>
                <w:szCs w:val="22"/>
              </w:rPr>
              <w:t>microbes</w:t>
            </w:r>
          </w:p>
        </w:tc>
        <w:tc>
          <w:tcPr>
            <w:tcW w:w="6120" w:type="dxa"/>
            <w:shd w:val="clear" w:color="auto" w:fill="auto"/>
          </w:tcPr>
          <w:p w14:paraId="76DB970B" w14:textId="77777777" w:rsidR="00B8663F" w:rsidRDefault="007B1201" w:rsidP="005F7936">
            <w:pPr>
              <w:rPr>
                <w:rFonts w:ascii="Arial" w:eastAsia="Arial" w:hAnsi="Arial" w:cs="Arial"/>
                <w:b/>
                <w:sz w:val="22"/>
                <w:szCs w:val="22"/>
              </w:rPr>
            </w:pPr>
            <w:r>
              <w:rPr>
                <w:rFonts w:ascii="Arial" w:eastAsia="Arial" w:hAnsi="Arial" w:cs="Arial"/>
                <w:b/>
                <w:sz w:val="22"/>
                <w:szCs w:val="22"/>
              </w:rPr>
              <w:t xml:space="preserve">Potential </w:t>
            </w:r>
          </w:p>
          <w:p w14:paraId="613E80D2" w14:textId="77777777" w:rsidR="00B8663F" w:rsidRDefault="007B1201" w:rsidP="005F7936">
            <w:pPr>
              <w:rPr>
                <w:rFonts w:ascii="Arial" w:eastAsia="Arial" w:hAnsi="Arial" w:cs="Arial"/>
                <w:b/>
                <w:sz w:val="22"/>
                <w:szCs w:val="22"/>
              </w:rPr>
            </w:pPr>
            <w:r>
              <w:rPr>
                <w:rFonts w:ascii="Arial" w:eastAsia="Arial" w:hAnsi="Arial" w:cs="Arial"/>
                <w:b/>
                <w:sz w:val="22"/>
                <w:szCs w:val="22"/>
              </w:rPr>
              <w:t>biological functions</w:t>
            </w:r>
          </w:p>
        </w:tc>
        <w:tc>
          <w:tcPr>
            <w:tcW w:w="1620" w:type="dxa"/>
            <w:shd w:val="clear" w:color="auto" w:fill="auto"/>
          </w:tcPr>
          <w:p w14:paraId="35E0F3FF" w14:textId="77777777" w:rsidR="00B8663F" w:rsidRDefault="007B1201" w:rsidP="005F7936">
            <w:pPr>
              <w:rPr>
                <w:rFonts w:ascii="Arial" w:eastAsia="Arial" w:hAnsi="Arial" w:cs="Arial"/>
                <w:b/>
                <w:sz w:val="22"/>
                <w:szCs w:val="22"/>
              </w:rPr>
            </w:pPr>
            <w:r>
              <w:rPr>
                <w:rFonts w:ascii="Arial" w:eastAsia="Arial" w:hAnsi="Arial" w:cs="Arial"/>
                <w:b/>
                <w:sz w:val="22"/>
                <w:szCs w:val="22"/>
              </w:rPr>
              <w:t>HMDB ID*</w:t>
            </w:r>
          </w:p>
        </w:tc>
      </w:tr>
      <w:tr w:rsidR="00B8663F" w14:paraId="529D8AE6" w14:textId="77777777" w:rsidTr="005F7936">
        <w:tc>
          <w:tcPr>
            <w:tcW w:w="1710" w:type="dxa"/>
            <w:shd w:val="clear" w:color="auto" w:fill="auto"/>
          </w:tcPr>
          <w:p w14:paraId="3E6DDC5D" w14:textId="77777777" w:rsidR="00B8663F" w:rsidRDefault="007B1201" w:rsidP="005F7936">
            <w:pPr>
              <w:rPr>
                <w:rFonts w:ascii="Arial" w:eastAsia="Arial" w:hAnsi="Arial" w:cs="Arial"/>
                <w:sz w:val="22"/>
                <w:szCs w:val="22"/>
              </w:rPr>
            </w:pPr>
            <w:r>
              <w:rPr>
                <w:rFonts w:ascii="Arial" w:eastAsia="Arial" w:hAnsi="Arial" w:cs="Arial"/>
                <w:sz w:val="22"/>
                <w:szCs w:val="22"/>
              </w:rPr>
              <w:t>Short chain fatty acids (SCFA)</w:t>
            </w:r>
          </w:p>
        </w:tc>
        <w:tc>
          <w:tcPr>
            <w:tcW w:w="1710" w:type="dxa"/>
            <w:shd w:val="clear" w:color="auto" w:fill="auto"/>
          </w:tcPr>
          <w:p w14:paraId="17ABB9E6" w14:textId="77777777" w:rsidR="00B8663F" w:rsidRDefault="007B1201" w:rsidP="005F7936">
            <w:pPr>
              <w:rPr>
                <w:rFonts w:ascii="Arial" w:eastAsia="Arial" w:hAnsi="Arial" w:cs="Arial"/>
                <w:sz w:val="22"/>
                <w:szCs w:val="22"/>
              </w:rPr>
            </w:pPr>
            <w:r>
              <w:rPr>
                <w:rFonts w:ascii="Arial" w:eastAsia="Arial" w:hAnsi="Arial" w:cs="Arial"/>
                <w:sz w:val="22"/>
                <w:szCs w:val="22"/>
              </w:rPr>
              <w:t xml:space="preserve">Acetate </w:t>
            </w:r>
          </w:p>
          <w:p w14:paraId="3207656D" w14:textId="77777777" w:rsidR="00B8663F" w:rsidRDefault="007B1201" w:rsidP="005F7936">
            <w:pPr>
              <w:rPr>
                <w:rFonts w:ascii="Arial" w:eastAsia="Arial" w:hAnsi="Arial" w:cs="Arial"/>
                <w:sz w:val="22"/>
                <w:szCs w:val="22"/>
              </w:rPr>
            </w:pPr>
            <w:r>
              <w:rPr>
                <w:rFonts w:ascii="Arial" w:eastAsia="Arial" w:hAnsi="Arial" w:cs="Arial"/>
                <w:sz w:val="22"/>
                <w:szCs w:val="22"/>
              </w:rPr>
              <w:t>Butyrate</w:t>
            </w:r>
          </w:p>
          <w:p w14:paraId="60CADB44" w14:textId="77777777" w:rsidR="00B8663F" w:rsidRDefault="007B1201" w:rsidP="005F7936">
            <w:pPr>
              <w:rPr>
                <w:rFonts w:ascii="Arial" w:eastAsia="Arial" w:hAnsi="Arial" w:cs="Arial"/>
                <w:sz w:val="22"/>
                <w:szCs w:val="22"/>
              </w:rPr>
            </w:pPr>
            <w:proofErr w:type="spellStart"/>
            <w:r>
              <w:rPr>
                <w:rFonts w:ascii="Arial" w:eastAsia="Arial" w:hAnsi="Arial" w:cs="Arial"/>
                <w:sz w:val="22"/>
                <w:szCs w:val="22"/>
              </w:rPr>
              <w:t>Isobutyrate</w:t>
            </w:r>
            <w:proofErr w:type="spellEnd"/>
            <w:r>
              <w:rPr>
                <w:rFonts w:ascii="Arial" w:eastAsia="Arial" w:hAnsi="Arial" w:cs="Arial"/>
                <w:sz w:val="22"/>
                <w:szCs w:val="22"/>
              </w:rPr>
              <w:t xml:space="preserve"> Propionate</w:t>
            </w:r>
          </w:p>
        </w:tc>
        <w:tc>
          <w:tcPr>
            <w:tcW w:w="3330" w:type="dxa"/>
            <w:shd w:val="clear" w:color="auto" w:fill="auto"/>
          </w:tcPr>
          <w:p w14:paraId="614AA348" w14:textId="2CE70705" w:rsidR="00B8663F" w:rsidRDefault="007B1201" w:rsidP="005F7936">
            <w:pPr>
              <w:rPr>
                <w:rFonts w:ascii="Arial" w:eastAsia="Arial" w:hAnsi="Arial" w:cs="Arial"/>
                <w:sz w:val="22"/>
                <w:szCs w:val="22"/>
              </w:rPr>
            </w:pPr>
            <w:proofErr w:type="spellStart"/>
            <w:r>
              <w:rPr>
                <w:rFonts w:ascii="Arial" w:eastAsia="Arial" w:hAnsi="Arial" w:cs="Arial"/>
                <w:i/>
                <w:sz w:val="22"/>
                <w:szCs w:val="22"/>
              </w:rPr>
              <w:t>Faecalibacterium</w:t>
            </w:r>
            <w:proofErr w:type="spellEnd"/>
            <w:r>
              <w:rPr>
                <w:rFonts w:ascii="Arial" w:eastAsia="Arial" w:hAnsi="Arial" w:cs="Arial"/>
                <w:i/>
                <w:sz w:val="22"/>
                <w:szCs w:val="22"/>
              </w:rPr>
              <w:t xml:space="preserve">, </w:t>
            </w:r>
            <w:proofErr w:type="spellStart"/>
            <w:r>
              <w:rPr>
                <w:rFonts w:ascii="Arial" w:eastAsia="Arial" w:hAnsi="Arial" w:cs="Arial"/>
                <w:i/>
                <w:sz w:val="22"/>
                <w:szCs w:val="22"/>
              </w:rPr>
              <w:t>Eubacterium</w:t>
            </w:r>
            <w:proofErr w:type="spellEnd"/>
            <w:r>
              <w:rPr>
                <w:rFonts w:ascii="Arial" w:eastAsia="Arial" w:hAnsi="Arial" w:cs="Arial"/>
                <w:i/>
                <w:sz w:val="22"/>
                <w:szCs w:val="22"/>
              </w:rPr>
              <w:t xml:space="preserve">, </w:t>
            </w:r>
            <w:proofErr w:type="spellStart"/>
            <w:r>
              <w:rPr>
                <w:rFonts w:ascii="Arial" w:eastAsia="Arial" w:hAnsi="Arial" w:cs="Arial"/>
                <w:i/>
                <w:sz w:val="22"/>
                <w:szCs w:val="22"/>
              </w:rPr>
              <w:t>Roseburia</w:t>
            </w:r>
            <w:proofErr w:type="spellEnd"/>
            <w:r>
              <w:rPr>
                <w:rFonts w:ascii="Arial" w:eastAsia="Arial" w:hAnsi="Arial" w:cs="Arial"/>
                <w:i/>
                <w:sz w:val="22"/>
                <w:szCs w:val="22"/>
              </w:rPr>
              <w:t>, Clostridia</w:t>
            </w:r>
            <w:r>
              <w:rPr>
                <w:rFonts w:ascii="Arial" w:eastAsia="Arial" w:hAnsi="Arial" w:cs="Arial"/>
                <w:sz w:val="22"/>
                <w:szCs w:val="22"/>
              </w:rPr>
              <w:t xml:space="preserve"> clusters IV and </w:t>
            </w:r>
            <w:proofErr w:type="spellStart"/>
            <w:r>
              <w:rPr>
                <w:rFonts w:ascii="Arial" w:eastAsia="Arial" w:hAnsi="Arial" w:cs="Arial"/>
                <w:sz w:val="22"/>
                <w:szCs w:val="22"/>
              </w:rPr>
              <w:t>XIVa</w:t>
            </w:r>
            <w:proofErr w:type="spellEnd"/>
            <w:r>
              <w:rPr>
                <w:rFonts w:ascii="Arial" w:eastAsia="Arial" w:hAnsi="Arial" w:cs="Arial"/>
                <w:sz w:val="22"/>
                <w:szCs w:val="22"/>
              </w:rPr>
              <w:t xml:space="preserve"> </w:t>
            </w:r>
            <w:r w:rsidR="00FD01C5">
              <w:fldChar w:fldCharType="begin"/>
            </w:r>
            <w:r w:rsidR="00FD01C5">
              <w:instrText xml:space="preserve"> ADDIN ZOTERO_ITEM CSL_CITATION {"citationID":"oqPEN0O9","properties":{"formattedCitation":"[1]","plainCitation":"[1]","noteIndex":0},"citationItems":[{"id":1810,"uris":["http://zotero.org/users/4849999/items/A5Y8LLT7"],"uri":["http://zotero.org/users/4849999/items/A5Y8LLT7"],"itemData":{"id":1810,"type":"article-journal","abstract":"The composition and activity of the gut microbiota codevelop with the host from birth and is subject to a complex interplay that depends on the host genome, nutrition, and life-style. The gut microbiota is involved in the regulation of multiple host metabolic pathways, giving rise to interactive host-microbiota metabolic, signaling, and immune-inflammatory axes that physiologically connect the gut, liver, muscle, and brain. A deeper understanding of these axes is a prerequisite for optimizing therapeutic strategies to manipulate the gut microbiota to combat disease and improve health.","container-title":"Science","DOI":"10.1126/science.1223813","ISSN":"0036-8075, 1095-9203","issue":"6086","language":"en","note":"PMID: 22674330","page":"1262-1267","source":"science.sciencemag.org","title":"Host-Gut Microbiota Metabolic Interactions","volume":"336","author":[{"family":"Nicholson","given":"Jeremy K."},{"family":"Holmes","given":"Elaine"},{"family":"Kinross","given":"James"},{"family":"Burcelin","given":"Remy"},{"family":"Gibson","given":"Glenn"},{"family":"Jia","given":"Wei"},{"family":"Pettersson","given":"Sven"}],"issued":{"date-parts":[["2012",6,8]]}}}],"schema":"https://github.com/citation-style-language/schema/raw/master/csl-citation.json"} </w:instrText>
            </w:r>
            <w:r w:rsidR="00FD01C5">
              <w:fldChar w:fldCharType="separate"/>
            </w:r>
            <w:r w:rsidR="00FD01C5" w:rsidRPr="00FD01C5">
              <w:t>[1]</w:t>
            </w:r>
            <w:r w:rsidR="00FD01C5">
              <w:fldChar w:fldCharType="end"/>
            </w:r>
          </w:p>
        </w:tc>
        <w:tc>
          <w:tcPr>
            <w:tcW w:w="6120" w:type="dxa"/>
            <w:shd w:val="clear" w:color="auto" w:fill="auto"/>
          </w:tcPr>
          <w:p w14:paraId="0766EA5C" w14:textId="77777777" w:rsidR="00B8663F" w:rsidRDefault="007B1201" w:rsidP="005F7936">
            <w:pPr>
              <w:rPr>
                <w:rFonts w:ascii="Arial" w:eastAsia="Arial" w:hAnsi="Arial" w:cs="Arial"/>
                <w:sz w:val="22"/>
                <w:szCs w:val="22"/>
              </w:rPr>
            </w:pPr>
            <w:r>
              <w:rPr>
                <w:rFonts w:ascii="Arial" w:eastAsia="Arial" w:hAnsi="Arial" w:cs="Arial"/>
                <w:sz w:val="22"/>
                <w:szCs w:val="22"/>
              </w:rPr>
              <w:t>Fermented in the colon from dietary complex carbohydrates, assist in regulating host immune functionality, act as substrate for cellular activities, limit growth of pathogenic species, promote integrity of the mucosal lining.</w:t>
            </w:r>
          </w:p>
        </w:tc>
        <w:tc>
          <w:tcPr>
            <w:tcW w:w="1620" w:type="dxa"/>
            <w:shd w:val="clear" w:color="auto" w:fill="auto"/>
          </w:tcPr>
          <w:p w14:paraId="12397FCD" w14:textId="77777777" w:rsidR="00B8663F" w:rsidRDefault="007B1201" w:rsidP="005F7936">
            <w:pPr>
              <w:rPr>
                <w:rFonts w:ascii="Arial" w:eastAsia="Arial" w:hAnsi="Arial" w:cs="Arial"/>
                <w:sz w:val="22"/>
                <w:szCs w:val="22"/>
              </w:rPr>
            </w:pPr>
            <w:r>
              <w:rPr>
                <w:rFonts w:ascii="Arial" w:eastAsia="Arial" w:hAnsi="Arial" w:cs="Arial"/>
                <w:sz w:val="22"/>
                <w:szCs w:val="22"/>
              </w:rPr>
              <w:t>HMDB00042</w:t>
            </w:r>
          </w:p>
          <w:p w14:paraId="42E88DAD" w14:textId="77777777" w:rsidR="00B8663F" w:rsidRDefault="007B1201" w:rsidP="005F7936">
            <w:pPr>
              <w:rPr>
                <w:rFonts w:ascii="Arial" w:eastAsia="Arial" w:hAnsi="Arial" w:cs="Arial"/>
                <w:sz w:val="22"/>
                <w:szCs w:val="22"/>
              </w:rPr>
            </w:pPr>
            <w:r>
              <w:rPr>
                <w:rFonts w:ascii="Arial" w:eastAsia="Arial" w:hAnsi="Arial" w:cs="Arial"/>
                <w:sz w:val="22"/>
                <w:szCs w:val="22"/>
              </w:rPr>
              <w:t>HMDB00039</w:t>
            </w:r>
          </w:p>
          <w:p w14:paraId="6E8FF425" w14:textId="77777777" w:rsidR="00B8663F" w:rsidRDefault="007B1201" w:rsidP="005F7936">
            <w:pPr>
              <w:rPr>
                <w:rFonts w:ascii="Arial" w:eastAsia="Arial" w:hAnsi="Arial" w:cs="Arial"/>
                <w:sz w:val="22"/>
                <w:szCs w:val="22"/>
              </w:rPr>
            </w:pPr>
            <w:r>
              <w:rPr>
                <w:rFonts w:ascii="Arial" w:eastAsia="Arial" w:hAnsi="Arial" w:cs="Arial"/>
                <w:sz w:val="22"/>
                <w:szCs w:val="22"/>
              </w:rPr>
              <w:t>HMDB01873</w:t>
            </w:r>
          </w:p>
          <w:p w14:paraId="23962887" w14:textId="77777777" w:rsidR="00B8663F" w:rsidRDefault="007B1201" w:rsidP="005F7936">
            <w:pPr>
              <w:rPr>
                <w:rFonts w:ascii="Arial" w:eastAsia="Arial" w:hAnsi="Arial" w:cs="Arial"/>
                <w:sz w:val="22"/>
                <w:szCs w:val="22"/>
              </w:rPr>
            </w:pPr>
            <w:r>
              <w:rPr>
                <w:rFonts w:ascii="Arial" w:eastAsia="Arial" w:hAnsi="Arial" w:cs="Arial"/>
                <w:sz w:val="22"/>
                <w:szCs w:val="22"/>
              </w:rPr>
              <w:t>HMDB00237</w:t>
            </w:r>
          </w:p>
        </w:tc>
      </w:tr>
      <w:tr w:rsidR="00B8663F" w:rsidRPr="008E2694" w14:paraId="234DF35A" w14:textId="77777777" w:rsidTr="005F7936">
        <w:tc>
          <w:tcPr>
            <w:tcW w:w="1710" w:type="dxa"/>
            <w:shd w:val="clear" w:color="auto" w:fill="auto"/>
          </w:tcPr>
          <w:p w14:paraId="00E67AD1" w14:textId="77777777" w:rsidR="00B8663F" w:rsidRDefault="007B1201" w:rsidP="005F7936">
            <w:pPr>
              <w:rPr>
                <w:rFonts w:ascii="Arial" w:eastAsia="Arial" w:hAnsi="Arial" w:cs="Arial"/>
                <w:sz w:val="22"/>
                <w:szCs w:val="22"/>
              </w:rPr>
            </w:pPr>
            <w:r>
              <w:rPr>
                <w:rFonts w:ascii="Arial" w:eastAsia="Arial" w:hAnsi="Arial" w:cs="Arial"/>
                <w:sz w:val="22"/>
                <w:szCs w:val="22"/>
              </w:rPr>
              <w:t>Amino acids &amp; derivatives</w:t>
            </w:r>
          </w:p>
        </w:tc>
        <w:tc>
          <w:tcPr>
            <w:tcW w:w="1710" w:type="dxa"/>
            <w:shd w:val="clear" w:color="auto" w:fill="auto"/>
          </w:tcPr>
          <w:p w14:paraId="25024E90" w14:textId="77777777" w:rsidR="00B8663F" w:rsidRDefault="007B1201" w:rsidP="005F7936">
            <w:pPr>
              <w:rPr>
                <w:rFonts w:ascii="Arial" w:eastAsia="Arial" w:hAnsi="Arial" w:cs="Arial"/>
                <w:sz w:val="22"/>
                <w:szCs w:val="22"/>
              </w:rPr>
            </w:pPr>
            <w:r>
              <w:rPr>
                <w:rFonts w:ascii="Arial" w:eastAsia="Arial" w:hAnsi="Arial" w:cs="Arial"/>
                <w:sz w:val="22"/>
                <w:szCs w:val="22"/>
              </w:rPr>
              <w:t>Alanine</w:t>
            </w:r>
          </w:p>
          <w:p w14:paraId="648CAB59" w14:textId="77777777" w:rsidR="00B8663F" w:rsidRDefault="007B1201" w:rsidP="005F7936">
            <w:pPr>
              <w:rPr>
                <w:rFonts w:ascii="Arial" w:eastAsia="Arial" w:hAnsi="Arial" w:cs="Arial"/>
                <w:sz w:val="22"/>
                <w:szCs w:val="22"/>
              </w:rPr>
            </w:pPr>
            <w:r>
              <w:rPr>
                <w:rFonts w:ascii="Arial" w:eastAsia="Arial" w:hAnsi="Arial" w:cs="Arial"/>
                <w:sz w:val="22"/>
                <w:szCs w:val="22"/>
              </w:rPr>
              <w:t>Asparagine</w:t>
            </w:r>
          </w:p>
          <w:p w14:paraId="03967427" w14:textId="77777777" w:rsidR="00B8663F" w:rsidRDefault="007B1201" w:rsidP="005F7936">
            <w:pPr>
              <w:rPr>
                <w:rFonts w:ascii="Arial" w:eastAsia="Arial" w:hAnsi="Arial" w:cs="Arial"/>
                <w:sz w:val="22"/>
                <w:szCs w:val="22"/>
              </w:rPr>
            </w:pPr>
            <w:r>
              <w:rPr>
                <w:rFonts w:ascii="Arial" w:eastAsia="Arial" w:hAnsi="Arial" w:cs="Arial"/>
                <w:sz w:val="22"/>
                <w:szCs w:val="22"/>
              </w:rPr>
              <w:t>Aspartate</w:t>
            </w:r>
          </w:p>
          <w:p w14:paraId="3DF2ACDF" w14:textId="77777777" w:rsidR="00B8663F" w:rsidRDefault="007B1201" w:rsidP="005F7936">
            <w:pPr>
              <w:rPr>
                <w:rFonts w:ascii="Arial" w:eastAsia="Arial" w:hAnsi="Arial" w:cs="Arial"/>
                <w:sz w:val="22"/>
                <w:szCs w:val="22"/>
              </w:rPr>
            </w:pPr>
            <w:r>
              <w:rPr>
                <w:rFonts w:ascii="Arial" w:eastAsia="Arial" w:hAnsi="Arial" w:cs="Arial"/>
                <w:sz w:val="22"/>
                <w:szCs w:val="22"/>
              </w:rPr>
              <w:t>Glutamate</w:t>
            </w:r>
          </w:p>
          <w:p w14:paraId="21DEC367" w14:textId="77777777" w:rsidR="00B8663F" w:rsidRDefault="007B1201" w:rsidP="005F7936">
            <w:pPr>
              <w:rPr>
                <w:rFonts w:ascii="Arial" w:eastAsia="Arial" w:hAnsi="Arial" w:cs="Arial"/>
                <w:sz w:val="22"/>
                <w:szCs w:val="22"/>
              </w:rPr>
            </w:pPr>
            <w:r>
              <w:rPr>
                <w:rFonts w:ascii="Arial" w:eastAsia="Arial" w:hAnsi="Arial" w:cs="Arial"/>
                <w:sz w:val="22"/>
                <w:szCs w:val="22"/>
              </w:rPr>
              <w:t>Glycine</w:t>
            </w:r>
          </w:p>
          <w:p w14:paraId="79FAF878" w14:textId="77777777" w:rsidR="00B8663F" w:rsidRDefault="007B1201" w:rsidP="005F7936">
            <w:pPr>
              <w:rPr>
                <w:rFonts w:ascii="Arial" w:eastAsia="Arial" w:hAnsi="Arial" w:cs="Arial"/>
                <w:sz w:val="22"/>
                <w:szCs w:val="22"/>
              </w:rPr>
            </w:pPr>
            <w:r>
              <w:rPr>
                <w:rFonts w:ascii="Arial" w:eastAsia="Arial" w:hAnsi="Arial" w:cs="Arial"/>
                <w:sz w:val="22"/>
                <w:szCs w:val="22"/>
              </w:rPr>
              <w:t>Histidine</w:t>
            </w:r>
          </w:p>
          <w:p w14:paraId="2C1AFA52" w14:textId="77777777" w:rsidR="00B8663F" w:rsidRDefault="007B1201" w:rsidP="005F7936">
            <w:pPr>
              <w:rPr>
                <w:rFonts w:ascii="Arial" w:eastAsia="Arial" w:hAnsi="Arial" w:cs="Arial"/>
                <w:sz w:val="22"/>
                <w:szCs w:val="22"/>
              </w:rPr>
            </w:pPr>
            <w:r>
              <w:rPr>
                <w:rFonts w:ascii="Arial" w:eastAsia="Arial" w:hAnsi="Arial" w:cs="Arial"/>
                <w:sz w:val="22"/>
                <w:szCs w:val="22"/>
              </w:rPr>
              <w:t>Isoleucine</w:t>
            </w:r>
          </w:p>
          <w:p w14:paraId="2201F6D4" w14:textId="77777777" w:rsidR="00B8663F" w:rsidRDefault="007B1201" w:rsidP="005F7936">
            <w:pPr>
              <w:rPr>
                <w:rFonts w:ascii="Arial" w:eastAsia="Arial" w:hAnsi="Arial" w:cs="Arial"/>
                <w:sz w:val="22"/>
                <w:szCs w:val="22"/>
              </w:rPr>
            </w:pPr>
            <w:r>
              <w:rPr>
                <w:rFonts w:ascii="Arial" w:eastAsia="Arial" w:hAnsi="Arial" w:cs="Arial"/>
                <w:sz w:val="22"/>
                <w:szCs w:val="22"/>
              </w:rPr>
              <w:t>Leucine</w:t>
            </w:r>
          </w:p>
          <w:p w14:paraId="4066F117" w14:textId="77777777" w:rsidR="00B8663F" w:rsidRDefault="007B1201" w:rsidP="005F7936">
            <w:pPr>
              <w:rPr>
                <w:rFonts w:ascii="Arial" w:eastAsia="Arial" w:hAnsi="Arial" w:cs="Arial"/>
                <w:sz w:val="22"/>
                <w:szCs w:val="22"/>
              </w:rPr>
            </w:pPr>
            <w:r>
              <w:rPr>
                <w:rFonts w:ascii="Arial" w:eastAsia="Arial" w:hAnsi="Arial" w:cs="Arial"/>
                <w:sz w:val="22"/>
                <w:szCs w:val="22"/>
              </w:rPr>
              <w:t>Lysine</w:t>
            </w:r>
          </w:p>
          <w:p w14:paraId="483BE389" w14:textId="77777777" w:rsidR="00B8663F" w:rsidRDefault="007B1201" w:rsidP="005F7936">
            <w:pPr>
              <w:rPr>
                <w:rFonts w:ascii="Arial" w:eastAsia="Arial" w:hAnsi="Arial" w:cs="Arial"/>
                <w:sz w:val="22"/>
                <w:szCs w:val="22"/>
              </w:rPr>
            </w:pPr>
            <w:r>
              <w:rPr>
                <w:rFonts w:ascii="Arial" w:eastAsia="Arial" w:hAnsi="Arial" w:cs="Arial"/>
                <w:sz w:val="22"/>
                <w:szCs w:val="22"/>
              </w:rPr>
              <w:t>Methionine</w:t>
            </w:r>
          </w:p>
          <w:p w14:paraId="3C94D2FD" w14:textId="77777777" w:rsidR="00B8663F" w:rsidRDefault="007B1201" w:rsidP="005F7936">
            <w:pPr>
              <w:rPr>
                <w:rFonts w:ascii="Arial" w:eastAsia="Arial" w:hAnsi="Arial" w:cs="Arial"/>
                <w:sz w:val="22"/>
                <w:szCs w:val="22"/>
              </w:rPr>
            </w:pPr>
            <w:r>
              <w:rPr>
                <w:rFonts w:ascii="Arial" w:eastAsia="Arial" w:hAnsi="Arial" w:cs="Arial"/>
                <w:sz w:val="22"/>
                <w:szCs w:val="22"/>
              </w:rPr>
              <w:t>Phenylalanine</w:t>
            </w:r>
          </w:p>
          <w:p w14:paraId="346F140B" w14:textId="77777777" w:rsidR="00B8663F" w:rsidRDefault="007B1201" w:rsidP="005F7936">
            <w:pPr>
              <w:rPr>
                <w:rFonts w:ascii="Arial" w:eastAsia="Arial" w:hAnsi="Arial" w:cs="Arial"/>
                <w:sz w:val="22"/>
                <w:szCs w:val="22"/>
              </w:rPr>
            </w:pPr>
            <w:r>
              <w:rPr>
                <w:rFonts w:ascii="Arial" w:eastAsia="Arial" w:hAnsi="Arial" w:cs="Arial"/>
                <w:sz w:val="22"/>
                <w:szCs w:val="22"/>
              </w:rPr>
              <w:t>Proline</w:t>
            </w:r>
          </w:p>
          <w:p w14:paraId="2460C58F" w14:textId="77777777" w:rsidR="00B8663F" w:rsidRDefault="007B1201" w:rsidP="005F7936">
            <w:pPr>
              <w:rPr>
                <w:rFonts w:ascii="Arial" w:eastAsia="Arial" w:hAnsi="Arial" w:cs="Arial"/>
                <w:sz w:val="22"/>
                <w:szCs w:val="22"/>
              </w:rPr>
            </w:pPr>
            <w:r>
              <w:rPr>
                <w:rFonts w:ascii="Arial" w:eastAsia="Arial" w:hAnsi="Arial" w:cs="Arial"/>
                <w:sz w:val="22"/>
                <w:szCs w:val="22"/>
              </w:rPr>
              <w:t>Threonine</w:t>
            </w:r>
          </w:p>
          <w:p w14:paraId="2F87D771" w14:textId="77777777" w:rsidR="00B8663F" w:rsidRDefault="007B1201" w:rsidP="005F7936">
            <w:pPr>
              <w:rPr>
                <w:rFonts w:ascii="Arial" w:eastAsia="Arial" w:hAnsi="Arial" w:cs="Arial"/>
                <w:sz w:val="22"/>
                <w:szCs w:val="22"/>
              </w:rPr>
            </w:pPr>
            <w:r>
              <w:rPr>
                <w:rFonts w:ascii="Arial" w:eastAsia="Arial" w:hAnsi="Arial" w:cs="Arial"/>
                <w:sz w:val="22"/>
                <w:szCs w:val="22"/>
              </w:rPr>
              <w:t>Tryptophan</w:t>
            </w:r>
          </w:p>
          <w:p w14:paraId="0960D163" w14:textId="77777777" w:rsidR="00B8663F" w:rsidRDefault="007B1201" w:rsidP="005F7936">
            <w:pPr>
              <w:rPr>
                <w:rFonts w:ascii="Arial" w:eastAsia="Arial" w:hAnsi="Arial" w:cs="Arial"/>
                <w:sz w:val="22"/>
                <w:szCs w:val="22"/>
              </w:rPr>
            </w:pPr>
            <w:r>
              <w:rPr>
                <w:rFonts w:ascii="Arial" w:eastAsia="Arial" w:hAnsi="Arial" w:cs="Arial"/>
                <w:sz w:val="22"/>
                <w:szCs w:val="22"/>
              </w:rPr>
              <w:t>Tyrosine</w:t>
            </w:r>
          </w:p>
          <w:p w14:paraId="624D7371" w14:textId="77777777" w:rsidR="00B8663F" w:rsidRDefault="007B1201" w:rsidP="005F7936">
            <w:pPr>
              <w:rPr>
                <w:rFonts w:ascii="Arial" w:eastAsia="Arial" w:hAnsi="Arial" w:cs="Arial"/>
                <w:sz w:val="22"/>
                <w:szCs w:val="22"/>
              </w:rPr>
            </w:pPr>
            <w:r>
              <w:rPr>
                <w:rFonts w:ascii="Arial" w:eastAsia="Arial" w:hAnsi="Arial" w:cs="Arial"/>
                <w:sz w:val="22"/>
                <w:szCs w:val="22"/>
              </w:rPr>
              <w:t>Valine</w:t>
            </w:r>
          </w:p>
          <w:p w14:paraId="5052A3E5" w14:textId="77777777" w:rsidR="00B8663F" w:rsidRDefault="007B1201" w:rsidP="005F7936">
            <w:pPr>
              <w:rPr>
                <w:rFonts w:ascii="Arial" w:eastAsia="Arial" w:hAnsi="Arial" w:cs="Arial"/>
                <w:sz w:val="22"/>
                <w:szCs w:val="22"/>
              </w:rPr>
            </w:pPr>
            <w:r>
              <w:rPr>
                <w:rFonts w:ascii="Arial" w:eastAsia="Arial" w:hAnsi="Arial" w:cs="Arial"/>
                <w:sz w:val="22"/>
                <w:szCs w:val="22"/>
              </w:rPr>
              <w:t>π-</w:t>
            </w:r>
            <w:proofErr w:type="spellStart"/>
            <w:r>
              <w:rPr>
                <w:rFonts w:ascii="Arial" w:eastAsia="Arial" w:hAnsi="Arial" w:cs="Arial"/>
                <w:sz w:val="22"/>
                <w:szCs w:val="22"/>
              </w:rPr>
              <w:t>Methylhistidine</w:t>
            </w:r>
            <w:proofErr w:type="spellEnd"/>
            <w:r>
              <w:rPr>
                <w:rFonts w:ascii="Arial" w:eastAsia="Arial" w:hAnsi="Arial" w:cs="Arial"/>
                <w:sz w:val="22"/>
                <w:szCs w:val="22"/>
              </w:rPr>
              <w:t>*</w:t>
            </w:r>
          </w:p>
        </w:tc>
        <w:tc>
          <w:tcPr>
            <w:tcW w:w="3330" w:type="dxa"/>
            <w:shd w:val="clear" w:color="auto" w:fill="auto"/>
          </w:tcPr>
          <w:p w14:paraId="0D666CF9" w14:textId="67E3F925" w:rsidR="00B8663F" w:rsidRDefault="007B1201" w:rsidP="005F7936">
            <w:pPr>
              <w:rPr>
                <w:rFonts w:ascii="Arial" w:eastAsia="Arial" w:hAnsi="Arial" w:cs="Arial"/>
                <w:sz w:val="22"/>
                <w:szCs w:val="22"/>
              </w:rPr>
            </w:pPr>
            <w:r>
              <w:rPr>
                <w:rFonts w:ascii="Arial" w:eastAsia="Arial" w:hAnsi="Arial" w:cs="Arial"/>
                <w:sz w:val="22"/>
                <w:szCs w:val="22"/>
              </w:rPr>
              <w:t>Proteobacteria phylum</w:t>
            </w:r>
            <w:r w:rsidR="00D311ED">
              <w:rPr>
                <w:rFonts w:ascii="Arial" w:eastAsia="Arial" w:hAnsi="Arial" w:cs="Arial"/>
                <w:sz w:val="22"/>
                <w:szCs w:val="22"/>
              </w:rPr>
              <w:t xml:space="preserve">; </w:t>
            </w:r>
            <w:proofErr w:type="spellStart"/>
            <w:r>
              <w:rPr>
                <w:rFonts w:ascii="Arial" w:eastAsia="Arial" w:hAnsi="Arial" w:cs="Arial"/>
                <w:sz w:val="22"/>
                <w:szCs w:val="22"/>
              </w:rPr>
              <w:t>Bacili</w:t>
            </w:r>
            <w:proofErr w:type="spellEnd"/>
            <w:r>
              <w:rPr>
                <w:rFonts w:ascii="Arial" w:eastAsia="Arial" w:hAnsi="Arial" w:cs="Arial"/>
                <w:sz w:val="22"/>
                <w:szCs w:val="22"/>
              </w:rPr>
              <w:t xml:space="preserve"> class</w:t>
            </w:r>
            <w:r w:rsidR="00D311ED">
              <w:rPr>
                <w:rFonts w:ascii="Arial" w:eastAsia="Arial" w:hAnsi="Arial" w:cs="Arial"/>
                <w:sz w:val="22"/>
                <w:szCs w:val="22"/>
              </w:rPr>
              <w:t xml:space="preserve">; </w:t>
            </w:r>
            <w:r>
              <w:rPr>
                <w:rFonts w:ascii="Arial" w:eastAsia="Arial" w:hAnsi="Arial" w:cs="Arial"/>
                <w:i/>
                <w:sz w:val="22"/>
                <w:szCs w:val="22"/>
              </w:rPr>
              <w:t xml:space="preserve">Clostridium </w:t>
            </w:r>
            <w:r>
              <w:rPr>
                <w:rFonts w:ascii="Arial" w:eastAsia="Arial" w:hAnsi="Arial" w:cs="Arial"/>
                <w:sz w:val="22"/>
                <w:szCs w:val="22"/>
              </w:rPr>
              <w:t xml:space="preserve">and </w:t>
            </w:r>
            <w:r>
              <w:rPr>
                <w:rFonts w:ascii="Arial" w:eastAsia="Arial" w:hAnsi="Arial" w:cs="Arial"/>
                <w:i/>
                <w:sz w:val="22"/>
                <w:szCs w:val="22"/>
              </w:rPr>
              <w:t>Bifidobacterium</w:t>
            </w:r>
            <w:r w:rsidR="00D311ED">
              <w:rPr>
                <w:rFonts w:ascii="Arial" w:eastAsia="Arial" w:hAnsi="Arial" w:cs="Arial"/>
                <w:iCs/>
                <w:sz w:val="22"/>
                <w:szCs w:val="22"/>
              </w:rPr>
              <w:t xml:space="preserve"> genera</w:t>
            </w:r>
            <w:r>
              <w:rPr>
                <w:rFonts w:ascii="Arial" w:eastAsia="Arial" w:hAnsi="Arial" w:cs="Arial"/>
                <w:i/>
                <w:sz w:val="22"/>
                <w:szCs w:val="22"/>
              </w:rPr>
              <w:t xml:space="preserve"> </w:t>
            </w:r>
            <w:r w:rsidR="00FD01C5">
              <w:fldChar w:fldCharType="begin"/>
            </w:r>
            <w:r w:rsidR="00FD01C5">
              <w:instrText xml:space="preserve"> ADDIN ZOTERO_ITEM CSL_CITATION {"citationID":"aFFJF94W","properties":{"formattedCitation":"[2]","plainCitation":"[2]","noteIndex":0},"citationItems":[{"id":2010,"uris":["http://zotero.org/users/4849999/items/M83K2LAR"],"uri":["http://zotero.org/users/4849999/items/M83K2LAR"],"itemData":{"id":2010,"type":"article-journal","abstract":"Background\nHuman gut bacteria can synthesize proteinogenic amino acids and produce a range of metabolites via protein fermentation, some known to exert beneficial or harmful physiological effects on the host. However, the effects of the type and amount of dietary protein consumed on these metabolic processes, as well as the effects of the microbiota-derived amino acids and related metabolites on the host health are still predominantly unknown.\nScope and approach\nThis review provides an up-to-date description of the dominant pathways/genes involved in amino acid metabolism in gut bacteria, and provides an inventory of metabolic intermediates derived from bacterial protein fermentation that may affect human health. Advances in understanding bacterial protein fermentation pathways and metabolites generated at a global level via the implementation of ‘omics’ technologies are reviewed. Finally, the impact of dietary protein intake and high-protein diets on human health is discussed.\nKey findings and conclusions\nThe intestinal microbiota is able to synthesize amino acids, but the net result of amino acid production and utilization, according to dietary patterns still needs to be determined. The amount of ingested dietary protein appears to modify both the diversity and composition of the intestinal microbiota as well as the luminal environment of the intestinal epithelium and peripheral tissues. The understanding of the consequences of such changes on the host physiology and pathophysiology is still in an early stage but major progress is expected in the near future with the investigation of host-microbe omics profiles from well-controlled human intervention studies.","collection-title":"Unravelling the role of the gut microbiome in energy balance and brain development and function: the European project MyNewGut","container-title":"Trends in Food Science &amp; Technology","DOI":"10.1016/j.tifs.2016.08.011","ISSN":"0924-2244","journalAbbreviation":"Trends in Food Science &amp; Technology","language":"en","page":"213-232","source":"ScienceDirect","title":"Gut microbiota role in dietary protein metabolism and health-related outcomes: The two sides of the coin","title-short":"Gut microbiota role in dietary protein metabolism and health-related outcomes","volume":"57","author":[{"family":"Portune","given":"Kevin J."},{"family":"Beaumont","given":"Martin"},{"family":"Davila","given":"Anne-Marie"},{"family":"Tomé","given":"Daniel"},{"family":"Blachier","given":"François"},{"family":"Sanz","given":"Yolanda"}],"issued":{"date-parts":[["2016",11,1]]}}}],"schema":"https://github.com/citation-style-language/schema/raw/master/csl-citation.json"} </w:instrText>
            </w:r>
            <w:r w:rsidR="00FD01C5">
              <w:fldChar w:fldCharType="separate"/>
            </w:r>
            <w:r w:rsidR="00FD01C5" w:rsidRPr="00FD01C5">
              <w:t>[2]</w:t>
            </w:r>
            <w:r w:rsidR="00FD01C5">
              <w:fldChar w:fldCharType="end"/>
            </w:r>
            <w:r>
              <w:rPr>
                <w:rFonts w:ascii="Arial" w:eastAsia="Arial" w:hAnsi="Arial" w:cs="Arial"/>
                <w:sz w:val="22"/>
                <w:szCs w:val="22"/>
              </w:rPr>
              <w:t xml:space="preserve">, </w:t>
            </w:r>
            <w:r w:rsidR="00D311ED">
              <w:rPr>
                <w:rFonts w:ascii="Arial" w:eastAsia="Arial" w:hAnsi="Arial" w:cs="Arial"/>
                <w:sz w:val="22"/>
                <w:szCs w:val="22"/>
              </w:rPr>
              <w:t>l</w:t>
            </w:r>
            <w:r>
              <w:rPr>
                <w:rFonts w:ascii="Arial" w:eastAsia="Arial" w:hAnsi="Arial" w:cs="Arial"/>
                <w:sz w:val="22"/>
                <w:szCs w:val="22"/>
              </w:rPr>
              <w:t>actobacilli, enterococci,</w:t>
            </w:r>
            <w:r w:rsidR="00D311ED">
              <w:rPr>
                <w:rFonts w:ascii="Arial" w:eastAsia="Arial" w:hAnsi="Arial" w:cs="Arial"/>
                <w:sz w:val="22"/>
                <w:szCs w:val="22"/>
              </w:rPr>
              <w:t xml:space="preserve"> and</w:t>
            </w:r>
            <w:r>
              <w:rPr>
                <w:rFonts w:ascii="Arial" w:eastAsia="Arial" w:hAnsi="Arial" w:cs="Arial"/>
                <w:sz w:val="22"/>
                <w:szCs w:val="22"/>
              </w:rPr>
              <w:t xml:space="preserve"> streptococci</w:t>
            </w:r>
            <w:r w:rsidR="00D311ED">
              <w:rPr>
                <w:rFonts w:ascii="Arial" w:eastAsia="Arial" w:hAnsi="Arial" w:cs="Arial"/>
                <w:sz w:val="22"/>
                <w:szCs w:val="22"/>
              </w:rPr>
              <w:t xml:space="preserve"> families</w:t>
            </w:r>
            <w:r>
              <w:rPr>
                <w:rFonts w:ascii="Arial" w:eastAsia="Arial" w:hAnsi="Arial" w:cs="Arial"/>
                <w:sz w:val="22"/>
                <w:szCs w:val="22"/>
              </w:rPr>
              <w:t xml:space="preserve"> </w:t>
            </w:r>
            <w:r w:rsidR="00FD01C5">
              <w:fldChar w:fldCharType="begin"/>
            </w:r>
            <w:r w:rsidR="00FD01C5">
              <w:instrText xml:space="preserve"> ADDIN ZOTERO_ITEM CSL_CITATION {"citationID":"se74OakK","properties":{"formattedCitation":"[3]","plainCitation":"[3]","noteIndex":0},"citationItems":[{"id":2009,"uris":["http://zotero.org/users/4849999/items/MN6Y9WKF"],"uri":["http://zotero.org/users/4849999/items/MN6Y9WKF"],"itemData":{"id":2009,"type":"article-journal","abstract":"Background: Biogenic amines (BAs) are metabolites produced by the decarboxylation of amino acids with significant physiological functions in eukaryotic and prokaryotic cells. BAs can be produced by bacteria in fermented foods, but little is known concerning the potential for microbes within the human gut microbiota to produce or degrade BAs. Objective: To isolate and identify BA-producing and BA-degrading microbes from the human gastrointestinal tract. Design: Fecal samples from human volunteers were screened on multiple growth media, under multiple growth conditions. Bacterial species were identified using 16S rRNA sequencing and BA production or degradation was assessed using ultra-performance liquid chromatography. Results: In total, 74 BA-producing or BA-degrading strains were isolated from the human gut. These isolates belong to the genera Bifidobacterium, Clostridium, Enterococcus, Lactobacillus, Pediococcus, Streptococcus, Enterobacter, Escherichia, Klebsiella, Morganella and Proteus. While differences in production or degradation of specific BAs were observed at the strain level, our results suggest that these metabolic activities are widely spread across different taxa present within the human gut microbiota. Conclusions: The isolation and identification of microbes from the human gut with BA-producing and BA-degrading metabolic activity is an important first step in developing a better understanding of how these metabolites influence health and disease.","container-title":"Microbial Ecology in Health and Disease","DOI":"10.1080/16512235.2017.1353881","ISSN":"0891-060X","issue":"1","journalAbbreviation":"Microb. Ecol. Health Dis.","language":"eng","note":"PMID: 28959180\nPMCID: PMC5614385","page":"1353881","source":"PubMed","title":"A wide diversity of bacteria from the human gut produces and degrades biogenic amines","volume":"28","author":[{"family":"Pugin","given":"Benoit"},{"family":"Barcik","given":"Weronika"},{"family":"Westermann","given":"Patrick"},{"family":"Heider","given":"Anja"},{"family":"Wawrzyniak","given":"Marcin"},{"family":"Hellings","given":"Peter"},{"family":"Akdis","given":"Cezmi A."},{"family":"O'Mahony","given":"Liam"}],"issued":{"date-parts":[["2017"]]}}}],"schema":"https://github.com/citation-style-language/schema/raw/master/csl-citation.json"} </w:instrText>
            </w:r>
            <w:r w:rsidR="00FD01C5">
              <w:fldChar w:fldCharType="separate"/>
            </w:r>
            <w:r w:rsidR="00FD01C5" w:rsidRPr="00FD01C5">
              <w:t>[3]</w:t>
            </w:r>
            <w:r w:rsidR="00FD01C5">
              <w:fldChar w:fldCharType="end"/>
            </w:r>
            <w:r>
              <w:rPr>
                <w:rFonts w:ascii="Arial" w:eastAsia="Arial" w:hAnsi="Arial" w:cs="Arial"/>
                <w:sz w:val="22"/>
                <w:szCs w:val="22"/>
              </w:rPr>
              <w:t xml:space="preserve">; </w:t>
            </w:r>
            <w:proofErr w:type="spellStart"/>
            <w:r>
              <w:rPr>
                <w:rFonts w:ascii="Arial" w:eastAsia="Arial" w:hAnsi="Arial" w:cs="Arial"/>
                <w:i/>
                <w:sz w:val="22"/>
                <w:szCs w:val="22"/>
              </w:rPr>
              <w:t>Faecalibacterium</w:t>
            </w:r>
            <w:proofErr w:type="spellEnd"/>
            <w:r>
              <w:rPr>
                <w:rFonts w:ascii="Arial" w:eastAsia="Arial" w:hAnsi="Arial" w:cs="Arial"/>
                <w:i/>
                <w:sz w:val="22"/>
                <w:szCs w:val="22"/>
              </w:rPr>
              <w:t xml:space="preserve"> </w:t>
            </w:r>
            <w:proofErr w:type="spellStart"/>
            <w:r>
              <w:rPr>
                <w:rFonts w:ascii="Arial" w:eastAsia="Arial" w:hAnsi="Arial" w:cs="Arial"/>
                <w:i/>
                <w:sz w:val="22"/>
                <w:szCs w:val="22"/>
              </w:rPr>
              <w:t>prausnitzii</w:t>
            </w:r>
            <w:proofErr w:type="spellEnd"/>
            <w:r w:rsidR="00D311ED">
              <w:rPr>
                <w:rFonts w:ascii="Arial" w:eastAsia="Arial" w:hAnsi="Arial" w:cs="Arial"/>
                <w:i/>
                <w:sz w:val="22"/>
                <w:szCs w:val="22"/>
              </w:rPr>
              <w:t xml:space="preserve"> </w:t>
            </w:r>
            <w:r w:rsidR="00D311ED">
              <w:rPr>
                <w:rFonts w:ascii="Arial" w:eastAsia="Arial" w:hAnsi="Arial" w:cs="Arial"/>
                <w:iCs/>
                <w:sz w:val="22"/>
                <w:szCs w:val="22"/>
              </w:rPr>
              <w:t>species</w:t>
            </w:r>
            <w:r>
              <w:rPr>
                <w:rFonts w:ascii="Arial" w:eastAsia="Arial" w:hAnsi="Arial" w:cs="Arial"/>
                <w:i/>
                <w:sz w:val="22"/>
                <w:szCs w:val="22"/>
              </w:rPr>
              <w:t xml:space="preserve"> </w:t>
            </w:r>
            <w:r w:rsidR="00FD01C5">
              <w:fldChar w:fldCharType="begin"/>
            </w:r>
            <w:r w:rsidR="00FD01C5">
              <w:instrText xml:space="preserve"> ADDIN ZOTERO_ITEM CSL_CITATION {"citationID":"Zt6WsDbV","properties":{"formattedCitation":"[4]","plainCitation":"[4]","noteIndex":0},"citationItems":[{"id":1829,"uris":["http://zotero.org/users/4849999/items/PX6NIKLP"],"uri":["http://zotero.org/users/4849999/items/PX6NIKLP"],"itemData":{"id":1829,"type":"article-journal","container-title":"Proceedings of the National Academy of Sciences","DOI":"10.1073/pnas.0712038105","ISSN":"0027-8424, 1091-6490","issue":"6","language":"en","page":"2117-2122","source":"Crossref","title":"Symbiotic gut microbes modulate human metabolic phenotypes","volume":"105","author":[{"family":"Li","given":"M."},{"family":"Wang","given":"B."},{"family":"Zhang","given":"M."},{"family":"Rantalainen","given":"M."},{"family":"Wang","given":"S."},{"family":"Zhou","given":"H."},{"family":"Zhang","given":"Y."},{"family":"Shen","given":"J."},{"family":"Pang","given":"X."},{"family":"Zhang","given":"M."},{"family":"Wei","given":"H."},{"family":"Chen","given":"Y."},{"family":"Lu","given":"H."},{"family":"Zuo","given":"J."},{"family":"Su","given":"M."},{"family":"Qiu","given":"Y."},{"family":"Jia","given":"W."},{"family":"Xiao","given":"C."},{"family":"Smith","given":"L. M."},{"family":"Yang","given":"S."},{"family":"Holmes","given":"E."},{"family":"Tang","given":"H."},{"family":"Zhao","given":"G."},{"family":"Nicholson","given":"J. K."},{"family":"Li","given":"L."},{"family":"Zhao","given":"L."}],"issued":{"date-parts":[["2008",2,12]]}}}],"schema":"https://github.com/citation-style-language/schema/raw/master/csl-citation.json"} </w:instrText>
            </w:r>
            <w:r w:rsidR="00FD01C5">
              <w:fldChar w:fldCharType="separate"/>
            </w:r>
            <w:r w:rsidR="00FD01C5" w:rsidRPr="00FD01C5">
              <w:t>[4]</w:t>
            </w:r>
            <w:r w:rsidR="00FD01C5">
              <w:fldChar w:fldCharType="end"/>
            </w:r>
          </w:p>
        </w:tc>
        <w:tc>
          <w:tcPr>
            <w:tcW w:w="6120" w:type="dxa"/>
            <w:shd w:val="clear" w:color="auto" w:fill="auto"/>
          </w:tcPr>
          <w:p w14:paraId="2D6F4BB3" w14:textId="09FECC90" w:rsidR="00B8663F" w:rsidRDefault="007B1201" w:rsidP="005F7936">
            <w:pPr>
              <w:rPr>
                <w:rFonts w:ascii="Arial" w:eastAsia="Arial" w:hAnsi="Arial" w:cs="Arial"/>
                <w:sz w:val="22"/>
                <w:szCs w:val="22"/>
              </w:rPr>
            </w:pPr>
            <w:r>
              <w:rPr>
                <w:rFonts w:ascii="Arial" w:eastAsia="Arial" w:hAnsi="Arial" w:cs="Arial"/>
                <w:sz w:val="22"/>
                <w:szCs w:val="22"/>
              </w:rPr>
              <w:t xml:space="preserve">Catabolized to form other end products such as SCFAs, branched chain fatty acids (BCFAs) and other compounds </w:t>
            </w:r>
            <w:r w:rsidR="00FD01C5">
              <w:fldChar w:fldCharType="begin"/>
            </w:r>
            <w:r w:rsidR="00FD01C5">
              <w:instrText xml:space="preserve"> ADDIN ZOTERO_ITEM CSL_CITATION {"citationID":"1ww7OxAA","properties":{"formattedCitation":"[5]","plainCitation":"[5]","noteIndex":0},"citationItems":[{"id":2011,"uris":["http://zotero.org/users/4849999/items/BX5F7DY6"],"uri":["http://zotero.org/users/4849999/items/BX5F7DY6"],"itemData":{"id":2011,"type":"article-journal","abstract":"The human gut microbiome is a critical component of digestion, breaking down complex carbohydrates, proteins, and to a lesser extent fats that reach the lower gastrointestinal tract. This process results in a multitude of microbial metabolites that can act both locally and systemically (after being absorbed into the bloodstream). The impact of these biochemicals on human health is complex, as both potentially beneficial and potentially toxic metabolites can be yielded from such microbial pathways, and in some cases, these effects are dependent upon the metabolite concentration or organ locality. The aim of this review is to summarize our current knowledge of how macronutrient metabolism by the gut microbiome influences human health. Metabolites to be discussed include short-chain fatty acids and alcohols (mainly yielded from monosaccharides); ammonia, branched-chain fatty acids, amines, sulfur compounds, phenols, and indoles (derived from amino acids); glycerol and choline derivatives (obtained from the breakdown of lipids); and tertiary cycling of carbon dioxide and hydrogen. Key microbial taxa and related disease states will be referred to in each case, and knowledge gaps that could contribute to our understanding of overall human wellness will be identified.","container-title":"Microbiome","DOI":"10.1186/s40168-019-0704-8","ISSN":"2049-2618","issue":"1","journalAbbreviation":"Microbiome","page":"91","source":"BioMed Central","title":"Macronutrient metabolism by the human gut microbiome: major fermentation by-products and their impact on host health","title-short":"Macronutrient metabolism by the human gut microbiome","volume":"7","author":[{"family":"Oliphant","given":"Kaitlyn"},{"family":"Allen-Vercoe","given":"Emma"}],"issued":{"date-parts":[["2019",6,13]]}}}],"schema":"https://github.com/citation-style-language/schema/raw/master/csl-citation.json"} </w:instrText>
            </w:r>
            <w:r w:rsidR="00FD01C5">
              <w:fldChar w:fldCharType="separate"/>
            </w:r>
            <w:r w:rsidR="00FD01C5" w:rsidRPr="00FD01C5">
              <w:t>[5]</w:t>
            </w:r>
            <w:r w:rsidR="00FD01C5">
              <w:fldChar w:fldCharType="end"/>
            </w:r>
            <w:r>
              <w:rPr>
                <w:rFonts w:ascii="Arial" w:eastAsia="Arial" w:hAnsi="Arial" w:cs="Arial"/>
                <w:sz w:val="22"/>
                <w:szCs w:val="22"/>
              </w:rPr>
              <w:t xml:space="preserve">. For example, the catabolism of methionine results in methanethiol and hydrogen sulfide </w:t>
            </w:r>
            <w:r w:rsidR="00FD01C5">
              <w:fldChar w:fldCharType="begin"/>
            </w:r>
            <w:r w:rsidR="00FD01C5">
              <w:instrText xml:space="preserve"> ADDIN ZOTERO_ITEM CSL_CITATION {"citationID":"9GNA48PV","properties":{"formattedCitation":"[2]","plainCitation":"[2]","noteIndex":0},"citationItems":[{"id":2010,"uris":["http://zotero.org/users/4849999/items/M83K2LAR"],"uri":["http://zotero.org/users/4849999/items/M83K2LAR"],"itemData":{"id":2010,"type":"article-journal","abstract":"Background\nHuman gut bacteria can synthesize proteinogenic amino acids and produce a range of metabolites via protein fermentation, some known to exert beneficial or harmful physiological effects on the host. However, the effects of the type and amount of dietary protein consumed on these metabolic processes, as well as the effects of the microbiota-derived amino acids and related metabolites on the host health are still predominantly unknown.\nScope and approach\nThis review provides an up-to-date description of the dominant pathways/genes involved in amino acid metabolism in gut bacteria, and provides an inventory of metabolic intermediates derived from bacterial protein fermentation that may affect human health. Advances in understanding bacterial protein fermentation pathways and metabolites generated at a global level via the implementation of ‘omics’ technologies are reviewed. Finally, the impact of dietary protein intake and high-protein diets on human health is discussed.\nKey findings and conclusions\nThe intestinal microbiota is able to synthesize amino acids, but the net result of amino acid production and utilization, according to dietary patterns still needs to be determined. The amount of ingested dietary protein appears to modify both the diversity and composition of the intestinal microbiota as well as the luminal environment of the intestinal epithelium and peripheral tissues. The understanding of the consequences of such changes on the host physiology and pathophysiology is still in an early stage but major progress is expected in the near future with the investigation of host-microbe omics profiles from well-controlled human intervention studies.","collection-title":"Unravelling the role of the gut microbiome in energy balance and brain development and function: the European project MyNewGut","container-title":"Trends in Food Science &amp; Technology","DOI":"10.1016/j.tifs.2016.08.011","ISSN":"0924-2244","journalAbbreviation":"Trends in Food Science &amp; Technology","language":"en","page":"213-232","source":"ScienceDirect","title":"Gut microbiota role in dietary protein metabolism and health-related outcomes: The two sides of the coin","title-short":"Gut microbiota role in dietary protein metabolism and health-related outcomes","volume":"57","author":[{"family":"Portune","given":"Kevin J."},{"family":"Beaumont","given":"Martin"},{"family":"Davila","given":"Anne-Marie"},{"family":"Tomé","given":"Daniel"},{"family":"Blachier","given":"François"},{"family":"Sanz","given":"Yolanda"}],"issued":{"date-parts":[["2016",11,1]]}}}],"schema":"https://github.com/citation-style-language/schema/raw/master/csl-citation.json"} </w:instrText>
            </w:r>
            <w:r w:rsidR="00FD01C5">
              <w:fldChar w:fldCharType="separate"/>
            </w:r>
            <w:r w:rsidR="00FD01C5" w:rsidRPr="00FD01C5">
              <w:t>[2]</w:t>
            </w:r>
            <w:r w:rsidR="00FD01C5">
              <w:fldChar w:fldCharType="end"/>
            </w:r>
            <w:r>
              <w:rPr>
                <w:rFonts w:ascii="Arial" w:eastAsia="Arial" w:hAnsi="Arial" w:cs="Arial"/>
                <w:sz w:val="22"/>
                <w:szCs w:val="22"/>
              </w:rPr>
              <w:t xml:space="preserve">; catabolism of histidine can produce histamine, which can inhibit the production of pro-inflammatory cytokines as well as act as a neurotransmitter </w:t>
            </w:r>
            <w:r w:rsidR="00FD01C5">
              <w:fldChar w:fldCharType="begin"/>
            </w:r>
            <w:r w:rsidR="00FD01C5">
              <w:instrText xml:space="preserve"> ADDIN ZOTERO_ITEM CSL_CITATION {"citationID":"YJGRRK18","properties":{"formattedCitation":"[6]","plainCitation":"[6]","noteIndex":0},"citationItems":[{"id":2008,"uris":["http://zotero.org/users/4849999/items/UHUP3YBL"],"uri":["http://zotero.org/users/4849999/items/UHUP3YBL"],"itemData":{"id":2008,"type":"article-journal","abstract":"Beneficial microbes and probiotic species, such as Lactobacillus reuteri, produce biologically active compounds that can modulate host mucosal immunity. Previously, immunomodulatory factors secreted by L. reuteri ATCC PTA 6475 were unknown. A combined metabolomics and bacterial genetics strategy was utilized to identify small compound(s) produced by L. reuteri that were TNF-inhibitory. Hydrophilic interaction liquid chromatography-high performance liquid chromatography (HILIC-HPLC) separation isolated TNF-inhibitory compounds, and HILIC-HPLC fraction composition was determined by NMR and mass spectrometry analyses. Histamine was identified and quantified in TNF-inhibitory HILIC-HPLC fractions. Histamine is produced from L-histidine via histidine decarboxylase by some fermentative bacteria including lactobacilli. Targeted mutagenesis of each gene present in the histidine decarboxylase gene cluster in L. reuteri 6475 demonstrated the involvement of histidine decarboxylase pyruvoyl type A (hdcA), histidine/histamine antiporter (hdcP), and hdcB in production of the TNF-inhibitory factor. The mechanism of TNF inhibition by L. reuteri-derived histamine was investigated using Toll-like receptor 2 (TLR2)-activated human monocytoid cells. Bacterial histamine suppressed TNF production via activation of the H(2) receptor. Histamine from L. reuteri 6475 stimulated increased levels of cAMP, which inhibited downstream MEK/ERK MAPK signaling via protein kinase A (PKA) and resulted in suppression of TNF production by transcriptional regulation. In summary, a component of the gut microbiome, L. reuteri, is able to convert a dietary component, L-histidine, into an immunoregulatory signal, histamine, which suppresses pro-inflammatory TNF production. The identification of bacterial bioactive metabolites and their corresponding mechanisms of action with respect to immunomodulation may lead to improved anti-inflammatory strategies for chronic immune-mediated diseases.","container-title":"PloS One","DOI":"10.1371/journal.pone.0031951","ISSN":"1932-6203","issue":"2","journalAbbreviation":"PLoS ONE","language":"eng","note":"PMID: 22384111\nPMCID: PMC3285189","page":"e31951","source":"PubMed","title":"Histamine derived from probiotic Lactobacillus reuteri suppresses TNF via modulation of PKA and ERK signaling","volume":"7","author":[{"family":"Thomas","given":"Carissa M."},{"family":"Hong","given":"Teresa"},{"family":"Pijkeren","given":"Jan Peter","non-dropping-particle":"van"},{"family":"Hemarajata","given":"Peera"},{"family":"Trinh","given":"Dan V."},{"family":"Hu","given":"Weidong"},{"family":"Britton","given":"Robert A."},{"family":"Kalkum","given":"Markus"},{"family":"Versalovic","given":"James"}],"issued":{"date-parts":[["2012"]]}}}],"schema":"https://github.com/citation-style-language/schema/raw/master/csl-citation.json"} </w:instrText>
            </w:r>
            <w:r w:rsidR="00FD01C5">
              <w:fldChar w:fldCharType="separate"/>
            </w:r>
            <w:r w:rsidR="00FD01C5" w:rsidRPr="00FD01C5">
              <w:t>[6]</w:t>
            </w:r>
            <w:r w:rsidR="00FD01C5">
              <w:fldChar w:fldCharType="end"/>
            </w:r>
            <w:r>
              <w:rPr>
                <w:rFonts w:ascii="Arial" w:eastAsia="Arial" w:hAnsi="Arial" w:cs="Arial"/>
                <w:sz w:val="22"/>
                <w:szCs w:val="22"/>
              </w:rPr>
              <w:t xml:space="preserve">; catabolism of lysine can produce cadaverine </w:t>
            </w:r>
            <w:r w:rsidR="00FD01C5">
              <w:fldChar w:fldCharType="begin"/>
            </w:r>
            <w:r w:rsidR="00FD01C5">
              <w:instrText xml:space="preserve"> ADDIN ZOTERO_ITEM CSL_CITATION {"citationID":"Nm6x72xP","properties":{"formattedCitation":"[3]","plainCitation":"[3]","noteIndex":0},"citationItems":[{"id":2009,"uris":["http://zotero.org/users/4849999/items/MN6Y9WKF"],"uri":["http://zotero.org/users/4849999/items/MN6Y9WKF"],"itemData":{"id":2009,"type":"article-journal","abstract":"Background: Biogenic amines (BAs) are metabolites produced by the decarboxylation of amino acids with significant physiological functions in eukaryotic and prokaryotic cells. BAs can be produced by bacteria in fermented foods, but little is known concerning the potential for microbes within the human gut microbiota to produce or degrade BAs. Objective: To isolate and identify BA-producing and BA-degrading microbes from the human gastrointestinal tract. Design: Fecal samples from human volunteers were screened on multiple growth media, under multiple growth conditions. Bacterial species were identified using 16S rRNA sequencing and BA production or degradation was assessed using ultra-performance liquid chromatography. Results: In total, 74 BA-producing or BA-degrading strains were isolated from the human gut. These isolates belong to the genera Bifidobacterium, Clostridium, Enterococcus, Lactobacillus, Pediococcus, Streptococcus, Enterobacter, Escherichia, Klebsiella, Morganella and Proteus. While differences in production or degradation of specific BAs were observed at the strain level, our results suggest that these metabolic activities are widely spread across different taxa present within the human gut microbiota. Conclusions: The isolation and identification of microbes from the human gut with BA-producing and BA-degrading metabolic activity is an important first step in developing a better understanding of how these metabolites influence health and disease.","container-title":"Microbial Ecology in Health and Disease","DOI":"10.1080/16512235.2017.1353881","ISSN":"0891-060X","issue":"1","journalAbbreviation":"Microb. Ecol. Health Dis.","language":"eng","note":"PMID: 28959180\nPMCID: PMC5614385","page":"1353881","source":"PubMed","title":"A wide diversity of bacteria from the human gut produces and degrades biogenic amines","volume":"28","author":[{"family":"Pugin","given":"Benoit"},{"family":"Barcik","given":"Weronika"},{"family":"Westermann","given":"Patrick"},{"family":"Heider","given":"Anja"},{"family":"Wawrzyniak","given":"Marcin"},{"family":"Hellings","given":"Peter"},{"family":"Akdis","given":"Cezmi A."},{"family":"O'Mahony","given":"Liam"}],"issued":{"date-parts":[["2017"]]}}}],"schema":"https://github.com/citation-style-language/schema/raw/master/csl-citation.json"} </w:instrText>
            </w:r>
            <w:r w:rsidR="00FD01C5">
              <w:fldChar w:fldCharType="separate"/>
            </w:r>
            <w:r w:rsidR="00FD01C5" w:rsidRPr="00FD01C5">
              <w:t>[3]</w:t>
            </w:r>
            <w:r w:rsidR="00FD01C5">
              <w:fldChar w:fldCharType="end"/>
            </w:r>
            <w:r>
              <w:rPr>
                <w:rFonts w:ascii="Arial" w:eastAsia="Arial" w:hAnsi="Arial" w:cs="Arial"/>
                <w:sz w:val="22"/>
                <w:szCs w:val="22"/>
              </w:rPr>
              <w:t xml:space="preserve">, which is associated with ulcerative colitis </w:t>
            </w:r>
            <w:r w:rsidR="00FD01C5">
              <w:fldChar w:fldCharType="begin"/>
            </w:r>
            <w:r w:rsidR="00FD01C5">
              <w:instrText xml:space="preserve"> ADDIN ZOTERO_ITEM CSL_CITATION {"citationID":"bXM1oaxL","properties":{"formattedCitation":"[7]","plainCitation":"[7]","noteIndex":0},"citationItems":[{"id":2007,"uris":["http://zotero.org/users/4849999/items/B2KBYWXC"],"uri":["http://zotero.org/users/4849999/items/B2KBYWXC"],"itemData":{"id":2007,"type":"article-journal","abstract":"(1)H NMR spectroscopy of aqueous fecal extracts has been used to investigate differences in metabolic activity of gut microbiota in patients with ulcerative colitis (UC) (n = 13), irritable bowel syndrome (IBS) (n = 10), and healthy controls (C) (n = 22). Up to four samples per individual were collected over 2 years giving a total of 124 samples. Multivariate discriminant analysis, based on NMR data from all three groups, was able to predict UC and C group membership with good sensitivity and specificity; classification of IBS samples was less successful and could not be used for diagnosis. Trends were detected toward increased taurine and cadaverine levels in UC with increased bile acid and decreased branched chain fatty acids in IBS relative to controls; changes in short chain fatty acids and amino acids were not significant. Previous PCR-denaturing gradient gel electrophoresis (PCR-DGGE) analysis of the same fecal material had shown alterations of the gut microbiota when comparing UC and IBS groups with controls. Hierarchical cluster analysis showed that DGGE profiles from the same individual were stable over time, but NMR spectra were more variable; canonical correlation analysis of NMR and DGGE data partly separated the three groups and revealed a correlation between the gut microbiota profile and metabolite composition.","container-title":"Journal of Proteome Research","DOI":"10.1021/pr2003598","ISSN":"1535-3907","issue":"9","journalAbbreviation":"J. Proteome Res.","language":"eng","note":"PMID: 21761941","page":"4208-4218","source":"PubMed","title":"Metabolomics of fecal extracts detects altered metabolic activity of gut microbiota in ulcerative colitis and irritable bowel syndrome","volume":"10","author":[{"family":"Le Gall","given":"Gwénaëlle"},{"family":"Noor","given":"Samah O."},{"family":"Ridgway","given":"Karyn"},{"family":"Scovell","given":"Louise"},{"family":"Jamieson","given":"Crawford"},{"family":"Johnson","given":"Ian T."},{"family":"Colquhoun","given":"Ian J."},{"family":"Kemsley","given":"E. Kate"},{"family":"Narbad","given":"Arjan"}],"issued":{"date-parts":[["2011",9,2]]}}}],"schema":"https://github.com/citation-style-language/schema/raw/master/csl-citation.json"} </w:instrText>
            </w:r>
            <w:r w:rsidR="00FD01C5">
              <w:fldChar w:fldCharType="separate"/>
            </w:r>
            <w:r w:rsidR="00FD01C5" w:rsidRPr="00FD01C5">
              <w:t>[7]</w:t>
            </w:r>
            <w:r w:rsidR="00FD01C5">
              <w:fldChar w:fldCharType="end"/>
            </w:r>
            <w:r>
              <w:rPr>
                <w:rFonts w:ascii="Arial" w:eastAsia="Arial" w:hAnsi="Arial" w:cs="Arial"/>
                <w:sz w:val="22"/>
                <w:szCs w:val="22"/>
              </w:rPr>
              <w:t xml:space="preserve">; catabolism of tryptophan and tyrosine can produce tryptamine, which is a neurotransmitter involved in intestinal motility and immune function </w:t>
            </w:r>
            <w:r w:rsidR="00FD01C5">
              <w:fldChar w:fldCharType="begin"/>
            </w:r>
            <w:r w:rsidR="00FD01C5">
              <w:instrText xml:space="preserve"> ADDIN ZOTERO_ITEM CSL_CITATION {"citationID":"EZ4yYpXu","properties":{"formattedCitation":"[8]","plainCitation":"[8]","noteIndex":0},"citationItems":[{"id":2006,"uris":["http://zotero.org/users/4849999/items/D6U7YYDT"],"uri":["http://zotero.org/users/4849999/items/D6U7YYDT"],"itemData":{"id":2006,"type":"article-journal","abstract":"The gut microbiota influences the health of the host, especially with regard to gut immune homeostasis and the intestinal immune response. In addition to serving as a nutrient enhancer, L-tryptophan (Trp) plays crucial roles in the balance between intestinal immune tolerance and gut microbiota maintenance. Recent discoveries have underscored that changes in the microbiota modulate the host immune system by modulating Trp metabolism. Moreover, Trp, endogenous Trp metabolites (kynurenines, serotonin, and melatonin), and bacterial Trp metabolites (indole, indolic acid, skatole, and tryptamine) have profound effects on gut microbial composition, microbial metabolism, the host's immune system, the host-microbiome interface, and host immune system-intestinal microbiota interactions. The aryl hydrocarbon receptor (AhR) mediates the regulation of intestinal immunity by Trp metabolites (as ligands of AhR), which is beneficial for immune homeostasis. Among Trp metabolites, AhR ligands consist of endogenous metabolites, including kynurenine, kynurenic acid, xanthurenic acid, and cinnabarinic acid, and bacterial metabolites, including indole, indole propionic acid, indole acetic acid, skatole, and tryptamine. Additional factors, such as aging, stress, probiotics, and diseases (spondyloarthritis, irritable bowel syndrome, inflammatory bowel disease, colorectal cancer), which are associated with variability in Trp metabolism, can influence Trp-microbiome-immune system interactions in the gut and also play roles in regulating gut immunity. This review clarifies how the gut microbiota regulates Trp metabolism and identifies the underlying molecular mechanisms of these interactions. Increased mechanistic insight into how the microbiota modulates the intestinal immune system through Trp metabolism may allow for the identification of innovative microbiota-based diagnostics, as well as appropriate nutritional supplementation of Trp to prevent or alleviate intestinal inflammation. Moreover, this review provides new insight regarding the influence of the gut microbiota on Trp metabolism. Additional comprehensive analyses of targeted Trp metabolites (including endogenous and bacterial metabolites) are essential for experimental preciseness, as the influence of the gut microbiota cannot be neglected, and may explain contradictory results in the literature.","container-title":"Frontiers in Cellular and Infection Microbiology","DOI":"10.3389/fcimb.2018.00013","ISSN":"2235-2988","journalAbbreviation":"Front Cell Infect Microbiol","language":"eng","note":"PMID: 29468141\nPMCID: PMC5808205","page":"13","source":"PubMed","title":"Impact of the Gut Microbiota on Intestinal Immunity Mediated by Tryptophan Metabolism","volume":"8","author":[{"family":"Gao","given":"Jing"},{"family":"Xu","given":"Kang"},{"family":"Liu","given":"Hongnan"},{"family":"Liu","given":"Gang"},{"family":"Bai","given":"Miaomiao"},{"family":"Peng","given":"Can"},{"family":"Li","given":"Tiejun"},{"family":"Yin","given":"Yulong"}],"issued":{"date-parts":[["2018"]]}}}],"schema":"https://github.com/citation-style-language/schema/raw/master/csl-citation.json"} </w:instrText>
            </w:r>
            <w:r w:rsidR="00FD01C5">
              <w:fldChar w:fldCharType="separate"/>
            </w:r>
            <w:r w:rsidR="00FD01C5" w:rsidRPr="00FD01C5">
              <w:t>[8]</w:t>
            </w:r>
            <w:r w:rsidR="00FD01C5">
              <w:fldChar w:fldCharType="end"/>
            </w:r>
            <w:r>
              <w:rPr>
                <w:rFonts w:ascii="Arial" w:eastAsia="Arial" w:hAnsi="Arial" w:cs="Arial"/>
                <w:sz w:val="22"/>
                <w:szCs w:val="22"/>
              </w:rPr>
              <w:t xml:space="preserve">.  </w:t>
            </w:r>
          </w:p>
        </w:tc>
        <w:tc>
          <w:tcPr>
            <w:tcW w:w="1620" w:type="dxa"/>
            <w:shd w:val="clear" w:color="auto" w:fill="auto"/>
          </w:tcPr>
          <w:p w14:paraId="21B7D132" w14:textId="77777777" w:rsidR="00B8663F" w:rsidRDefault="007B1201" w:rsidP="005F7936">
            <w:pPr>
              <w:rPr>
                <w:rFonts w:ascii="Arial" w:eastAsia="Arial" w:hAnsi="Arial" w:cs="Arial"/>
                <w:sz w:val="22"/>
                <w:szCs w:val="22"/>
              </w:rPr>
            </w:pPr>
            <w:r>
              <w:rPr>
                <w:rFonts w:ascii="Arial" w:eastAsia="Arial" w:hAnsi="Arial" w:cs="Arial"/>
                <w:sz w:val="22"/>
                <w:szCs w:val="22"/>
              </w:rPr>
              <w:t>HMDB00161</w:t>
            </w:r>
          </w:p>
          <w:p w14:paraId="23E1235D" w14:textId="77777777" w:rsidR="00B8663F" w:rsidRDefault="007B1201" w:rsidP="005F7936">
            <w:pPr>
              <w:rPr>
                <w:rFonts w:ascii="Arial" w:eastAsia="Arial" w:hAnsi="Arial" w:cs="Arial"/>
                <w:sz w:val="22"/>
                <w:szCs w:val="22"/>
              </w:rPr>
            </w:pPr>
            <w:r>
              <w:rPr>
                <w:rFonts w:ascii="Arial" w:eastAsia="Arial" w:hAnsi="Arial" w:cs="Arial"/>
                <w:sz w:val="22"/>
                <w:szCs w:val="22"/>
              </w:rPr>
              <w:t>HMDB00168</w:t>
            </w:r>
          </w:p>
          <w:p w14:paraId="0F16631B" w14:textId="77777777" w:rsidR="00B8663F" w:rsidRDefault="007B1201" w:rsidP="005F7936">
            <w:pPr>
              <w:rPr>
                <w:rFonts w:ascii="Arial" w:eastAsia="Arial" w:hAnsi="Arial" w:cs="Arial"/>
                <w:sz w:val="22"/>
                <w:szCs w:val="22"/>
              </w:rPr>
            </w:pPr>
            <w:r>
              <w:rPr>
                <w:rFonts w:ascii="Arial" w:eastAsia="Arial" w:hAnsi="Arial" w:cs="Arial"/>
                <w:sz w:val="22"/>
                <w:szCs w:val="22"/>
              </w:rPr>
              <w:t>HMDB00191</w:t>
            </w:r>
          </w:p>
          <w:p w14:paraId="68E4BEC0" w14:textId="77777777" w:rsidR="00B8663F" w:rsidRDefault="007B1201" w:rsidP="005F7936">
            <w:pPr>
              <w:rPr>
                <w:rFonts w:ascii="Arial" w:eastAsia="Arial" w:hAnsi="Arial" w:cs="Arial"/>
                <w:sz w:val="22"/>
                <w:szCs w:val="22"/>
              </w:rPr>
            </w:pPr>
            <w:r>
              <w:rPr>
                <w:rFonts w:ascii="Arial" w:eastAsia="Arial" w:hAnsi="Arial" w:cs="Arial"/>
                <w:sz w:val="22"/>
                <w:szCs w:val="22"/>
              </w:rPr>
              <w:t>HMDB00148</w:t>
            </w:r>
          </w:p>
          <w:p w14:paraId="2A76B194" w14:textId="77777777" w:rsidR="00B8663F" w:rsidRDefault="007B1201" w:rsidP="005F7936">
            <w:pPr>
              <w:rPr>
                <w:rFonts w:ascii="Arial" w:eastAsia="Arial" w:hAnsi="Arial" w:cs="Arial"/>
                <w:sz w:val="22"/>
                <w:szCs w:val="22"/>
              </w:rPr>
            </w:pPr>
            <w:r>
              <w:rPr>
                <w:rFonts w:ascii="Arial" w:eastAsia="Arial" w:hAnsi="Arial" w:cs="Arial"/>
                <w:sz w:val="22"/>
                <w:szCs w:val="22"/>
              </w:rPr>
              <w:t>HMDB00123</w:t>
            </w:r>
          </w:p>
          <w:p w14:paraId="26874ED6" w14:textId="77777777" w:rsidR="00B8663F" w:rsidRDefault="007B1201" w:rsidP="005F7936">
            <w:pPr>
              <w:rPr>
                <w:rFonts w:ascii="Arial" w:eastAsia="Arial" w:hAnsi="Arial" w:cs="Arial"/>
                <w:sz w:val="22"/>
                <w:szCs w:val="22"/>
              </w:rPr>
            </w:pPr>
            <w:r>
              <w:rPr>
                <w:rFonts w:ascii="Arial" w:eastAsia="Arial" w:hAnsi="Arial" w:cs="Arial"/>
                <w:sz w:val="22"/>
                <w:szCs w:val="22"/>
              </w:rPr>
              <w:t>HMDB00177</w:t>
            </w:r>
          </w:p>
          <w:p w14:paraId="2FE839F1" w14:textId="77777777" w:rsidR="00B8663F" w:rsidRDefault="007B1201" w:rsidP="005F7936">
            <w:pPr>
              <w:rPr>
                <w:rFonts w:ascii="Arial" w:eastAsia="Arial" w:hAnsi="Arial" w:cs="Arial"/>
                <w:sz w:val="22"/>
                <w:szCs w:val="22"/>
              </w:rPr>
            </w:pPr>
            <w:r>
              <w:rPr>
                <w:rFonts w:ascii="Arial" w:eastAsia="Arial" w:hAnsi="Arial" w:cs="Arial"/>
                <w:sz w:val="22"/>
                <w:szCs w:val="22"/>
              </w:rPr>
              <w:t>HMDB00172</w:t>
            </w:r>
          </w:p>
          <w:p w14:paraId="7B038FFD" w14:textId="77777777" w:rsidR="00B8663F" w:rsidRDefault="007B1201" w:rsidP="005F7936">
            <w:pPr>
              <w:rPr>
                <w:rFonts w:ascii="Arial" w:eastAsia="Arial" w:hAnsi="Arial" w:cs="Arial"/>
                <w:sz w:val="22"/>
                <w:szCs w:val="22"/>
              </w:rPr>
            </w:pPr>
            <w:r>
              <w:rPr>
                <w:rFonts w:ascii="Arial" w:eastAsia="Arial" w:hAnsi="Arial" w:cs="Arial"/>
                <w:sz w:val="22"/>
                <w:szCs w:val="22"/>
              </w:rPr>
              <w:t>HMDB00687</w:t>
            </w:r>
          </w:p>
          <w:p w14:paraId="52B7DB03" w14:textId="77777777" w:rsidR="00B8663F" w:rsidRDefault="007B1201" w:rsidP="005F7936">
            <w:pPr>
              <w:rPr>
                <w:rFonts w:ascii="Arial" w:eastAsia="Arial" w:hAnsi="Arial" w:cs="Arial"/>
                <w:sz w:val="22"/>
                <w:szCs w:val="22"/>
              </w:rPr>
            </w:pPr>
            <w:r>
              <w:rPr>
                <w:rFonts w:ascii="Arial" w:eastAsia="Arial" w:hAnsi="Arial" w:cs="Arial"/>
                <w:sz w:val="22"/>
                <w:szCs w:val="22"/>
              </w:rPr>
              <w:t>HMDB00182</w:t>
            </w:r>
          </w:p>
          <w:p w14:paraId="7259F6E6" w14:textId="77777777" w:rsidR="00B8663F" w:rsidRDefault="007B1201" w:rsidP="005F7936">
            <w:pPr>
              <w:rPr>
                <w:rFonts w:ascii="Arial" w:eastAsia="Arial" w:hAnsi="Arial" w:cs="Arial"/>
                <w:sz w:val="22"/>
                <w:szCs w:val="22"/>
              </w:rPr>
            </w:pPr>
            <w:r>
              <w:rPr>
                <w:rFonts w:ascii="Arial" w:eastAsia="Arial" w:hAnsi="Arial" w:cs="Arial"/>
                <w:sz w:val="22"/>
                <w:szCs w:val="22"/>
              </w:rPr>
              <w:t>HMDB00696</w:t>
            </w:r>
          </w:p>
          <w:p w14:paraId="0061DC94" w14:textId="77777777" w:rsidR="00B8663F" w:rsidRDefault="007B1201" w:rsidP="005F7936">
            <w:pPr>
              <w:rPr>
                <w:rFonts w:ascii="Arial" w:eastAsia="Arial" w:hAnsi="Arial" w:cs="Arial"/>
                <w:sz w:val="22"/>
                <w:szCs w:val="22"/>
              </w:rPr>
            </w:pPr>
            <w:r>
              <w:rPr>
                <w:rFonts w:ascii="Arial" w:eastAsia="Arial" w:hAnsi="Arial" w:cs="Arial"/>
                <w:sz w:val="22"/>
                <w:szCs w:val="22"/>
              </w:rPr>
              <w:t>HMDB00159</w:t>
            </w:r>
          </w:p>
          <w:p w14:paraId="4557D988" w14:textId="77777777" w:rsidR="00B8663F" w:rsidRDefault="007B1201" w:rsidP="005F7936">
            <w:pPr>
              <w:rPr>
                <w:rFonts w:ascii="Arial" w:eastAsia="Arial" w:hAnsi="Arial" w:cs="Arial"/>
                <w:sz w:val="22"/>
                <w:szCs w:val="22"/>
              </w:rPr>
            </w:pPr>
            <w:r>
              <w:rPr>
                <w:rFonts w:ascii="Arial" w:eastAsia="Arial" w:hAnsi="Arial" w:cs="Arial"/>
                <w:sz w:val="22"/>
                <w:szCs w:val="22"/>
              </w:rPr>
              <w:t>HMDB00162</w:t>
            </w:r>
          </w:p>
          <w:p w14:paraId="5640FFFC"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HMDB00167</w:t>
            </w:r>
          </w:p>
          <w:p w14:paraId="16A95D03"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HMDB00929</w:t>
            </w:r>
          </w:p>
          <w:p w14:paraId="7A61F63B"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HMDB00158</w:t>
            </w:r>
          </w:p>
          <w:p w14:paraId="1B3033D7"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HMDB00883</w:t>
            </w:r>
          </w:p>
          <w:p w14:paraId="23418311"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HMDB00479</w:t>
            </w:r>
          </w:p>
        </w:tc>
      </w:tr>
      <w:tr w:rsidR="00B8663F" w14:paraId="01B87323" w14:textId="77777777" w:rsidTr="005F7936">
        <w:tc>
          <w:tcPr>
            <w:tcW w:w="1710" w:type="dxa"/>
            <w:shd w:val="clear" w:color="auto" w:fill="auto"/>
          </w:tcPr>
          <w:p w14:paraId="007D84D0" w14:textId="77777777" w:rsidR="00B8663F" w:rsidRDefault="007B1201" w:rsidP="005F7936">
            <w:pPr>
              <w:rPr>
                <w:rFonts w:ascii="Arial" w:eastAsia="Arial" w:hAnsi="Arial" w:cs="Arial"/>
                <w:sz w:val="22"/>
                <w:szCs w:val="22"/>
              </w:rPr>
            </w:pPr>
            <w:r>
              <w:rPr>
                <w:rFonts w:ascii="Arial" w:eastAsia="Arial" w:hAnsi="Arial" w:cs="Arial"/>
                <w:sz w:val="22"/>
                <w:szCs w:val="22"/>
              </w:rPr>
              <w:t>Bile acids</w:t>
            </w:r>
          </w:p>
        </w:tc>
        <w:tc>
          <w:tcPr>
            <w:tcW w:w="1710" w:type="dxa"/>
            <w:shd w:val="clear" w:color="auto" w:fill="auto"/>
          </w:tcPr>
          <w:p w14:paraId="6A5CCD1E" w14:textId="77777777" w:rsidR="00B8663F" w:rsidRDefault="007B1201" w:rsidP="005F7936">
            <w:pPr>
              <w:rPr>
                <w:rFonts w:ascii="Arial" w:eastAsia="Arial" w:hAnsi="Arial" w:cs="Arial"/>
                <w:sz w:val="22"/>
                <w:szCs w:val="22"/>
              </w:rPr>
            </w:pPr>
            <w:r>
              <w:rPr>
                <w:rFonts w:ascii="Arial" w:eastAsia="Arial" w:hAnsi="Arial" w:cs="Arial"/>
                <w:sz w:val="22"/>
                <w:szCs w:val="22"/>
              </w:rPr>
              <w:t>Cholate</w:t>
            </w:r>
          </w:p>
        </w:tc>
        <w:tc>
          <w:tcPr>
            <w:tcW w:w="3330" w:type="dxa"/>
            <w:shd w:val="clear" w:color="auto" w:fill="auto"/>
          </w:tcPr>
          <w:p w14:paraId="0535E287" w14:textId="1F52E330" w:rsidR="00B8663F" w:rsidRDefault="007B1201" w:rsidP="005F7936">
            <w:pPr>
              <w:rPr>
                <w:rFonts w:ascii="Arial" w:eastAsia="Arial" w:hAnsi="Arial" w:cs="Arial"/>
                <w:sz w:val="22"/>
                <w:szCs w:val="22"/>
              </w:rPr>
            </w:pPr>
            <w:r>
              <w:rPr>
                <w:rFonts w:ascii="Arial" w:eastAsia="Arial" w:hAnsi="Arial" w:cs="Arial"/>
                <w:sz w:val="22"/>
                <w:szCs w:val="22"/>
              </w:rPr>
              <w:t xml:space="preserve">Inhibits </w:t>
            </w:r>
            <w:proofErr w:type="spellStart"/>
            <w:r>
              <w:rPr>
                <w:rFonts w:ascii="Arial" w:eastAsia="Arial" w:hAnsi="Arial" w:cs="Arial"/>
                <w:sz w:val="22"/>
                <w:szCs w:val="22"/>
              </w:rPr>
              <w:t>Bacterioidetes</w:t>
            </w:r>
            <w:proofErr w:type="spellEnd"/>
            <w:r>
              <w:rPr>
                <w:rFonts w:ascii="Arial" w:eastAsia="Arial" w:hAnsi="Arial" w:cs="Arial"/>
                <w:i/>
                <w:sz w:val="22"/>
                <w:szCs w:val="22"/>
              </w:rPr>
              <w:t xml:space="preserve"> </w:t>
            </w:r>
            <w:r>
              <w:rPr>
                <w:rFonts w:ascii="Arial" w:eastAsia="Arial" w:hAnsi="Arial" w:cs="Arial"/>
                <w:sz w:val="22"/>
                <w:szCs w:val="22"/>
              </w:rPr>
              <w:t xml:space="preserve">and Actinobacteria phyla, expansion of Firmicutes phylum, </w:t>
            </w:r>
            <w:proofErr w:type="spellStart"/>
            <w:r>
              <w:rPr>
                <w:rFonts w:ascii="Arial" w:eastAsia="Arial" w:hAnsi="Arial" w:cs="Arial"/>
                <w:i/>
                <w:sz w:val="22"/>
                <w:szCs w:val="22"/>
              </w:rPr>
              <w:t>Blautia</w:t>
            </w:r>
            <w:proofErr w:type="spellEnd"/>
            <w:r>
              <w:rPr>
                <w:rFonts w:ascii="Arial" w:eastAsia="Arial" w:hAnsi="Arial" w:cs="Arial"/>
                <w:i/>
                <w:sz w:val="22"/>
                <w:szCs w:val="22"/>
              </w:rPr>
              <w:t xml:space="preserve">, Clostridium </w:t>
            </w:r>
            <w:r>
              <w:rPr>
                <w:rFonts w:ascii="Arial" w:eastAsia="Arial" w:hAnsi="Arial" w:cs="Arial"/>
                <w:sz w:val="22"/>
                <w:szCs w:val="22"/>
              </w:rPr>
              <w:t xml:space="preserve">and </w:t>
            </w:r>
            <w:proofErr w:type="spellStart"/>
            <w:r>
              <w:rPr>
                <w:rFonts w:ascii="Arial" w:eastAsia="Arial" w:hAnsi="Arial" w:cs="Arial"/>
                <w:i/>
                <w:sz w:val="22"/>
                <w:szCs w:val="22"/>
              </w:rPr>
              <w:t>Ruminococcus</w:t>
            </w:r>
            <w:proofErr w:type="spellEnd"/>
            <w:r>
              <w:rPr>
                <w:rFonts w:ascii="Arial" w:eastAsia="Arial" w:hAnsi="Arial" w:cs="Arial"/>
                <w:i/>
                <w:sz w:val="22"/>
                <w:szCs w:val="22"/>
              </w:rPr>
              <w:t xml:space="preserve"> spp. </w:t>
            </w:r>
            <w:r w:rsidR="00FD01C5">
              <w:fldChar w:fldCharType="begin"/>
            </w:r>
            <w:r w:rsidR="00FD01C5">
              <w:instrText xml:space="preserve"> ADDIN ZOTERO_ITEM CSL_CITATION {"citationID":"9qIFdTLF","properties":{"formattedCitation":"[9, 10]","plainCitation":"[9, 10]","noteIndex":0},"citationItems":[{"id":2004,"uris":["http://zotero.org/users/4849999/items/B3I5ZEA5"],"uri":["http://zotero.org/users/4849999/items/B3I5ZEA5"],"itemData":{"id":2004,"type":"article-journal","abstract":"Purpose of the review\nWe examine the latest research on the emerging bile acid-gut microbiome axis and its role in health and disease. Our focus revolves around two key microbial pathways for degrading bile salts, and the impact of bile acid composition in the gut on the gut microbiome and host physiology.\n\nRecent findings\nBile acid pool size has recently been shown to be a function of microbial metabolism of bile acids in the intestines. Recent studies have shown potential mechanisms explaining how perturbations in the microbiome affect bile acid pool size and composition. Bile acids are emerging as regulators of the gut microbiome at the highest taxomic levels. The role of bile acids as hormones and potentiators of liver cancer are also emerging.\n\nSummary\nThe host and microbiome appear to regulate bile acid pool size. The host produces a large, conjugated hydrophilic bile acid pool, maintained through positive-feedback antagonism of FXR in intestine and liver. Members of the microbiome utilize bile acids and their conjugates resulting in agonism of FXR in intestine and liver resulting in a smaller, unconjugated hydrophobic bile acid pool. Hydrophilicity of the bile acid pool is associated with disease states. Reduced bile acid levels in the gut are associated with bacterial overgrowth and inflammation. Diet, antibiotic therapy, and disease states affect the balance of the microbiome-bile acid pool.","container-title":"Current opinion in gastroenterology","DOI":"10.1097/MOG.0000000000000057","ISSN":"0267-1379","issue":"3","journalAbbreviation":"Curr Opin Gastroenterol","note":"PMID: 24625896\nPMCID: PMC4215539","page":"332-338","source":"PubMed Central","title":"Bile Acids and the Gut Microbiome","volume":"30","author":[{"family":"Ridlon","given":"Jason M."},{"family":"Kang","given":"Dae Joong"},{"family":"Hylemon","given":"Phillip B."},{"family":"Bajaj","given":"Jasmohan S."}],"issued":{"date-parts":[["2014",5]]}}},{"id":2003,"uris":["http://zotero.org/users/4849999/items/PBBUG763"],"uri":["http://zotero.org/users/4849999/items/PBBUG763"],"itemData":{"id":2003,"type":"article-journal","abstract":"BACKGROUND &amp; AIMS: Alterations in the gastrointestinal microbiota have been associated with metabolic diseases. However, little is known about host factors that induce changes in gastrointestinal bacterial populations. We investigated the role of bile acids in this process because of their strong antimicrobial activities, specifically the effects of cholic acid administration on the composition of the gut microbiota in a rat model.\nMETHODS: Rats were fed diets supplemented with different concentrations of cholic acid for 10 days. We used 16S ribosomal RNA gene clone library sequencing and fluorescence in situ hybridization to characterize the composition of the cecal microbiota of the different diet groups. Bile acids in feces, organic acids in cecal contents, and some blood parameters were also analyzed.\nRESULTS: Administration of cholic acid induced phylum-level alterations in the composition of the gut microbiota; Firmicutes predominated at the expense of Bacteroidetes. Cholic acid feeding simplified the composition of the microbiota, with outgrowth of several bacteria in the classes Clostridia and Erysipelotrichi. Externally administered cholic acid was efficiently transformed into deoxycholic acid by a bacterial 7α-dehydroxylation reaction. Serum levels of adiponectin decreased significantly in rats given the cholic acid diet.\nCONCLUSIONS: Cholic acid regulates the composition of gut microbiota in rats, inducing similar changes to those induced by high-fat diets. These findings improve our understanding of the relationship between metabolic diseases and the composition of the gastrointestinal microbiota.","container-title":"Gastroenterology","DOI":"10.1053/j.gastro.2011.07.046","ISSN":"1528-0012","issue":"5","journalAbbreviation":"Gastroenterology","language":"eng","note":"PMID: 21839040","page":"1773-1781","source":"PubMed","title":"Bile acid is a host factor that regulates the composition of the cecal microbiota in rats","volume":"141","author":[{"family":"Islam","given":"K. B. M. Saiful"},{"family":"Fukiya","given":"Satoru"},{"family":"Hagio","given":"Masahito"},{"family":"Fujii","given":"Nobuyuki"},{"family":"Ishizuka","given":"Satoshi"},{"family":"Ooka","given":"Tadasuke"},{"family":"Ogura","given":"Yoshitoshi"},{"family":"Hayashi","given":"Tetsuya"},{"family":"Yokota","given":"Atsushi"}],"issued":{"date-parts":[["2011",11]]}}}],"schema":"https://github.com/citation-style-language/schema/raw/master/csl-citation.json"} </w:instrText>
            </w:r>
            <w:r w:rsidR="00FD01C5">
              <w:fldChar w:fldCharType="separate"/>
            </w:r>
            <w:r w:rsidR="00FD01C5" w:rsidRPr="00FD01C5">
              <w:t>[9, 10]</w:t>
            </w:r>
            <w:r w:rsidR="00FD01C5">
              <w:fldChar w:fldCharType="end"/>
            </w:r>
            <w:r>
              <w:rPr>
                <w:rFonts w:ascii="Arial" w:eastAsia="Arial" w:hAnsi="Arial" w:cs="Arial"/>
                <w:i/>
                <w:sz w:val="22"/>
                <w:szCs w:val="22"/>
              </w:rPr>
              <w:t xml:space="preserve"> </w:t>
            </w:r>
          </w:p>
        </w:tc>
        <w:tc>
          <w:tcPr>
            <w:tcW w:w="6120" w:type="dxa"/>
            <w:shd w:val="clear" w:color="auto" w:fill="auto"/>
          </w:tcPr>
          <w:p w14:paraId="7F3FFFD3" w14:textId="2A2B784F" w:rsidR="00B8663F" w:rsidRDefault="007B1201" w:rsidP="005F7936">
            <w:pPr>
              <w:rPr>
                <w:rFonts w:ascii="Arial" w:eastAsia="Arial" w:hAnsi="Arial" w:cs="Arial"/>
                <w:sz w:val="22"/>
                <w:szCs w:val="22"/>
              </w:rPr>
            </w:pPr>
            <w:r>
              <w:rPr>
                <w:rFonts w:ascii="Arial" w:eastAsia="Arial" w:hAnsi="Arial" w:cs="Arial"/>
                <w:sz w:val="22"/>
                <w:szCs w:val="22"/>
              </w:rPr>
              <w:t xml:space="preserve">Bile acid are involved in absorption of fats and lipid-soluble vitamins </w:t>
            </w:r>
            <w:r w:rsidR="00FD01C5">
              <w:fldChar w:fldCharType="begin"/>
            </w:r>
            <w:r w:rsidR="00FD01C5">
              <w:instrText xml:space="preserve"> ADDIN ZOTERO_ITEM CSL_CITATION {"citationID":"EfteRCi8","properties":{"formattedCitation":"[1]","plainCitation":"[1]","noteIndex":0},"citationItems":[{"id":1810,"uris":["http://zotero.org/users/4849999/items/A5Y8LLT7"],"uri":["http://zotero.org/users/4849999/items/A5Y8LLT7"],"itemData":{"id":1810,"type":"article-journal","abstract":"The composition and activity of the gut microbiota codevelop with the host from birth and is subject to a complex interplay that depends on the host genome, nutrition, and life-style. The gut microbiota is involved in the regulation of multiple host metabolic pathways, giving rise to interactive host-microbiota metabolic, signaling, and immune-inflammatory axes that physiologically connect the gut, liver, muscle, and brain. A deeper understanding of these axes is a prerequisite for optimizing therapeutic strategies to manipulate the gut microbiota to combat disease and improve health.","container-title":"Science","DOI":"10.1126/science.1223813","ISSN":"0036-8075, 1095-9203","issue":"6086","language":"en","note":"PMID: 22674330","page":"1262-1267","source":"science.sciencemag.org","title":"Host-Gut Microbiota Metabolic Interactions","volume":"336","author":[{"family":"Nicholson","given":"Jeremy K."},{"family":"Holmes","given":"Elaine"},{"family":"Kinross","given":"James"},{"family":"Burcelin","given":"Remy"},{"family":"Gibson","given":"Glenn"},{"family":"Jia","given":"Wei"},{"family":"Pettersson","given":"Sven"}],"issued":{"date-parts":[["2012",6,8]]}}}],"schema":"https://github.com/citation-style-language/schema/raw/master/csl-citation.json"} </w:instrText>
            </w:r>
            <w:r w:rsidR="00FD01C5">
              <w:fldChar w:fldCharType="separate"/>
            </w:r>
            <w:r w:rsidR="00FD01C5" w:rsidRPr="00FD01C5">
              <w:t>[1]</w:t>
            </w:r>
            <w:r w:rsidR="00FD01C5">
              <w:fldChar w:fldCharType="end"/>
            </w:r>
            <w:r>
              <w:rPr>
                <w:rFonts w:ascii="Arial" w:eastAsia="Arial" w:hAnsi="Arial" w:cs="Arial"/>
                <w:sz w:val="22"/>
                <w:szCs w:val="22"/>
              </w:rPr>
              <w:t xml:space="preserve">, bile acid byproducts of microbial origins can bind and activate host nuclear receptors and act as endocrine signaling molecules </w:t>
            </w:r>
            <w:r w:rsidR="00FD01C5">
              <w:fldChar w:fldCharType="begin"/>
            </w:r>
            <w:r w:rsidR="00FD01C5">
              <w:instrText xml:space="preserve"> ADDIN ZOTERO_ITEM CSL_CITATION {"citationID":"KHdVI2wz","properties":{"formattedCitation":"[11, 12]","plainCitation":"[11, 12]","noteIndex":0},"citationItems":[{"id":2002,"uris":["http://zotero.org/users/4849999/items/W3MG54IX"],"uri":["http://zotero.org/users/4849999/items/W3MG54IX"],"itemData":{"id":2002,"type":"article-journal","abstract":"So far some nuclear receptors for bile acids have been identified. However, no cell surface receptor for bile acids has yet been reported. We found that a novel G protein-coupled receptor, TGR5, is responsive to bile acids as a cell-surface receptor. Bile acids specifically induced receptor internalization, the activation of extracellular signal-regulated kinase mitogen-activated protein kinase, the increase of guanosine 5'-O-3-thio-triphosphate binding in membrane fractions, and intracellular cAMP production in Chinese hamster ovary cells expressing TGR5. Our quantitative analyses for TGR5 mRNA showed that it was abundantly expressed in monocytes/macrophages in human and rabbit. Treatment with bile acids was found to suppress the functions of rabbit alveolar macrophages including phagocytosis and lipopolysaccharide-stimulated cytokine productions. We prepared a monocytic cell line expressing TGR5 by transfecting a TGR5 cDNA into THP-1 cells that did not express TGR5 originally. Treatment with bile acids suppressed the cytokine productions in the THP-1 cells expressing TGR5, whereas it did not influence those in the original THP-1 cells, suggesting that TGR5 is implicated in the suppression of macrophage functions by bile acids.","container-title":"The Journal of Biological Chemistry","DOI":"10.1074/jbc.M209706200","ISSN":"0021-9258","issue":"11","journalAbbreviation":"J. Biol. Chem.","language":"eng","note":"PMID: 12524422","page":"9435-9440","source":"PubMed","title":"A G protein-coupled receptor responsive to bile acids","volume":"278","author":[{"family":"Kawamata","given":"Yuji"},{"family":"Fujii","given":"Ryo"},{"family":"Hosoya","given":"Masaki"},{"family":"Harada","given":"Masataka"},{"family":"Yoshida","given":"Hiromi"},{"family":"Miwa","given":"Masanori"},{"family":"Fukusumi","given":"Shoji"},{"family":"Habata","given":"Yugo"},{"family":"Itoh","given":"Takashi"},{"family":"Shintani","given":"Yasushi"},{"family":"Hinuma","given":"Shuji"},{"family":"Fujisawa","given":"Yukio"},{"family":"Fujino","given":"Masahiko"}],"issued":{"date-parts":[["2003",3,14]]}}},{"id":2001,"uris":["http://zotero.org/users/4849999/items/YBRA7EV2"],"uri":["http://zotero.org/users/4849999/items/YBRA7EV2"],"itemData":{"id":2001,"type":"article-journal","abstract":"In the past, bile acids were considered to be just detergent molecules derived from cholesterol in the liver. They were known to be important for the solubilization of cholesterol in the gallbladder and for stimulating the absorption of cholesterol, fat-soluble vitamins, and lipids from the intestines. However, during the last two decades, it has been discovered that bile acids are regulatory molecules. Bile acids have been discovered to activate specific nuclear receptors (farnesoid X receptor, preganane X receptor, and vitamin D receptor), G protein coupled receptor TGR5 (TGR5), and cell signaling pathways (c-jun N-terminal kinase 1/2, AKT, and ERK 1/2) in cells in the liver and gastrointestinal tract. Activation of nuclear receptors and cell signaling pathways alter the expression of numerous genes encoding enzyme/proteins involved in the regulation of bile acid, glucose, fatty acid, lipoprotein synthesis, metabolism, transport, and energy metabolism. They also play a role in the regulation of serum triglyceride levels in humans and rodents. Bile acids appear to function as nutrient signaling molecules primarily during the feed/fast cycle as there is a flux of these molecules returning from the intestines to the liver following a meal. In this review, we will summarize the current knowledge of how bile acids regulate hepatic lipid and glucose metabolism through the activation of specific nuclear receptors and cell signaling pathways.","container-title":"Journal of Lipid Research","DOI":"10.1194/jlr.R900007-JLR200","ISSN":"1539-7262","issue":"8","journalAbbreviation":"J. Lipid Res.","language":"eng","note":"PMID: 19346331\nPMCID: PMC2724047","page":"1509-1520","source":"PubMed","title":"Bile acids as regulatory molecules","volume":"50","author":[{"family":"Hylemon","given":"Phillip B."},{"family":"Zhou","given":"Huiping"},{"family":"Pandak","given":"William M."},{"family":"Ren","given":"Shunlin"},{"family":"Gil","given":"Gregorio"},{"family":"Dent","given":"Paul"}],"issued":{"date-parts":[["2009",8]]}}}],"schema":"https://github.com/citation-style-language/schema/raw/master/csl-citation.json"} </w:instrText>
            </w:r>
            <w:r w:rsidR="00FD01C5">
              <w:fldChar w:fldCharType="separate"/>
            </w:r>
            <w:r w:rsidR="00FD01C5" w:rsidRPr="00FD01C5">
              <w:t>[11, 12]</w:t>
            </w:r>
            <w:r w:rsidR="00FD01C5">
              <w:fldChar w:fldCharType="end"/>
            </w:r>
            <w:r>
              <w:rPr>
                <w:rFonts w:ascii="Arial" w:eastAsia="Arial" w:hAnsi="Arial" w:cs="Arial"/>
                <w:sz w:val="22"/>
                <w:szCs w:val="22"/>
              </w:rPr>
              <w:t xml:space="preserve">, which is found to be associated with cancer </w:t>
            </w:r>
            <w:r w:rsidR="00FD01C5">
              <w:fldChar w:fldCharType="begin"/>
            </w:r>
            <w:r w:rsidR="00FD01C5">
              <w:instrText xml:space="preserve"> ADDIN ZOTERO_ITEM CSL_CITATION {"citationID":"1YLr6zaY","properties":{"formattedCitation":"[13]","plainCitation":"[13]","noteIndex":0},"citationItems":[{"id":2000,"uris":["http://zotero.org/users/4849999/items/XPKPJT35"],"uri":["http://zotero.org/users/4849999/items/XPKPJT35"],"itemData":{"id":2000,"type":"article-journal","abstract":"Obesity has become more prevalent in most developed countries over the past few decades, and is increasingly recognized as a major risk factor for several common types of cancer. As the worldwide obesity epidemic has shown no signs of abating, better understanding of the mechanisms underlying obesity-associated cancer is urgently needed. Although several events were proposed to be involved in obesity-associated cancer, the exact molecular mechanisms that integrate these events have remained largely unclear. Here we show that senescence-associated secretory phenotype (SASP) has crucial roles in promoting obesity-associated hepatocellular carcinoma (HCC) development in mice. Dietary or genetic obesity induces alterations of gut microbiota, thereby increasing the levels of deoxycholic acid (DCA), a gut bacterial metabolite known to cause DNA damage. The enterohepatic circulation of DCA provokes SASP phenotype in hepatic stellate cells (HSCs), which in turn secretes various inflammatory and tumour-promoting factors in the liver, thus facilitating HCC development in mice after exposure to chemical carcinogen. Notably, blocking DCA production or reducing gut bacteria efficiently prevents HCC development in obese mice. Similar results were also observed in mice lacking an SASP inducer or depleted of senescent HSCs, indicating that the DCA-SASP axis in HSCs has key roles in obesity-associated HCC development. Moreover, signs of SASP were also observed in the HSCs in the area of HCC arising in patients with non-alcoholic steatohepatitis, indicating that a similar pathway may contribute to at least certain aspects of obesity-associated HCC development in humans as well. These findings provide valuable new insights into the development of obesity-associated cancer and open up new possibilities for its control.","container-title":"Nature","DOI":"10.1038/nature12347","ISSN":"1476-4687","issue":"7456","journalAbbreviation":"Nature","language":"eng","note":"PMID: 23803760","page":"97-101","source":"PubMed","title":"Obesity-induced gut microbial metabolite promotes liver cancer through senescence secretome","volume":"499","author":[{"family":"Yoshimoto","given":"Shin"},{"family":"Loo","given":"Tze Mun"},{"family":"Atarashi","given":"Koji"},{"family":"Kanda","given":"Hiroaki"},{"family":"Sato","given":"Seidai"},{"family":"Oyadomari","given":"Seiichi"},{"family":"Iwakura","given":"Yoichiro"},{"family":"Oshima","given":"Kenshiro"},{"family":"Morita","given":"Hidetoshi"},{"family":"Hattori","given":"Masahira"},{"family":"Hattori","given":"Masahisa"},{"family":"Honda","given":"Kenya"},{"family":"Ishikawa","given":"Yuichi"},{"family":"Hara","given":"Eiji"},{"family":"Ohtani","given":"Naoko"}],"issued":{"date-parts":[["2013",7,4]]}}}],"schema":"https://github.com/citation-style-language/schema/raw/master/csl-citation.json"} </w:instrText>
            </w:r>
            <w:r w:rsidR="00FD01C5">
              <w:fldChar w:fldCharType="separate"/>
            </w:r>
            <w:r w:rsidR="00FD01C5" w:rsidRPr="00FD01C5">
              <w:t>[13]</w:t>
            </w:r>
            <w:r w:rsidR="00FD01C5">
              <w:fldChar w:fldCharType="end"/>
            </w:r>
            <w:r>
              <w:rPr>
                <w:rFonts w:ascii="Arial" w:eastAsia="Arial" w:hAnsi="Arial" w:cs="Arial"/>
                <w:sz w:val="22"/>
                <w:szCs w:val="22"/>
              </w:rPr>
              <w:t xml:space="preserve">. </w:t>
            </w:r>
          </w:p>
        </w:tc>
        <w:tc>
          <w:tcPr>
            <w:tcW w:w="1620" w:type="dxa"/>
            <w:shd w:val="clear" w:color="auto" w:fill="auto"/>
          </w:tcPr>
          <w:p w14:paraId="554636FD" w14:textId="77777777" w:rsidR="00B8663F" w:rsidRDefault="007B1201" w:rsidP="005F7936">
            <w:pPr>
              <w:rPr>
                <w:rFonts w:ascii="Arial" w:eastAsia="Arial" w:hAnsi="Arial" w:cs="Arial"/>
                <w:sz w:val="22"/>
                <w:szCs w:val="22"/>
              </w:rPr>
            </w:pPr>
            <w:r>
              <w:rPr>
                <w:rFonts w:ascii="Arial" w:eastAsia="Arial" w:hAnsi="Arial" w:cs="Arial"/>
                <w:sz w:val="22"/>
                <w:szCs w:val="22"/>
              </w:rPr>
              <w:t>HMDB00619</w:t>
            </w:r>
          </w:p>
        </w:tc>
      </w:tr>
      <w:tr w:rsidR="00B8663F" w14:paraId="12F912AA" w14:textId="77777777" w:rsidTr="005F7936">
        <w:tc>
          <w:tcPr>
            <w:tcW w:w="1710" w:type="dxa"/>
            <w:shd w:val="clear" w:color="auto" w:fill="auto"/>
          </w:tcPr>
          <w:p w14:paraId="1C25B66C" w14:textId="77777777" w:rsidR="00B8663F" w:rsidRDefault="007B1201" w:rsidP="005F7936">
            <w:pPr>
              <w:rPr>
                <w:rFonts w:ascii="Arial" w:eastAsia="Arial" w:hAnsi="Arial" w:cs="Arial"/>
                <w:sz w:val="22"/>
                <w:szCs w:val="22"/>
              </w:rPr>
            </w:pPr>
            <w:r>
              <w:rPr>
                <w:rFonts w:ascii="Arial" w:eastAsia="Arial" w:hAnsi="Arial" w:cs="Arial"/>
                <w:sz w:val="22"/>
                <w:szCs w:val="22"/>
              </w:rPr>
              <w:t>Carbohydrates</w:t>
            </w:r>
          </w:p>
        </w:tc>
        <w:tc>
          <w:tcPr>
            <w:tcW w:w="1710" w:type="dxa"/>
            <w:shd w:val="clear" w:color="auto" w:fill="auto"/>
          </w:tcPr>
          <w:p w14:paraId="6DD40342" w14:textId="77777777" w:rsidR="00B8663F" w:rsidRDefault="007B1201" w:rsidP="005F7936">
            <w:pPr>
              <w:rPr>
                <w:rFonts w:ascii="Arial" w:eastAsia="Arial" w:hAnsi="Arial" w:cs="Arial"/>
                <w:sz w:val="22"/>
                <w:szCs w:val="22"/>
              </w:rPr>
            </w:pPr>
            <w:r>
              <w:rPr>
                <w:rFonts w:ascii="Arial" w:eastAsia="Arial" w:hAnsi="Arial" w:cs="Arial"/>
                <w:sz w:val="22"/>
                <w:szCs w:val="22"/>
              </w:rPr>
              <w:t>Fucose</w:t>
            </w:r>
          </w:p>
          <w:p w14:paraId="798DEA64" w14:textId="77777777" w:rsidR="00B8663F" w:rsidRDefault="007B1201" w:rsidP="005F7936">
            <w:pPr>
              <w:rPr>
                <w:rFonts w:ascii="Arial" w:eastAsia="Arial" w:hAnsi="Arial" w:cs="Arial"/>
                <w:sz w:val="22"/>
                <w:szCs w:val="22"/>
              </w:rPr>
            </w:pPr>
            <w:r>
              <w:rPr>
                <w:rFonts w:ascii="Arial" w:eastAsia="Arial" w:hAnsi="Arial" w:cs="Arial"/>
                <w:sz w:val="22"/>
                <w:szCs w:val="22"/>
              </w:rPr>
              <w:t>Glucose</w:t>
            </w:r>
          </w:p>
          <w:p w14:paraId="5466026D" w14:textId="77777777" w:rsidR="00B8663F" w:rsidRDefault="007B1201" w:rsidP="005F7936">
            <w:pPr>
              <w:rPr>
                <w:rFonts w:ascii="Arial" w:eastAsia="Arial" w:hAnsi="Arial" w:cs="Arial"/>
                <w:sz w:val="22"/>
                <w:szCs w:val="22"/>
              </w:rPr>
            </w:pPr>
            <w:r>
              <w:rPr>
                <w:rFonts w:ascii="Arial" w:eastAsia="Arial" w:hAnsi="Arial" w:cs="Arial"/>
                <w:sz w:val="22"/>
                <w:szCs w:val="22"/>
              </w:rPr>
              <w:t>Glycerol</w:t>
            </w:r>
          </w:p>
          <w:p w14:paraId="6877F26D" w14:textId="77777777" w:rsidR="00B8663F" w:rsidRDefault="007B1201" w:rsidP="005F7936">
            <w:pPr>
              <w:rPr>
                <w:rFonts w:ascii="Arial" w:eastAsia="Arial" w:hAnsi="Arial" w:cs="Arial"/>
                <w:sz w:val="22"/>
                <w:szCs w:val="22"/>
              </w:rPr>
            </w:pPr>
            <w:r>
              <w:rPr>
                <w:rFonts w:ascii="Arial" w:eastAsia="Arial" w:hAnsi="Arial" w:cs="Arial"/>
                <w:sz w:val="22"/>
                <w:szCs w:val="22"/>
              </w:rPr>
              <w:t>Maltose</w:t>
            </w:r>
          </w:p>
        </w:tc>
        <w:tc>
          <w:tcPr>
            <w:tcW w:w="3330" w:type="dxa"/>
            <w:shd w:val="clear" w:color="auto" w:fill="auto"/>
          </w:tcPr>
          <w:p w14:paraId="5C9C2FD7" w14:textId="301F5E6F" w:rsidR="00B8663F" w:rsidRDefault="007B1201" w:rsidP="005F7936">
            <w:pPr>
              <w:rPr>
                <w:rFonts w:ascii="Arial" w:eastAsia="Arial" w:hAnsi="Arial" w:cs="Arial"/>
                <w:sz w:val="22"/>
                <w:szCs w:val="22"/>
              </w:rPr>
            </w:pPr>
            <w:r>
              <w:rPr>
                <w:rFonts w:ascii="Arial" w:eastAsia="Arial" w:hAnsi="Arial" w:cs="Arial"/>
                <w:i/>
                <w:sz w:val="22"/>
                <w:szCs w:val="22"/>
              </w:rPr>
              <w:t xml:space="preserve">Bacteroides </w:t>
            </w:r>
            <w:proofErr w:type="spellStart"/>
            <w:r>
              <w:rPr>
                <w:rFonts w:ascii="Arial" w:eastAsia="Arial" w:hAnsi="Arial" w:cs="Arial"/>
                <w:i/>
                <w:sz w:val="22"/>
                <w:szCs w:val="22"/>
              </w:rPr>
              <w:t>thetaiotaomicron</w:t>
            </w:r>
            <w:proofErr w:type="spellEnd"/>
            <w:r>
              <w:rPr>
                <w:rFonts w:ascii="Arial" w:eastAsia="Arial" w:hAnsi="Arial" w:cs="Arial"/>
                <w:sz w:val="22"/>
                <w:szCs w:val="22"/>
              </w:rPr>
              <w:t xml:space="preserve"> (possesses 260 glycoside hydrolases in its genome </w:t>
            </w:r>
            <w:r w:rsidR="00FD01C5">
              <w:fldChar w:fldCharType="begin"/>
            </w:r>
            <w:r w:rsidR="00FD01C5">
              <w:instrText xml:space="preserve"> ADDIN ZOTERO_ITEM CSL_CITATION {"citationID":"1VVRuw7k","properties":{"formattedCitation":"[14]","plainCitation":"[14]","noteIndex":0},"citationItems":[{"id":1987,"uris":["http://zotero.org/users/4849999/items/FGLJHQH7"],"uri":["http://zotero.org/users/4849999/items/FGLJHQH7"],"itemData":{"id":1987,"type":"article-journal","abstract":"The human gut is colonized with a vast community of indigenous microorganisms that help shape our biology. Here, we present the complete genome sequence of the Gram-negative anaerobe Bacteroides thetaiotaomicron, a dominant member of our normal distal intestinal microbiota. Its 4779-member proteome includes an elaborate apparatus for acquiring and hydrolyzing otherwise indigestible dietary polysaccharides and an associated environment-sensing system consisting of a large repertoire of extracytoplasmic function sigma factors and one- and two-component signal transduction systems. These and other expanded paralogous groups shed light on the molecular mechanisms underlying symbiotic host-bacterial relationships in our intestine.","container-title":"Science (New York, N.Y.)","DOI":"10.1126/science.1080029","ISSN":"1095-9203","issue":"5615","journalAbbreviation":"Science","language":"eng","note":"PMID: 12663928","page":"2074-2076","source":"PubMed","title":"A genomic view of the human-Bacteroides thetaiotaomicron symbiosis","volume":"299","author":[{"family":"Xu","given":"Jian"},{"family":"Bjursell","given":"Magnus K."},{"family":"Himrod","given":"Jason"},{"family":"Deng","given":"Su"},{"family":"Carmichael","given":"Lynn K."},{"family":"Chiang","given":"Herbert C."},{"family":"Hooper","given":"Lora V."},{"family":"Gordon","given":"Jeffrey I."}],"issued":{"date-parts":[["2003",3,28]]}}}],"schema":"https://github.com/citation-style-language/schema/raw/master/csl-citation.json"} </w:instrText>
            </w:r>
            <w:r w:rsidR="00FD01C5">
              <w:fldChar w:fldCharType="separate"/>
            </w:r>
            <w:r w:rsidR="00FD01C5" w:rsidRPr="00FD01C5">
              <w:t>[14]</w:t>
            </w:r>
            <w:r w:rsidR="00FD01C5">
              <w:fldChar w:fldCharType="end"/>
            </w:r>
            <w:r>
              <w:rPr>
                <w:rFonts w:ascii="Arial" w:eastAsia="Arial" w:hAnsi="Arial" w:cs="Arial"/>
                <w:sz w:val="22"/>
                <w:szCs w:val="22"/>
              </w:rPr>
              <w:t>)</w:t>
            </w:r>
            <w:r>
              <w:rPr>
                <w:rFonts w:ascii="Arial" w:eastAsia="Arial" w:hAnsi="Arial" w:cs="Arial"/>
                <w:i/>
                <w:sz w:val="22"/>
                <w:szCs w:val="22"/>
              </w:rPr>
              <w:t xml:space="preserve">, B. Fragilis, </w:t>
            </w:r>
            <w:proofErr w:type="spellStart"/>
            <w:r>
              <w:rPr>
                <w:rFonts w:ascii="Arial" w:eastAsia="Arial" w:hAnsi="Arial" w:cs="Arial"/>
                <w:i/>
                <w:color w:val="000000"/>
                <w:sz w:val="22"/>
                <w:szCs w:val="22"/>
                <w:highlight w:val="white"/>
              </w:rPr>
              <w:t>Ruminococcaceae</w:t>
            </w:r>
            <w:proofErr w:type="spellEnd"/>
            <w:r>
              <w:rPr>
                <w:rFonts w:ascii="Arial" w:eastAsia="Arial" w:hAnsi="Arial" w:cs="Arial"/>
                <w:i/>
                <w:color w:val="000000"/>
                <w:sz w:val="22"/>
                <w:szCs w:val="22"/>
                <w:highlight w:val="white"/>
              </w:rPr>
              <w:t xml:space="preserve"> spp.</w:t>
            </w:r>
          </w:p>
          <w:p w14:paraId="6EE428B0" w14:textId="77777777" w:rsidR="00B8663F" w:rsidRDefault="00B8663F" w:rsidP="005F7936">
            <w:pPr>
              <w:rPr>
                <w:rFonts w:ascii="Arial" w:eastAsia="Arial" w:hAnsi="Arial" w:cs="Arial"/>
                <w:sz w:val="22"/>
                <w:szCs w:val="22"/>
              </w:rPr>
            </w:pPr>
          </w:p>
        </w:tc>
        <w:tc>
          <w:tcPr>
            <w:tcW w:w="6120" w:type="dxa"/>
            <w:shd w:val="clear" w:color="auto" w:fill="auto"/>
          </w:tcPr>
          <w:p w14:paraId="41F9E31F" w14:textId="2FD9FA0D" w:rsidR="00B8663F" w:rsidRDefault="007B1201" w:rsidP="005F7936">
            <w:pPr>
              <w:rPr>
                <w:rFonts w:ascii="Arial" w:eastAsia="Arial" w:hAnsi="Arial" w:cs="Arial"/>
                <w:sz w:val="22"/>
                <w:szCs w:val="22"/>
              </w:rPr>
            </w:pPr>
            <w:r>
              <w:rPr>
                <w:rFonts w:ascii="Arial" w:eastAsia="Arial" w:hAnsi="Arial" w:cs="Arial"/>
                <w:sz w:val="22"/>
                <w:szCs w:val="22"/>
              </w:rPr>
              <w:t xml:space="preserve">Humans rely mostly on gut commensals for breaking down complex carbohydrates </w:t>
            </w:r>
            <w:r w:rsidR="00FD01C5">
              <w:fldChar w:fldCharType="begin"/>
            </w:r>
            <w:r w:rsidR="00FD01C5">
              <w:instrText xml:space="preserve"> ADDIN ZOTERO_ITEM CSL_CITATION {"citationID":"ft5Bvg3w","properties":{"formattedCitation":"[5]","plainCitation":"[5]","noteIndex":0},"citationItems":[{"id":2011,"uris":["http://zotero.org/users/4849999/items/BX5F7DY6"],"uri":["http://zotero.org/users/4849999/items/BX5F7DY6"],"itemData":{"id":2011,"type":"article-journal","abstract":"The human gut microbiome is a critical component of digestion, breaking down complex carbohydrates, proteins, and to a lesser extent fats that reach the lower gastrointestinal tract. This process results in a multitude of microbial metabolites that can act both locally and systemically (after being absorbed into the bloodstream). The impact of these biochemicals on human health is complex, as both potentially beneficial and potentially toxic metabolites can be yielded from such microbial pathways, and in some cases, these effects are dependent upon the metabolite concentration or organ locality. The aim of this review is to summarize our current knowledge of how macronutrient metabolism by the gut microbiome influences human health. Metabolites to be discussed include short-chain fatty acids and alcohols (mainly yielded from monosaccharides); ammonia, branched-chain fatty acids, amines, sulfur compounds, phenols, and indoles (derived from amino acids); glycerol and choline derivatives (obtained from the breakdown of lipids); and tertiary cycling of carbon dioxide and hydrogen. Key microbial taxa and related disease states will be referred to in each case, and knowledge gaps that could contribute to our understanding of overall human wellness will be identified.","container-title":"Microbiome","DOI":"10.1186/s40168-019-0704-8","ISSN":"2049-2618","issue":"1","journalAbbreviation":"Microbiome","page":"91","source":"BioMed Central","title":"Macronutrient metabolism by the human gut microbiome: major fermentation by-products and their impact on host health","title-short":"Macronutrient metabolism by the human gut microbiome","volume":"7","author":[{"family":"Oliphant","given":"Kaitlyn"},{"family":"Allen-Vercoe","given":"Emma"}],"issued":{"date-parts":[["2019",6,13]]}}}],"schema":"https://github.com/citation-style-language/schema/raw/master/csl-citation.json"} </w:instrText>
            </w:r>
            <w:r w:rsidR="00FD01C5">
              <w:fldChar w:fldCharType="separate"/>
            </w:r>
            <w:r w:rsidR="00FD01C5" w:rsidRPr="00FD01C5">
              <w:t>[5]</w:t>
            </w:r>
            <w:r w:rsidR="00FD01C5">
              <w:fldChar w:fldCharType="end"/>
            </w:r>
            <w:r>
              <w:rPr>
                <w:rFonts w:ascii="Arial" w:eastAsia="Arial" w:hAnsi="Arial" w:cs="Arial"/>
                <w:sz w:val="22"/>
                <w:szCs w:val="22"/>
              </w:rPr>
              <w:t xml:space="preserve">. Bacteria also take in complex carbohydrates for additional purposes. For example, fucose participate in the </w:t>
            </w:r>
            <w:proofErr w:type="spellStart"/>
            <w:r>
              <w:rPr>
                <w:rFonts w:ascii="Arial" w:eastAsia="Arial" w:hAnsi="Arial" w:cs="Arial"/>
                <w:sz w:val="22"/>
                <w:szCs w:val="22"/>
              </w:rPr>
              <w:t>fucosylation</w:t>
            </w:r>
            <w:proofErr w:type="spellEnd"/>
            <w:r>
              <w:rPr>
                <w:rFonts w:ascii="Arial" w:eastAsia="Arial" w:hAnsi="Arial" w:cs="Arial"/>
                <w:sz w:val="22"/>
                <w:szCs w:val="22"/>
              </w:rPr>
              <w:t xml:space="preserve"> of bacterial glycans, increasing fitness for both pathogenic and commensal microbes through host mimicry; facilitate promotion of useful bacterial species and metabolites, suppress virulence genes </w:t>
            </w:r>
            <w:r w:rsidR="00FD01C5">
              <w:fldChar w:fldCharType="begin"/>
            </w:r>
            <w:r w:rsidR="00FD01C5">
              <w:instrText xml:space="preserve"> ADDIN ZOTERO_ITEM CSL_CITATION {"citationID":"SMSAHT7V","properties":{"formattedCitation":"[15]","plainCitation":"[15]","noteIndex":0},"citationItems":[{"id":2013,"uris":["http://zotero.org/users/4849999/items/VDTNLS57"],"uri":["http://zotero.org/users/4849999/items/VDTNLS57"],"itemData":{"id":2013,"type":"article-journal","abstract":"Fucose is an L-configuration sugar found abundantly in the mammalian gut. It has long been known to be induced there by the presence of bacteria, but only recently have some of the molecular mechanisms behind this process been uncovered. New work suggests that fucose can have a protective role in both gut-centered and systemic infection and inflammation. This review highlights recent studies showing that in addition to acting as a food source for beneficial gut symbionts, host fucose can also suppress the virulence of pathogens and pathobionts. The relevance of gut fucosylation to human diseases will also be discussed.","container-title":"Journal of immunology (Baltimore, Md. : 1950)","DOI":"10.4049/jimmunol.1500395","ISSN":"0022-1767","issue":"12","journalAbbreviation":"J Immunol","note":"PMID: 26048966\nPMCID: PMC4536407","page":"5588-5593","source":"PubMed Central","title":"Intestinal fucose as a mediator of host-microbe symbiosis","volume":"194","author":[{"family":"Pickard","given":"Joseph M."},{"family":"Chervonsky","given":"Alexander V."}],"issued":{"date-parts":[["2015",6,15]]}}}],"schema":"https://github.com/citation-style-language/schema/raw/master/csl-citation.json"} </w:instrText>
            </w:r>
            <w:r w:rsidR="00FD01C5">
              <w:fldChar w:fldCharType="separate"/>
            </w:r>
            <w:r w:rsidR="00FD01C5" w:rsidRPr="00FD01C5">
              <w:t>[15]</w:t>
            </w:r>
            <w:r w:rsidR="00FD01C5">
              <w:fldChar w:fldCharType="end"/>
            </w:r>
            <w:r>
              <w:rPr>
                <w:rFonts w:ascii="Arial" w:eastAsia="Arial" w:hAnsi="Arial" w:cs="Arial"/>
                <w:sz w:val="22"/>
                <w:szCs w:val="22"/>
              </w:rPr>
              <w:t xml:space="preserve">. Similarly, gut microbe can metabolize glycerol into </w:t>
            </w:r>
            <w:proofErr w:type="spellStart"/>
            <w:r>
              <w:rPr>
                <w:rFonts w:ascii="Arial" w:eastAsia="Arial" w:hAnsi="Arial" w:cs="Arial"/>
                <w:sz w:val="22"/>
                <w:szCs w:val="22"/>
              </w:rPr>
              <w:t>reuterin</w:t>
            </w:r>
            <w:proofErr w:type="spellEnd"/>
            <w:r>
              <w:rPr>
                <w:rFonts w:ascii="Arial" w:eastAsia="Arial" w:hAnsi="Arial" w:cs="Arial"/>
                <w:sz w:val="22"/>
                <w:szCs w:val="22"/>
              </w:rPr>
              <w:t xml:space="preserve">, which is an antimicrobial multicomponent system </w:t>
            </w:r>
            <w:r w:rsidR="00FD01C5">
              <w:fldChar w:fldCharType="begin"/>
            </w:r>
            <w:r w:rsidR="00FD01C5">
              <w:instrText xml:space="preserve"> ADDIN ZOTERO_ITEM CSL_CITATION {"citationID":"qJC5vhNG","properties":{"formattedCitation":"[16]","plainCitation":"[16]","noteIndex":0},"citationItems":[{"id":1986,"uris":["http://zotero.org/users/4849999/items/HSF6M5G8"],"uri":["http://zotero.org/users/4849999/items/HSF6M5G8"],"itemData":{"id":1986,"type":"article-journal","abstract":"Acrolein is a highly reactive electrophile causing toxic effects, such as DNA and protein adduction, oxidative stress, endoplasmic reticulum stress, immune dysfunction, and membrane damage. This Opinion/Hypothesis provides an overview of endogenous and exogenous acrolein sources, acrolein’s mode of action, and its metabolic fate. Recent reports underpin the finding that gut microbial glycerol metabolism leading to the formation of reuterin is an additional source of endogenous acrolein. Reuterin is an antimicrobial multicomponent system consisting of 3-hydroxypropionaldehyde, its dimer and hydrate, and also acrolein. The major conclusion is that gut microbes can metabolize glycerol to reuterin and that this transformation occurs in vivo. Given the known toxicity of acrolein, the observation that acrolein is formed in the gut necessitates further investigations on functional relevance for gut microbiota and the host.","container-title":"mBio","DOI":"10.1128/mBio.01947-17","ISSN":"2150-7511","issue":"1","language":"en","note":"PMID: 29339426","source":"mbio.asm.org","title":"Gut Microbial Glycerol Metabolism as an Endogenous Acrolein Source","URL":"https://mbio.asm.org/content/9/1/e01947-17","volume":"9","author":[{"family":"Zhang","given":"Jianbo"},{"family":"Sturla","given":"Shana"},{"family":"Lacroix","given":"Christophe"},{"family":"Schwab","given":"Clarissa"}],"accessed":{"date-parts":[["2020",2,20]]},"issued":{"date-parts":[["2018",3,7]]}}}],"schema":"https://github.com/citation-style-language/schema/raw/master/csl-citation.json"} </w:instrText>
            </w:r>
            <w:r w:rsidR="00FD01C5">
              <w:fldChar w:fldCharType="separate"/>
            </w:r>
            <w:r w:rsidR="00FD01C5" w:rsidRPr="00FD01C5">
              <w:t>[16]</w:t>
            </w:r>
            <w:r w:rsidR="00FD01C5">
              <w:fldChar w:fldCharType="end"/>
            </w:r>
            <w:r>
              <w:rPr>
                <w:rFonts w:ascii="Arial" w:eastAsia="Arial" w:hAnsi="Arial" w:cs="Arial"/>
                <w:sz w:val="22"/>
                <w:szCs w:val="22"/>
              </w:rPr>
              <w:t xml:space="preserve">. </w:t>
            </w:r>
          </w:p>
        </w:tc>
        <w:tc>
          <w:tcPr>
            <w:tcW w:w="1620" w:type="dxa"/>
            <w:shd w:val="clear" w:color="auto" w:fill="auto"/>
          </w:tcPr>
          <w:p w14:paraId="2A8AE76B" w14:textId="77777777" w:rsidR="00B8663F" w:rsidRDefault="007B1201" w:rsidP="005F7936">
            <w:pPr>
              <w:rPr>
                <w:rFonts w:ascii="Arial" w:eastAsia="Arial" w:hAnsi="Arial" w:cs="Arial"/>
                <w:sz w:val="22"/>
                <w:szCs w:val="22"/>
              </w:rPr>
            </w:pPr>
            <w:r>
              <w:rPr>
                <w:rFonts w:ascii="Arial" w:eastAsia="Arial" w:hAnsi="Arial" w:cs="Arial"/>
                <w:sz w:val="22"/>
                <w:szCs w:val="22"/>
              </w:rPr>
              <w:t>HMDB00174</w:t>
            </w:r>
          </w:p>
          <w:p w14:paraId="2DDCAE77" w14:textId="77777777" w:rsidR="00B8663F" w:rsidRDefault="007B1201" w:rsidP="005F7936">
            <w:pPr>
              <w:rPr>
                <w:rFonts w:ascii="Arial" w:eastAsia="Arial" w:hAnsi="Arial" w:cs="Arial"/>
                <w:sz w:val="22"/>
                <w:szCs w:val="22"/>
              </w:rPr>
            </w:pPr>
            <w:r>
              <w:rPr>
                <w:rFonts w:ascii="Arial" w:eastAsia="Arial" w:hAnsi="Arial" w:cs="Arial"/>
                <w:sz w:val="22"/>
                <w:szCs w:val="22"/>
              </w:rPr>
              <w:t>HMDB00122</w:t>
            </w:r>
          </w:p>
          <w:p w14:paraId="061DE6B9" w14:textId="77777777" w:rsidR="00B8663F" w:rsidRDefault="007B1201" w:rsidP="005F7936">
            <w:pPr>
              <w:rPr>
                <w:rFonts w:ascii="Arial" w:eastAsia="Arial" w:hAnsi="Arial" w:cs="Arial"/>
                <w:sz w:val="22"/>
                <w:szCs w:val="22"/>
              </w:rPr>
            </w:pPr>
            <w:r>
              <w:rPr>
                <w:rFonts w:ascii="Arial" w:eastAsia="Arial" w:hAnsi="Arial" w:cs="Arial"/>
                <w:sz w:val="22"/>
                <w:szCs w:val="22"/>
              </w:rPr>
              <w:t>HMDB00131</w:t>
            </w:r>
          </w:p>
          <w:p w14:paraId="4428F25E" w14:textId="77777777" w:rsidR="00B8663F" w:rsidRDefault="007B1201" w:rsidP="005F7936">
            <w:pPr>
              <w:rPr>
                <w:rFonts w:ascii="Arial" w:eastAsia="Arial" w:hAnsi="Arial" w:cs="Arial"/>
                <w:sz w:val="22"/>
                <w:szCs w:val="22"/>
              </w:rPr>
            </w:pPr>
            <w:r>
              <w:rPr>
                <w:rFonts w:ascii="Arial" w:eastAsia="Arial" w:hAnsi="Arial" w:cs="Arial"/>
                <w:sz w:val="22"/>
                <w:szCs w:val="22"/>
              </w:rPr>
              <w:t>HMDB00163</w:t>
            </w:r>
          </w:p>
          <w:p w14:paraId="71E6CB99" w14:textId="77777777" w:rsidR="00B8663F" w:rsidRDefault="00B8663F" w:rsidP="005F7936">
            <w:pPr>
              <w:rPr>
                <w:rFonts w:ascii="Arial" w:eastAsia="Arial" w:hAnsi="Arial" w:cs="Arial"/>
                <w:sz w:val="22"/>
                <w:szCs w:val="22"/>
              </w:rPr>
            </w:pPr>
          </w:p>
          <w:p w14:paraId="3E1DA96A" w14:textId="77777777" w:rsidR="00B8663F" w:rsidRDefault="00B8663F" w:rsidP="005F7936">
            <w:pPr>
              <w:rPr>
                <w:rFonts w:ascii="Arial" w:eastAsia="Arial" w:hAnsi="Arial" w:cs="Arial"/>
                <w:sz w:val="22"/>
                <w:szCs w:val="22"/>
              </w:rPr>
            </w:pPr>
          </w:p>
        </w:tc>
      </w:tr>
      <w:tr w:rsidR="00B8663F" w:rsidRPr="008E2694" w14:paraId="49AA5412" w14:textId="77777777" w:rsidTr="005F7936">
        <w:tc>
          <w:tcPr>
            <w:tcW w:w="1710" w:type="dxa"/>
            <w:shd w:val="clear" w:color="auto" w:fill="auto"/>
          </w:tcPr>
          <w:p w14:paraId="784DBE59" w14:textId="77777777" w:rsidR="00B8663F" w:rsidRDefault="007B1201" w:rsidP="005F7936">
            <w:pPr>
              <w:rPr>
                <w:rFonts w:ascii="Arial" w:eastAsia="Arial" w:hAnsi="Arial" w:cs="Arial"/>
                <w:sz w:val="22"/>
                <w:szCs w:val="22"/>
              </w:rPr>
            </w:pPr>
            <w:r>
              <w:rPr>
                <w:rFonts w:ascii="Arial" w:eastAsia="Arial" w:hAnsi="Arial" w:cs="Arial"/>
                <w:sz w:val="22"/>
                <w:szCs w:val="22"/>
              </w:rPr>
              <w:lastRenderedPageBreak/>
              <w:t>Carboxylic and dicarboxylic acids</w:t>
            </w:r>
          </w:p>
        </w:tc>
        <w:tc>
          <w:tcPr>
            <w:tcW w:w="1710" w:type="dxa"/>
            <w:shd w:val="clear" w:color="auto" w:fill="auto"/>
          </w:tcPr>
          <w:p w14:paraId="598C5E2E" w14:textId="77777777" w:rsidR="00B8663F" w:rsidRDefault="007B1201" w:rsidP="005F7936">
            <w:pPr>
              <w:rPr>
                <w:rFonts w:ascii="Arial" w:eastAsia="Arial" w:hAnsi="Arial" w:cs="Arial"/>
                <w:sz w:val="22"/>
                <w:szCs w:val="22"/>
              </w:rPr>
            </w:pPr>
            <w:proofErr w:type="spellStart"/>
            <w:r>
              <w:rPr>
                <w:rFonts w:ascii="Arial" w:eastAsia="Arial" w:hAnsi="Arial" w:cs="Arial"/>
                <w:sz w:val="22"/>
                <w:szCs w:val="22"/>
              </w:rPr>
              <w:t>Formate</w:t>
            </w:r>
            <w:proofErr w:type="spellEnd"/>
          </w:p>
          <w:p w14:paraId="790602AB" w14:textId="77777777" w:rsidR="00B8663F" w:rsidRDefault="007B1201" w:rsidP="005F7936">
            <w:pPr>
              <w:rPr>
                <w:rFonts w:ascii="Arial" w:eastAsia="Arial" w:hAnsi="Arial" w:cs="Arial"/>
                <w:sz w:val="22"/>
                <w:szCs w:val="22"/>
              </w:rPr>
            </w:pPr>
            <w:r>
              <w:rPr>
                <w:rFonts w:ascii="Arial" w:eastAsia="Arial" w:hAnsi="Arial" w:cs="Arial"/>
                <w:sz w:val="22"/>
                <w:szCs w:val="22"/>
              </w:rPr>
              <w:t>Fumarate</w:t>
            </w:r>
          </w:p>
          <w:p w14:paraId="76A152E7" w14:textId="77777777" w:rsidR="00B8663F" w:rsidRDefault="007B1201" w:rsidP="005F7936">
            <w:pPr>
              <w:rPr>
                <w:rFonts w:ascii="Arial" w:eastAsia="Arial" w:hAnsi="Arial" w:cs="Arial"/>
                <w:sz w:val="22"/>
                <w:szCs w:val="22"/>
              </w:rPr>
            </w:pPr>
            <w:r>
              <w:rPr>
                <w:rFonts w:ascii="Arial" w:eastAsia="Arial" w:hAnsi="Arial" w:cs="Arial"/>
                <w:sz w:val="22"/>
                <w:szCs w:val="22"/>
              </w:rPr>
              <w:t>Malonate</w:t>
            </w:r>
          </w:p>
          <w:p w14:paraId="25F660A1" w14:textId="77777777" w:rsidR="00B8663F" w:rsidRDefault="007B1201" w:rsidP="005F7936">
            <w:pPr>
              <w:rPr>
                <w:rFonts w:ascii="Arial" w:eastAsia="Arial" w:hAnsi="Arial" w:cs="Arial"/>
                <w:sz w:val="22"/>
                <w:szCs w:val="22"/>
              </w:rPr>
            </w:pPr>
            <w:r>
              <w:rPr>
                <w:rFonts w:ascii="Arial" w:eastAsia="Arial" w:hAnsi="Arial" w:cs="Arial"/>
                <w:sz w:val="22"/>
                <w:szCs w:val="22"/>
              </w:rPr>
              <w:t>Succinate</w:t>
            </w:r>
          </w:p>
          <w:p w14:paraId="77E5CBF0" w14:textId="77777777" w:rsidR="00B8663F" w:rsidRDefault="007B1201" w:rsidP="005F7936">
            <w:pPr>
              <w:rPr>
                <w:rFonts w:ascii="Arial" w:eastAsia="Arial" w:hAnsi="Arial" w:cs="Arial"/>
                <w:sz w:val="22"/>
                <w:szCs w:val="22"/>
              </w:rPr>
            </w:pPr>
            <w:r>
              <w:rPr>
                <w:rFonts w:ascii="Arial" w:eastAsia="Arial" w:hAnsi="Arial" w:cs="Arial"/>
                <w:sz w:val="22"/>
                <w:szCs w:val="22"/>
              </w:rPr>
              <w:t>Lactate</w:t>
            </w:r>
          </w:p>
        </w:tc>
        <w:tc>
          <w:tcPr>
            <w:tcW w:w="3330" w:type="dxa"/>
            <w:shd w:val="clear" w:color="auto" w:fill="auto"/>
          </w:tcPr>
          <w:p w14:paraId="45CDB305" w14:textId="1C5C4739" w:rsidR="00B8663F" w:rsidRDefault="007B1201" w:rsidP="005F7936">
            <w:pPr>
              <w:rPr>
                <w:rFonts w:ascii="Arial" w:eastAsia="Arial" w:hAnsi="Arial" w:cs="Arial"/>
                <w:sz w:val="22"/>
                <w:szCs w:val="22"/>
              </w:rPr>
            </w:pPr>
            <w:r>
              <w:rPr>
                <w:rFonts w:ascii="Arial" w:eastAsia="Arial" w:hAnsi="Arial" w:cs="Arial"/>
                <w:sz w:val="22"/>
                <w:szCs w:val="22"/>
              </w:rPr>
              <w:t xml:space="preserve">Bloom of Enterobacteriaceae phylum. Others include </w:t>
            </w:r>
            <w:proofErr w:type="spellStart"/>
            <w:r>
              <w:rPr>
                <w:rFonts w:ascii="Arial" w:eastAsia="Arial" w:hAnsi="Arial" w:cs="Arial"/>
                <w:sz w:val="22"/>
                <w:szCs w:val="22"/>
              </w:rPr>
              <w:t>Verrucomicrobia</w:t>
            </w:r>
            <w:proofErr w:type="spellEnd"/>
            <w:r>
              <w:rPr>
                <w:rFonts w:ascii="Arial" w:eastAsia="Arial" w:hAnsi="Arial" w:cs="Arial"/>
                <w:sz w:val="22"/>
                <w:szCs w:val="22"/>
              </w:rPr>
              <w:t xml:space="preserve"> phylum. Producers from pyruvate catabolism includes </w:t>
            </w:r>
            <w:r>
              <w:rPr>
                <w:rFonts w:ascii="Arial" w:eastAsia="Arial" w:hAnsi="Arial" w:cs="Arial"/>
                <w:i/>
                <w:sz w:val="22"/>
                <w:szCs w:val="22"/>
              </w:rPr>
              <w:t xml:space="preserve">Bacteroides </w:t>
            </w:r>
            <w:r>
              <w:rPr>
                <w:rFonts w:ascii="Arial" w:eastAsia="Arial" w:hAnsi="Arial" w:cs="Arial"/>
                <w:sz w:val="22"/>
                <w:szCs w:val="22"/>
              </w:rPr>
              <w:t xml:space="preserve">and </w:t>
            </w:r>
            <w:r>
              <w:rPr>
                <w:rFonts w:ascii="Arial" w:eastAsia="Arial" w:hAnsi="Arial" w:cs="Arial"/>
                <w:i/>
                <w:sz w:val="22"/>
                <w:szCs w:val="22"/>
              </w:rPr>
              <w:t>Clostridia</w:t>
            </w:r>
            <w:r>
              <w:rPr>
                <w:rFonts w:ascii="Arial" w:eastAsia="Arial" w:hAnsi="Arial" w:cs="Arial"/>
                <w:sz w:val="22"/>
                <w:szCs w:val="22"/>
              </w:rPr>
              <w:t xml:space="preserve"> genera </w:t>
            </w:r>
            <w:r w:rsidR="00FD01C5">
              <w:fldChar w:fldCharType="begin"/>
            </w:r>
            <w:r w:rsidR="00FD01C5">
              <w:instrText xml:space="preserve"> ADDIN ZOTERO_ITEM CSL_CITATION {"citationID":"4hoJZesu","properties":{"formattedCitation":"[17]","plainCitation":"[17]","noteIndex":0},"citationItems":[{"id":1996,"uris":["http://zotero.org/users/4849999/items/CHUH7E7G"],"uri":["http://zotero.org/users/4849999/items/CHUH7E7G"],"itemData":{"id":1996,"type":"article-journal","abstract":"Intestinal inflammation is frequently associated with an alteration of\nthe gut microbiota, termed dysbiosis, which is characterized by a reduced\nabundance of obligate anaerobic bacteria and an expansion of Proteobacteria such\nas commensal E. coli. The mechanisms enabling the outgrowth of\nProteobacteria during inflammation are incompletely understood. Metagenomic\nsequencing revealed bacterial formate oxidation and aerobic respiration to be\noverrepresented metabolic pathways in a chemically-induced murine model of\ncolitis. Dysbiosis was accompanied by increased formate levels in the gut lumen.\nFormate was of microbial origin since no formate was detected in germ-free mice.\nComplementary studies using commensal E. coli strains as model\norganisms indicated that formate dehydrogenase and terminal oxidase genes\nprovided a fitness advantage in murine models of colitis. In\nvivo, formate served as electron donor in conjunction with oxygen\nas the terminal electron acceptor. This work identifies bacterial formate\noxidation and oxygen respiration as metabolic signatures for\ninflammation-associated dysbiosis., Intestinal inflammation is associated with changes in the microbiota\ncomposition (dysbiosis), such as the expansion of the commensal\nEnterobacteriaceae population. Hughes and Winter et al. show that utilization of\nmicrobiota-derived formate as electron donor and oxygen as terminal electron\nacceptor contribute to the bloom of Enterobacteriaceae in the inflamed gut.,","container-title":"Cell host &amp; microbe","DOI":"10.1016/j.chom.2017.01.005","ISSN":"1931-3128","issue":"2","journalAbbreviation":"Cell Host Microbe","note":"PMID: 28182951\nPMCID: PMC5313043","page":"208-219","source":"PubMed Central","title":"Microbial respiration and formate oxidation as metabolic signatures of inflammation-associated dysbiosis","volume":"21","author":[{"family":"Hughes","given":"Elizabeth R."},{"family":"Winter","given":"Maria G."},{"family":"Duerkop","given":"Breck A."},{"family":"Spiga","given":"Luisella"},{"family":"Carvalho","given":"Tatiane Furtado","non-dropping-particle":"de"},{"family":"Zhu","given":"Wenhan"},{"family":"Gillis","given":"Caroline C."},{"family":"Büttner","given":"Lisa"},{"family":"Smoot","given":"Madeline P."},{"family":"Behrendt","given":"Cassie L."},{"family":"Cherry","given":"Sara"},{"family":"Santos","given":"Renato L."},{"family":"Hooper","given":"Lora V."},{"family":"Winter","given":"Sebastian E."}],"issued":{"date-parts":[["2017",2,8]]}}}],"schema":"https://github.com/citation-style-language/schema/raw/master/csl-citation.json"} </w:instrText>
            </w:r>
            <w:r w:rsidR="00FD01C5">
              <w:fldChar w:fldCharType="separate"/>
            </w:r>
            <w:r w:rsidR="00FD01C5" w:rsidRPr="00FD01C5">
              <w:t>[17]</w:t>
            </w:r>
            <w:r w:rsidR="00FD01C5">
              <w:fldChar w:fldCharType="end"/>
            </w:r>
            <w:r>
              <w:rPr>
                <w:rFonts w:ascii="Arial" w:eastAsia="Arial" w:hAnsi="Arial" w:cs="Arial"/>
                <w:sz w:val="22"/>
                <w:szCs w:val="22"/>
              </w:rPr>
              <w:t xml:space="preserve">. Specifically for lactate, </w:t>
            </w:r>
            <w:r>
              <w:rPr>
                <w:rFonts w:ascii="Arial" w:eastAsia="Arial" w:hAnsi="Arial" w:cs="Arial"/>
                <w:i/>
                <w:sz w:val="22"/>
                <w:szCs w:val="22"/>
              </w:rPr>
              <w:t xml:space="preserve">Lactobacilli, </w:t>
            </w:r>
            <w:proofErr w:type="spellStart"/>
            <w:r>
              <w:rPr>
                <w:rFonts w:ascii="Arial" w:eastAsia="Arial" w:hAnsi="Arial" w:cs="Arial"/>
                <w:i/>
                <w:sz w:val="22"/>
                <w:szCs w:val="22"/>
              </w:rPr>
              <w:t>Lactococci</w:t>
            </w:r>
            <w:proofErr w:type="spellEnd"/>
            <w:r>
              <w:rPr>
                <w:rFonts w:ascii="Arial" w:eastAsia="Arial" w:hAnsi="Arial" w:cs="Arial"/>
                <w:i/>
                <w:sz w:val="22"/>
                <w:szCs w:val="22"/>
              </w:rPr>
              <w:t xml:space="preserve">, Streptococci, </w:t>
            </w:r>
            <w:proofErr w:type="spellStart"/>
            <w:r>
              <w:rPr>
                <w:rFonts w:ascii="Arial" w:eastAsia="Arial" w:hAnsi="Arial" w:cs="Arial"/>
                <w:i/>
                <w:sz w:val="22"/>
                <w:szCs w:val="22"/>
              </w:rPr>
              <w:t>Leuconostoc</w:t>
            </w:r>
            <w:proofErr w:type="spellEnd"/>
            <w:r>
              <w:rPr>
                <w:rFonts w:ascii="Arial" w:eastAsia="Arial" w:hAnsi="Arial" w:cs="Arial"/>
                <w:i/>
                <w:sz w:val="22"/>
                <w:szCs w:val="22"/>
              </w:rPr>
              <w:t xml:space="preserve"> </w:t>
            </w:r>
            <w:r>
              <w:rPr>
                <w:rFonts w:ascii="Arial" w:eastAsia="Arial" w:hAnsi="Arial" w:cs="Arial"/>
                <w:sz w:val="22"/>
                <w:szCs w:val="22"/>
              </w:rPr>
              <w:t xml:space="preserve">and </w:t>
            </w:r>
            <w:proofErr w:type="spellStart"/>
            <w:r>
              <w:rPr>
                <w:rFonts w:ascii="Arial" w:eastAsia="Arial" w:hAnsi="Arial" w:cs="Arial"/>
                <w:i/>
                <w:sz w:val="22"/>
                <w:szCs w:val="22"/>
              </w:rPr>
              <w:t>Pediococci</w:t>
            </w:r>
            <w:proofErr w:type="spellEnd"/>
            <w:r>
              <w:rPr>
                <w:rFonts w:ascii="Arial" w:eastAsia="Arial" w:hAnsi="Arial" w:cs="Arial"/>
                <w:sz w:val="22"/>
                <w:szCs w:val="22"/>
              </w:rPr>
              <w:t xml:space="preserve"> genera </w:t>
            </w:r>
            <w:r w:rsidR="00FD01C5">
              <w:fldChar w:fldCharType="begin"/>
            </w:r>
            <w:r w:rsidR="00FD01C5">
              <w:instrText xml:space="preserve"> ADDIN ZOTERO_ITEM CSL_CITATION {"citationID":"tr5IzNHS","properties":{"formattedCitation":"[18]","plainCitation":"[18]","noteIndex":0},"citationItems":[{"id":1992,"uris":["http://zotero.org/users/4849999/items/EIUH9NHG"],"uri":["http://zotero.org/users/4849999/items/EIUH9NHG"],"itemData":{"id":1992,"type":"article-journal","abstract":"Lactic Acid Bacteria (LAB) are ancient organisms that cannot biosynthesize functional cytochromes, and cannot get ATP from respiration. Besides sugar fermentation, they evolved electrogenic decarboxylations and ATP-forming deiminations. The right balance between sugar fermentation and decarboxylation/deimination ensures buffered environments thus enabling LAB to survive in human gastric trait and colonize gut. A complex molecular cross-talk between LAB and host exists. LAB moonlight proteins are made in response to gut stimuli and promote bacterial adhesion to mucosa and stimulate immune cells. Similarly, when LAB are present, human enterocytes activate expression of specific genes only. Furthermore, LAB antagonistic relationships with other microorganisms constitutes the basis for their antiinfective role. Histamine and tyramine are LAB bioactive catabolites that act on the CNS, causing hypertension and allergies. Nevertheless, some LAB biosynthesize both GABA, that has relaxing effect on gut smooth muscles, and beta-phenylethylamine, that controls satiety and mood. Since LAB have reduced amino acid biosynthetic abilities, they developed a sophisticated proteolytic system, that is also involved in antihypertensive and opiod peptide generation from milk proteins. Short-chain fatty acids are glycolytic and phosphoketolase end-products, regulating epithelial cellproliferation and differentiation. Nevertheless, they constitute a supplementary energy source for the host, causing weight gain. Human metabolism can also be affected by anabolic LAB products such as conjugated linoleic acids (CLA). Some CLA isomers reduce cancer cell viability and ameliorate insulin resistance, while others lower the HDL/LDL ratio and modify eicosanoid production, with detrimental health effects. A further appreciated LAB feature is the ability to fix selenium into seleno-cysteine Thus opening interesting perspectives for their utilization as antioxidant nutraceutical vectors.","container-title":"Frontiers in Cellular and Infection Microbiology","DOI":"10.3389/fcimb.2012.00086","ISSN":"2235-2988","journalAbbreviation":"Front. Cell. Infect. Microbiol.","language":"English","source":"Frontiers","title":"Lactic acid bacteria contribution to gut microbiota complexity: lights and shadows","title-short":"Lactic acid bacteria contribution to gut microbiota complexity","URL":"https://www.frontiersin.org/articles/10.3389/fcimb.2012.00086/full","volume":"2","author":[{"family":"Pessione","given":"Enrica"}],"accessed":{"date-parts":[["2020",2,20]]},"issued":{"date-parts":[["2012"]]}}}],"schema":"https://github.com/citation-style-language/schema/raw/master/csl-citation.json"} </w:instrText>
            </w:r>
            <w:r w:rsidR="00FD01C5">
              <w:fldChar w:fldCharType="separate"/>
            </w:r>
            <w:r w:rsidR="00FD01C5" w:rsidRPr="00FD01C5">
              <w:t>[18]</w:t>
            </w:r>
            <w:r w:rsidR="00FD01C5">
              <w:fldChar w:fldCharType="end"/>
            </w:r>
          </w:p>
        </w:tc>
        <w:tc>
          <w:tcPr>
            <w:tcW w:w="6120" w:type="dxa"/>
            <w:shd w:val="clear" w:color="auto" w:fill="auto"/>
          </w:tcPr>
          <w:p w14:paraId="7F5991F7" w14:textId="4831F017" w:rsidR="00B8663F" w:rsidRDefault="007B1201" w:rsidP="005F7936">
            <w:pPr>
              <w:rPr>
                <w:rFonts w:ascii="Arial" w:eastAsia="Arial" w:hAnsi="Arial" w:cs="Arial"/>
                <w:sz w:val="22"/>
                <w:szCs w:val="22"/>
              </w:rPr>
            </w:pPr>
            <w:r>
              <w:rPr>
                <w:rFonts w:ascii="Arial" w:eastAsia="Arial" w:hAnsi="Arial" w:cs="Arial"/>
                <w:sz w:val="22"/>
                <w:szCs w:val="22"/>
              </w:rPr>
              <w:t xml:space="preserve">Often used as terminal electron acceptors for bacterial anaerobic respiration </w:t>
            </w:r>
            <w:r w:rsidR="00FD01C5">
              <w:fldChar w:fldCharType="begin"/>
            </w:r>
            <w:r w:rsidR="00FD01C5">
              <w:instrText xml:space="preserve"> ADDIN ZOTERO_ITEM CSL_CITATION {"citationID":"q2zm6m58","properties":{"formattedCitation":"[19]","plainCitation":"[19]","noteIndex":0},"citationItems":[{"id":1999,"uris":["http://zotero.org/users/4849999/items/GXBPQAXI"],"uri":["http://zotero.org/users/4849999/items/GXBPQAXI"],"itemData":{"id":1999,"type":"article-journal","container-title":"Archives of Microbiology","DOI":"10.1007/BF00245358","ISSN":"1432-072X","issue":"5","journalAbbreviation":"Arch. Microbiol.","language":"en","page":"311-314","source":"Springer Link","title":"Bacterial fumarate respiration","volume":"158","author":[{"family":"Kröger","given":"A."},{"family":"Geisler","given":"V."},{"family":"Lemma","given":"E."},{"family":"Theis","given":"F."},{"family":"Lenger","given":"R."}],"issued":{"date-parts":[["1992",10,1]]}}}],"schema":"https://github.com/citation-style-language/schema/raw/master/csl-citation.json"} </w:instrText>
            </w:r>
            <w:r w:rsidR="00FD01C5">
              <w:fldChar w:fldCharType="separate"/>
            </w:r>
            <w:r w:rsidR="00FD01C5" w:rsidRPr="00FD01C5">
              <w:t>[19]</w:t>
            </w:r>
            <w:r w:rsidR="00FD01C5">
              <w:fldChar w:fldCharType="end"/>
            </w:r>
            <w:r>
              <w:rPr>
                <w:rFonts w:ascii="Arial" w:eastAsia="Arial" w:hAnsi="Arial" w:cs="Arial"/>
                <w:sz w:val="22"/>
                <w:szCs w:val="22"/>
              </w:rPr>
              <w:t xml:space="preserve"> and is produced by the microbiota itself </w:t>
            </w:r>
            <w:r w:rsidR="00FD01C5">
              <w:fldChar w:fldCharType="begin"/>
            </w:r>
            <w:r w:rsidR="00FD01C5">
              <w:instrText xml:space="preserve"> ADDIN ZOTERO_ITEM CSL_CITATION {"citationID":"vgMyZ8Il","properties":{"formattedCitation":"[20]","plainCitation":"[20]","noteIndex":0},"citationItems":[{"id":1998,"uris":["http://zotero.org/users/4849999/items/7CRUC7QU"],"uri":["http://zotero.org/users/4849999/items/7CRUC7QU"],"itemData":{"id":1998,"type":"article-journal","abstract":"The interplay between dietary nutrients, gut microbiota and mammalian host tissues of the gastrointestinal tract is recognised as highly relevant for host health. Combined transcriptome, metabonome and microbial profiling tools were employed to analyse the dynamic responses of germfree mouse colonic mucosa to colonisation by normal mouse microbiota (conventionalisation) at different time-points during 16 days. The colonising microbiota showed a shift from early (days 1 and 2) to later colonisers (days 8 and 16). The dynamic changes in the microbial community were rapidly reflected by the urine metabolic profiles (day 1) and at later stages (day 4 onward) by the colon mucosa transcriptome and metabolic profiles. Correlations of host transcriptomes, metabolite patterns and microbiota composition revealed associations between Bacilli and Proteobacteria, and differential expression of host genes involved in energy and anabolic metabolism. Differential gene expression correlated with scyllo- and myo-inositol, glutamine, glycine and alanine levels in colonic tissues during the time span of conventionalisation. Our combined time-resolved analyses may help to expand the understanding of host–microbe molecular interactions during the microbial establishment.","container-title":"The ISME Journal","DOI":"10.1038/ismej.2012.142","ISSN":"1751-7370","issue":"4","language":"en","page":"743-755","source":"www.nature.com","title":"Gut bacteria–host metabolic interplay during conventionalisation of the mouse germfree colon","volume":"7","author":[{"family":"El Aidy","given":"Sahar"},{"family":"Derrien","given":"Muriel"},{"family":"Merrifield","given":"Claire A."},{"family":"Levenez","given":"Florence"},{"family":"Doré","given":"Joël"},{"family":"Boekschoten","given":"Mark V."},{"family":"Dekker","given":"Jan"},{"family":"Holmes","given":"Elaine"},{"family":"Zoetendal","given":"Erwin G."},{"family":"Baarlen","given":"Peter","non-dropping-particle":"van"},{"family":"Claus","given":"Sandrine P."},{"family":"Kleerebezem","given":"Michiel"}],"issued":{"date-parts":[["2013",4]]}}}],"schema":"https://github.com/citation-style-language/schema/raw/master/csl-citation.json"} </w:instrText>
            </w:r>
            <w:r w:rsidR="00FD01C5">
              <w:fldChar w:fldCharType="separate"/>
            </w:r>
            <w:r w:rsidR="00FD01C5" w:rsidRPr="00FD01C5">
              <w:t>[20]</w:t>
            </w:r>
            <w:r w:rsidR="00FD01C5">
              <w:fldChar w:fldCharType="end"/>
            </w:r>
            <w:r>
              <w:rPr>
                <w:rFonts w:ascii="Arial" w:eastAsia="Arial" w:hAnsi="Arial" w:cs="Arial"/>
                <w:sz w:val="22"/>
                <w:szCs w:val="22"/>
              </w:rPr>
              <w:t xml:space="preserve"> and a highly competitive resource especially if induced by antibiotics </w:t>
            </w:r>
            <w:r w:rsidR="00FD01C5">
              <w:fldChar w:fldCharType="begin"/>
            </w:r>
            <w:r w:rsidR="00FD01C5">
              <w:instrText xml:space="preserve"> ADDIN ZOTERO_ITEM CSL_CITATION {"citationID":"8FdUEabM","properties":{"formattedCitation":"[21]","plainCitation":"[21]","noteIndex":0},"citationItems":[{"id":"BxnksP2R/waWdgGtE","uris":["http://zotero.org/users/4849999/items/6RSWFTKV"],"uri":["http://zotero.org/users/4849999/items/6RSWFTKV"],"itemData":{"id":1788,"type":"article-journal","container-title":"eLife","DOI":"10.7554/eLife.35987","ISSN":"2050-084X","page":"e35987","source":"eLife","title":"Antibiotic-induced changes in the microbiota disrupt redox dynamics in the gut","volume":"7","author":[{"family":"Reese","given":"Aspen T"},{"family":"Cho","given":"Eugenia H"},{"family":"Klitzman","given":"Bruce"},{"family":"Nichols","given":"Scott P"},{"family":"Wisniewski","given":"Natalie A"},{"family":"Villa","given":"Max M"},{"family":"Durand","given":"Heather K"},{"family":"Jiang","given":"Sharon"},{"family":"Midani","given":"Firas S"},{"family":"Nimmagadda","given":"Sai N"},{"family":"O'Connell","given":"Thomas M"},{"family":"Wright","given":"Justin P"},{"family":"Deshusses","given":"Marc A"},{"family":"David","given":"Lawrence A"}],"editor":[{"family":"Hooper","given":"Lora V"}],"issued":{"date-parts":[["2018",6,19]]}}}],"schema":"https://github.com/citation-style-language/schema/raw/master/csl-citation.json"} </w:instrText>
            </w:r>
            <w:r w:rsidR="00FD01C5">
              <w:fldChar w:fldCharType="separate"/>
            </w:r>
            <w:r w:rsidR="00FD01C5" w:rsidRPr="00FD01C5">
              <w:t>[21]</w:t>
            </w:r>
            <w:r w:rsidR="00FD01C5">
              <w:fldChar w:fldCharType="end"/>
            </w:r>
            <w:r>
              <w:rPr>
                <w:rFonts w:ascii="Arial" w:eastAsia="Arial" w:hAnsi="Arial" w:cs="Arial"/>
                <w:sz w:val="22"/>
                <w:szCs w:val="22"/>
              </w:rPr>
              <w:t xml:space="preserve">. The presence and activation of enzymes associated with oxidizing these acids are markers of inflammation such as in the case of </w:t>
            </w:r>
            <w:proofErr w:type="spellStart"/>
            <w:r>
              <w:rPr>
                <w:rFonts w:ascii="Arial" w:eastAsia="Arial" w:hAnsi="Arial" w:cs="Arial"/>
                <w:sz w:val="22"/>
                <w:szCs w:val="22"/>
              </w:rPr>
              <w:t>formate</w:t>
            </w:r>
            <w:proofErr w:type="spellEnd"/>
            <w:r>
              <w:rPr>
                <w:rFonts w:ascii="Arial" w:eastAsia="Arial" w:hAnsi="Arial" w:cs="Arial"/>
                <w:sz w:val="22"/>
                <w:szCs w:val="22"/>
              </w:rPr>
              <w:t xml:space="preserve"> </w:t>
            </w:r>
            <w:r w:rsidR="00FD01C5">
              <w:fldChar w:fldCharType="begin"/>
            </w:r>
            <w:r w:rsidR="00FD01C5">
              <w:instrText xml:space="preserve"> ADDIN ZOTERO_ITEM CSL_CITATION {"citationID":"AgycUZ3U","properties":{"formattedCitation":"[17]","plainCitation":"[17]","noteIndex":0},"citationItems":[{"id":1996,"uris":["http://zotero.org/users/4849999/items/CHUH7E7G"],"uri":["http://zotero.org/users/4849999/items/CHUH7E7G"],"itemData":{"id":1996,"type":"article-journal","abstract":"Intestinal inflammation is frequently associated with an alteration of\nthe gut microbiota, termed dysbiosis, which is characterized by a reduced\nabundance of obligate anaerobic bacteria and an expansion of Proteobacteria such\nas commensal E. coli. The mechanisms enabling the outgrowth of\nProteobacteria during inflammation are incompletely understood. Metagenomic\nsequencing revealed bacterial formate oxidation and aerobic respiration to be\noverrepresented metabolic pathways in a chemically-induced murine model of\ncolitis. Dysbiosis was accompanied by increased formate levels in the gut lumen.\nFormate was of microbial origin since no formate was detected in germ-free mice.\nComplementary studies using commensal E. coli strains as model\norganisms indicated that formate dehydrogenase and terminal oxidase genes\nprovided a fitness advantage in murine models of colitis. In\nvivo, formate served as electron donor in conjunction with oxygen\nas the terminal electron acceptor. This work identifies bacterial formate\noxidation and oxygen respiration as metabolic signatures for\ninflammation-associated dysbiosis., Intestinal inflammation is associated with changes in the microbiota\ncomposition (dysbiosis), such as the expansion of the commensal\nEnterobacteriaceae population. Hughes and Winter et al. show that utilization of\nmicrobiota-derived formate as electron donor and oxygen as terminal electron\nacceptor contribute to the bloom of Enterobacteriaceae in the inflamed gut.,","container-title":"Cell host &amp; microbe","DOI":"10.1016/j.chom.2017.01.005","ISSN":"1931-3128","issue":"2","journalAbbreviation":"Cell Host Microbe","note":"PMID: 28182951\nPMCID: PMC5313043","page":"208-219","source":"PubMed Central","title":"Microbial respiration and formate oxidation as metabolic signatures of inflammation-associated dysbiosis","volume":"21","author":[{"family":"Hughes","given":"Elizabeth R."},{"family":"Winter","given":"Maria G."},{"family":"Duerkop","given":"Breck A."},{"family":"Spiga","given":"Luisella"},{"family":"Carvalho","given":"Tatiane Furtado","non-dropping-particle":"de"},{"family":"Zhu","given":"Wenhan"},{"family":"Gillis","given":"Caroline C."},{"family":"Büttner","given":"Lisa"},{"family":"Smoot","given":"Madeline P."},{"family":"Behrendt","given":"Cassie L."},{"family":"Cherry","given":"Sara"},{"family":"Santos","given":"Renato L."},{"family":"Hooper","given":"Lora V."},{"family":"Winter","given":"Sebastian E."}],"issued":{"date-parts":[["2017",2,8]]}}}],"schema":"https://github.com/citation-style-language/schema/raw/master/csl-citation.json"} </w:instrText>
            </w:r>
            <w:r w:rsidR="00FD01C5">
              <w:fldChar w:fldCharType="separate"/>
            </w:r>
            <w:r w:rsidR="00FD01C5" w:rsidRPr="00FD01C5">
              <w:t>[17]</w:t>
            </w:r>
            <w:r w:rsidR="00FD01C5">
              <w:fldChar w:fldCharType="end"/>
            </w:r>
            <w:r>
              <w:rPr>
                <w:rFonts w:ascii="Arial" w:eastAsia="Arial" w:hAnsi="Arial" w:cs="Arial"/>
                <w:sz w:val="22"/>
                <w:szCs w:val="22"/>
              </w:rPr>
              <w:t xml:space="preserve">. Notably, lactate is an important component in designing lactic acid bacteria probiotics which can modulate intestinal immunity and provide a protective effect against infection </w:t>
            </w:r>
            <w:r w:rsidR="00FD01C5">
              <w:fldChar w:fldCharType="begin"/>
            </w:r>
            <w:r w:rsidR="00FD01C5">
              <w:instrText xml:space="preserve"> ADDIN ZOTERO_ITEM CSL_CITATION {"citationID":"o17auS9T","properties":{"formattedCitation":"[22]","plainCitation":"[22]","noteIndex":0},"citationItems":[{"id":1991,"uris":["http://zotero.org/users/4849999/items/U83ZV5SG"],"uri":["http://zotero.org/users/4849999/items/U83ZV5SG"],"itemData":{"id":1991,"type":"article-journal","abstract":"Although it has been traditionally regarded as an intermediate of carbon metabolism and major component of fermented dairy products contributing to organoleptic and antimicrobial properties of food, there is evidence gathered in recent years that lactate has bioactive properties that may be responsible of broader properties of functional foods. Lactate can regulate critical functions of several key players of the immune system such as macrophages and dendritic cells, being able to modulate inflammatory activation of epithelial cells as well. Intraluminal levels of lactate derived from fermentative metabolism of lactobacilli have been shown to modulate inflammatory environment in intestinal mucosa. The molecular mechanisms responsible to these functions, including histone deacetylase dependent-modulation of gene expression and signalling through G-protein coupled receptors have started to be described. Since lactate is a major fermentation product of several bacterial families with probiotic properties, we here propose that it may contribute to some of the properties attributed to these microorganisms and in a larger view, to the properties of food products fermented by lactic acid bacteria.","container-title":"Frontiers in Microbiology","DOI":"10.3389/fmicb.2015.00629","ISSN":"1664-302X","journalAbbreviation":"Front. Microbiol.","language":"English","source":"Frontiers","title":"Is lactate an undervalued functional component of fermented food products?","URL":"https://www.frontiersin.org/articles/10.3389/fmicb.2015.00629/full","volume":"6","author":[{"family":"Garrote","given":"Graciela L."},{"family":"Abraham","given":"Analía G."},{"family":"Rumbo","given":"Martín"}],"accessed":{"date-parts":[["2020",2,20]]},"issued":{"date-parts":[["2015"]]}}}],"schema":"https://github.com/citation-style-language/schema/raw/master/csl-citation.json"} </w:instrText>
            </w:r>
            <w:r w:rsidR="00FD01C5">
              <w:fldChar w:fldCharType="separate"/>
            </w:r>
            <w:r w:rsidR="00FD01C5" w:rsidRPr="00FD01C5">
              <w:t>[22]</w:t>
            </w:r>
            <w:r w:rsidR="00FD01C5">
              <w:fldChar w:fldCharType="end"/>
            </w:r>
            <w:r>
              <w:rPr>
                <w:rFonts w:ascii="Arial" w:eastAsia="Arial" w:hAnsi="Arial" w:cs="Arial"/>
                <w:sz w:val="22"/>
                <w:szCs w:val="22"/>
              </w:rPr>
              <w:t xml:space="preserve">. </w:t>
            </w:r>
          </w:p>
          <w:p w14:paraId="2A41B80D" w14:textId="77777777" w:rsidR="00B8663F" w:rsidRDefault="00B8663F" w:rsidP="005F7936">
            <w:pPr>
              <w:rPr>
                <w:rFonts w:ascii="Arial" w:eastAsia="Arial" w:hAnsi="Arial" w:cs="Arial"/>
                <w:sz w:val="22"/>
                <w:szCs w:val="22"/>
              </w:rPr>
            </w:pPr>
          </w:p>
        </w:tc>
        <w:tc>
          <w:tcPr>
            <w:tcW w:w="1620" w:type="dxa"/>
            <w:shd w:val="clear" w:color="auto" w:fill="auto"/>
          </w:tcPr>
          <w:p w14:paraId="363EA65C"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HMDB00142</w:t>
            </w:r>
          </w:p>
          <w:p w14:paraId="1C80F6E2"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HMDB00134</w:t>
            </w:r>
          </w:p>
          <w:p w14:paraId="1A8BFF51"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HMDB00691</w:t>
            </w:r>
          </w:p>
          <w:p w14:paraId="07CE7748"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HMDB00254</w:t>
            </w:r>
          </w:p>
          <w:p w14:paraId="16C2C91E" w14:textId="77777777" w:rsidR="00B8663F" w:rsidRPr="004D5C39" w:rsidRDefault="007B1201" w:rsidP="005F7936">
            <w:pPr>
              <w:rPr>
                <w:rFonts w:ascii="Arial" w:eastAsia="Arial" w:hAnsi="Arial" w:cs="Arial"/>
                <w:sz w:val="22"/>
                <w:szCs w:val="22"/>
                <w:lang w:val="de-DE"/>
              </w:rPr>
            </w:pPr>
            <w:r w:rsidRPr="004D5C39">
              <w:rPr>
                <w:rFonts w:ascii="Arial" w:eastAsia="Arial" w:hAnsi="Arial" w:cs="Arial"/>
                <w:sz w:val="22"/>
                <w:szCs w:val="22"/>
                <w:lang w:val="de-DE"/>
              </w:rPr>
              <w:t>HMDB00190</w:t>
            </w:r>
          </w:p>
        </w:tc>
      </w:tr>
      <w:tr w:rsidR="00B8663F" w14:paraId="1F7886D8" w14:textId="77777777" w:rsidTr="005F7936">
        <w:tc>
          <w:tcPr>
            <w:tcW w:w="1710" w:type="dxa"/>
            <w:shd w:val="clear" w:color="auto" w:fill="auto"/>
          </w:tcPr>
          <w:p w14:paraId="26681E04" w14:textId="77777777" w:rsidR="00B8663F" w:rsidRDefault="007B1201" w:rsidP="005F7936">
            <w:pPr>
              <w:rPr>
                <w:rFonts w:ascii="Arial" w:eastAsia="Arial" w:hAnsi="Arial" w:cs="Arial"/>
                <w:sz w:val="22"/>
                <w:szCs w:val="22"/>
              </w:rPr>
            </w:pPr>
            <w:r>
              <w:rPr>
                <w:rFonts w:ascii="Arial" w:eastAsia="Arial" w:hAnsi="Arial" w:cs="Arial"/>
                <w:sz w:val="22"/>
                <w:szCs w:val="22"/>
              </w:rPr>
              <w:t>Nucleosides</w:t>
            </w:r>
          </w:p>
        </w:tc>
        <w:tc>
          <w:tcPr>
            <w:tcW w:w="1710" w:type="dxa"/>
            <w:shd w:val="clear" w:color="auto" w:fill="auto"/>
          </w:tcPr>
          <w:p w14:paraId="03545360" w14:textId="77777777" w:rsidR="00B8663F" w:rsidRDefault="007B1201" w:rsidP="005F7936">
            <w:pPr>
              <w:rPr>
                <w:rFonts w:ascii="Arial" w:eastAsia="Arial" w:hAnsi="Arial" w:cs="Arial"/>
                <w:sz w:val="22"/>
                <w:szCs w:val="22"/>
              </w:rPr>
            </w:pPr>
            <w:r>
              <w:rPr>
                <w:rFonts w:ascii="Arial" w:eastAsia="Arial" w:hAnsi="Arial" w:cs="Arial"/>
                <w:sz w:val="22"/>
                <w:szCs w:val="22"/>
              </w:rPr>
              <w:t>Inosine</w:t>
            </w:r>
          </w:p>
          <w:p w14:paraId="550F4E22" w14:textId="77777777" w:rsidR="00B8663F" w:rsidRDefault="007B1201" w:rsidP="005F7936">
            <w:pPr>
              <w:rPr>
                <w:rFonts w:ascii="Arial" w:eastAsia="Arial" w:hAnsi="Arial" w:cs="Arial"/>
                <w:sz w:val="22"/>
                <w:szCs w:val="22"/>
              </w:rPr>
            </w:pPr>
            <w:r>
              <w:rPr>
                <w:rFonts w:ascii="Arial" w:eastAsia="Arial" w:hAnsi="Arial" w:cs="Arial"/>
                <w:sz w:val="22"/>
                <w:szCs w:val="22"/>
              </w:rPr>
              <w:t>Uridine</w:t>
            </w:r>
          </w:p>
          <w:p w14:paraId="47355A66" w14:textId="77777777" w:rsidR="00B8663F" w:rsidRDefault="007B1201" w:rsidP="005F7936">
            <w:pPr>
              <w:rPr>
                <w:rFonts w:ascii="Arial" w:eastAsia="Arial" w:hAnsi="Arial" w:cs="Arial"/>
                <w:sz w:val="22"/>
                <w:szCs w:val="22"/>
              </w:rPr>
            </w:pPr>
            <w:r>
              <w:rPr>
                <w:rFonts w:ascii="Arial" w:eastAsia="Arial" w:hAnsi="Arial" w:cs="Arial"/>
                <w:sz w:val="22"/>
                <w:szCs w:val="22"/>
              </w:rPr>
              <w:t>Uracil</w:t>
            </w:r>
          </w:p>
        </w:tc>
        <w:tc>
          <w:tcPr>
            <w:tcW w:w="3330" w:type="dxa"/>
            <w:shd w:val="clear" w:color="auto" w:fill="auto"/>
          </w:tcPr>
          <w:p w14:paraId="64D9E90C" w14:textId="4C4687F4" w:rsidR="00B8663F" w:rsidRDefault="007B1201" w:rsidP="005F7936">
            <w:pPr>
              <w:rPr>
                <w:rFonts w:ascii="Arial" w:eastAsia="Arial" w:hAnsi="Arial" w:cs="Arial"/>
                <w:sz w:val="22"/>
                <w:szCs w:val="22"/>
              </w:rPr>
            </w:pPr>
            <w:proofErr w:type="spellStart"/>
            <w:r>
              <w:rPr>
                <w:rFonts w:ascii="Arial" w:eastAsia="Arial" w:hAnsi="Arial" w:cs="Arial"/>
                <w:i/>
                <w:sz w:val="22"/>
                <w:szCs w:val="22"/>
              </w:rPr>
              <w:t>Anaerococcus</w:t>
            </w:r>
            <w:proofErr w:type="spellEnd"/>
            <w:r>
              <w:rPr>
                <w:rFonts w:ascii="Arial" w:eastAsia="Arial" w:hAnsi="Arial" w:cs="Arial"/>
                <w:i/>
                <w:sz w:val="22"/>
                <w:szCs w:val="22"/>
              </w:rPr>
              <w:t xml:space="preserve">, </w:t>
            </w:r>
            <w:proofErr w:type="spellStart"/>
            <w:r>
              <w:rPr>
                <w:rFonts w:ascii="Arial" w:eastAsia="Arial" w:hAnsi="Arial" w:cs="Arial"/>
                <w:i/>
                <w:sz w:val="22"/>
                <w:szCs w:val="22"/>
              </w:rPr>
              <w:t>Peptoniphilus</w:t>
            </w:r>
            <w:proofErr w:type="spellEnd"/>
            <w:r>
              <w:rPr>
                <w:rFonts w:ascii="Arial" w:eastAsia="Arial" w:hAnsi="Arial" w:cs="Arial"/>
                <w:i/>
                <w:sz w:val="22"/>
                <w:szCs w:val="22"/>
              </w:rPr>
              <w:t>, Fusobacterium, Lactobacillus</w:t>
            </w:r>
            <w:r>
              <w:rPr>
                <w:rFonts w:ascii="Arial" w:eastAsia="Arial" w:hAnsi="Arial" w:cs="Arial"/>
                <w:sz w:val="22"/>
                <w:szCs w:val="22"/>
              </w:rPr>
              <w:t xml:space="preserve"> genera </w:t>
            </w:r>
            <w:r w:rsidR="00FD01C5">
              <w:fldChar w:fldCharType="begin"/>
            </w:r>
            <w:r w:rsidR="00FD01C5">
              <w:instrText xml:space="preserve"> ADDIN ZOTERO_ITEM CSL_CITATION {"citationID":"1vrUWgfA","properties":{"formattedCitation":"[23]","plainCitation":"[23]","noteIndex":0},"citationItems":[{"id":1993,"uris":["http://zotero.org/users/4849999/items/3YZARBAA"],"uri":["http://zotero.org/users/4849999/items/3YZARBAA"],"itemData":{"id":1993,"type":"article-journal","abstract":"Nucleotides (NT) and nucleosides (NS) are added to infant formula to mimic the content of breast milk, but little is known about their impact on infant gut microbiota. In this study, we tested the effect of NS and of yeast extracts (YE) with different NT content using PolyFermS continuous fermentation models mimicking formula-fed, healthy and enteropathogen-contaminated infant gut microbiota. Microbiota composition, short-chain fatty acid (SCFA) formation and gene expression were determined. NS, and to a larger extend YE modulated microbiota composition and increased metabolic activity in both models. Anaerococcus, Peptoniphilus, Fusobacterium, Lactobacillus/Pediococcus/Leuconostoc and Veillonella were enhanced when YE and/or NS were added. The production of SCFA increased with the level of supplied NT equivalents. Addition of NS and YE reduced colonization of Salmonella compared to control periods. Gene expression analysis confirmed taxonomical changes and indicated functional responses to YE. Transcripts related to NT and sulfur metabolism and iron acquisition increased while biosynthesis of co-factors and vitamins decreased after YE addition. Elevated butyrate formation correlated with increased transcripts encoding key enzymes of the two major butyrate synthesis pathways. Our results uncover a strong dose-dependent modulation of NS and YE on infant gut microbiota composition and metabolic activity.","container-title":"FEMS microbiology ecology","DOI":"10.1093/femsec/fix088","ISSN":"1574-6941","issue":"8","journalAbbreviation":"FEMS Microbiol. Ecol.","language":"eng","note":"PMID: 28854667","source":"PubMed","title":"Effect of dietary nucleosides and yeast extracts on composition and metabolic activity of infant gut microbiota in PolyFermS colonic fermentation models","volume":"93","author":[{"family":"Doo","given":"Eun-Hee"},{"family":"Chassard","given":"Christophe"},{"family":"Schwab","given":"Clarissa"},{"family":"Lacroix","given":"Christophe"}],"issued":{"date-parts":[["2017"]],"season":"01"}}}],"schema":"https://github.com/citation-style-language/schema/raw/master/csl-citation.json"} </w:instrText>
            </w:r>
            <w:r w:rsidR="00FD01C5">
              <w:fldChar w:fldCharType="separate"/>
            </w:r>
            <w:r w:rsidR="00FD01C5" w:rsidRPr="00FD01C5">
              <w:t>[23]</w:t>
            </w:r>
            <w:r w:rsidR="00FD01C5">
              <w:fldChar w:fldCharType="end"/>
            </w:r>
          </w:p>
        </w:tc>
        <w:tc>
          <w:tcPr>
            <w:tcW w:w="6120" w:type="dxa"/>
            <w:shd w:val="clear" w:color="auto" w:fill="auto"/>
          </w:tcPr>
          <w:p w14:paraId="16CE6414" w14:textId="44B461A9" w:rsidR="00B8663F" w:rsidRDefault="007B1201" w:rsidP="005F7936">
            <w:pPr>
              <w:rPr>
                <w:rFonts w:ascii="Arial" w:eastAsia="Arial" w:hAnsi="Arial" w:cs="Arial"/>
                <w:sz w:val="22"/>
                <w:szCs w:val="22"/>
              </w:rPr>
            </w:pPr>
            <w:r>
              <w:rPr>
                <w:rFonts w:ascii="Arial" w:eastAsia="Arial" w:hAnsi="Arial" w:cs="Arial"/>
                <w:sz w:val="22"/>
                <w:szCs w:val="22"/>
              </w:rPr>
              <w:t xml:space="preserve">Can play an important role in immune response at the neonatal stage </w:t>
            </w:r>
            <w:r w:rsidR="00FD01C5">
              <w:fldChar w:fldCharType="begin"/>
            </w:r>
            <w:r w:rsidR="00FD01C5">
              <w:instrText xml:space="preserve"> ADDIN ZOTERO_ITEM CSL_CITATION {"citationID":"L9vaqyp8","properties":{"formattedCitation":"[24]","plainCitation":"[24]","noteIndex":0},"citationItems":[{"id":1994,"uris":["http://zotero.org/users/4849999/items/PAC63SU3"],"uri":["http://zotero.org/users/4849999/items/PAC63SU3"],"itemData":{"id":1994,"type":"article-journal","abstract":"An experiment was carried out to evaluate the short-term effect of supplementing a nucleotide-rich yeast extract (NRYE) on growth performance, gut structure, immunity and microflora of piglets raised under sanitary and unsanitary conditions. A total of 84, 21-day old piglets were used in this study; 42 piglets were raised in a room designated as the clean room that was washed once per week, whereas the other 42 piglets were raised in a room designated as the unclean room in which 7 kg of manure from the sow herd was spread on each pen floor on day 1 and 7 and the room was not washed throughout the experiment. The pigs were fed a corn-soybean meal-based diet without or with 0.1% NRYE. Each treatment had 7 replicate pens in each room, and each pen housed 3 pigs. Feed disappearance and BW were recorded on day 1 and 14. On day 14, one pig per pen was euthanized to collect ileum, mesenteric lymph nodes and spleen tissues, and cecum and colon digesta. Overall, NRYE supplementation did not affect growth performance in both clean and unclean conditions, improved kidney weight in both clean (P=0.0002) and unclean room (P&lt;0.0001) and tended to improve the villus height/crypt depth ratio in the clean room (P=0.073). Supplementing NRYE was associated with upregulation of Ileal programmed cell death gene-1 (P=0.0003), interleukin (IL)-1β (P&lt;0.0001), IL-6 (P=0.0003), IL-10 (P&lt;0.0001) and tumor necrosis factor-α (TNF-α) (P&lt;0.0001) in pigs raised in the unclean room. Supplementing the NRYE in pigs raised in the clean room suppressed growth of cecal Enterobacteriacea (P&lt;0.0001) members and colonic Enterococcus spp. (P&lt;0.019), improved proliferation of cecal Lactobacillus spp. (P&lt;0.002) and colonic Clostridium cluster IV (P&lt;0.011) and XVIa members (P&lt;0.0002). Supplementing the NRYE in the unclean room improved proliferation of cecal Clostridium cluster IV (P&lt;0.026) and suppressed proliferation of colonic Enterococcus spp. (P&lt;0.037). In conclusion, supplementing the NRYE to piglets under unsanitary conditions improved ileal immune response by upregulating inflammatory cytokines, and positively modulated proliferation of beneficial gut bacteria and suppression of harmful ones in both clean and unclean rooms.","container-title":"Animal: An International Journal of Animal Bioscience","DOI":"10.1017/S1751731117001276","ISSN":"1751-732X","issue":"12","journalAbbreviation":"Animal","language":"eng","note":"PMID: 28631587","page":"2156-2164","source":"PubMed","title":"Dietary supplementation with a nucleotide-rich yeast extract modulates gut immune response and microflora in weaned pigs in response to a sanitary challenge","volume":"11","author":[{"family":"Waititu","given":"S. M."},{"family":"Yin","given":"F."},{"family":"Patterson","given":"R."},{"family":"Yitbarek","given":"A."},{"family":"Rodriguez-Lecompte","given":"J. C."},{"family":"Nyachoti","given":"C. M."}],"issued":{"date-parts":[["2017",12]]}}}],"schema":"https://github.com/citation-style-language/schema/raw/master/csl-citation.json"} </w:instrText>
            </w:r>
            <w:r w:rsidR="00FD01C5">
              <w:fldChar w:fldCharType="separate"/>
            </w:r>
            <w:r w:rsidR="00FD01C5" w:rsidRPr="00FD01C5">
              <w:t>[24]</w:t>
            </w:r>
            <w:r w:rsidR="00FD01C5">
              <w:fldChar w:fldCharType="end"/>
            </w:r>
            <w:r>
              <w:rPr>
                <w:rFonts w:ascii="Arial" w:eastAsia="Arial" w:hAnsi="Arial" w:cs="Arial"/>
                <w:sz w:val="22"/>
                <w:szCs w:val="22"/>
              </w:rPr>
              <w:t xml:space="preserve">, supplementing the process of enterocyte proliferation, maturation and apoptosis of intestinal cells </w:t>
            </w:r>
            <w:r w:rsidR="00FD01C5">
              <w:fldChar w:fldCharType="begin"/>
            </w:r>
            <w:r w:rsidR="00FD01C5">
              <w:instrText xml:space="preserve"> ADDIN ZOTERO_ITEM CSL_CITATION {"citationID":"EVCvonzI","properties":{"formattedCitation":"[25]","plainCitation":"[25]","noteIndex":0},"citationItems":[{"id":1995,"uris":["http://zotero.org/users/4849999/items/QMJUXIDD"],"uri":["http://zotero.org/users/4849999/items/QMJUXIDD"],"itemData":{"id":1995,"type":"article-journal","abstract":"To determine the nutritional role of nucleotides, the in vitro and in vivo effects of exogenous nucleotides on the development of intestine were investigated. First, the in vitro effects of nucleotides on the proliferation and maturation of enterocytes were studied by using a human colon tumor cell line (Caco-2) and a rat normal small intestinal crypt cell line (IEC-6). Second, the in vivo effects of nucleotides were also studied in early weaned rats fed nucleotide-unsupplemented or high-nucleotide-supplemented diet. Nucleotide composition resembled that of human milk (CMP:UMP:AMP:IMP:GMP = 10:1:1:1:1, in weight). Nucleotide supplement did not enhance Caco-2 cells proliferation; however, it significantly enhanced maltase and sucrase activities. In contrast, nucleotides supplement enhanced ICE-6 cells proliferation and maltase activity. CMP, predominantly contained in the mixture, enhanced most effectively the proliferation and maturation of cells. In the in vivo experiment, nucleotides significantly enhanced sucrase activity in the intestinal mucosa of early weaned rats. The results presented here suggest that a nucleotide supplement may enhance enterocyte proliferation and/or maturation in vivo and in vitro. Therefore exogenous nucleotides may play an important role in the development of the intestine.","container-title":"Journal of Nutritional Science and Vitaminology","DOI":"10.3177/jnsv.45.107","ISSN":"0301-4800","issue":"1","journalAbbreviation":"J. Nutr. Sci. Vitaminol.","language":"eng","note":"PMID: 10360245","page":"107-118","source":"PubMed","title":"In vitro and in vivo effects of exogenous nucleotides on the proliferation and maturation of intestinal epithelial cells","volume":"45","author":[{"family":"Sato","given":"N."},{"family":"Nakano","given":"T."},{"family":"Kawakami","given":"H."},{"family":"Idota","given":"T."}],"issued":{"date-parts":[["1999",1]]}}}],"schema":"https://github.com/citation-style-language/schema/raw/master/csl-citation.json"} </w:instrText>
            </w:r>
            <w:r w:rsidR="00FD01C5">
              <w:fldChar w:fldCharType="separate"/>
            </w:r>
            <w:r w:rsidR="00FD01C5" w:rsidRPr="00FD01C5">
              <w:t>[25]</w:t>
            </w:r>
            <w:r w:rsidR="00FD01C5">
              <w:fldChar w:fldCharType="end"/>
            </w:r>
            <w:r>
              <w:rPr>
                <w:rFonts w:ascii="Arial" w:eastAsia="Arial" w:hAnsi="Arial" w:cs="Arial"/>
                <w:sz w:val="22"/>
                <w:szCs w:val="22"/>
              </w:rPr>
              <w:t xml:space="preserve">. </w:t>
            </w:r>
          </w:p>
        </w:tc>
        <w:tc>
          <w:tcPr>
            <w:tcW w:w="1620" w:type="dxa"/>
            <w:shd w:val="clear" w:color="auto" w:fill="auto"/>
          </w:tcPr>
          <w:p w14:paraId="06E20A44" w14:textId="77777777" w:rsidR="00B8663F" w:rsidRDefault="007B1201" w:rsidP="005F7936">
            <w:pPr>
              <w:rPr>
                <w:rFonts w:ascii="Arial" w:eastAsia="Arial" w:hAnsi="Arial" w:cs="Arial"/>
                <w:sz w:val="22"/>
                <w:szCs w:val="22"/>
              </w:rPr>
            </w:pPr>
            <w:r>
              <w:rPr>
                <w:rFonts w:ascii="Arial" w:eastAsia="Arial" w:hAnsi="Arial" w:cs="Arial"/>
                <w:sz w:val="22"/>
                <w:szCs w:val="22"/>
              </w:rPr>
              <w:t>HMDB00195</w:t>
            </w:r>
          </w:p>
          <w:p w14:paraId="28B0929E" w14:textId="77777777" w:rsidR="00B8663F" w:rsidRDefault="007B1201" w:rsidP="005F7936">
            <w:pPr>
              <w:rPr>
                <w:rFonts w:ascii="Arial" w:eastAsia="Arial" w:hAnsi="Arial" w:cs="Arial"/>
                <w:sz w:val="22"/>
                <w:szCs w:val="22"/>
              </w:rPr>
            </w:pPr>
            <w:r>
              <w:rPr>
                <w:rFonts w:ascii="Arial" w:eastAsia="Arial" w:hAnsi="Arial" w:cs="Arial"/>
                <w:sz w:val="22"/>
                <w:szCs w:val="22"/>
              </w:rPr>
              <w:t>HMDB00296</w:t>
            </w:r>
          </w:p>
          <w:p w14:paraId="18F58EEB" w14:textId="77777777" w:rsidR="00B8663F" w:rsidRDefault="007B1201" w:rsidP="005F7936">
            <w:pPr>
              <w:rPr>
                <w:rFonts w:ascii="Arial" w:eastAsia="Arial" w:hAnsi="Arial" w:cs="Arial"/>
                <w:sz w:val="22"/>
                <w:szCs w:val="22"/>
              </w:rPr>
            </w:pPr>
            <w:r>
              <w:rPr>
                <w:rFonts w:ascii="Arial" w:eastAsia="Arial" w:hAnsi="Arial" w:cs="Arial"/>
                <w:sz w:val="22"/>
                <w:szCs w:val="22"/>
              </w:rPr>
              <w:t>HMDB00300</w:t>
            </w:r>
          </w:p>
        </w:tc>
      </w:tr>
      <w:tr w:rsidR="00B8663F" w14:paraId="7DCD49FE" w14:textId="77777777" w:rsidTr="005F7936">
        <w:tc>
          <w:tcPr>
            <w:tcW w:w="1710" w:type="dxa"/>
            <w:shd w:val="clear" w:color="auto" w:fill="auto"/>
          </w:tcPr>
          <w:p w14:paraId="6DD9CC28" w14:textId="77777777" w:rsidR="00B8663F" w:rsidRDefault="007B1201" w:rsidP="005F7936">
            <w:pPr>
              <w:rPr>
                <w:rFonts w:ascii="Arial" w:eastAsia="Arial" w:hAnsi="Arial" w:cs="Arial"/>
                <w:sz w:val="22"/>
                <w:szCs w:val="22"/>
              </w:rPr>
            </w:pPr>
            <w:r>
              <w:rPr>
                <w:rFonts w:ascii="Arial" w:eastAsia="Arial" w:hAnsi="Arial" w:cs="Arial"/>
                <w:sz w:val="22"/>
                <w:szCs w:val="22"/>
              </w:rPr>
              <w:t>Vitamins</w:t>
            </w:r>
          </w:p>
        </w:tc>
        <w:tc>
          <w:tcPr>
            <w:tcW w:w="1710" w:type="dxa"/>
            <w:shd w:val="clear" w:color="auto" w:fill="auto"/>
          </w:tcPr>
          <w:p w14:paraId="577A0381" w14:textId="77777777" w:rsidR="00B8663F" w:rsidRDefault="007B1201" w:rsidP="005F7936">
            <w:pPr>
              <w:rPr>
                <w:rFonts w:ascii="Arial" w:eastAsia="Arial" w:hAnsi="Arial" w:cs="Arial"/>
                <w:sz w:val="22"/>
                <w:szCs w:val="22"/>
              </w:rPr>
            </w:pPr>
            <w:r>
              <w:rPr>
                <w:rFonts w:ascii="Arial" w:eastAsia="Arial" w:hAnsi="Arial" w:cs="Arial"/>
                <w:sz w:val="22"/>
                <w:szCs w:val="22"/>
              </w:rPr>
              <w:t xml:space="preserve">Nicotinate (Vitamin B3) </w:t>
            </w:r>
          </w:p>
        </w:tc>
        <w:tc>
          <w:tcPr>
            <w:tcW w:w="3330" w:type="dxa"/>
            <w:shd w:val="clear" w:color="auto" w:fill="auto"/>
          </w:tcPr>
          <w:p w14:paraId="7EE55822" w14:textId="62C4AE34" w:rsidR="00B8663F" w:rsidRDefault="007B1201" w:rsidP="005F7936">
            <w:pPr>
              <w:rPr>
                <w:rFonts w:ascii="Arial" w:eastAsia="Arial" w:hAnsi="Arial" w:cs="Arial"/>
                <w:sz w:val="22"/>
                <w:szCs w:val="22"/>
              </w:rPr>
            </w:pPr>
            <w:r>
              <w:rPr>
                <w:rFonts w:ascii="Arial" w:eastAsia="Arial" w:hAnsi="Arial" w:cs="Arial"/>
                <w:sz w:val="22"/>
                <w:szCs w:val="22"/>
              </w:rPr>
              <w:t xml:space="preserve">Lactic-acid commensal bacteria such as </w:t>
            </w:r>
            <w:r>
              <w:rPr>
                <w:rFonts w:ascii="Arial" w:eastAsia="Arial" w:hAnsi="Arial" w:cs="Arial"/>
                <w:i/>
                <w:sz w:val="22"/>
                <w:szCs w:val="22"/>
              </w:rPr>
              <w:t>Bifidobacterium bifidum</w:t>
            </w:r>
            <w:r>
              <w:rPr>
                <w:rFonts w:ascii="Arial" w:eastAsia="Arial" w:hAnsi="Arial" w:cs="Arial"/>
                <w:sz w:val="22"/>
                <w:szCs w:val="22"/>
              </w:rPr>
              <w:t>, B.</w:t>
            </w:r>
            <w:r>
              <w:rPr>
                <w:rFonts w:ascii="Arial" w:eastAsia="Arial" w:hAnsi="Arial" w:cs="Arial"/>
                <w:i/>
                <w:sz w:val="22"/>
                <w:szCs w:val="22"/>
              </w:rPr>
              <w:t xml:space="preserve"> </w:t>
            </w:r>
            <w:proofErr w:type="spellStart"/>
            <w:r>
              <w:rPr>
                <w:rFonts w:ascii="Arial" w:eastAsia="Arial" w:hAnsi="Arial" w:cs="Arial"/>
                <w:i/>
                <w:sz w:val="22"/>
                <w:szCs w:val="22"/>
              </w:rPr>
              <w:t>longum</w:t>
            </w:r>
            <w:proofErr w:type="spellEnd"/>
            <w:r>
              <w:rPr>
                <w:rFonts w:ascii="Arial" w:eastAsia="Arial" w:hAnsi="Arial" w:cs="Arial"/>
                <w:i/>
                <w:sz w:val="22"/>
                <w:szCs w:val="22"/>
              </w:rPr>
              <w:t>, B. breve</w:t>
            </w:r>
            <w:r>
              <w:rPr>
                <w:rFonts w:ascii="Arial" w:eastAsia="Arial" w:hAnsi="Arial" w:cs="Arial"/>
                <w:sz w:val="22"/>
                <w:szCs w:val="22"/>
              </w:rPr>
              <w:t xml:space="preserve">, and </w:t>
            </w:r>
            <w:r>
              <w:rPr>
                <w:rFonts w:ascii="Arial" w:eastAsia="Arial" w:hAnsi="Arial" w:cs="Arial"/>
                <w:i/>
                <w:sz w:val="22"/>
                <w:szCs w:val="22"/>
              </w:rPr>
              <w:t xml:space="preserve">B. </w:t>
            </w:r>
            <w:proofErr w:type="spellStart"/>
            <w:r>
              <w:rPr>
                <w:rFonts w:ascii="Arial" w:eastAsia="Arial" w:hAnsi="Arial" w:cs="Arial"/>
                <w:i/>
                <w:sz w:val="22"/>
                <w:szCs w:val="22"/>
              </w:rPr>
              <w:t>adolescentis</w:t>
            </w:r>
            <w:proofErr w:type="spellEnd"/>
            <w:r>
              <w:rPr>
                <w:rFonts w:ascii="Arial" w:eastAsia="Arial" w:hAnsi="Arial" w:cs="Arial"/>
                <w:sz w:val="22"/>
                <w:szCs w:val="22"/>
              </w:rPr>
              <w:t xml:space="preserve">. </w:t>
            </w:r>
            <w:r w:rsidR="00FD01C5">
              <w:fldChar w:fldCharType="begin"/>
            </w:r>
            <w:r w:rsidR="00FD01C5">
              <w:instrText xml:space="preserve"> ADDIN ZOTERO_ITEM CSL_CITATION {"citationID":"ILqAoMWU","properties":{"formattedCitation":"[26]","plainCitation":"[26]","noteIndex":0},"citationItems":[{"id":1990,"uris":["http://zotero.org/users/4849999/items/YTFB353H"],"uri":["http://zotero.org/users/4849999/items/YTFB353H"],"itemData":{"id":1990,"type":"article-journal","abstract":"Food-related lactic acid bacteria (LAB) as well as human gut commensals such as bifidobacteria can de novo synthesize and supply vitamins. This is important since humans lack the biosynthetic capacity for most vitamins and these must thus be provided exogenously. Although vitamins are present in a variety of foods, deficiencies still occur, mainly due to malnutrition as a result of insufficient food intake and because of poor eating habits. Fermented milks with high levels of B-group vitamins (such as folate and riboflavin) can be produced by LAB-promoted and possibly bifidobacteria-promoted biosynthesis. Moreover, certain strains of LAB produce the complex vitamin cobalamin (or vitamin B12). In this review, fermented foods with elevated levels of B-group vitamins produced by LAB used as starter cultures will be covered. In addition, genetic abilities for vitamin biosynthesis by selected human gut commensals will be discussed.","collection-title":"Food biotechnology • Plant biotechnology","container-title":"Current Opinion in Biotechnology","DOI":"10.1016/j.copbio.2012.08.005","ISSN":"0958-1669","issue":"2","journalAbbreviation":"Current Opinion in Biotechnology","language":"en","page":"160-168","source":"ScienceDirect","title":"Bacteria as vitamin suppliers to their host: a gut microbiota perspective","title-short":"Bacteria as vitamin suppliers to their host","volume":"24","author":[{"family":"LeBlanc","given":"Jean Guy"},{"family":"Milani","given":"Christian"},{"family":"Giori","given":"Graciela Savoy","non-dropping-particle":"de"},{"family":"Sesma","given":"Fernando"},{"family":"Sinderen","given":"Douwe","non-dropping-particle":"van"},{"family":"Ventura","given":"Marco"}],"issued":{"date-parts":[["2013",4,1]]}}}],"schema":"https://github.com/citation-style-language/schema/raw/master/csl-citation.json"} </w:instrText>
            </w:r>
            <w:r w:rsidR="00FD01C5">
              <w:fldChar w:fldCharType="separate"/>
            </w:r>
            <w:r w:rsidR="00FD01C5" w:rsidRPr="00FD01C5">
              <w:t>[26]</w:t>
            </w:r>
            <w:r w:rsidR="00FD01C5">
              <w:fldChar w:fldCharType="end"/>
            </w:r>
          </w:p>
        </w:tc>
        <w:tc>
          <w:tcPr>
            <w:tcW w:w="6120" w:type="dxa"/>
            <w:shd w:val="clear" w:color="auto" w:fill="auto"/>
          </w:tcPr>
          <w:p w14:paraId="3F72FC40" w14:textId="215B0B0E" w:rsidR="00B8663F" w:rsidRDefault="007B1201" w:rsidP="005F7936">
            <w:pPr>
              <w:rPr>
                <w:rFonts w:ascii="Arial" w:eastAsia="Arial" w:hAnsi="Arial" w:cs="Arial"/>
                <w:sz w:val="22"/>
                <w:szCs w:val="22"/>
              </w:rPr>
            </w:pPr>
            <w:r>
              <w:rPr>
                <w:rFonts w:ascii="Arial" w:eastAsia="Arial" w:hAnsi="Arial" w:cs="Arial"/>
                <w:sz w:val="22"/>
                <w:szCs w:val="22"/>
              </w:rPr>
              <w:t xml:space="preserve">Microbiome </w:t>
            </w:r>
            <w:r w:rsidR="00D311ED">
              <w:rPr>
                <w:rFonts w:ascii="Arial" w:eastAsia="Arial" w:hAnsi="Arial" w:cs="Arial"/>
                <w:sz w:val="22"/>
                <w:szCs w:val="22"/>
              </w:rPr>
              <w:t>has</w:t>
            </w:r>
            <w:r>
              <w:rPr>
                <w:rFonts w:ascii="Arial" w:eastAsia="Arial" w:hAnsi="Arial" w:cs="Arial"/>
                <w:sz w:val="22"/>
                <w:szCs w:val="22"/>
              </w:rPr>
              <w:t xml:space="preserve"> been shown to both metabolize dietary B vitamins as well as produce them through folate metabolism </w:t>
            </w:r>
            <w:r w:rsidR="00FD01C5">
              <w:fldChar w:fldCharType="begin"/>
            </w:r>
            <w:r w:rsidR="00FD01C5">
              <w:instrText xml:space="preserve"> ADDIN ZOTERO_ITEM CSL_CITATION {"citationID":"F1RPdSQb","properties":{"formattedCitation":"[26]","plainCitation":"[26]","noteIndex":0},"citationItems":[{"id":1990,"uris":["http://zotero.org/users/4849999/items/YTFB353H"],"uri":["http://zotero.org/users/4849999/items/YTFB353H"],"itemData":{"id":1990,"type":"article-journal","abstract":"Food-related lactic acid bacteria (LAB) as well as human gut commensals such as bifidobacteria can de novo synthesize and supply vitamins. This is important since humans lack the biosynthetic capacity for most vitamins and these must thus be provided exogenously. Although vitamins are present in a variety of foods, deficiencies still occur, mainly due to malnutrition as a result of insufficient food intake and because of poor eating habits. Fermented milks with high levels of B-group vitamins (such as folate and riboflavin) can be produced by LAB-promoted and possibly bifidobacteria-promoted biosynthesis. Moreover, certain strains of LAB produce the complex vitamin cobalamin (or vitamin B12). In this review, fermented foods with elevated levels of B-group vitamins produced by LAB used as starter cultures will be covered. In addition, genetic abilities for vitamin biosynthesis by selected human gut commensals will be discussed.","collection-title":"Food biotechnology • Plant biotechnology","container-title":"Current Opinion in Biotechnology","DOI":"10.1016/j.copbio.2012.08.005","ISSN":"0958-1669","issue":"2","journalAbbreviation":"Current Opinion in Biotechnology","language":"en","page":"160-168","source":"ScienceDirect","title":"Bacteria as vitamin suppliers to their host: a gut microbiota perspective","title-short":"Bacteria as vitamin suppliers to their host","volume":"24","author":[{"family":"LeBlanc","given":"Jean Guy"},{"family":"Milani","given":"Christian"},{"family":"Giori","given":"Graciela Savoy","non-dropping-particle":"de"},{"family":"Sesma","given":"Fernando"},{"family":"Sinderen","given":"Douwe","non-dropping-particle":"van"},{"family":"Ventura","given":"Marco"}],"issued":{"date-parts":[["2013",4,1]]}}}],"schema":"https://github.com/citation-style-language/schema/raw/master/csl-citation.json"} </w:instrText>
            </w:r>
            <w:r w:rsidR="00FD01C5">
              <w:fldChar w:fldCharType="separate"/>
            </w:r>
            <w:r w:rsidR="00FD01C5" w:rsidRPr="00FD01C5">
              <w:t>[26]</w:t>
            </w:r>
            <w:r w:rsidR="00FD01C5">
              <w:fldChar w:fldCharType="end"/>
            </w:r>
            <w:r>
              <w:rPr>
                <w:rFonts w:ascii="Arial" w:eastAsia="Arial" w:hAnsi="Arial" w:cs="Arial"/>
                <w:sz w:val="22"/>
                <w:szCs w:val="22"/>
              </w:rPr>
              <w:t xml:space="preserve">. It is well known that vitamin Bs are essential micronutrients that are precursors to important enzymes in humans. </w:t>
            </w:r>
          </w:p>
        </w:tc>
        <w:tc>
          <w:tcPr>
            <w:tcW w:w="1620" w:type="dxa"/>
            <w:shd w:val="clear" w:color="auto" w:fill="auto"/>
          </w:tcPr>
          <w:p w14:paraId="3943EC4E" w14:textId="77777777" w:rsidR="00B8663F" w:rsidRDefault="007B1201" w:rsidP="005F7936">
            <w:pPr>
              <w:rPr>
                <w:rFonts w:ascii="Arial" w:eastAsia="Arial" w:hAnsi="Arial" w:cs="Arial"/>
                <w:sz w:val="22"/>
                <w:szCs w:val="22"/>
              </w:rPr>
            </w:pPr>
            <w:r>
              <w:rPr>
                <w:rFonts w:ascii="Arial" w:eastAsia="Arial" w:hAnsi="Arial" w:cs="Arial"/>
                <w:sz w:val="22"/>
                <w:szCs w:val="22"/>
              </w:rPr>
              <w:t>HMDB01488</w:t>
            </w:r>
          </w:p>
        </w:tc>
      </w:tr>
      <w:tr w:rsidR="00B8663F" w14:paraId="1B0791E4" w14:textId="77777777" w:rsidTr="005F7936">
        <w:tc>
          <w:tcPr>
            <w:tcW w:w="1710" w:type="dxa"/>
            <w:shd w:val="clear" w:color="auto" w:fill="auto"/>
          </w:tcPr>
          <w:p w14:paraId="479C976C" w14:textId="77777777" w:rsidR="00B8663F" w:rsidRDefault="007B1201" w:rsidP="005F7936">
            <w:pPr>
              <w:rPr>
                <w:rFonts w:ascii="Arial" w:eastAsia="Arial" w:hAnsi="Arial" w:cs="Arial"/>
                <w:sz w:val="22"/>
                <w:szCs w:val="22"/>
              </w:rPr>
            </w:pPr>
            <w:r>
              <w:rPr>
                <w:rFonts w:ascii="Arial" w:eastAsia="Arial" w:hAnsi="Arial" w:cs="Arial"/>
                <w:sz w:val="22"/>
                <w:szCs w:val="22"/>
              </w:rPr>
              <w:t>Alcohols</w:t>
            </w:r>
          </w:p>
        </w:tc>
        <w:tc>
          <w:tcPr>
            <w:tcW w:w="1710" w:type="dxa"/>
            <w:shd w:val="clear" w:color="auto" w:fill="auto"/>
          </w:tcPr>
          <w:p w14:paraId="5D69F7B4" w14:textId="77777777" w:rsidR="00B8663F" w:rsidRDefault="007B1201" w:rsidP="005F7936">
            <w:pPr>
              <w:rPr>
                <w:rFonts w:ascii="Arial" w:eastAsia="Arial" w:hAnsi="Arial" w:cs="Arial"/>
                <w:sz w:val="22"/>
                <w:szCs w:val="22"/>
              </w:rPr>
            </w:pPr>
            <w:r>
              <w:rPr>
                <w:rFonts w:ascii="Arial" w:eastAsia="Arial" w:hAnsi="Arial" w:cs="Arial"/>
                <w:sz w:val="22"/>
                <w:szCs w:val="22"/>
              </w:rPr>
              <w:t>Propylene Glycol</w:t>
            </w:r>
          </w:p>
        </w:tc>
        <w:tc>
          <w:tcPr>
            <w:tcW w:w="3330" w:type="dxa"/>
            <w:shd w:val="clear" w:color="auto" w:fill="auto"/>
          </w:tcPr>
          <w:p w14:paraId="45509CB1" w14:textId="32CDA1E4" w:rsidR="00B8663F" w:rsidRDefault="007B1201" w:rsidP="005F7936">
            <w:pPr>
              <w:rPr>
                <w:rFonts w:ascii="Arial" w:eastAsia="Arial" w:hAnsi="Arial" w:cs="Arial"/>
                <w:sz w:val="22"/>
                <w:szCs w:val="22"/>
              </w:rPr>
            </w:pPr>
            <w:r>
              <w:rPr>
                <w:rFonts w:ascii="Arial" w:eastAsia="Arial" w:hAnsi="Arial" w:cs="Arial"/>
                <w:sz w:val="22"/>
                <w:szCs w:val="22"/>
              </w:rPr>
              <w:t xml:space="preserve">Firmicutes and </w:t>
            </w:r>
            <w:proofErr w:type="spellStart"/>
            <w:r>
              <w:rPr>
                <w:rFonts w:ascii="Arial" w:eastAsia="Arial" w:hAnsi="Arial" w:cs="Arial"/>
                <w:sz w:val="22"/>
                <w:szCs w:val="22"/>
              </w:rPr>
              <w:t>Lachnospiraceae</w:t>
            </w:r>
            <w:proofErr w:type="spellEnd"/>
            <w:r>
              <w:rPr>
                <w:rFonts w:ascii="Arial" w:eastAsia="Arial" w:hAnsi="Arial" w:cs="Arial"/>
                <w:sz w:val="22"/>
                <w:szCs w:val="22"/>
              </w:rPr>
              <w:t xml:space="preserve"> phyla, </w:t>
            </w:r>
            <w:proofErr w:type="spellStart"/>
            <w:r>
              <w:rPr>
                <w:rFonts w:ascii="Arial" w:eastAsia="Arial" w:hAnsi="Arial" w:cs="Arial"/>
                <w:i/>
                <w:sz w:val="22"/>
                <w:szCs w:val="22"/>
              </w:rPr>
              <w:t>Dorea</w:t>
            </w:r>
            <w:proofErr w:type="spellEnd"/>
            <w:r>
              <w:rPr>
                <w:rFonts w:ascii="Arial" w:eastAsia="Arial" w:hAnsi="Arial" w:cs="Arial"/>
                <w:i/>
                <w:sz w:val="22"/>
                <w:szCs w:val="22"/>
              </w:rPr>
              <w:t xml:space="preserve">, </w:t>
            </w:r>
            <w:proofErr w:type="spellStart"/>
            <w:r>
              <w:rPr>
                <w:rFonts w:ascii="Arial" w:eastAsia="Arial" w:hAnsi="Arial" w:cs="Arial"/>
                <w:i/>
                <w:sz w:val="22"/>
                <w:szCs w:val="22"/>
              </w:rPr>
              <w:t>Robinsonella</w:t>
            </w:r>
            <w:proofErr w:type="spellEnd"/>
            <w:r>
              <w:rPr>
                <w:rFonts w:ascii="Arial" w:eastAsia="Arial" w:hAnsi="Arial" w:cs="Arial"/>
                <w:i/>
                <w:sz w:val="22"/>
                <w:szCs w:val="22"/>
              </w:rPr>
              <w:t xml:space="preserve"> </w:t>
            </w:r>
            <w:r>
              <w:rPr>
                <w:rFonts w:ascii="Arial" w:eastAsia="Arial" w:hAnsi="Arial" w:cs="Arial"/>
                <w:sz w:val="22"/>
                <w:szCs w:val="22"/>
              </w:rPr>
              <w:t xml:space="preserve">and </w:t>
            </w:r>
            <w:proofErr w:type="spellStart"/>
            <w:r>
              <w:rPr>
                <w:rFonts w:ascii="Arial" w:eastAsia="Arial" w:hAnsi="Arial" w:cs="Arial"/>
                <w:i/>
                <w:sz w:val="22"/>
                <w:szCs w:val="22"/>
              </w:rPr>
              <w:t>Roseburia</w:t>
            </w:r>
            <w:proofErr w:type="spellEnd"/>
            <w:r>
              <w:rPr>
                <w:rFonts w:ascii="Arial" w:eastAsia="Arial" w:hAnsi="Arial" w:cs="Arial"/>
                <w:sz w:val="22"/>
                <w:szCs w:val="22"/>
              </w:rPr>
              <w:t xml:space="preserve"> genera </w:t>
            </w:r>
            <w:r w:rsidR="00FD01C5">
              <w:fldChar w:fldCharType="begin"/>
            </w:r>
            <w:r w:rsidR="00FD01C5">
              <w:instrText xml:space="preserve"> ADDIN ZOTERO_ITEM CSL_CITATION {"citationID":"f73dIKK2","properties":{"formattedCitation":"[27]","plainCitation":"[27]","noteIndex":0},"citationItems":[{"id":1988,"uris":["http://zotero.org/users/4849999/items/W32NIB9R"],"uri":["http://zotero.org/users/4849999/items/W32NIB9R"],"itemData":{"id":1988,"type":"article-journal","abstract":"&lt;h3&gt;Background &amp; Aims&lt;/h3&gt;&lt;p&gt;The histopathology of nonalcoholic fatty liver disease (NAFLD) is similar to that of alcoholic liver disease. Colonic bacteria are a source of many metabolic products, including ethanol and other volatile organic compounds (VOC) that may have toxic effects on the human host after intestinal absorption and delivery to the liver via the portal vein. Recent data suggest that the composition of the gut microbiota in obese human beings is different from that of healthy-weight individuals. The aim of this study was to compare the colonic microbiome and VOC metabolome of obese NAFLD patients (n = 30) with healthy controls (n = 30).&lt;/p&gt;&lt;h3&gt;Methods&lt;/h3&gt;&lt;p&gt;Multitag pyrosequencing was used to characterize the fecal microbiota. Fecal VOC profiles were measured by gas chromatography–mass spectrometry.&lt;/p&gt;&lt;h3&gt;Results&lt;/h3&gt;&lt;p&gt;There were statistically significant differences in liver biochemistry and metabolic parameters in NAFLD. Deep sequencing of the fecal microbiome revealed over-representation of Lactobacillus species and selected members of phylum Firmicutes (Lachnospiraceae; genera, &lt;i&gt;Dorea&lt;/i&gt;, &lt;i&gt;Robinsoniella&lt;/i&gt;, and &lt;i&gt;Roseburia&lt;/i&gt;) in NAFLD patients, which was statistically significant. One member of phylum Firmicutes was under-represented significantly in the fecal microbiome of NAFLD patients (Ruminococcaceae; genus, &lt;i&gt;Oscillibacter&lt;/i&gt;). Fecal VOC profiles of the 2 patient groups were different, with a significant increase in fecal ester compounds observed in NAFLD patients.&lt;/p&gt;&lt;h3&gt;Conclusions&lt;/h3&gt;&lt;p&gt;A significant increase in fecal ester VOC is associated with compositional shifts in the microbiome of obese NAFLD patients. These novel bacterial metabolomic and metagenomic factors are implicated in the etiology and complications of obesity.&lt;/p&gt;","container-title":"Clinical Gastroenterology and Hepatology","DOI":"10.1016/j.cgh.2013.02.015","ISSN":"1542-3565, 1542-7714","issue":"7","journalAbbreviation":"Clinical Gastroenterology and Hepatology","language":"English","page":"868-875.e3","source":"www.cghjournal.org","title":"Fecal Microbiome and Volatile Organic Compound Metabolome in Obese Humans With Nonalcoholic Fatty Liver Disease","volume":"11","author":[{"family":"Raman","given":"Maitreyi"},{"family":"Ahmed","given":"Iftikhar"},{"family":"Gillevet","given":"Patrick M."},{"family":"Probert","given":"Chris S."},{"family":"Ratcliffe","given":"Norman M."},{"family":"Smith","given":"Steve"},{"family":"Greenwood","given":"Rosemary"},{"family":"Sikaroodi","given":"Masoumeh"},{"family":"Lam","given":"Victor"},{"family":"Crotty","given":"Pam"},{"family":"Bailey","given":"Jennifer"},{"family":"Myers","given":"Robert P."},{"family":"Rioux","given":"Kevin P."}],"issued":{"date-parts":[["2013",7,1]]}}}],"schema":"https://github.com/citation-style-language/schema/raw/master/csl-citation.json"} </w:instrText>
            </w:r>
            <w:r w:rsidR="00FD01C5">
              <w:fldChar w:fldCharType="separate"/>
            </w:r>
            <w:r w:rsidR="00FD01C5" w:rsidRPr="00FD01C5">
              <w:t>[27]</w:t>
            </w:r>
            <w:r w:rsidR="00FD01C5">
              <w:fldChar w:fldCharType="end"/>
            </w:r>
            <w:r>
              <w:rPr>
                <w:rFonts w:ascii="Arial" w:eastAsia="Arial" w:hAnsi="Arial" w:cs="Arial"/>
                <w:sz w:val="22"/>
                <w:szCs w:val="22"/>
              </w:rPr>
              <w:t xml:space="preserve">. </w:t>
            </w:r>
          </w:p>
        </w:tc>
        <w:tc>
          <w:tcPr>
            <w:tcW w:w="6120" w:type="dxa"/>
            <w:shd w:val="clear" w:color="auto" w:fill="auto"/>
          </w:tcPr>
          <w:p w14:paraId="40980625" w14:textId="59A5618C" w:rsidR="00B8663F" w:rsidRDefault="007B1201" w:rsidP="005F7936">
            <w:pPr>
              <w:tabs>
                <w:tab w:val="left" w:pos="1271"/>
              </w:tabs>
              <w:rPr>
                <w:rFonts w:ascii="Arial" w:eastAsia="Arial" w:hAnsi="Arial" w:cs="Arial"/>
                <w:sz w:val="22"/>
                <w:szCs w:val="22"/>
              </w:rPr>
            </w:pPr>
            <w:r>
              <w:rPr>
                <w:rFonts w:ascii="Arial" w:eastAsia="Arial" w:hAnsi="Arial" w:cs="Arial"/>
                <w:sz w:val="22"/>
                <w:szCs w:val="22"/>
              </w:rPr>
              <w:t xml:space="preserve">A solvent involved in propanoate metabolism resulting in </w:t>
            </w:r>
            <w:proofErr w:type="spellStart"/>
            <w:r>
              <w:rPr>
                <w:rFonts w:ascii="Arial" w:eastAsia="Arial" w:hAnsi="Arial" w:cs="Arial"/>
                <w:sz w:val="22"/>
                <w:szCs w:val="22"/>
              </w:rPr>
              <w:t>propanal</w:t>
            </w:r>
            <w:proofErr w:type="spellEnd"/>
            <w:r>
              <w:rPr>
                <w:rFonts w:ascii="Arial" w:eastAsia="Arial" w:hAnsi="Arial" w:cs="Arial"/>
                <w:sz w:val="22"/>
                <w:szCs w:val="22"/>
              </w:rPr>
              <w:t xml:space="preserve"> (through KEGG </w:t>
            </w:r>
            <w:r w:rsidR="00FD01C5">
              <w:fldChar w:fldCharType="begin"/>
            </w:r>
            <w:r w:rsidR="00FD01C5">
              <w:instrText xml:space="preserve"> ADDIN ZOTERO_ITEM CSL_CITATION {"citationID":"TsuptN1Q","properties":{"formattedCitation":"[28]","plainCitation":"[28]","noteIndex":0},"citationItems":[{"id":1989,"uris":["http://zotero.org/users/4849999/items/QPZ7T7QT"],"uri":["http://zotero.org/users/4849999/items/QPZ7T7QT"],"itemData":{"id":1989,"type":"article-journal","abstract":"In this era of high-throughput biology, bioinformatics has become a major discipline for making sense out of large-scale datasets. Bioinformatics is usually considered as a practical field developing databases and software tools for supporting other fields, rather than a fundamental scientific discipline for uncovering principles of biology. The KEGG resource that we have been developing is a reference knowledge base for biological interpretation of genome sequences and other high-throughput data. It is now one of the most utilized biological databases because of its practical values. For me personally, KEGG is a step toward understanding the origin and evolution of cellular organisms.","container-title":"Protein Science: A Publication of the Protein Society","DOI":"10.1002/pro.3715","ISSN":"1469-896X","issue":"11","journalAbbreviation":"Protein Sci.","language":"eng","note":"PMID: 31441146\nPMCID: PMC6798127","page":"1947-1951","source":"PubMed","title":"Toward understanding the origin and evolution of cellular organisms","volume":"28","author":[{"family":"Kanehisa","given":"Minoru"}],"issued":{"date-parts":[["2019"]]}}}],"schema":"https://github.com/citation-style-language/schema/raw/master/csl-citation.json"} </w:instrText>
            </w:r>
            <w:r w:rsidR="00FD01C5">
              <w:fldChar w:fldCharType="separate"/>
            </w:r>
            <w:r w:rsidR="00FD01C5" w:rsidRPr="00FD01C5">
              <w:t>[28]</w:t>
            </w:r>
            <w:r w:rsidR="00FD01C5">
              <w:fldChar w:fldCharType="end"/>
            </w:r>
            <w:r>
              <w:rPr>
                <w:rFonts w:ascii="Arial" w:eastAsia="Arial" w:hAnsi="Arial" w:cs="Arial"/>
                <w:sz w:val="22"/>
                <w:szCs w:val="22"/>
              </w:rPr>
              <w:t xml:space="preserve">), which have been shown to be associated with inflammatory bowel disease. </w:t>
            </w:r>
          </w:p>
        </w:tc>
        <w:tc>
          <w:tcPr>
            <w:tcW w:w="1620" w:type="dxa"/>
            <w:shd w:val="clear" w:color="auto" w:fill="auto"/>
          </w:tcPr>
          <w:p w14:paraId="23309D19" w14:textId="77777777" w:rsidR="00B8663F" w:rsidRDefault="007B1201" w:rsidP="005F7936">
            <w:pPr>
              <w:rPr>
                <w:rFonts w:ascii="Arial" w:eastAsia="Arial" w:hAnsi="Arial" w:cs="Arial"/>
                <w:sz w:val="22"/>
                <w:szCs w:val="22"/>
              </w:rPr>
            </w:pPr>
            <w:r>
              <w:rPr>
                <w:rFonts w:ascii="Arial" w:eastAsia="Arial" w:hAnsi="Arial" w:cs="Arial"/>
                <w:sz w:val="22"/>
                <w:szCs w:val="22"/>
              </w:rPr>
              <w:t>HMDB01881</w:t>
            </w:r>
          </w:p>
        </w:tc>
      </w:tr>
    </w:tbl>
    <w:p w14:paraId="0C748816" w14:textId="77777777" w:rsidR="00B8663F" w:rsidRDefault="007B1201" w:rsidP="005F7936">
      <w:pPr>
        <w:rPr>
          <w:rFonts w:ascii="Arial" w:eastAsia="Arial" w:hAnsi="Arial" w:cs="Arial"/>
          <w:sz w:val="22"/>
          <w:szCs w:val="22"/>
        </w:rPr>
      </w:pPr>
      <w:r>
        <w:rPr>
          <w:rFonts w:ascii="Arial" w:eastAsia="Arial" w:hAnsi="Arial" w:cs="Arial"/>
          <w:sz w:val="22"/>
          <w:szCs w:val="22"/>
        </w:rPr>
        <w:t>* π-</w:t>
      </w:r>
      <w:proofErr w:type="spellStart"/>
      <w:r>
        <w:rPr>
          <w:rFonts w:ascii="Arial" w:eastAsia="Arial" w:hAnsi="Arial" w:cs="Arial"/>
          <w:sz w:val="22"/>
          <w:szCs w:val="22"/>
        </w:rPr>
        <w:t>Methylhistidine</w:t>
      </w:r>
      <w:proofErr w:type="spellEnd"/>
      <w:r>
        <w:rPr>
          <w:rFonts w:ascii="Arial" w:eastAsia="Arial" w:hAnsi="Arial" w:cs="Arial"/>
          <w:sz w:val="22"/>
          <w:szCs w:val="22"/>
        </w:rPr>
        <w:t xml:space="preserve"> is a histidine derivative</w:t>
      </w:r>
    </w:p>
    <w:p w14:paraId="332EDED5" w14:textId="77777777" w:rsidR="00D311ED" w:rsidRDefault="007B1201" w:rsidP="005F7936">
      <w:r>
        <w:rPr>
          <w:rFonts w:ascii="Arial" w:eastAsia="Arial" w:hAnsi="Arial" w:cs="Arial"/>
          <w:sz w:val="22"/>
          <w:szCs w:val="22"/>
        </w:rPr>
        <w:t>* HMDB ID: Human metabolome database ID</w:t>
      </w:r>
    </w:p>
    <w:p w14:paraId="0C266B10" w14:textId="77777777" w:rsidR="00D311ED" w:rsidRDefault="00D311ED" w:rsidP="005F7936"/>
    <w:p w14:paraId="11D8281A" w14:textId="77777777" w:rsidR="005F7936" w:rsidRDefault="005F7936" w:rsidP="005F7936">
      <w:pPr>
        <w:rPr>
          <w:rFonts w:ascii="Arial" w:eastAsia="Arial" w:hAnsi="Arial" w:cs="Arial"/>
          <w:b/>
          <w:sz w:val="22"/>
          <w:szCs w:val="22"/>
        </w:rPr>
      </w:pPr>
    </w:p>
    <w:p w14:paraId="59D56F13" w14:textId="77777777" w:rsidR="005F7936" w:rsidRDefault="005F7936" w:rsidP="005F7936">
      <w:pPr>
        <w:rPr>
          <w:rFonts w:ascii="Arial" w:eastAsia="Arial" w:hAnsi="Arial" w:cs="Arial"/>
          <w:b/>
          <w:sz w:val="22"/>
          <w:szCs w:val="22"/>
        </w:rPr>
      </w:pPr>
    </w:p>
    <w:p w14:paraId="319392E7" w14:textId="77777777" w:rsidR="005F7936" w:rsidRDefault="005F7936" w:rsidP="005F7936">
      <w:pPr>
        <w:rPr>
          <w:rFonts w:ascii="Arial" w:eastAsia="Arial" w:hAnsi="Arial" w:cs="Arial"/>
          <w:b/>
          <w:sz w:val="22"/>
          <w:szCs w:val="22"/>
        </w:rPr>
      </w:pPr>
    </w:p>
    <w:p w14:paraId="52EDD5D7" w14:textId="77777777" w:rsidR="005F7936" w:rsidRDefault="005F7936" w:rsidP="005F7936">
      <w:pPr>
        <w:rPr>
          <w:rFonts w:ascii="Arial" w:eastAsia="Arial" w:hAnsi="Arial" w:cs="Arial"/>
          <w:b/>
          <w:sz w:val="22"/>
          <w:szCs w:val="22"/>
        </w:rPr>
      </w:pPr>
    </w:p>
    <w:p w14:paraId="4A1633F2" w14:textId="77777777" w:rsidR="005F7936" w:rsidRDefault="005F7936" w:rsidP="005F7936">
      <w:pPr>
        <w:rPr>
          <w:rFonts w:ascii="Arial" w:eastAsia="Arial" w:hAnsi="Arial" w:cs="Arial"/>
          <w:b/>
          <w:sz w:val="22"/>
          <w:szCs w:val="22"/>
        </w:rPr>
      </w:pPr>
    </w:p>
    <w:p w14:paraId="643BBC93" w14:textId="77777777" w:rsidR="005F7936" w:rsidRDefault="005F7936" w:rsidP="005F7936">
      <w:pPr>
        <w:rPr>
          <w:rFonts w:ascii="Arial" w:eastAsia="Arial" w:hAnsi="Arial" w:cs="Arial"/>
          <w:b/>
          <w:sz w:val="22"/>
          <w:szCs w:val="22"/>
        </w:rPr>
      </w:pPr>
    </w:p>
    <w:p w14:paraId="36FC9CA0" w14:textId="77777777" w:rsidR="005F7936" w:rsidRDefault="005F7936" w:rsidP="005F7936">
      <w:pPr>
        <w:rPr>
          <w:rFonts w:ascii="Arial" w:eastAsia="Arial" w:hAnsi="Arial" w:cs="Arial"/>
          <w:b/>
          <w:sz w:val="22"/>
          <w:szCs w:val="22"/>
        </w:rPr>
      </w:pPr>
    </w:p>
    <w:p w14:paraId="7BFA1455" w14:textId="77777777" w:rsidR="005F7936" w:rsidRDefault="005F7936" w:rsidP="005F7936">
      <w:pPr>
        <w:rPr>
          <w:rFonts w:ascii="Arial" w:eastAsia="Arial" w:hAnsi="Arial" w:cs="Arial"/>
          <w:b/>
          <w:sz w:val="22"/>
          <w:szCs w:val="22"/>
        </w:rPr>
      </w:pPr>
    </w:p>
    <w:p w14:paraId="2AAF07B4" w14:textId="77777777" w:rsidR="005F7936" w:rsidRDefault="005F7936" w:rsidP="005F7936">
      <w:pPr>
        <w:rPr>
          <w:rFonts w:ascii="Arial" w:eastAsia="Arial" w:hAnsi="Arial" w:cs="Arial"/>
          <w:b/>
          <w:sz w:val="22"/>
          <w:szCs w:val="22"/>
        </w:rPr>
      </w:pPr>
    </w:p>
    <w:p w14:paraId="5468C6C5" w14:textId="77777777" w:rsidR="005F7936" w:rsidRDefault="005F7936" w:rsidP="005F7936">
      <w:pPr>
        <w:rPr>
          <w:rFonts w:ascii="Arial" w:eastAsia="Arial" w:hAnsi="Arial" w:cs="Arial"/>
          <w:b/>
          <w:sz w:val="22"/>
          <w:szCs w:val="22"/>
        </w:rPr>
      </w:pPr>
    </w:p>
    <w:p w14:paraId="21C3D5A6" w14:textId="77777777" w:rsidR="005F7936" w:rsidRDefault="005F7936" w:rsidP="005F7936">
      <w:pPr>
        <w:rPr>
          <w:rFonts w:ascii="Arial" w:eastAsia="Arial" w:hAnsi="Arial" w:cs="Arial"/>
          <w:b/>
          <w:sz w:val="22"/>
          <w:szCs w:val="22"/>
        </w:rPr>
      </w:pPr>
    </w:p>
    <w:p w14:paraId="1021B1C0" w14:textId="77777777" w:rsidR="005F7936" w:rsidRDefault="005F7936" w:rsidP="005F7936">
      <w:pPr>
        <w:rPr>
          <w:rFonts w:ascii="Arial" w:eastAsia="Arial" w:hAnsi="Arial" w:cs="Arial"/>
          <w:b/>
          <w:sz w:val="22"/>
          <w:szCs w:val="22"/>
        </w:rPr>
      </w:pPr>
    </w:p>
    <w:p w14:paraId="3BAD6030" w14:textId="77777777" w:rsidR="005F7936" w:rsidRDefault="005F7936" w:rsidP="005F7936">
      <w:pPr>
        <w:rPr>
          <w:rFonts w:ascii="Arial" w:eastAsia="Arial" w:hAnsi="Arial" w:cs="Arial"/>
          <w:b/>
          <w:sz w:val="22"/>
          <w:szCs w:val="22"/>
        </w:rPr>
      </w:pPr>
    </w:p>
    <w:p w14:paraId="15C09C68" w14:textId="77777777" w:rsidR="00B8663F" w:rsidRDefault="007B1201" w:rsidP="005F7936">
      <w:pPr>
        <w:rPr>
          <w:rFonts w:ascii="Arial" w:eastAsia="Arial" w:hAnsi="Arial" w:cs="Arial"/>
          <w:b/>
          <w:sz w:val="22"/>
          <w:szCs w:val="22"/>
        </w:rPr>
      </w:pPr>
      <w:r>
        <w:br w:type="page"/>
      </w:r>
    </w:p>
    <w:p w14:paraId="193D0213" w14:textId="77777777" w:rsidR="00B8663F" w:rsidRDefault="007B1201" w:rsidP="005F7936">
      <w:pPr>
        <w:pBdr>
          <w:top w:val="nil"/>
          <w:left w:val="nil"/>
          <w:bottom w:val="nil"/>
          <w:right w:val="nil"/>
          <w:between w:val="nil"/>
        </w:pBdr>
        <w:spacing w:after="240"/>
        <w:rPr>
          <w:rFonts w:ascii="Arial" w:eastAsia="Arial" w:hAnsi="Arial" w:cs="Arial"/>
          <w:b/>
          <w:color w:val="000000"/>
          <w:sz w:val="22"/>
          <w:szCs w:val="22"/>
        </w:rPr>
      </w:pPr>
      <w:bookmarkStart w:id="0" w:name="_30j0zll" w:colFirst="0" w:colLast="0"/>
      <w:bookmarkEnd w:id="0"/>
      <w:r>
        <w:rPr>
          <w:rFonts w:ascii="Arial" w:eastAsia="Arial" w:hAnsi="Arial" w:cs="Arial"/>
          <w:b/>
          <w:color w:val="000000"/>
          <w:sz w:val="22"/>
          <w:szCs w:val="22"/>
        </w:rPr>
        <w:lastRenderedPageBreak/>
        <w:t>References</w:t>
      </w:r>
    </w:p>
    <w:p w14:paraId="1A8CE880" w14:textId="77777777" w:rsidR="00FD01C5" w:rsidRPr="00FD01C5" w:rsidRDefault="00FD01C5" w:rsidP="005F7936">
      <w:pPr>
        <w:pStyle w:val="Bibliography"/>
      </w:pPr>
      <w:r>
        <w:fldChar w:fldCharType="begin"/>
      </w:r>
      <w:r>
        <w:instrText xml:space="preserve"> ADDIN ZOTERO_BIBL {"uncited":[],"omitted":[],"custom":[]} CSL_BIBLIOGRAPHY </w:instrText>
      </w:r>
      <w:r>
        <w:fldChar w:fldCharType="separate"/>
      </w:r>
      <w:r w:rsidRPr="00FD01C5">
        <w:t>1. Nicholson JK, Holmes E, Kinross J, Burcelin R, Gibson G, Jia W, et al. Host-Gut Microbiota Metabolic Interactions. Science. 2012;336:1262–7.</w:t>
      </w:r>
    </w:p>
    <w:p w14:paraId="2AC0299A" w14:textId="77777777" w:rsidR="00FD01C5" w:rsidRPr="00FD01C5" w:rsidRDefault="00FD01C5" w:rsidP="005F7936">
      <w:pPr>
        <w:pStyle w:val="Bibliography"/>
      </w:pPr>
      <w:r w:rsidRPr="00FD01C5">
        <w:t>2. Portune KJ, Beaumont M, Davila A-M, Tomé D, Blachier F, Sanz Y. Gut microbiota role in dietary protein metabolism and health-related outcomes: The two sides of the coin. Trends Food Sci Technol. 2016;57:213–32.</w:t>
      </w:r>
    </w:p>
    <w:p w14:paraId="2908CE24" w14:textId="77777777" w:rsidR="00FD01C5" w:rsidRPr="00FD01C5" w:rsidRDefault="00FD01C5" w:rsidP="005F7936">
      <w:pPr>
        <w:pStyle w:val="Bibliography"/>
      </w:pPr>
      <w:r w:rsidRPr="00FD01C5">
        <w:t>3. Pugin B, Barcik W, Westermann P, Heider A, Wawrzyniak M, Hellings P, et al. A wide diversity of bacteria from the human gut produces and degrades biogenic amines. Microb Ecol Health Dis. 2017;28:1353881.</w:t>
      </w:r>
    </w:p>
    <w:p w14:paraId="51D902B5" w14:textId="77777777" w:rsidR="00FD01C5" w:rsidRPr="00FD01C5" w:rsidRDefault="00FD01C5" w:rsidP="005F7936">
      <w:pPr>
        <w:pStyle w:val="Bibliography"/>
      </w:pPr>
      <w:r w:rsidRPr="00FD01C5">
        <w:t>4. Li M, Wang B, Zhang M, Rantalainen M, Wang S, Zhou H, et al. Symbiotic gut microbes modulate human metabolic phenotypes. Proc Natl Acad Sci. 2008;105:2117–22.</w:t>
      </w:r>
    </w:p>
    <w:p w14:paraId="0D49CC79" w14:textId="77777777" w:rsidR="00FD01C5" w:rsidRPr="00FD01C5" w:rsidRDefault="00FD01C5" w:rsidP="005F7936">
      <w:pPr>
        <w:pStyle w:val="Bibliography"/>
      </w:pPr>
      <w:r w:rsidRPr="00FD01C5">
        <w:t>5. Oliphant K, Allen-Vercoe E. Macronutrient metabolism by the human gut microbiome: major fermentation by-products and their impact on host health. Microbiome. 2019;7:91.</w:t>
      </w:r>
    </w:p>
    <w:p w14:paraId="6335F4F4" w14:textId="77777777" w:rsidR="00FD01C5" w:rsidRPr="00FD01C5" w:rsidRDefault="00FD01C5" w:rsidP="005F7936">
      <w:pPr>
        <w:pStyle w:val="Bibliography"/>
      </w:pPr>
      <w:r w:rsidRPr="00FD01C5">
        <w:t>6. Thomas CM, Hong T, van Pijkeren JP, Hemarajata P, Trinh DV, Hu W, et al. Histamine derived from probiotic Lactobacillus reuteri suppresses TNF via modulation of PKA and ERK signaling. PloS One. 2012;7:e31951.</w:t>
      </w:r>
    </w:p>
    <w:p w14:paraId="28031AEB" w14:textId="77777777" w:rsidR="00FD01C5" w:rsidRPr="00FD01C5" w:rsidRDefault="00FD01C5" w:rsidP="005F7936">
      <w:pPr>
        <w:pStyle w:val="Bibliography"/>
      </w:pPr>
      <w:r w:rsidRPr="00FD01C5">
        <w:t>7. Le Gall G, Noor SO, Ridgway K, Scovell L, Jamieson C, Johnson IT, et al. Metabolomics of fecal extracts detects altered metabolic activity of gut microbiota in ulcerative colitis and irritable bowel syndrome. J Proteome Res. 2011;10:4208–18.</w:t>
      </w:r>
    </w:p>
    <w:p w14:paraId="1A2C80E4" w14:textId="77777777" w:rsidR="00FD01C5" w:rsidRPr="00FD01C5" w:rsidRDefault="00FD01C5" w:rsidP="005F7936">
      <w:pPr>
        <w:pStyle w:val="Bibliography"/>
      </w:pPr>
      <w:r w:rsidRPr="00FD01C5">
        <w:t>8. Gao J, Xu K, Liu H, Liu G, Bai M, Peng C, et al. Impact of the Gut Microbiota on Intestinal Immunity Mediated by Tryptophan Metabolism. Front Cell Infect Microbiol. 2018;8:13.</w:t>
      </w:r>
    </w:p>
    <w:p w14:paraId="3859644D" w14:textId="77777777" w:rsidR="00FD01C5" w:rsidRPr="00FD01C5" w:rsidRDefault="00FD01C5" w:rsidP="005F7936">
      <w:pPr>
        <w:pStyle w:val="Bibliography"/>
      </w:pPr>
      <w:r w:rsidRPr="00FD01C5">
        <w:t>9. Ridlon JM, Kang DJ, Hylemon PB, Bajaj JS. Bile Acids and the Gut Microbiome. Curr Opin Gastroenterol. 2014;30:332–8.</w:t>
      </w:r>
    </w:p>
    <w:p w14:paraId="58699DA9" w14:textId="77777777" w:rsidR="00FD01C5" w:rsidRPr="00FD01C5" w:rsidRDefault="00FD01C5" w:rsidP="005F7936">
      <w:pPr>
        <w:pStyle w:val="Bibliography"/>
      </w:pPr>
      <w:r w:rsidRPr="00FD01C5">
        <w:t>10. Islam KBMS, Fukiya S, Hagio M, Fujii N, Ishizuka S, Ooka T, et al. Bile acid is a host factor that regulates the composition of the cecal microbiota in rats. Gastroenterology. 2011;141:1773–81.</w:t>
      </w:r>
    </w:p>
    <w:p w14:paraId="66D2455E" w14:textId="77777777" w:rsidR="00FD01C5" w:rsidRPr="00FD01C5" w:rsidRDefault="00FD01C5" w:rsidP="005F7936">
      <w:pPr>
        <w:pStyle w:val="Bibliography"/>
      </w:pPr>
      <w:r w:rsidRPr="00FD01C5">
        <w:t>11. Kawamata Y, Fujii R, Hosoya M, Harada M, Yoshida H, Miwa M, et al. A G protein-coupled receptor responsive to bile acids. J Biol Chem. 2003;278:9435–40.</w:t>
      </w:r>
    </w:p>
    <w:p w14:paraId="2BBC1359" w14:textId="77777777" w:rsidR="00FD01C5" w:rsidRPr="00FD01C5" w:rsidRDefault="00FD01C5" w:rsidP="005F7936">
      <w:pPr>
        <w:pStyle w:val="Bibliography"/>
      </w:pPr>
      <w:r w:rsidRPr="00FD01C5">
        <w:t>12. Hylemon PB, Zhou H, Pandak WM, Ren S, Gil G, Dent P. Bile acids as regulatory molecules. J Lipid Res. 2009;50:1509–20.</w:t>
      </w:r>
    </w:p>
    <w:p w14:paraId="693EFBE5" w14:textId="77777777" w:rsidR="00FD01C5" w:rsidRPr="00FD01C5" w:rsidRDefault="00FD01C5" w:rsidP="005F7936">
      <w:pPr>
        <w:pStyle w:val="Bibliography"/>
      </w:pPr>
      <w:r w:rsidRPr="00FD01C5">
        <w:t>13. Yoshimoto S, Loo TM, Atarashi K, Kanda H, Sato S, Oyadomari S, et al. Obesity-induced gut microbial metabolite promotes liver cancer through senescence secretome. Nature. 2013;499:97–101.</w:t>
      </w:r>
    </w:p>
    <w:p w14:paraId="305273BB" w14:textId="77777777" w:rsidR="00FD01C5" w:rsidRPr="00FD01C5" w:rsidRDefault="00FD01C5" w:rsidP="005F7936">
      <w:pPr>
        <w:pStyle w:val="Bibliography"/>
      </w:pPr>
      <w:r w:rsidRPr="00FD01C5">
        <w:lastRenderedPageBreak/>
        <w:t>14. Xu J, Bjursell MK, Himrod J, Deng S, Carmichael LK, Chiang HC, et al. A genomic view of the human-Bacteroides thetaiotaomicron symbiosis. Science. 2003;299:2074–6.</w:t>
      </w:r>
    </w:p>
    <w:p w14:paraId="662EAA38" w14:textId="77777777" w:rsidR="00FD01C5" w:rsidRPr="00FD01C5" w:rsidRDefault="00FD01C5" w:rsidP="005F7936">
      <w:pPr>
        <w:pStyle w:val="Bibliography"/>
      </w:pPr>
      <w:r w:rsidRPr="00FD01C5">
        <w:t>15. Pickard JM, Chervonsky AV. Intestinal fucose as a mediator of host-microbe symbiosis. J Immunol Baltim Md 1950. 2015;194:5588–93.</w:t>
      </w:r>
    </w:p>
    <w:p w14:paraId="274505A8" w14:textId="77777777" w:rsidR="00FD01C5" w:rsidRPr="00FD01C5" w:rsidRDefault="00FD01C5" w:rsidP="005F7936">
      <w:pPr>
        <w:pStyle w:val="Bibliography"/>
      </w:pPr>
      <w:r w:rsidRPr="00FD01C5">
        <w:t>16. Zhang J, Sturla S, Lacroix C, Schwab C. Gut Microbial Glycerol Metabolism as an Endogenous Acrolein Source. mBio. 2018;9. doi:10.1128/mBio.01947-17.</w:t>
      </w:r>
    </w:p>
    <w:p w14:paraId="1DF6B34F" w14:textId="77777777" w:rsidR="00FD01C5" w:rsidRPr="00FD01C5" w:rsidRDefault="00FD01C5" w:rsidP="005F7936">
      <w:pPr>
        <w:pStyle w:val="Bibliography"/>
      </w:pPr>
      <w:r w:rsidRPr="00FD01C5">
        <w:t>17. Hughes ER, Winter MG, Duerkop BA, Spiga L, de Carvalho TF, Zhu W, et al. Microbial respiration and formate oxidation as metabolic signatures of inflammation-associated dysbiosis. Cell Host Microbe. 2017;21:208–19.</w:t>
      </w:r>
    </w:p>
    <w:p w14:paraId="1C4996CC" w14:textId="77777777" w:rsidR="00FD01C5" w:rsidRPr="00FD01C5" w:rsidRDefault="00FD01C5" w:rsidP="005F7936">
      <w:pPr>
        <w:pStyle w:val="Bibliography"/>
      </w:pPr>
      <w:r w:rsidRPr="00FD01C5">
        <w:t>18. Pessione E. Lactic acid bacteria contribution to gut microbiota complexity: lights and shadows. Front Cell Infect Microbiol. 2012;2. doi:10.3389/fcimb.2012.00086.</w:t>
      </w:r>
    </w:p>
    <w:p w14:paraId="4E2AD352" w14:textId="77777777" w:rsidR="00FD01C5" w:rsidRPr="00FD01C5" w:rsidRDefault="00FD01C5" w:rsidP="005F7936">
      <w:pPr>
        <w:pStyle w:val="Bibliography"/>
      </w:pPr>
      <w:r w:rsidRPr="00FD01C5">
        <w:t>19. Kröger A, Geisler V, Lemma E, Theis F, Lenger R. Bacterial fumarate respiration. Arch Microbiol. 1992;158:311–4.</w:t>
      </w:r>
    </w:p>
    <w:p w14:paraId="5BF9C801" w14:textId="77777777" w:rsidR="00FD01C5" w:rsidRPr="00FD01C5" w:rsidRDefault="00FD01C5" w:rsidP="005F7936">
      <w:pPr>
        <w:pStyle w:val="Bibliography"/>
      </w:pPr>
      <w:r w:rsidRPr="00FD01C5">
        <w:t>20. El Aidy S, Derrien M, Merrifield CA, Levenez F, Doré J, Boekschoten MV, et al. Gut bacteria–host metabolic interplay during conventionalisation of the mouse germfree colon. ISME J. 2013;7:743–55.</w:t>
      </w:r>
    </w:p>
    <w:p w14:paraId="187AB8B0" w14:textId="77777777" w:rsidR="00FD01C5" w:rsidRPr="00FD01C5" w:rsidRDefault="00FD01C5" w:rsidP="005F7936">
      <w:pPr>
        <w:pStyle w:val="Bibliography"/>
      </w:pPr>
      <w:r w:rsidRPr="00FD01C5">
        <w:t>21. Reese AT, Cho EH, Klitzman B, Nichols SP, Wisniewski NA, Villa MM, et al. Antibiotic-induced changes in the microbiota disrupt redox dynamics in the gut. eLife. 2018;7:e35987.</w:t>
      </w:r>
    </w:p>
    <w:p w14:paraId="370C081D" w14:textId="77777777" w:rsidR="00FD01C5" w:rsidRPr="00FD01C5" w:rsidRDefault="00FD01C5" w:rsidP="005F7936">
      <w:pPr>
        <w:pStyle w:val="Bibliography"/>
      </w:pPr>
      <w:r w:rsidRPr="00FD01C5">
        <w:t>22. Garrote GL, Abraham AG, Rumbo M. Is lactate an undervalued functional component of fermented food products? Front Microbiol. 2015;6. doi:10.3389/fmicb.2015.00629.</w:t>
      </w:r>
    </w:p>
    <w:p w14:paraId="63A001A5" w14:textId="77777777" w:rsidR="00FD01C5" w:rsidRPr="00FD01C5" w:rsidRDefault="00FD01C5" w:rsidP="005F7936">
      <w:pPr>
        <w:pStyle w:val="Bibliography"/>
      </w:pPr>
      <w:r w:rsidRPr="00FD01C5">
        <w:t>23. Doo E-H, Chassard C, Schwab C, Lacroix C. Effect of dietary nucleosides and yeast extracts on composition and metabolic activity of infant gut microbiota in PolyFermS colonic fermentation models. FEMS Microbiol Ecol. 2017;93.</w:t>
      </w:r>
    </w:p>
    <w:p w14:paraId="0C6C113A" w14:textId="77777777" w:rsidR="00FD01C5" w:rsidRPr="00FD01C5" w:rsidRDefault="00FD01C5" w:rsidP="005F7936">
      <w:pPr>
        <w:pStyle w:val="Bibliography"/>
      </w:pPr>
      <w:r w:rsidRPr="00FD01C5">
        <w:t>24. Waititu SM, Yin F, Patterson R, Yitbarek A, Rodriguez-Lecompte JC, Nyachoti CM. Dietary supplementation with a nucleotide-rich yeast extract modulates gut immune response and microflora in weaned pigs in response to a sanitary challenge. Anim Int J Anim Biosci. 2017;11:2156–64.</w:t>
      </w:r>
    </w:p>
    <w:p w14:paraId="28DDA255" w14:textId="77777777" w:rsidR="00FD01C5" w:rsidRPr="00FD01C5" w:rsidRDefault="00FD01C5" w:rsidP="005F7936">
      <w:pPr>
        <w:pStyle w:val="Bibliography"/>
      </w:pPr>
      <w:r w:rsidRPr="00FD01C5">
        <w:t>25. Sato N, Nakano T, Kawakami H, Idota T. In vitro and in vivo effects of exogenous nucleotides on the proliferation and maturation of intestinal epithelial cells. J Nutr Sci Vitaminol (Tokyo). 1999;45:107–18.</w:t>
      </w:r>
    </w:p>
    <w:p w14:paraId="59A95C90" w14:textId="77777777" w:rsidR="00FD01C5" w:rsidRPr="00FD01C5" w:rsidRDefault="00FD01C5" w:rsidP="005F7936">
      <w:pPr>
        <w:pStyle w:val="Bibliography"/>
      </w:pPr>
      <w:r w:rsidRPr="00FD01C5">
        <w:t>26. LeBlanc JG, Milani C, de Giori GS, Sesma F, van Sinderen D, Ventura M. Bacteria as vitamin suppliers to their host: a gut microbiota perspective. Curr Opin Biotechnol. 2013;24:160–8.</w:t>
      </w:r>
    </w:p>
    <w:p w14:paraId="5150D74E" w14:textId="77777777" w:rsidR="00FD01C5" w:rsidRPr="00FD01C5" w:rsidRDefault="00FD01C5" w:rsidP="005F7936">
      <w:pPr>
        <w:pStyle w:val="Bibliography"/>
      </w:pPr>
      <w:r w:rsidRPr="00FD01C5">
        <w:t>27. Raman M, Ahmed I, Gillevet PM, Probert CS, Ratcliffe NM, Smith S, et al. Fecal Microbiome and Volatile Organic Compound Metabolome in Obese Humans With Nonalcoholic Fatty Liver Disease. Clin Gastroenterol Hepatol. 2013;11:868-875.e3.</w:t>
      </w:r>
    </w:p>
    <w:p w14:paraId="2560A0C2" w14:textId="77777777" w:rsidR="00FD01C5" w:rsidRPr="00FD01C5" w:rsidRDefault="00FD01C5" w:rsidP="005F7936">
      <w:pPr>
        <w:pStyle w:val="Bibliography"/>
      </w:pPr>
      <w:r w:rsidRPr="00FD01C5">
        <w:lastRenderedPageBreak/>
        <w:t>28. Kanehisa M. Toward understanding the origin and evolution of cellular organisms. Protein Sci Publ Protein Soc. 2019;28:1947–51.</w:t>
      </w:r>
    </w:p>
    <w:p w14:paraId="54854088" w14:textId="0F9C2185" w:rsidR="00B8663F" w:rsidRDefault="00FD01C5" w:rsidP="005F7936">
      <w:pPr>
        <w:widowControl w:val="0"/>
        <w:pBdr>
          <w:top w:val="nil"/>
          <w:left w:val="nil"/>
          <w:bottom w:val="nil"/>
          <w:right w:val="nil"/>
          <w:between w:val="nil"/>
        </w:pBdr>
        <w:rPr>
          <w:rFonts w:ascii="Arial" w:eastAsia="Arial" w:hAnsi="Arial" w:cs="Arial"/>
          <w:color w:val="000000"/>
          <w:sz w:val="22"/>
          <w:szCs w:val="22"/>
        </w:rPr>
      </w:pPr>
      <w:r>
        <w:fldChar w:fldCharType="end"/>
      </w:r>
    </w:p>
    <w:p w14:paraId="17099300" w14:textId="77777777" w:rsidR="00B8663F" w:rsidRDefault="00B8663F" w:rsidP="005F7936">
      <w:pPr>
        <w:widowControl w:val="0"/>
        <w:pBdr>
          <w:top w:val="nil"/>
          <w:left w:val="nil"/>
          <w:bottom w:val="nil"/>
          <w:right w:val="nil"/>
          <w:between w:val="nil"/>
        </w:pBdr>
        <w:rPr>
          <w:rFonts w:ascii="Arial" w:eastAsia="Arial" w:hAnsi="Arial" w:cs="Arial"/>
          <w:color w:val="000000"/>
          <w:sz w:val="22"/>
          <w:szCs w:val="22"/>
        </w:rPr>
      </w:pPr>
    </w:p>
    <w:p w14:paraId="6559288F" w14:textId="7E43A68E" w:rsidR="00B8663F" w:rsidRDefault="00B8663F" w:rsidP="005F7936">
      <w:pPr>
        <w:widowControl w:val="0"/>
        <w:pBdr>
          <w:top w:val="nil"/>
          <w:left w:val="nil"/>
          <w:bottom w:val="nil"/>
          <w:right w:val="nil"/>
          <w:between w:val="nil"/>
        </w:pBdr>
        <w:rPr>
          <w:rFonts w:ascii="Arial" w:eastAsia="Arial" w:hAnsi="Arial" w:cs="Arial"/>
          <w:color w:val="000000"/>
          <w:sz w:val="22"/>
          <w:szCs w:val="22"/>
        </w:rPr>
      </w:pPr>
    </w:p>
    <w:sectPr w:rsidR="00B8663F" w:rsidSect="005F7936">
      <w:pgSz w:w="15840" w:h="12240" w:orient="landscape" w:code="1"/>
      <w:pgMar w:top="720" w:right="720" w:bottom="720" w:left="720" w:header="0" w:footer="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63F"/>
    <w:rsid w:val="00002617"/>
    <w:rsid w:val="000725A3"/>
    <w:rsid w:val="00090405"/>
    <w:rsid w:val="00170C9B"/>
    <w:rsid w:val="001971E2"/>
    <w:rsid w:val="002C3E4C"/>
    <w:rsid w:val="00313A0F"/>
    <w:rsid w:val="003662A1"/>
    <w:rsid w:val="00374634"/>
    <w:rsid w:val="004D55A9"/>
    <w:rsid w:val="004D5C39"/>
    <w:rsid w:val="005F7936"/>
    <w:rsid w:val="00680097"/>
    <w:rsid w:val="006812F9"/>
    <w:rsid w:val="0068223F"/>
    <w:rsid w:val="00683F4F"/>
    <w:rsid w:val="006A181E"/>
    <w:rsid w:val="007B1201"/>
    <w:rsid w:val="007C0E2C"/>
    <w:rsid w:val="008C1D57"/>
    <w:rsid w:val="008E2694"/>
    <w:rsid w:val="00943578"/>
    <w:rsid w:val="00A52975"/>
    <w:rsid w:val="00A93361"/>
    <w:rsid w:val="00B8663F"/>
    <w:rsid w:val="00B9431D"/>
    <w:rsid w:val="00BA3A4C"/>
    <w:rsid w:val="00BE6436"/>
    <w:rsid w:val="00D311ED"/>
    <w:rsid w:val="00DC600F"/>
    <w:rsid w:val="00E01344"/>
    <w:rsid w:val="00F84845"/>
    <w:rsid w:val="00FD0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65208"/>
  <w15:docId w15:val="{4BB88700-F9CA-46D5-BA7A-EC13C343A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3" w:type="dxa"/>
        <w:right w:w="115" w:type="dxa"/>
      </w:tblCellMar>
    </w:tblPr>
    <w:tcPr>
      <w:shd w:val="clear" w:color="auto" w:fill="EDEDED"/>
    </w:tcPr>
  </w:style>
  <w:style w:type="paragraph" w:styleId="Bibliography">
    <w:name w:val="Bibliography"/>
    <w:basedOn w:val="Normal"/>
    <w:next w:val="Normal"/>
    <w:uiPriority w:val="37"/>
    <w:unhideWhenUsed/>
    <w:rsid w:val="00FD01C5"/>
    <w:pPr>
      <w:spacing w:after="240"/>
    </w:pPr>
  </w:style>
  <w:style w:type="paragraph" w:styleId="BalloonText">
    <w:name w:val="Balloon Text"/>
    <w:basedOn w:val="Normal"/>
    <w:link w:val="BalloonTextChar"/>
    <w:uiPriority w:val="99"/>
    <w:semiHidden/>
    <w:unhideWhenUsed/>
    <w:rsid w:val="00FD01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01C5"/>
    <w:rPr>
      <w:rFonts w:ascii="Segoe UI" w:hAnsi="Segoe UI" w:cs="Segoe UI"/>
      <w:sz w:val="18"/>
      <w:szCs w:val="18"/>
    </w:rPr>
  </w:style>
  <w:style w:type="character" w:styleId="CommentReference">
    <w:name w:val="annotation reference"/>
    <w:basedOn w:val="DefaultParagraphFont"/>
    <w:uiPriority w:val="99"/>
    <w:semiHidden/>
    <w:unhideWhenUsed/>
    <w:rsid w:val="00002617"/>
    <w:rPr>
      <w:sz w:val="16"/>
      <w:szCs w:val="16"/>
    </w:rPr>
  </w:style>
  <w:style w:type="paragraph" w:styleId="CommentText">
    <w:name w:val="annotation text"/>
    <w:basedOn w:val="Normal"/>
    <w:link w:val="CommentTextChar"/>
    <w:uiPriority w:val="99"/>
    <w:semiHidden/>
    <w:unhideWhenUsed/>
    <w:rsid w:val="00002617"/>
    <w:rPr>
      <w:sz w:val="20"/>
      <w:szCs w:val="20"/>
    </w:rPr>
  </w:style>
  <w:style w:type="character" w:customStyle="1" w:styleId="CommentTextChar">
    <w:name w:val="Comment Text Char"/>
    <w:basedOn w:val="DefaultParagraphFont"/>
    <w:link w:val="CommentText"/>
    <w:uiPriority w:val="99"/>
    <w:semiHidden/>
    <w:rsid w:val="00002617"/>
    <w:rPr>
      <w:sz w:val="20"/>
      <w:szCs w:val="20"/>
    </w:rPr>
  </w:style>
  <w:style w:type="paragraph" w:styleId="CommentSubject">
    <w:name w:val="annotation subject"/>
    <w:basedOn w:val="CommentText"/>
    <w:next w:val="CommentText"/>
    <w:link w:val="CommentSubjectChar"/>
    <w:uiPriority w:val="99"/>
    <w:semiHidden/>
    <w:unhideWhenUsed/>
    <w:rsid w:val="00002617"/>
    <w:rPr>
      <w:b/>
      <w:bCs/>
    </w:rPr>
  </w:style>
  <w:style w:type="character" w:customStyle="1" w:styleId="CommentSubjectChar">
    <w:name w:val="Comment Subject Char"/>
    <w:basedOn w:val="CommentTextChar"/>
    <w:link w:val="CommentSubject"/>
    <w:uiPriority w:val="99"/>
    <w:semiHidden/>
    <w:rsid w:val="00002617"/>
    <w:rPr>
      <w:b/>
      <w:bCs/>
      <w:sz w:val="20"/>
      <w:szCs w:val="20"/>
    </w:rPr>
  </w:style>
  <w:style w:type="character" w:styleId="LineNumber">
    <w:name w:val="line number"/>
    <w:basedOn w:val="DefaultParagraphFont"/>
    <w:uiPriority w:val="99"/>
    <w:semiHidden/>
    <w:unhideWhenUsed/>
    <w:rsid w:val="008E2694"/>
  </w:style>
  <w:style w:type="table" w:styleId="TableGrid">
    <w:name w:val="Table Grid"/>
    <w:basedOn w:val="TableNormal"/>
    <w:uiPriority w:val="39"/>
    <w:rsid w:val="005F7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22776">
      <w:bodyDiv w:val="1"/>
      <w:marLeft w:val="0"/>
      <w:marRight w:val="0"/>
      <w:marTop w:val="0"/>
      <w:marBottom w:val="0"/>
      <w:divBdr>
        <w:top w:val="none" w:sz="0" w:space="0" w:color="auto"/>
        <w:left w:val="none" w:sz="0" w:space="0" w:color="auto"/>
        <w:bottom w:val="none" w:sz="0" w:space="0" w:color="auto"/>
        <w:right w:val="none" w:sz="0" w:space="0" w:color="auto"/>
      </w:divBdr>
    </w:div>
    <w:div w:id="196309664">
      <w:bodyDiv w:val="1"/>
      <w:marLeft w:val="0"/>
      <w:marRight w:val="0"/>
      <w:marTop w:val="0"/>
      <w:marBottom w:val="0"/>
      <w:divBdr>
        <w:top w:val="none" w:sz="0" w:space="0" w:color="auto"/>
        <w:left w:val="none" w:sz="0" w:space="0" w:color="auto"/>
        <w:bottom w:val="none" w:sz="0" w:space="0" w:color="auto"/>
        <w:right w:val="none" w:sz="0" w:space="0" w:color="auto"/>
      </w:divBdr>
    </w:div>
    <w:div w:id="378549629">
      <w:bodyDiv w:val="1"/>
      <w:marLeft w:val="0"/>
      <w:marRight w:val="0"/>
      <w:marTop w:val="0"/>
      <w:marBottom w:val="0"/>
      <w:divBdr>
        <w:top w:val="none" w:sz="0" w:space="0" w:color="auto"/>
        <w:left w:val="none" w:sz="0" w:space="0" w:color="auto"/>
        <w:bottom w:val="none" w:sz="0" w:space="0" w:color="auto"/>
        <w:right w:val="none" w:sz="0" w:space="0" w:color="auto"/>
      </w:divBdr>
    </w:div>
    <w:div w:id="465900625">
      <w:bodyDiv w:val="1"/>
      <w:marLeft w:val="0"/>
      <w:marRight w:val="0"/>
      <w:marTop w:val="0"/>
      <w:marBottom w:val="0"/>
      <w:divBdr>
        <w:top w:val="none" w:sz="0" w:space="0" w:color="auto"/>
        <w:left w:val="none" w:sz="0" w:space="0" w:color="auto"/>
        <w:bottom w:val="none" w:sz="0" w:space="0" w:color="auto"/>
        <w:right w:val="none" w:sz="0" w:space="0" w:color="auto"/>
      </w:divBdr>
    </w:div>
    <w:div w:id="954872845">
      <w:bodyDiv w:val="1"/>
      <w:marLeft w:val="0"/>
      <w:marRight w:val="0"/>
      <w:marTop w:val="0"/>
      <w:marBottom w:val="0"/>
      <w:divBdr>
        <w:top w:val="none" w:sz="0" w:space="0" w:color="auto"/>
        <w:left w:val="none" w:sz="0" w:space="0" w:color="auto"/>
        <w:bottom w:val="none" w:sz="0" w:space="0" w:color="auto"/>
        <w:right w:val="none" w:sz="0" w:space="0" w:color="auto"/>
      </w:divBdr>
    </w:div>
    <w:div w:id="1158813367">
      <w:bodyDiv w:val="1"/>
      <w:marLeft w:val="0"/>
      <w:marRight w:val="0"/>
      <w:marTop w:val="0"/>
      <w:marBottom w:val="0"/>
      <w:divBdr>
        <w:top w:val="none" w:sz="0" w:space="0" w:color="auto"/>
        <w:left w:val="none" w:sz="0" w:space="0" w:color="auto"/>
        <w:bottom w:val="none" w:sz="0" w:space="0" w:color="auto"/>
        <w:right w:val="none" w:sz="0" w:space="0" w:color="auto"/>
      </w:divBdr>
    </w:div>
    <w:div w:id="1375470842">
      <w:bodyDiv w:val="1"/>
      <w:marLeft w:val="0"/>
      <w:marRight w:val="0"/>
      <w:marTop w:val="0"/>
      <w:marBottom w:val="0"/>
      <w:divBdr>
        <w:top w:val="none" w:sz="0" w:space="0" w:color="auto"/>
        <w:left w:val="none" w:sz="0" w:space="0" w:color="auto"/>
        <w:bottom w:val="none" w:sz="0" w:space="0" w:color="auto"/>
        <w:right w:val="none" w:sz="0" w:space="0" w:color="auto"/>
      </w:divBdr>
    </w:div>
    <w:div w:id="1559977792">
      <w:bodyDiv w:val="1"/>
      <w:marLeft w:val="0"/>
      <w:marRight w:val="0"/>
      <w:marTop w:val="0"/>
      <w:marBottom w:val="0"/>
      <w:divBdr>
        <w:top w:val="none" w:sz="0" w:space="0" w:color="auto"/>
        <w:left w:val="none" w:sz="0" w:space="0" w:color="auto"/>
        <w:bottom w:val="none" w:sz="0" w:space="0" w:color="auto"/>
        <w:right w:val="none" w:sz="0" w:space="0" w:color="auto"/>
      </w:divBdr>
    </w:div>
    <w:div w:id="1883664489">
      <w:bodyDiv w:val="1"/>
      <w:marLeft w:val="0"/>
      <w:marRight w:val="0"/>
      <w:marTop w:val="0"/>
      <w:marBottom w:val="0"/>
      <w:divBdr>
        <w:top w:val="none" w:sz="0" w:space="0" w:color="auto"/>
        <w:left w:val="none" w:sz="0" w:space="0" w:color="auto"/>
        <w:bottom w:val="none" w:sz="0" w:space="0" w:color="auto"/>
        <w:right w:val="none" w:sz="0" w:space="0" w:color="auto"/>
      </w:divBdr>
    </w:div>
    <w:div w:id="1899432001">
      <w:bodyDiv w:val="1"/>
      <w:marLeft w:val="0"/>
      <w:marRight w:val="0"/>
      <w:marTop w:val="0"/>
      <w:marBottom w:val="0"/>
      <w:divBdr>
        <w:top w:val="none" w:sz="0" w:space="0" w:color="auto"/>
        <w:left w:val="none" w:sz="0" w:space="0" w:color="auto"/>
        <w:bottom w:val="none" w:sz="0" w:space="0" w:color="auto"/>
        <w:right w:val="none" w:sz="0" w:space="0" w:color="auto"/>
      </w:divBdr>
    </w:div>
    <w:div w:id="21297343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A821F-93E0-4035-9808-1B1C86086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2754</TotalTime>
  <Pages>15</Pages>
  <Words>15331</Words>
  <Characters>87392</Characters>
  <Application>Microsoft Office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Quang Nguyen</cp:lastModifiedBy>
  <cp:revision>15</cp:revision>
  <cp:lastPrinted>2020-09-10T15:58:00Z</cp:lastPrinted>
  <dcterms:created xsi:type="dcterms:W3CDTF">2020-06-01T14:45:00Z</dcterms:created>
  <dcterms:modified xsi:type="dcterms:W3CDTF">2020-09-10T15:58:00Z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id="BxnksP2R"/&gt;&lt;style id="http://www.zotero.org/styles/biomed-central" hasBibliography="1" bibliographyStyleHasBeenSet="1"/&gt;&lt;prefs&gt;&lt;pref name="fieldType" value="Field"/&gt;&lt;pref name="automaticJournalAb</vt:lpwstr>
  </property>
  <property fmtid="{D5CDD505-2E9C-101B-9397-08002B2CF9AE}" pid="3" name="ZOTERO_PREF_2">
    <vt:lpwstr>breviations" value="true"/&gt;&lt;/prefs&gt;&lt;/data&gt;</vt:lpwstr>
  </property>
</Properties>
</file>