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620"/>
        </w:tabs>
        <w:spacing w:line="360" w:lineRule="auto"/>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3515" cy="7441565"/>
            <wp:effectExtent l="0" t="0" r="6985" b="635"/>
            <wp:docPr id="10" name="图片 10" descr="Supplementary Fig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upplementary Figure 1-01"/>
                    <pic:cNvPicPr>
                      <a:picLocks noChangeAspect="1"/>
                    </pic:cNvPicPr>
                  </pic:nvPicPr>
                  <pic:blipFill>
                    <a:blip r:embed="rId6"/>
                    <a:stretch>
                      <a:fillRect/>
                    </a:stretch>
                  </pic:blipFill>
                  <pic:spPr>
                    <a:xfrm>
                      <a:off x="0" y="0"/>
                      <a:ext cx="5263515" cy="7441565"/>
                    </a:xfrm>
                    <a:prstGeom prst="rect">
                      <a:avLst/>
                    </a:prstGeom>
                  </pic:spPr>
                </pic:pic>
              </a:graphicData>
            </a:graphic>
          </wp:inline>
        </w:drawing>
      </w:r>
    </w:p>
    <w:p>
      <w:pPr>
        <w:widowControl/>
        <w:spacing w:line="360" w:lineRule="auto"/>
        <w:rPr>
          <w:rFonts w:ascii="Times New Roman" w:hAnsi="Times New Roman" w:eastAsia="宋体" w:cs="Times New Roman"/>
          <w:b/>
          <w:bCs/>
          <w:sz w:val="24"/>
        </w:rPr>
      </w:pPr>
      <w:r>
        <w:rPr>
          <w:rFonts w:ascii="Times New Roman" w:hAnsi="Times New Roman" w:eastAsia="宋体" w:cs="Times New Roman"/>
          <w:b/>
          <w:bCs/>
          <w:sz w:val="24"/>
        </w:rPr>
        <w:t>Supplementary Figure 1.</w:t>
      </w:r>
      <w:r>
        <w:rPr>
          <w:rFonts w:ascii="Times New Roman" w:hAnsi="Times New Roman" w:cs="Times New Roman"/>
          <w:b/>
          <w:bCs/>
        </w:rPr>
        <w:t xml:space="preserve"> </w:t>
      </w:r>
      <w:r>
        <w:rPr>
          <w:rFonts w:ascii="Times New Roman" w:hAnsi="Times New Roman" w:eastAsia="宋体" w:cs="Times New Roman"/>
          <w:b/>
          <w:bCs/>
          <w:sz w:val="24"/>
        </w:rPr>
        <w:t>NMF method was used to perform molecular typing of the processed data set based on metabolism-related genes. The sample is divided into three subtypes named C1, C2, and C3.</w:t>
      </w:r>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A.</w:t>
      </w:r>
      <w:r>
        <w:rPr>
          <w:rFonts w:hint="eastAsia" w:ascii="Times New Roman" w:hAnsi="Times New Roman" w:cs="Times New Roman"/>
        </w:rPr>
        <w:t xml:space="preserve"> </w:t>
      </w:r>
      <w:r>
        <w:rPr>
          <w:rFonts w:ascii="Times New Roman" w:hAnsi="Times New Roman" w:eastAsia="宋体" w:cs="Times New Roman"/>
          <w:sz w:val="24"/>
        </w:rPr>
        <w:t xml:space="preserve">PCA analysis before batch effect elimination of TCGA and ICGC datasets. </w:t>
      </w:r>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B. PCA analysis after batch effect elimination of TCGA and ICGC datasets.</w:t>
      </w:r>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C-D. NMF clustering divided the samples in the RNASeqdat cohort into three subtypes. Rank and cophenetic correlation coefficients after NMF (C). A consensus map of NMF clusters (D).</w:t>
      </w:r>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E. PCA analysis of five GSE datasets before eliminating batch effects.</w:t>
      </w:r>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F. PCA analysis after batch effect elimination in five GSE datasets.</w:t>
      </w:r>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G-H. NMF clustering divided the samples in the GSEdat cohort into three subtypes. Rank and cophenetic correlation coefficients after NMF (G). A consensus map of NMF clusters (H).</w:t>
      </w:r>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I.</w:t>
      </w:r>
      <w:r>
        <w:rPr>
          <w:rFonts w:hint="eastAsia" w:ascii="Times New Roman" w:hAnsi="Times New Roman" w:cs="Times New Roman"/>
        </w:rPr>
        <w:t xml:space="preserve"> </w:t>
      </w:r>
      <w:r>
        <w:rPr>
          <w:rFonts w:ascii="Times New Roman" w:hAnsi="Times New Roman" w:eastAsia="宋体" w:cs="Times New Roman"/>
          <w:sz w:val="24"/>
        </w:rPr>
        <w:t>The SubMap method is used to analyze whether subclasses identified in the RNASeqdat and GSEdat datasets are related</w:t>
      </w:r>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J.</w:t>
      </w:r>
      <w:r>
        <w:rPr>
          <w:rFonts w:hint="eastAsia" w:ascii="Times New Roman" w:hAnsi="Times New Roman" w:cs="Times New Roman"/>
        </w:rPr>
        <w:t xml:space="preserve"> </w:t>
      </w:r>
      <w:r>
        <w:rPr>
          <w:rFonts w:ascii="Times New Roman" w:hAnsi="Times New Roman" w:eastAsia="宋体" w:cs="Times New Roman"/>
          <w:sz w:val="24"/>
        </w:rPr>
        <w:t>Overall survival curves showing the prognosis result of the three subtypes (C1, C2 and C3) obtained from NMF clustering in the GSEdat cohort. Statistical significance was calculated using the log rank test.</w:t>
      </w:r>
    </w:p>
    <w:p>
      <w:pPr>
        <w:widowControl/>
        <w:spacing w:line="360" w:lineRule="auto"/>
        <w:ind w:firstLine="480" w:firstLineChars="200"/>
        <w:rPr>
          <w:rFonts w:ascii="Times New Roman" w:hAnsi="Times New Roman" w:eastAsia="宋体" w:cs="Times New Roman"/>
          <w:sz w:val="24"/>
        </w:rPr>
      </w:pPr>
    </w:p>
    <w:p>
      <w:pPr>
        <w:widowControl/>
        <w:spacing w:line="360" w:lineRule="auto"/>
        <w:rPr>
          <w:rFonts w:ascii="Times New Roman" w:hAnsi="Times New Roman" w:eastAsia="宋体" w:cs="Times New Roman"/>
          <w:sz w:val="24"/>
        </w:rPr>
      </w:pPr>
      <w:r>
        <w:rPr>
          <w:rFonts w:hint="eastAsia" w:ascii="Times New Roman" w:hAnsi="Times New Roman" w:eastAsia="宋体" w:cs="Times New Roman"/>
          <w:sz w:val="24"/>
        </w:rPr>
        <w:drawing>
          <wp:inline distT="0" distB="0" distL="114300" distR="114300">
            <wp:extent cx="5263515" cy="7441565"/>
            <wp:effectExtent l="0" t="0" r="6985" b="635"/>
            <wp:docPr id="14" name="图片 14" descr="Supplementary Fig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upplementary Figure 2-01"/>
                    <pic:cNvPicPr>
                      <a:picLocks noChangeAspect="1"/>
                    </pic:cNvPicPr>
                  </pic:nvPicPr>
                  <pic:blipFill>
                    <a:blip r:embed="rId7"/>
                    <a:stretch>
                      <a:fillRect/>
                    </a:stretch>
                  </pic:blipFill>
                  <pic:spPr>
                    <a:xfrm>
                      <a:off x="0" y="0"/>
                      <a:ext cx="5263515" cy="7441565"/>
                    </a:xfrm>
                    <a:prstGeom prst="rect">
                      <a:avLst/>
                    </a:prstGeom>
                  </pic:spPr>
                </pic:pic>
              </a:graphicData>
            </a:graphic>
          </wp:inline>
        </w:drawing>
      </w:r>
    </w:p>
    <w:p>
      <w:pPr>
        <w:widowControl/>
        <w:spacing w:line="360" w:lineRule="auto"/>
        <w:rPr>
          <w:rFonts w:ascii="Times New Roman" w:hAnsi="Times New Roman" w:eastAsia="宋体" w:cs="Times New Roman"/>
          <w:b/>
          <w:bCs/>
          <w:sz w:val="24"/>
        </w:rPr>
      </w:pPr>
      <w:r>
        <w:rPr>
          <w:rFonts w:ascii="Times New Roman" w:hAnsi="Times New Roman" w:eastAsia="宋体" w:cs="Times New Roman"/>
          <w:b/>
          <w:bCs/>
          <w:sz w:val="24"/>
        </w:rPr>
        <w:t>Supplementary Figure 2. The distribution of survival state, age, grade and stage among different molecular subtypes in RNASeqdat dataset was compared.</w:t>
      </w:r>
    </w:p>
    <w:p>
      <w:pPr>
        <w:widowControl/>
        <w:numPr>
          <w:ilvl w:val="0"/>
          <w:numId w:val="1"/>
        </w:numPr>
        <w:spacing w:line="360" w:lineRule="auto"/>
        <w:rPr>
          <w:rFonts w:ascii="Times New Roman" w:hAnsi="Times New Roman" w:eastAsia="宋体" w:cs="Times New Roman"/>
          <w:sz w:val="24"/>
        </w:rPr>
      </w:pPr>
      <w:r>
        <w:rPr>
          <w:rFonts w:ascii="Times New Roman" w:hAnsi="Times New Roman" w:eastAsia="宋体" w:cs="Times New Roman"/>
          <w:sz w:val="24"/>
        </w:rPr>
        <w:t xml:space="preserve">Heat map showing ssGSEA scores of metabolic processes of different molecular subtypes. </w:t>
      </w:r>
    </w:p>
    <w:p>
      <w:pPr>
        <w:widowControl/>
        <w:spacing w:line="360" w:lineRule="auto"/>
        <w:rPr>
          <w:rFonts w:ascii="Times New Roman" w:hAnsi="Times New Roman" w:eastAsia="宋体" w:cs="Times New Roman"/>
          <w:sz w:val="24"/>
        </w:rPr>
      </w:pPr>
      <w:r>
        <w:rPr>
          <w:rFonts w:hint="eastAsia" w:ascii="Times New Roman" w:hAnsi="Times New Roman" w:eastAsia="宋体" w:cs="Times New Roman"/>
          <w:sz w:val="24"/>
        </w:rPr>
        <w:t>B</w:t>
      </w:r>
      <w:r>
        <w:rPr>
          <w:rFonts w:ascii="Times New Roman" w:hAnsi="Times New Roman" w:eastAsia="宋体" w:cs="Times New Roman"/>
          <w:sz w:val="24"/>
        </w:rPr>
        <w:t>-</w:t>
      </w:r>
      <w:r>
        <w:rPr>
          <w:rFonts w:hint="eastAsia" w:ascii="Times New Roman" w:hAnsi="Times New Roman" w:eastAsia="宋体" w:cs="Times New Roman"/>
          <w:sz w:val="24"/>
        </w:rPr>
        <w:t>D</w:t>
      </w:r>
      <w:r>
        <w:rPr>
          <w:rFonts w:ascii="Times New Roman" w:hAnsi="Times New Roman" w:eastAsia="宋体" w:cs="Times New Roman"/>
          <w:sz w:val="24"/>
        </w:rPr>
        <w:t xml:space="preserve">. The proportion of </w:t>
      </w:r>
      <w:r>
        <w:rPr>
          <w:rFonts w:hint="eastAsia" w:ascii="Times New Roman" w:hAnsi="Times New Roman" w:eastAsia="宋体" w:cs="Times New Roman"/>
          <w:sz w:val="24"/>
        </w:rPr>
        <w:t xml:space="preserve">event (A) </w:t>
      </w:r>
      <w:r>
        <w:rPr>
          <w:rFonts w:ascii="Times New Roman" w:hAnsi="Times New Roman" w:eastAsia="宋体" w:cs="Times New Roman"/>
          <w:sz w:val="24"/>
        </w:rPr>
        <w:t>stage (</w:t>
      </w:r>
      <w:r>
        <w:rPr>
          <w:rFonts w:hint="eastAsia" w:ascii="Times New Roman" w:hAnsi="Times New Roman" w:eastAsia="宋体" w:cs="Times New Roman"/>
          <w:sz w:val="24"/>
        </w:rPr>
        <w:t>B</w:t>
      </w:r>
      <w:r>
        <w:rPr>
          <w:rFonts w:ascii="Times New Roman" w:hAnsi="Times New Roman" w:eastAsia="宋体" w:cs="Times New Roman"/>
          <w:sz w:val="24"/>
        </w:rPr>
        <w:t>) and grade (</w:t>
      </w:r>
      <w:r>
        <w:rPr>
          <w:rFonts w:hint="eastAsia" w:ascii="Times New Roman" w:hAnsi="Times New Roman" w:eastAsia="宋体" w:cs="Times New Roman"/>
          <w:sz w:val="24"/>
        </w:rPr>
        <w:t>C</w:t>
      </w:r>
      <w:r>
        <w:rPr>
          <w:rFonts w:ascii="Times New Roman" w:hAnsi="Times New Roman" w:eastAsia="宋体" w:cs="Times New Roman"/>
          <w:sz w:val="24"/>
        </w:rPr>
        <w:t>) in different molecular subtypes.</w:t>
      </w:r>
    </w:p>
    <w:p>
      <w:pPr>
        <w:widowControl/>
        <w:spacing w:line="360" w:lineRule="auto"/>
        <w:rPr>
          <w:rFonts w:ascii="Times New Roman" w:hAnsi="Times New Roman" w:eastAsia="宋体" w:cs="Times New Roman"/>
          <w:sz w:val="24"/>
        </w:rPr>
      </w:pPr>
      <w:r>
        <w:rPr>
          <w:rFonts w:hint="eastAsia" w:ascii="Times New Roman" w:hAnsi="Times New Roman" w:eastAsia="宋体" w:cs="Times New Roman"/>
          <w:sz w:val="24"/>
        </w:rPr>
        <w:t>E</w:t>
      </w:r>
      <w:r>
        <w:rPr>
          <w:rFonts w:ascii="Times New Roman" w:hAnsi="Times New Roman" w:eastAsia="宋体" w:cs="Times New Roman"/>
          <w:sz w:val="24"/>
        </w:rPr>
        <w:t>. The proportion of age in different molecular subtypes.</w:t>
      </w:r>
    </w:p>
    <w:p>
      <w:pPr>
        <w:widowControl/>
        <w:spacing w:line="360" w:lineRule="auto"/>
        <w:rPr>
          <w:rFonts w:ascii="Times New Roman" w:hAnsi="Times New Roman" w:eastAsia="宋体" w:cs="Times New Roman"/>
          <w:sz w:val="24"/>
        </w:rPr>
      </w:pPr>
    </w:p>
    <w:p>
      <w:pPr>
        <w:widowControl/>
        <w:spacing w:line="360" w:lineRule="auto"/>
        <w:rPr>
          <w:rFonts w:ascii="Times New Roman" w:hAnsi="Times New Roman" w:eastAsia="宋体" w:cs="Times New Roman"/>
          <w:sz w:val="24"/>
        </w:rPr>
      </w:pPr>
    </w:p>
    <w:p>
      <w:pPr>
        <w:widowControl/>
        <w:spacing w:line="360" w:lineRule="auto"/>
        <w:rPr>
          <w:rFonts w:ascii="Times New Roman" w:hAnsi="Times New Roman" w:eastAsia="宋体" w:cs="Times New Roman"/>
          <w:sz w:val="24"/>
        </w:rPr>
      </w:pPr>
    </w:p>
    <w:p>
      <w:pPr>
        <w:widowControl/>
        <w:spacing w:line="360" w:lineRule="auto"/>
        <w:rPr>
          <w:rFonts w:ascii="Times New Roman" w:hAnsi="Times New Roman" w:eastAsia="宋体" w:cs="Times New Roman"/>
          <w:sz w:val="24"/>
        </w:rPr>
      </w:pPr>
    </w:p>
    <w:p>
      <w:pPr>
        <w:widowControl/>
        <w:spacing w:line="360" w:lineRule="auto"/>
        <w:rPr>
          <w:rFonts w:ascii="Times New Roman" w:hAnsi="Times New Roman" w:eastAsia="宋体" w:cs="Times New Roman"/>
          <w:sz w:val="24"/>
        </w:rPr>
      </w:pPr>
    </w:p>
    <w:p>
      <w:pPr>
        <w:widowControl/>
        <w:spacing w:line="360" w:lineRule="auto"/>
        <w:rPr>
          <w:rFonts w:ascii="Times New Roman" w:hAnsi="Times New Roman" w:eastAsia="宋体" w:cs="Times New Roman"/>
          <w:sz w:val="24"/>
        </w:rPr>
      </w:pPr>
    </w:p>
    <w:p>
      <w:pPr>
        <w:widowControl/>
        <w:spacing w:line="360" w:lineRule="auto"/>
        <w:rPr>
          <w:rFonts w:ascii="Times New Roman" w:hAnsi="Times New Roman" w:eastAsia="宋体" w:cs="Times New Roman"/>
          <w:sz w:val="24"/>
        </w:rPr>
      </w:pPr>
      <w:r>
        <w:rPr>
          <w:rFonts w:hint="eastAsia" w:ascii="Times New Roman" w:hAnsi="Times New Roman" w:eastAsia="宋体" w:cs="Times New Roman"/>
          <w:sz w:val="24"/>
        </w:rPr>
        <w:drawing>
          <wp:inline distT="0" distB="0" distL="114300" distR="114300">
            <wp:extent cx="5263515" cy="7441565"/>
            <wp:effectExtent l="0" t="0" r="6985" b="635"/>
            <wp:docPr id="11" name="图片 11" descr="Supplementary Fig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upplementary Figure 3-01"/>
                    <pic:cNvPicPr>
                      <a:picLocks noChangeAspect="1"/>
                    </pic:cNvPicPr>
                  </pic:nvPicPr>
                  <pic:blipFill>
                    <a:blip r:embed="rId8"/>
                    <a:stretch>
                      <a:fillRect/>
                    </a:stretch>
                  </pic:blipFill>
                  <pic:spPr>
                    <a:xfrm>
                      <a:off x="0" y="0"/>
                      <a:ext cx="5263515" cy="7441565"/>
                    </a:xfrm>
                    <a:prstGeom prst="rect">
                      <a:avLst/>
                    </a:prstGeom>
                  </pic:spPr>
                </pic:pic>
              </a:graphicData>
            </a:graphic>
          </wp:inline>
        </w:drawing>
      </w:r>
    </w:p>
    <w:p>
      <w:pPr>
        <w:widowControl/>
        <w:spacing w:line="360" w:lineRule="auto"/>
        <w:rPr>
          <w:rFonts w:ascii="Times New Roman" w:hAnsi="Times New Roman" w:eastAsia="宋体" w:cs="Times New Roman"/>
          <w:b/>
          <w:bCs/>
          <w:sz w:val="24"/>
        </w:rPr>
      </w:pPr>
      <w:r>
        <w:rPr>
          <w:rFonts w:ascii="Times New Roman" w:hAnsi="Times New Roman" w:eastAsia="宋体" w:cs="Times New Roman"/>
          <w:b/>
          <w:bCs/>
          <w:sz w:val="24"/>
        </w:rPr>
        <w:t xml:space="preserve">Supplementary Figure </w:t>
      </w: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Oleic acid activates and promotes nuclear translocation of YAP in both </w:t>
      </w:r>
      <w:r>
        <w:rPr>
          <w:rFonts w:hint="eastAsia" w:ascii="Times New Roman" w:hAnsi="Times New Roman" w:eastAsia="宋体" w:cs="Times New Roman"/>
          <w:b/>
          <w:bCs/>
          <w:sz w:val="24"/>
        </w:rPr>
        <w:t>MCRT</w:t>
      </w:r>
      <w:r>
        <w:rPr>
          <w:rFonts w:ascii="Times New Roman" w:hAnsi="Times New Roman" w:eastAsia="宋体" w:cs="Times New Roman"/>
          <w:b/>
          <w:bCs/>
          <w:sz w:val="24"/>
        </w:rPr>
        <w:t xml:space="preserve"> and </w:t>
      </w:r>
      <w:r>
        <w:rPr>
          <w:rFonts w:hint="eastAsia" w:ascii="Times New Roman" w:hAnsi="Times New Roman" w:eastAsia="宋体" w:cs="Times New Roman"/>
          <w:b/>
          <w:bCs/>
          <w:sz w:val="24"/>
        </w:rPr>
        <w:t>MCST</w:t>
      </w:r>
      <w:r>
        <w:rPr>
          <w:rFonts w:ascii="Times New Roman" w:hAnsi="Times New Roman" w:eastAsia="宋体" w:cs="Times New Roman"/>
          <w:b/>
          <w:bCs/>
          <w:sz w:val="24"/>
        </w:rPr>
        <w:t xml:space="preserve"> metabolic subtypes of ovarian cancer cell lines.</w:t>
      </w:r>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A-B.</w:t>
      </w:r>
      <w:r>
        <w:rPr>
          <w:rFonts w:hint="eastAsia" w:ascii="Times New Roman" w:hAnsi="Times New Roman" w:cs="Times New Roman"/>
        </w:rPr>
        <w:t xml:space="preserve"> </w:t>
      </w:r>
      <w:r>
        <w:rPr>
          <w:rFonts w:ascii="Times New Roman" w:hAnsi="Times New Roman" w:eastAsia="宋体" w:cs="Times New Roman"/>
          <w:sz w:val="24"/>
        </w:rPr>
        <w:t>SKOV3 (A) or OVCAR8 (B) cells were treated with increasing amount of oleic acid for 48 hours separately, and subjected to immunostaining with anti-YAP rabbit (green), followed by visualization with confocal microscopy (Zeiss LSM 880 with Airyscan). Scale bar, 20 μm (3 independent experiments; at least 50 cells were observed).</w:t>
      </w:r>
    </w:p>
    <w:p>
      <w:pPr>
        <w:widowControl/>
        <w:spacing w:line="360" w:lineRule="auto"/>
        <w:rPr>
          <w:rFonts w:hint="eastAsia" w:ascii="Times New Roman" w:hAnsi="Times New Roman" w:eastAsia="宋体" w:cs="Times New Roman"/>
          <w:sz w:val="24"/>
        </w:rPr>
      </w:pPr>
    </w:p>
    <w:p>
      <w:pPr>
        <w:widowControl/>
        <w:spacing w:line="360" w:lineRule="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drawing>
          <wp:inline distT="0" distB="0" distL="114300" distR="114300">
            <wp:extent cx="5263515" cy="7441565"/>
            <wp:effectExtent l="0" t="0" r="6985" b="635"/>
            <wp:docPr id="3" name="图片 3" descr="Supplementary Fig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Figure 4-01"/>
                    <pic:cNvPicPr>
                      <a:picLocks noChangeAspect="1"/>
                    </pic:cNvPicPr>
                  </pic:nvPicPr>
                  <pic:blipFill>
                    <a:blip r:embed="rId9"/>
                    <a:stretch>
                      <a:fillRect/>
                    </a:stretch>
                  </pic:blipFill>
                  <pic:spPr>
                    <a:xfrm>
                      <a:off x="0" y="0"/>
                      <a:ext cx="5263515" cy="7441565"/>
                    </a:xfrm>
                    <a:prstGeom prst="rect">
                      <a:avLst/>
                    </a:prstGeom>
                  </pic:spPr>
                </pic:pic>
              </a:graphicData>
            </a:graphic>
          </wp:inline>
        </w:drawing>
      </w:r>
    </w:p>
    <w:p>
      <w:pPr>
        <w:widowControl/>
        <w:spacing w:line="360" w:lineRule="auto"/>
        <w:rPr>
          <w:rFonts w:hint="eastAsia" w:ascii="Times New Roman" w:hAnsi="Times New Roman" w:eastAsia="宋体" w:cs="Times New Roman"/>
          <w:b/>
          <w:bCs/>
          <w:sz w:val="24"/>
          <w:lang w:val="en-US" w:eastAsia="zh-CN"/>
        </w:rPr>
      </w:pPr>
      <w:r>
        <w:rPr>
          <w:rFonts w:ascii="Times New Roman" w:hAnsi="Times New Roman" w:eastAsia="宋体" w:cs="Times New Roman"/>
          <w:b/>
          <w:bCs/>
          <w:sz w:val="24"/>
        </w:rPr>
        <w:t xml:space="preserve">Supplementary Figure </w:t>
      </w:r>
      <w:r>
        <w:rPr>
          <w:rFonts w:hint="eastAsia" w:ascii="Times New Roman" w:hAnsi="Times New Roman" w:eastAsia="宋体" w:cs="Times New Roman"/>
          <w:b/>
          <w:bCs/>
          <w:sz w:val="24"/>
          <w:lang w:val="en-US" w:eastAsia="zh-CN"/>
        </w:rPr>
        <w:t>4</w:t>
      </w:r>
      <w:r>
        <w:rPr>
          <w:rFonts w:ascii="Times New Roman" w:hAnsi="Times New Roman" w:eastAsia="宋体" w:cs="Times New Roman"/>
          <w:b/>
          <w:bCs/>
          <w:sz w:val="24"/>
        </w:rPr>
        <w:t>.</w:t>
      </w:r>
      <w:r>
        <w:rPr>
          <w:rFonts w:hint="eastAsia" w:ascii="Times New Roman" w:hAnsi="Times New Roman" w:eastAsia="宋体" w:cs="Times New Roman"/>
          <w:b/>
          <w:bCs/>
          <w:sz w:val="24"/>
          <w:lang w:val="en-US" w:eastAsia="zh-CN"/>
        </w:rPr>
        <w:t xml:space="preserve"> </w:t>
      </w:r>
    </w:p>
    <w:p>
      <w:pPr>
        <w:widowControl/>
        <w:numPr>
          <w:ilvl w:val="0"/>
          <w:numId w:val="2"/>
        </w:numPr>
        <w:spacing w:line="360" w:lineRule="auto"/>
        <w:rPr>
          <w:rFonts w:ascii="Times New Roman" w:hAnsi="Times New Roman" w:eastAsia="宋体" w:cs="Times New Roman"/>
          <w:sz w:val="24"/>
        </w:rPr>
      </w:pPr>
      <w:r>
        <w:rPr>
          <w:rFonts w:hint="eastAsia" w:ascii="Times New Roman" w:hAnsi="Times New Roman" w:eastAsia="宋体" w:cs="Times New Roman"/>
          <w:sz w:val="24"/>
          <w:lang w:val="en-US" w:eastAsia="zh-CN"/>
        </w:rPr>
        <w:t xml:space="preserve">H. </w:t>
      </w:r>
      <w:r>
        <w:rPr>
          <w:rFonts w:hint="eastAsia" w:ascii="Times New Roman" w:hAnsi="Times New Roman" w:eastAsia="宋体" w:cs="Times New Roman"/>
          <w:sz w:val="24"/>
        </w:rPr>
        <w:t>The Spearman correlation between YAP signatures (YAP1, TEAD1-4, and CYR61) and</w:t>
      </w:r>
      <w:r>
        <w:rPr>
          <w:rFonts w:hint="eastAsia" w:ascii="Times New Roman" w:hAnsi="Times New Roman" w:eastAsia="宋体" w:cs="Times New Roman"/>
          <w:sz w:val="24"/>
          <w:lang w:val="en-US" w:eastAsia="zh-CN"/>
        </w:rPr>
        <w:t xml:space="preserve"> FATP1 (A), FATP2 (B), FATP3 (C), FATP4 (D), FATP5 (E), FATP6 (F), FFAR1 (G), FFAR4 (H)</w:t>
      </w:r>
      <w:r>
        <w:rPr>
          <w:rFonts w:hint="eastAsia" w:ascii="Times New Roman" w:hAnsi="Times New Roman" w:eastAsia="宋体" w:cs="Times New Roman"/>
          <w:sz w:val="24"/>
        </w:rPr>
        <w:t> w</w:t>
      </w:r>
      <w:r>
        <w:rPr>
          <w:rFonts w:hint="eastAsia" w:ascii="Times New Roman" w:hAnsi="Times New Roman" w:eastAsia="宋体" w:cs="Times New Roman"/>
          <w:sz w:val="24"/>
          <w:lang w:val="en-US" w:eastAsia="zh-CN"/>
        </w:rPr>
        <w:t>ere</w:t>
      </w:r>
      <w:r>
        <w:rPr>
          <w:rFonts w:hint="eastAsia" w:ascii="Times New Roman" w:hAnsi="Times New Roman" w:eastAsia="宋体" w:cs="Times New Roman"/>
          <w:sz w:val="24"/>
        </w:rPr>
        <w:t xml:space="preserve"> analyzed in GTEx ovary tissues</w:t>
      </w:r>
      <w:r>
        <w:rPr>
          <w:rFonts w:hint="eastAsia" w:ascii="Times New Roman" w:hAnsi="Times New Roman" w:eastAsia="宋体" w:cs="Times New Roman"/>
          <w:sz w:val="24"/>
          <w:lang w:val="en-US" w:eastAsia="zh-CN"/>
        </w:rPr>
        <w:t>.</w:t>
      </w:r>
    </w:p>
    <w:p>
      <w:pPr>
        <w:widowControl/>
        <w:spacing w:line="360" w:lineRule="auto"/>
        <w:rPr>
          <w:rFonts w:ascii="Times New Roman" w:hAnsi="Times New Roman" w:eastAsia="宋体" w:cs="Times New Roman"/>
          <w:b/>
          <w:bCs/>
          <w:sz w:val="24"/>
        </w:rPr>
      </w:pPr>
      <w:r>
        <w:rPr>
          <w:rFonts w:hint="eastAsia" w:ascii="Times New Roman" w:hAnsi="Times New Roman" w:eastAsia="宋体" w:cs="Times New Roman"/>
          <w:sz w:val="24"/>
          <w:lang w:val="en-US" w:eastAsia="zh-CN"/>
        </w:rPr>
        <w:t xml:space="preserve">I-P. </w:t>
      </w:r>
      <w:r>
        <w:rPr>
          <w:rFonts w:hint="eastAsia" w:ascii="Times New Roman" w:hAnsi="Times New Roman" w:eastAsia="宋体" w:cs="Times New Roman"/>
          <w:sz w:val="24"/>
        </w:rPr>
        <w:t xml:space="preserve">The Spearman correlation between YAP signatures (YAP1, TEAD1-4, and CYR61) and </w:t>
      </w:r>
      <w:r>
        <w:rPr>
          <w:rFonts w:hint="eastAsia" w:ascii="Times New Roman" w:hAnsi="Times New Roman" w:eastAsia="宋体" w:cs="Times New Roman"/>
          <w:sz w:val="24"/>
          <w:lang w:val="en-US" w:eastAsia="zh-CN"/>
        </w:rPr>
        <w:t>FATP1 (I), FATP2 (J), FATP3 (K), FATP4 (L), FATP5 (M), FATP6 (N), FFAR1 (O), FFAR4 (P)</w:t>
      </w:r>
      <w:r>
        <w:rPr>
          <w:rFonts w:hint="eastAsia" w:ascii="Times New Roman" w:hAnsi="Times New Roman" w:eastAsia="宋体" w:cs="Times New Roman"/>
          <w:sz w:val="24"/>
        </w:rPr>
        <w:t> w</w:t>
      </w:r>
      <w:r>
        <w:rPr>
          <w:rFonts w:hint="eastAsia" w:ascii="Times New Roman" w:hAnsi="Times New Roman" w:eastAsia="宋体" w:cs="Times New Roman"/>
          <w:sz w:val="24"/>
          <w:lang w:val="en-US" w:eastAsia="zh-CN"/>
        </w:rPr>
        <w:t>ere</w:t>
      </w:r>
      <w:r>
        <w:rPr>
          <w:rFonts w:hint="eastAsia" w:ascii="Times New Roman" w:hAnsi="Times New Roman" w:eastAsia="宋体" w:cs="Times New Roman"/>
          <w:sz w:val="24"/>
        </w:rPr>
        <w:t xml:space="preserve"> analyzed in TCGA patients</w:t>
      </w:r>
      <w:r>
        <w:rPr>
          <w:rFonts w:hint="eastAsia" w:ascii="Times New Roman" w:hAnsi="Times New Roman" w:eastAsia="宋体" w:cs="Times New Roman"/>
          <w:sz w:val="24"/>
          <w:lang w:val="en-US" w:eastAsia="zh-CN"/>
        </w:rPr>
        <w:t xml:space="preserve"> with ovarian cancer</w:t>
      </w:r>
      <w:r>
        <w:rPr>
          <w:rFonts w:hint="eastAsia" w:ascii="Times New Roman" w:hAnsi="Times New Roman" w:eastAsia="宋体" w:cs="Times New Roman"/>
          <w:sz w:val="24"/>
        </w:rPr>
        <w:t>.</w:t>
      </w:r>
    </w:p>
    <w:p>
      <w:pPr>
        <w:widowControl/>
        <w:spacing w:line="360" w:lineRule="auto"/>
        <w:rPr>
          <w:rFonts w:ascii="Times New Roman" w:hAnsi="Times New Roman" w:eastAsia="宋体" w:cs="Times New Roman"/>
          <w:sz w:val="24"/>
        </w:rPr>
      </w:pPr>
      <w:r>
        <w:rPr>
          <w:rFonts w:hint="eastAsia" w:ascii="Times New Roman" w:hAnsi="Times New Roman" w:eastAsia="宋体" w:cs="Times New Roman"/>
          <w:sz w:val="24"/>
        </w:rPr>
        <w:drawing>
          <wp:inline distT="0" distB="0" distL="114300" distR="114300">
            <wp:extent cx="5263515" cy="7441565"/>
            <wp:effectExtent l="0" t="0" r="6985" b="635"/>
            <wp:docPr id="2" name="图片 2" descr="Supplementary Fig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ure 5-01"/>
                    <pic:cNvPicPr>
                      <a:picLocks noChangeAspect="1"/>
                    </pic:cNvPicPr>
                  </pic:nvPicPr>
                  <pic:blipFill>
                    <a:blip r:embed="rId10"/>
                    <a:stretch>
                      <a:fillRect/>
                    </a:stretch>
                  </pic:blipFill>
                  <pic:spPr>
                    <a:xfrm>
                      <a:off x="0" y="0"/>
                      <a:ext cx="5263515" cy="7441565"/>
                    </a:xfrm>
                    <a:prstGeom prst="rect">
                      <a:avLst/>
                    </a:prstGeom>
                  </pic:spPr>
                </pic:pic>
              </a:graphicData>
            </a:graphic>
          </wp:inline>
        </w:drawing>
      </w:r>
    </w:p>
    <w:p>
      <w:pPr>
        <w:widowControl/>
        <w:spacing w:line="360" w:lineRule="auto"/>
        <w:rPr>
          <w:rFonts w:ascii="Times New Roman" w:hAnsi="Times New Roman" w:eastAsia="宋体" w:cs="Times New Roman"/>
          <w:b/>
          <w:bCs/>
          <w:sz w:val="24"/>
        </w:rPr>
      </w:pPr>
      <w:bookmarkStart w:id="0" w:name="OLE_LINK24"/>
      <w:r>
        <w:rPr>
          <w:rFonts w:ascii="Times New Roman" w:hAnsi="Times New Roman" w:eastAsia="宋体" w:cs="Times New Roman"/>
          <w:b/>
          <w:bCs/>
          <w:sz w:val="24"/>
        </w:rPr>
        <w:t xml:space="preserve">Supplementary Figure </w:t>
      </w:r>
      <w:r>
        <w:rPr>
          <w:rFonts w:hint="eastAsia" w:ascii="Times New Roman" w:hAnsi="Times New Roman" w:eastAsia="宋体" w:cs="Times New Roman"/>
          <w:b/>
          <w:bCs/>
          <w:sz w:val="24"/>
          <w:lang w:val="en-US" w:eastAsia="zh-CN"/>
        </w:rPr>
        <w:t>5</w:t>
      </w:r>
      <w:r>
        <w:rPr>
          <w:rFonts w:ascii="Times New Roman" w:hAnsi="Times New Roman" w:eastAsia="宋体" w:cs="Times New Roman"/>
          <w:b/>
          <w:bCs/>
          <w:sz w:val="24"/>
        </w:rPr>
        <w:t>.</w:t>
      </w:r>
      <w:bookmarkEnd w:id="0"/>
      <w:r>
        <w:rPr>
          <w:rFonts w:ascii="Times New Roman" w:hAnsi="Times New Roman" w:eastAsia="宋体" w:cs="Times New Roman"/>
          <w:b/>
          <w:bCs/>
          <w:sz w:val="24"/>
        </w:rPr>
        <w:t xml:space="preserve"> </w:t>
      </w:r>
      <w:bookmarkStart w:id="1" w:name="OLE_LINK27"/>
      <w:r>
        <w:rPr>
          <w:rFonts w:ascii="Times New Roman" w:hAnsi="Times New Roman" w:eastAsia="宋体" w:cs="Times New Roman"/>
          <w:b/>
          <w:bCs/>
          <w:sz w:val="24"/>
        </w:rPr>
        <w:t>Inhibition of SCD1</w:t>
      </w:r>
      <w:r>
        <w:rPr>
          <w:rFonts w:hint="eastAsia" w:ascii="Times New Roman" w:hAnsi="Times New Roman" w:eastAsia="宋体" w:cs="Times New Roman"/>
          <w:b/>
          <w:bCs/>
          <w:sz w:val="24"/>
        </w:rPr>
        <w:t xml:space="preserve"> or CD36</w:t>
      </w:r>
      <w:r>
        <w:rPr>
          <w:rFonts w:ascii="Times New Roman" w:hAnsi="Times New Roman" w:eastAsia="宋体" w:cs="Times New Roman"/>
          <w:b/>
          <w:bCs/>
          <w:sz w:val="24"/>
        </w:rPr>
        <w:t xml:space="preserve"> enhances the sensitivity of cisplatin in ovarian cancer cells.</w:t>
      </w:r>
      <w:bookmarkEnd w:id="1"/>
    </w:p>
    <w:p>
      <w:pPr>
        <w:widowControl/>
        <w:spacing w:line="360" w:lineRule="auto"/>
        <w:rPr>
          <w:rFonts w:ascii="Times New Roman" w:hAnsi="Times New Roman" w:eastAsia="宋体" w:cs="Times New Roman"/>
          <w:sz w:val="24"/>
        </w:rPr>
      </w:pPr>
      <w:r>
        <w:rPr>
          <w:rFonts w:ascii="Times New Roman" w:hAnsi="Times New Roman" w:eastAsia="宋体" w:cs="Times New Roman"/>
          <w:sz w:val="24"/>
        </w:rPr>
        <w:t>A-</w:t>
      </w:r>
      <w:r>
        <w:rPr>
          <w:rFonts w:hint="eastAsia" w:ascii="Times New Roman" w:hAnsi="Times New Roman" w:eastAsia="宋体" w:cs="Times New Roman"/>
          <w:sz w:val="24"/>
        </w:rPr>
        <w:t>B</w:t>
      </w:r>
      <w:r>
        <w:rPr>
          <w:rFonts w:ascii="Times New Roman" w:hAnsi="Times New Roman" w:eastAsia="宋体" w:cs="Times New Roman"/>
          <w:sz w:val="24"/>
        </w:rPr>
        <w:t>. Viability of ovarian cancer cell lines A2780 (</w:t>
      </w:r>
      <w:r>
        <w:rPr>
          <w:rFonts w:hint="eastAsia" w:ascii="Times New Roman" w:hAnsi="Times New Roman" w:eastAsia="宋体" w:cs="Times New Roman"/>
          <w:sz w:val="24"/>
        </w:rPr>
        <w:t>A</w:t>
      </w:r>
      <w:r>
        <w:rPr>
          <w:rFonts w:ascii="Times New Roman" w:hAnsi="Times New Roman" w:eastAsia="宋体" w:cs="Times New Roman"/>
          <w:sz w:val="24"/>
        </w:rPr>
        <w:t>), and OVCAR8 (</w:t>
      </w:r>
      <w:r>
        <w:rPr>
          <w:rFonts w:hint="eastAsia" w:ascii="Times New Roman" w:hAnsi="Times New Roman" w:eastAsia="宋体" w:cs="Times New Roman"/>
          <w:sz w:val="24"/>
        </w:rPr>
        <w:t>B</w:t>
      </w:r>
      <w:r>
        <w:rPr>
          <w:rFonts w:ascii="Times New Roman" w:hAnsi="Times New Roman" w:eastAsia="宋体" w:cs="Times New Roman"/>
          <w:sz w:val="24"/>
        </w:rPr>
        <w:t xml:space="preserve">) was assessed after treatment with </w:t>
      </w:r>
      <w:r>
        <w:rPr>
          <w:rFonts w:hint="eastAsia" w:ascii="Times New Roman" w:hAnsi="Times New Roman" w:eastAsia="宋体" w:cs="Times New Roman"/>
          <w:sz w:val="24"/>
        </w:rPr>
        <w:t>c</w:t>
      </w:r>
      <w:r>
        <w:rPr>
          <w:rFonts w:ascii="Times New Roman" w:hAnsi="Times New Roman" w:eastAsia="宋体" w:cs="Times New Roman"/>
          <w:sz w:val="24"/>
        </w:rPr>
        <w:t xml:space="preserve">isplatin or </w:t>
      </w:r>
      <w:r>
        <w:rPr>
          <w:rFonts w:hint="eastAsia" w:ascii="Times New Roman" w:hAnsi="Times New Roman" w:eastAsia="宋体" w:cs="Times New Roman"/>
          <w:sz w:val="24"/>
        </w:rPr>
        <w:t>c</w:t>
      </w:r>
      <w:r>
        <w:rPr>
          <w:rFonts w:ascii="Times New Roman" w:hAnsi="Times New Roman" w:eastAsia="宋体" w:cs="Times New Roman"/>
          <w:sz w:val="24"/>
        </w:rPr>
        <w:t>isplatin plus MF438 for 72 hours using the CCK8 assay (3 independent experiments). Data are presented as mean ± SEM. *</w:t>
      </w:r>
      <w:r>
        <w:rPr>
          <w:rFonts w:ascii="Times New Roman" w:hAnsi="Times New Roman" w:eastAsia="宋体" w:cs="Times New Roman"/>
          <w:i/>
          <w:iCs/>
          <w:sz w:val="24"/>
        </w:rPr>
        <w:t>p</w:t>
      </w:r>
      <w:r>
        <w:rPr>
          <w:rFonts w:ascii="Times New Roman" w:hAnsi="Times New Roman" w:eastAsia="宋体" w:cs="Times New Roman"/>
          <w:sz w:val="24"/>
        </w:rPr>
        <w:t xml:space="preserve"> &lt; 0.05, **</w:t>
      </w:r>
      <w:r>
        <w:rPr>
          <w:rFonts w:ascii="Times New Roman" w:hAnsi="Times New Roman" w:eastAsia="宋体" w:cs="Times New Roman"/>
          <w:i/>
          <w:iCs/>
          <w:sz w:val="24"/>
        </w:rPr>
        <w:t>p</w:t>
      </w:r>
      <w:r>
        <w:rPr>
          <w:rFonts w:ascii="Times New Roman" w:hAnsi="Times New Roman" w:eastAsia="宋体" w:cs="Times New Roman"/>
          <w:sz w:val="24"/>
        </w:rPr>
        <w:t xml:space="preserve"> &lt; 0.01, ***</w:t>
      </w:r>
      <w:r>
        <w:rPr>
          <w:rFonts w:ascii="Times New Roman" w:hAnsi="Times New Roman" w:eastAsia="宋体" w:cs="Times New Roman"/>
          <w:i/>
          <w:iCs/>
          <w:sz w:val="24"/>
        </w:rPr>
        <w:t>p</w:t>
      </w:r>
      <w:r>
        <w:rPr>
          <w:rFonts w:ascii="Times New Roman" w:hAnsi="Times New Roman" w:eastAsia="宋体" w:cs="Times New Roman"/>
          <w:sz w:val="24"/>
        </w:rPr>
        <w:t xml:space="preserve"> &lt; 0.001 by Student’s t-test.</w:t>
      </w:r>
    </w:p>
    <w:p>
      <w:pPr>
        <w:widowControl/>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C-D. </w:t>
      </w:r>
      <w:r>
        <w:rPr>
          <w:rFonts w:ascii="Times New Roman" w:hAnsi="Times New Roman" w:eastAsia="宋体" w:cs="Times New Roman"/>
          <w:sz w:val="24"/>
        </w:rPr>
        <w:t xml:space="preserve">Viability of ovarian cancer cell lines </w:t>
      </w:r>
      <w:r>
        <w:rPr>
          <w:rFonts w:hint="eastAsia" w:ascii="Times New Roman" w:hAnsi="Times New Roman" w:eastAsia="宋体" w:cs="Times New Roman"/>
          <w:sz w:val="24"/>
        </w:rPr>
        <w:t xml:space="preserve">SKOV3 </w:t>
      </w:r>
      <w:r>
        <w:rPr>
          <w:rFonts w:ascii="Times New Roman" w:hAnsi="Times New Roman" w:eastAsia="宋体" w:cs="Times New Roman"/>
          <w:sz w:val="24"/>
        </w:rPr>
        <w:t>(</w:t>
      </w:r>
      <w:r>
        <w:rPr>
          <w:rFonts w:hint="eastAsia" w:ascii="Times New Roman" w:hAnsi="Times New Roman" w:eastAsia="宋体" w:cs="Times New Roman"/>
          <w:sz w:val="24"/>
        </w:rPr>
        <w:t>C</w:t>
      </w:r>
      <w:r>
        <w:rPr>
          <w:rFonts w:ascii="Times New Roman" w:hAnsi="Times New Roman" w:eastAsia="宋体" w:cs="Times New Roman"/>
          <w:sz w:val="24"/>
        </w:rPr>
        <w:t>), and OVCAR8 (</w:t>
      </w:r>
      <w:r>
        <w:rPr>
          <w:rFonts w:hint="eastAsia" w:ascii="Times New Roman" w:hAnsi="Times New Roman" w:eastAsia="宋体" w:cs="Times New Roman"/>
          <w:sz w:val="24"/>
        </w:rPr>
        <w:t>D</w:t>
      </w:r>
      <w:r>
        <w:rPr>
          <w:rFonts w:ascii="Times New Roman" w:hAnsi="Times New Roman" w:eastAsia="宋体" w:cs="Times New Roman"/>
          <w:sz w:val="24"/>
        </w:rPr>
        <w:t xml:space="preserve">) was assessed after treatment with </w:t>
      </w:r>
      <w:r>
        <w:rPr>
          <w:rFonts w:hint="eastAsia" w:ascii="Times New Roman" w:hAnsi="Times New Roman" w:eastAsia="宋体" w:cs="Times New Roman"/>
          <w:sz w:val="24"/>
        </w:rPr>
        <w:t>SOS, c</w:t>
      </w:r>
      <w:r>
        <w:rPr>
          <w:rFonts w:ascii="Times New Roman" w:hAnsi="Times New Roman" w:eastAsia="宋体" w:cs="Times New Roman"/>
          <w:sz w:val="24"/>
        </w:rPr>
        <w:t xml:space="preserve">isplatin or </w:t>
      </w:r>
      <w:r>
        <w:rPr>
          <w:rFonts w:hint="eastAsia" w:ascii="Times New Roman" w:hAnsi="Times New Roman" w:eastAsia="宋体" w:cs="Times New Roman"/>
          <w:sz w:val="24"/>
        </w:rPr>
        <w:t>c</w:t>
      </w:r>
      <w:r>
        <w:rPr>
          <w:rFonts w:ascii="Times New Roman" w:hAnsi="Times New Roman" w:eastAsia="宋体" w:cs="Times New Roman"/>
          <w:sz w:val="24"/>
        </w:rPr>
        <w:t xml:space="preserve">isplatin plus </w:t>
      </w:r>
      <w:r>
        <w:rPr>
          <w:rFonts w:hint="eastAsia" w:ascii="Times New Roman" w:hAnsi="Times New Roman" w:eastAsia="宋体" w:cs="Times New Roman"/>
          <w:sz w:val="24"/>
        </w:rPr>
        <w:t xml:space="preserve">SOS </w:t>
      </w:r>
      <w:r>
        <w:rPr>
          <w:rFonts w:ascii="Times New Roman" w:hAnsi="Times New Roman" w:eastAsia="宋体" w:cs="Times New Roman"/>
          <w:sz w:val="24"/>
        </w:rPr>
        <w:t>for 72 hours using the CCK8 assay (3 independent experiments). Data are presented as mean ± SEM. *</w:t>
      </w:r>
      <w:r>
        <w:rPr>
          <w:rFonts w:ascii="Times New Roman" w:hAnsi="Times New Roman" w:eastAsia="宋体" w:cs="Times New Roman"/>
          <w:i/>
          <w:iCs/>
          <w:sz w:val="24"/>
        </w:rPr>
        <w:t>p</w:t>
      </w:r>
      <w:r>
        <w:rPr>
          <w:rFonts w:ascii="Times New Roman" w:hAnsi="Times New Roman" w:eastAsia="宋体" w:cs="Times New Roman"/>
          <w:sz w:val="24"/>
        </w:rPr>
        <w:t xml:space="preserve"> &lt; 0.05, **</w:t>
      </w:r>
      <w:r>
        <w:rPr>
          <w:rFonts w:ascii="Times New Roman" w:hAnsi="Times New Roman" w:eastAsia="宋体" w:cs="Times New Roman"/>
          <w:i/>
          <w:iCs/>
          <w:sz w:val="24"/>
        </w:rPr>
        <w:t>p</w:t>
      </w:r>
      <w:r>
        <w:rPr>
          <w:rFonts w:ascii="Times New Roman" w:hAnsi="Times New Roman" w:eastAsia="宋体" w:cs="Times New Roman"/>
          <w:sz w:val="24"/>
        </w:rPr>
        <w:t xml:space="preserve"> &lt; 0.01, ***</w:t>
      </w:r>
      <w:r>
        <w:rPr>
          <w:rFonts w:ascii="Times New Roman" w:hAnsi="Times New Roman" w:eastAsia="宋体" w:cs="Times New Roman"/>
          <w:i/>
          <w:iCs/>
          <w:sz w:val="24"/>
        </w:rPr>
        <w:t>p</w:t>
      </w:r>
      <w:r>
        <w:rPr>
          <w:rFonts w:ascii="Times New Roman" w:hAnsi="Times New Roman" w:eastAsia="宋体" w:cs="Times New Roman"/>
          <w:sz w:val="24"/>
        </w:rPr>
        <w:t xml:space="preserve"> &lt; 0.001 by Student’s t-test.</w:t>
      </w:r>
    </w:p>
    <w:p>
      <w:pPr>
        <w:widowControl/>
        <w:spacing w:line="360" w:lineRule="auto"/>
        <w:rPr>
          <w:rFonts w:ascii="Times New Roman" w:hAnsi="Times New Roman" w:eastAsia="宋体" w:cs="Times New Roman"/>
          <w:sz w:val="24"/>
        </w:rPr>
      </w:pPr>
    </w:p>
    <w:p>
      <w:pPr>
        <w:widowControl/>
        <w:rPr>
          <w:rFonts w:ascii="Times New Roman" w:hAnsi="Times New Roman" w:eastAsia="宋体" w:cs="Times New Roman"/>
          <w:b/>
          <w:bCs/>
          <w:sz w:val="24"/>
        </w:rPr>
      </w:pPr>
      <w:r>
        <w:rPr>
          <w:rFonts w:ascii="Times New Roman" w:hAnsi="Times New Roman" w:eastAsia="宋体" w:cs="Times New Roman"/>
          <w:b/>
          <w:bCs/>
          <w:sz w:val="24"/>
        </w:rPr>
        <w:t xml:space="preserve">Supplementary Table 1. Clinical information of </w:t>
      </w:r>
      <w:r>
        <w:rPr>
          <w:rFonts w:hint="eastAsia" w:ascii="Times New Roman" w:hAnsi="Times New Roman" w:eastAsia="宋体" w:cs="Times New Roman"/>
          <w:b/>
          <w:bCs/>
          <w:sz w:val="24"/>
        </w:rPr>
        <w:t>patients</w:t>
      </w:r>
      <w:r>
        <w:rPr>
          <w:rFonts w:hint="eastAsia" w:ascii="Times New Roman" w:hAnsi="Times New Roman" w:eastAsia="宋体" w:cs="Times New Roman"/>
          <w:b/>
          <w:bCs/>
          <w:sz w:val="24"/>
          <w:lang w:val="en-US" w:eastAsia="zh-CN"/>
        </w:rPr>
        <w:t xml:space="preserve"> with ovarian cancer</w:t>
      </w:r>
      <w:r>
        <w:rPr>
          <w:rFonts w:hint="eastAsia" w:ascii="Times New Roman" w:hAnsi="Times New Roman" w:eastAsia="宋体" w:cs="Times New Roman"/>
          <w:b/>
          <w:bCs/>
          <w:sz w:val="24"/>
        </w:rPr>
        <w:t xml:space="preserve"> (</w:t>
      </w:r>
      <w:r>
        <w:rPr>
          <w:rFonts w:ascii="Times New Roman" w:hAnsi="Times New Roman" w:eastAsia="宋体" w:cs="Times New Roman"/>
          <w:sz w:val="24"/>
        </w:rPr>
        <w:t>Targeted lipid metabolomics detection was performed for patients #</w:t>
      </w:r>
      <w:r>
        <w:rPr>
          <w:rFonts w:hint="eastAsia" w:ascii="Times New Roman" w:hAnsi="Times New Roman" w:eastAsia="宋体" w:cs="Times New Roman"/>
          <w:sz w:val="24"/>
          <w:lang w:val="en-US" w:eastAsia="zh-CN"/>
        </w:rPr>
        <w:t>5, 7, 8, 10, 11, 17</w:t>
      </w:r>
      <w:r>
        <w:rPr>
          <w:rFonts w:ascii="Times New Roman" w:hAnsi="Times New Roman" w:eastAsia="宋体" w:cs="Times New Roman"/>
          <w:sz w:val="24"/>
        </w:rPr>
        <w:t>, organoid culture and drug screening experiments were conducted for patients #2</w:t>
      </w:r>
      <w:r>
        <w:rPr>
          <w:rFonts w:hint="eastAsia" w:ascii="Times New Roman" w:hAnsi="Times New Roman" w:eastAsia="宋体" w:cs="Times New Roman"/>
          <w:sz w:val="24"/>
          <w:lang w:val="en-US" w:eastAsia="zh-CN"/>
        </w:rPr>
        <w:t>8, 29, 31, 34, 36, 37</w:t>
      </w:r>
      <w:r>
        <w:rPr>
          <w:rFonts w:ascii="Times New Roman" w:hAnsi="Times New Roman" w:eastAsia="宋体" w:cs="Times New Roman"/>
          <w:sz w:val="24"/>
        </w:rPr>
        <w:t>, and RNA sequencing was carried out for patients #46–53</w:t>
      </w:r>
      <w:r>
        <w:rPr>
          <w:rFonts w:hint="eastAsia" w:ascii="Times New Roman" w:hAnsi="Times New Roman" w:eastAsia="宋体" w:cs="Times New Roman"/>
          <w:b/>
          <w:bCs/>
          <w:sz w:val="24"/>
        </w:rPr>
        <w:t>).</w:t>
      </w:r>
    </w:p>
    <w:tbl>
      <w:tblPr>
        <w:tblStyle w:val="9"/>
        <w:tblW w:w="8581" w:type="dxa"/>
        <w:jc w:val="center"/>
        <w:tblLayout w:type="fixed"/>
        <w:tblCellMar>
          <w:top w:w="0" w:type="dxa"/>
          <w:left w:w="108" w:type="dxa"/>
          <w:bottom w:w="0" w:type="dxa"/>
          <w:right w:w="108" w:type="dxa"/>
        </w:tblCellMar>
      </w:tblPr>
      <w:tblGrid>
        <w:gridCol w:w="1027"/>
        <w:gridCol w:w="1146"/>
        <w:gridCol w:w="790"/>
        <w:gridCol w:w="691"/>
        <w:gridCol w:w="2672"/>
        <w:gridCol w:w="2255"/>
      </w:tblGrid>
      <w:tr>
        <w:tblPrEx>
          <w:tblCellMar>
            <w:top w:w="0" w:type="dxa"/>
            <w:left w:w="108" w:type="dxa"/>
            <w:bottom w:w="0" w:type="dxa"/>
            <w:right w:w="108" w:type="dxa"/>
          </w:tblCellMar>
        </w:tblPrEx>
        <w:trPr>
          <w:trHeight w:val="90" w:hRule="atLeast"/>
          <w:jc w:val="center"/>
        </w:trPr>
        <w:tc>
          <w:tcPr>
            <w:tcW w:w="10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b/>
                <w:bCs/>
                <w:color w:val="000000"/>
                <w:kern w:val="0"/>
                <w:szCs w:val="21"/>
                <w:lang w:bidi="ar"/>
              </w:rPr>
            </w:pPr>
            <w:r>
              <w:rPr>
                <w:rFonts w:hint="eastAsia" w:ascii="Times New Roman" w:hAnsi="Times New Roman" w:eastAsia="宋体" w:cs="Times New Roman"/>
                <w:b/>
                <w:bCs/>
                <w:color w:val="000000"/>
                <w:kern w:val="0"/>
                <w:szCs w:val="21"/>
                <w:lang w:bidi="ar"/>
              </w:rPr>
              <w:t>Number</w:t>
            </w:r>
          </w:p>
        </w:tc>
        <w:tc>
          <w:tcPr>
            <w:tcW w:w="11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Staging</w:t>
            </w: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Age</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BMI</w:t>
            </w:r>
          </w:p>
        </w:tc>
        <w:tc>
          <w:tcPr>
            <w:tcW w:w="267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b/>
                <w:bCs/>
                <w:color w:val="000000"/>
                <w:szCs w:val="21"/>
              </w:rPr>
            </w:pPr>
            <w:r>
              <w:fldChar w:fldCharType="begin"/>
            </w:r>
            <w:r>
              <w:instrText xml:space="preserve"> HYPERLINK "https://cn.bing.com/dict/search?q=Abdominal&amp;FORM=BDVSP6&amp;cc=cn" </w:instrText>
            </w:r>
            <w:r>
              <w:fldChar w:fldCharType="separate"/>
            </w:r>
            <w:r>
              <w:rPr>
                <w:rFonts w:ascii="Times New Roman" w:hAnsi="Times New Roman" w:eastAsia="宋体" w:cs="Times New Roman"/>
                <w:b/>
                <w:bCs/>
                <w:color w:val="000000"/>
                <w:kern w:val="0"/>
                <w:szCs w:val="21"/>
                <w:lang w:bidi="ar"/>
              </w:rPr>
              <w:t>Abdominal</w:t>
            </w:r>
            <w:r>
              <w:rPr>
                <w:rFonts w:ascii="Times New Roman" w:hAnsi="Times New Roman" w:eastAsia="宋体" w:cs="Times New Roman"/>
                <w:b/>
                <w:bCs/>
                <w:color w:val="000000"/>
                <w:kern w:val="0"/>
                <w:szCs w:val="21"/>
                <w:lang w:bidi="ar"/>
              </w:rPr>
              <w:fldChar w:fldCharType="end"/>
            </w:r>
            <w:r>
              <w:rPr>
                <w:rFonts w:ascii="Times New Roman" w:hAnsi="Times New Roman" w:eastAsia="宋体" w:cs="Times New Roman"/>
                <w:b/>
                <w:bCs/>
                <w:color w:val="000000"/>
                <w:kern w:val="0"/>
                <w:szCs w:val="21"/>
                <w:lang w:bidi="ar"/>
              </w:rPr>
              <w:t> </w:t>
            </w:r>
            <w:r>
              <w:fldChar w:fldCharType="begin"/>
            </w:r>
            <w:r>
              <w:instrText xml:space="preserve"> HYPERLINK "https://cn.bing.com/dict/search?q=water&amp;FORM=BDVSP6&amp;cc=cn" </w:instrText>
            </w:r>
            <w:r>
              <w:fldChar w:fldCharType="separate"/>
            </w:r>
            <w:r>
              <w:rPr>
                <w:rFonts w:ascii="Times New Roman" w:hAnsi="Times New Roman" w:eastAsia="宋体" w:cs="Times New Roman"/>
                <w:b/>
                <w:bCs/>
                <w:color w:val="000000"/>
                <w:kern w:val="0"/>
                <w:szCs w:val="21"/>
                <w:lang w:bidi="ar"/>
              </w:rPr>
              <w:t>water</w:t>
            </w:r>
            <w:r>
              <w:rPr>
                <w:rFonts w:ascii="Times New Roman" w:hAnsi="Times New Roman" w:eastAsia="宋体" w:cs="Times New Roman"/>
                <w:b/>
                <w:bCs/>
                <w:color w:val="000000"/>
                <w:kern w:val="0"/>
                <w:szCs w:val="21"/>
                <w:lang w:bidi="ar"/>
              </w:rPr>
              <w:fldChar w:fldCharType="end"/>
            </w:r>
            <w:r>
              <w:rPr>
                <w:rFonts w:ascii="Times New Roman" w:hAnsi="Times New Roman" w:eastAsia="宋体" w:cs="Times New Roman"/>
                <w:b/>
                <w:bCs/>
                <w:color w:val="000000"/>
                <w:kern w:val="0"/>
                <w:szCs w:val="21"/>
                <w:lang w:bidi="ar"/>
              </w:rPr>
              <w:t>（m</w:t>
            </w:r>
            <w:r>
              <w:rPr>
                <w:rFonts w:hint="eastAsia" w:ascii="Times New Roman" w:hAnsi="Times New Roman" w:eastAsia="宋体" w:cs="Times New Roman"/>
                <w:b/>
                <w:bCs/>
                <w:color w:val="000000"/>
                <w:kern w:val="0"/>
                <w:szCs w:val="21"/>
                <w:lang w:bidi="ar"/>
              </w:rPr>
              <w:t>L</w:t>
            </w:r>
            <w:r>
              <w:rPr>
                <w:rFonts w:ascii="Times New Roman" w:hAnsi="Times New Roman" w:eastAsia="宋体" w:cs="Times New Roman"/>
                <w:b/>
                <w:bCs/>
                <w:color w:val="000000"/>
                <w:kern w:val="0"/>
                <w:szCs w:val="21"/>
                <w:lang w:bidi="ar"/>
              </w:rPr>
              <w:t>）</w:t>
            </w:r>
          </w:p>
        </w:tc>
        <w:tc>
          <w:tcPr>
            <w:tcW w:w="22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cs="Times New Roman"/>
                <w:b/>
                <w:bCs/>
              </w:rPr>
              <w:t>Cisplatin resistance</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5</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szCs w:val="21"/>
                <w14:textFill>
                  <w14:solidFill>
                    <w14:schemeClr w14:val="accent1"/>
                  </w14:solidFill>
                </w14:textFill>
              </w:rPr>
            </w:pPr>
            <w:r>
              <w:rPr>
                <w:rFonts w:ascii="Times New Roman" w:hAnsi="Times New Roman" w:eastAsia="宋体" w:cs="Times New Roman"/>
                <w:b/>
                <w:bCs/>
                <w:color w:val="4472C4" w:themeColor="accent1"/>
                <w:kern w:val="0"/>
                <w:szCs w:val="21"/>
                <w:lang w:bidi="ar"/>
                <w14:textFill>
                  <w14:solidFill>
                    <w14:schemeClr w14:val="accent1"/>
                  </w14:solidFill>
                </w14:textFill>
              </w:rPr>
              <w:t>IIIC</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70</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20.4</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3077</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No</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000000"/>
                <w:kern w:val="0"/>
                <w:szCs w:val="21"/>
                <w:lang w:bidi="ar"/>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7</w:t>
            </w:r>
          </w:p>
        </w:tc>
        <w:tc>
          <w:tcPr>
            <w:tcW w:w="114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b/>
                <w:bCs/>
                <w:color w:val="2E75B6" w:themeColor="accent5" w:themeShade="BF"/>
                <w:szCs w:val="21"/>
              </w:rPr>
            </w:pPr>
            <w:r>
              <w:rPr>
                <w:rFonts w:ascii="Times New Roman" w:hAnsi="Times New Roman" w:eastAsia="宋体" w:cs="Times New Roman"/>
                <w:b/>
                <w:bCs/>
                <w:color w:val="4472C4" w:themeColor="accent1"/>
                <w:kern w:val="0"/>
                <w:szCs w:val="21"/>
                <w:lang w:bidi="ar"/>
                <w14:textFill>
                  <w14:solidFill>
                    <w14:schemeClr w14:val="accent1"/>
                  </w14:solidFill>
                </w14:textFill>
              </w:rPr>
              <w:t>IIIC</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50</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26.89</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1542</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No</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8</w:t>
            </w:r>
          </w:p>
        </w:tc>
        <w:tc>
          <w:tcPr>
            <w:tcW w:w="11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b/>
                <w:bCs/>
                <w:color w:val="C00000"/>
                <w:szCs w:val="21"/>
              </w:rPr>
            </w:pPr>
            <w:r>
              <w:rPr>
                <w:rFonts w:ascii="Times New Roman" w:hAnsi="Times New Roman" w:eastAsia="宋体" w:cs="Times New Roman"/>
                <w:b/>
                <w:bCs/>
                <w:color w:val="C00000"/>
                <w:kern w:val="0"/>
                <w:szCs w:val="21"/>
                <w:lang w:bidi="ar"/>
              </w:rPr>
              <w:t>IIIC</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C00000"/>
                <w:sz w:val="24"/>
              </w:rPr>
            </w:pPr>
            <w:r>
              <w:rPr>
                <w:rFonts w:hint="eastAsia" w:ascii="Times New Roman" w:hAnsi="Times New Roman" w:eastAsia="宋体" w:cs="Times New Roman"/>
                <w:b/>
                <w:bCs/>
                <w:color w:val="C00000"/>
                <w:kern w:val="0"/>
                <w:szCs w:val="21"/>
                <w:lang w:bidi="ar"/>
              </w:rPr>
              <w:t>58</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28.96</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8000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10</w:t>
            </w:r>
          </w:p>
        </w:tc>
        <w:tc>
          <w:tcPr>
            <w:tcW w:w="11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IVA</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51</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28.9</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500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b/>
                <w:bCs/>
                <w:color w:val="000000"/>
                <w:kern w:val="0"/>
                <w:szCs w:val="21"/>
                <w:lang w:bidi="ar"/>
              </w:rPr>
            </w:pPr>
            <w:r>
              <w:rPr>
                <w:rFonts w:hint="eastAsia" w:ascii="Times New Roman" w:hAnsi="Times New Roman" w:eastAsia="宋体" w:cs="Times New Roman"/>
                <w:b/>
                <w:bCs/>
                <w:color w:val="C00000"/>
                <w:kern w:val="0"/>
                <w:szCs w:val="21"/>
                <w:lang w:bidi="ar"/>
              </w:rPr>
              <w:t>11</w:t>
            </w:r>
          </w:p>
        </w:tc>
        <w:tc>
          <w:tcPr>
            <w:tcW w:w="11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Times New Roman" w:hAnsi="Times New Roman" w:eastAsia="宋体" w:cs="Times New Roman"/>
                <w:b/>
                <w:bCs/>
                <w:color w:val="C00000"/>
                <w:szCs w:val="21"/>
              </w:rPr>
              <w:t>IVB</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4"/>
              </w:rPr>
            </w:pPr>
            <w:r>
              <w:rPr>
                <w:rFonts w:hint="eastAsia" w:ascii="Times New Roman" w:hAnsi="Times New Roman" w:eastAsia="宋体" w:cs="Times New Roman"/>
                <w:b/>
                <w:bCs/>
                <w:color w:val="C00000"/>
                <w:szCs w:val="21"/>
              </w:rPr>
              <w:t>50</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21.09</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4"/>
              </w:rPr>
            </w:pPr>
            <w:r>
              <w:rPr>
                <w:rFonts w:hint="eastAsia" w:ascii="Times New Roman" w:hAnsi="Times New Roman" w:eastAsia="宋体" w:cs="Times New Roman"/>
                <w:b/>
                <w:bCs/>
                <w:color w:val="C00000"/>
                <w:szCs w:val="21"/>
              </w:rPr>
              <w:t>407.40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17</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szCs w:val="21"/>
                <w14:textFill>
                  <w14:solidFill>
                    <w14:schemeClr w14:val="accent1"/>
                  </w14:solidFill>
                </w14:textFill>
              </w:rPr>
            </w:pPr>
            <w:r>
              <w:rPr>
                <w:rFonts w:ascii="Times New Roman" w:hAnsi="Times New Roman" w:eastAsia="宋体" w:cs="Times New Roman"/>
                <w:b/>
                <w:bCs/>
                <w:color w:val="4472C4" w:themeColor="accent1"/>
                <w:kern w:val="0"/>
                <w:szCs w:val="21"/>
                <w:lang w:bidi="ar"/>
                <w14:textFill>
                  <w14:solidFill>
                    <w14:schemeClr w14:val="accent1"/>
                  </w14:solidFill>
                </w14:textFill>
              </w:rPr>
              <w:t>IIIC</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szCs w:val="21"/>
                <w14:textFill>
                  <w14:solidFill>
                    <w14:schemeClr w14:val="accent1"/>
                  </w14:solidFill>
                </w14:textFill>
              </w:rPr>
            </w:pPr>
            <w:r>
              <w:rPr>
                <w:rFonts w:hint="eastAsia" w:ascii="Times New Roman" w:hAnsi="Times New Roman" w:eastAsia="宋体" w:cs="Times New Roman"/>
                <w:b/>
                <w:bCs/>
                <w:color w:val="4472C4" w:themeColor="accent1"/>
                <w:szCs w:val="21"/>
                <w14:textFill>
                  <w14:solidFill>
                    <w14:schemeClr w14:val="accent1"/>
                  </w14:solidFill>
                </w14:textFill>
              </w:rPr>
              <w:t>70</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18.67</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2E75B6" w:themeColor="accent5" w:themeShade="BF"/>
                <w:szCs w:val="21"/>
              </w:rPr>
            </w:pPr>
            <w:r>
              <w:rPr>
                <w:rFonts w:hint="eastAsia" w:ascii="Times New Roman" w:hAnsi="Times New Roman" w:eastAsia="宋体" w:cs="Times New Roman"/>
                <w:b/>
                <w:bCs/>
                <w:color w:val="2E75B6" w:themeColor="accent5" w:themeShade="BF"/>
                <w:szCs w:val="21"/>
              </w:rPr>
              <w:t>19879</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2E75B6" w:themeColor="accent5" w:themeShade="BF"/>
                <w:kern w:val="0"/>
                <w:szCs w:val="21"/>
                <w:lang w:bidi="ar"/>
              </w:rPr>
            </w:pPr>
            <w:r>
              <w:rPr>
                <w:rFonts w:hint="eastAsia" w:ascii="Times New Roman" w:hAnsi="Times New Roman" w:eastAsia="宋体" w:cs="Times New Roman"/>
                <w:b/>
                <w:bCs/>
                <w:color w:val="2E75B6" w:themeColor="accent5" w:themeShade="BF"/>
                <w:szCs w:val="21"/>
              </w:rPr>
              <w:t>No</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28</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IV</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66</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28.69</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 xml:space="preserve">2301.00 </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szCs w:val="21"/>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29</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IIIC</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46</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22.58</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 xml:space="preserve">2777.00 </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szCs w:val="21"/>
                <w14:textFill>
                  <w14:solidFill>
                    <w14:schemeClr w14:val="accent1"/>
                  </w14:solidFill>
                </w14:textFill>
              </w:rPr>
              <w:t>No</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31</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IVB</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56</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24.16</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 xml:space="preserve">683.30 </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34</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IVB</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62</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25.39</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 xml:space="preserve">3817.00 </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36</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IIIC</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41</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24.55</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 xml:space="preserve">597.20 </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szCs w:val="21"/>
                <w14:textFill>
                  <w14:solidFill>
                    <w14:schemeClr w14:val="accent1"/>
                  </w14:solidFill>
                </w14:textFill>
              </w:rPr>
            </w:pPr>
            <w:r>
              <w:rPr>
                <w:rFonts w:hint="eastAsia" w:ascii="Times New Roman" w:hAnsi="Times New Roman" w:eastAsia="宋体" w:cs="Times New Roman"/>
                <w:b/>
                <w:bCs/>
                <w:color w:val="4472C4" w:themeColor="accent1"/>
                <w:szCs w:val="21"/>
                <w14:textFill>
                  <w14:solidFill>
                    <w14:schemeClr w14:val="accent1"/>
                  </w14:solidFill>
                </w14:textFill>
              </w:rPr>
              <w:t>No</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37</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IIIC</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45</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21.87</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1483.00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szCs w:val="21"/>
                <w14:textFill>
                  <w14:solidFill>
                    <w14:schemeClr w14:val="accent1"/>
                  </w14:solidFill>
                </w14:textFill>
              </w:rPr>
            </w:pPr>
            <w:r>
              <w:rPr>
                <w:rFonts w:hint="eastAsia" w:ascii="Times New Roman" w:hAnsi="Times New Roman" w:eastAsia="宋体" w:cs="Times New Roman"/>
                <w:b/>
                <w:bCs/>
                <w:color w:val="4472C4" w:themeColor="accent1"/>
                <w:szCs w:val="21"/>
                <w14:textFill>
                  <w14:solidFill>
                    <w14:schemeClr w14:val="accent1"/>
                  </w14:solidFill>
                </w14:textFill>
              </w:rPr>
              <w:t>No</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46</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IIIB</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51</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24.00</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960.00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47</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IV</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49</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19.98</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698.50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48</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IVB</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45</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29.14</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2139.00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49</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IIIC</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67</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25.06</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kern w:val="0"/>
                <w:szCs w:val="21"/>
                <w:lang w:bidi="ar"/>
              </w:rPr>
            </w:pPr>
            <w:r>
              <w:rPr>
                <w:rFonts w:hint="eastAsia" w:ascii="Times New Roman" w:hAnsi="Times New Roman" w:eastAsia="宋体" w:cs="Times New Roman"/>
                <w:b/>
                <w:bCs/>
                <w:color w:val="C00000"/>
                <w:kern w:val="0"/>
                <w:szCs w:val="21"/>
                <w:lang w:bidi="ar"/>
              </w:rPr>
              <w:t>3201.00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C00000"/>
                <w:szCs w:val="21"/>
              </w:rPr>
            </w:pPr>
            <w:r>
              <w:rPr>
                <w:rFonts w:hint="eastAsia" w:ascii="Times New Roman" w:hAnsi="Times New Roman" w:eastAsia="宋体" w:cs="Times New Roman"/>
                <w:b/>
                <w:bCs/>
                <w:color w:val="C00000"/>
                <w:szCs w:val="21"/>
              </w:rPr>
              <w:t>Yes</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50</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IIIC</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44</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22.30</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2896.10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szCs w:val="21"/>
                <w14:textFill>
                  <w14:solidFill>
                    <w14:schemeClr w14:val="accent1"/>
                  </w14:solidFill>
                </w14:textFill>
              </w:rPr>
            </w:pPr>
            <w:r>
              <w:rPr>
                <w:rFonts w:hint="eastAsia" w:ascii="Times New Roman" w:hAnsi="Times New Roman" w:eastAsia="宋体" w:cs="Times New Roman"/>
                <w:b/>
                <w:bCs/>
                <w:color w:val="4472C4" w:themeColor="accent1"/>
                <w:szCs w:val="21"/>
                <w14:textFill>
                  <w14:solidFill>
                    <w14:schemeClr w14:val="accent1"/>
                  </w14:solidFill>
                </w14:textFill>
              </w:rPr>
              <w:t>No</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51</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III</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53</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24.03</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520.40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szCs w:val="21"/>
                <w14:textFill>
                  <w14:solidFill>
                    <w14:schemeClr w14:val="accent1"/>
                  </w14:solidFill>
                </w14:textFill>
              </w:rPr>
            </w:pPr>
            <w:r>
              <w:rPr>
                <w:rFonts w:hint="eastAsia" w:ascii="Times New Roman" w:hAnsi="Times New Roman" w:eastAsia="宋体" w:cs="Times New Roman"/>
                <w:b/>
                <w:bCs/>
                <w:color w:val="4472C4" w:themeColor="accent1"/>
                <w:szCs w:val="21"/>
                <w14:textFill>
                  <w14:solidFill>
                    <w14:schemeClr w14:val="accent1"/>
                  </w14:solidFill>
                </w14:textFill>
              </w:rPr>
              <w:t>No</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52</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IIIB</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50</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22.65</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3901.00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szCs w:val="21"/>
                <w14:textFill>
                  <w14:solidFill>
                    <w14:schemeClr w14:val="accent1"/>
                  </w14:solidFill>
                </w14:textFill>
              </w:rPr>
            </w:pPr>
            <w:r>
              <w:rPr>
                <w:rFonts w:hint="eastAsia" w:ascii="Times New Roman" w:hAnsi="Times New Roman" w:eastAsia="宋体" w:cs="Times New Roman"/>
                <w:b/>
                <w:bCs/>
                <w:color w:val="4472C4" w:themeColor="accent1"/>
                <w:szCs w:val="21"/>
                <w14:textFill>
                  <w14:solidFill>
                    <w14:schemeClr w14:val="accent1"/>
                  </w14:solidFill>
                </w14:textFill>
              </w:rPr>
              <w:t>No</w:t>
            </w:r>
          </w:p>
        </w:tc>
      </w:tr>
      <w:tr>
        <w:tblPrEx>
          <w:tblCellMar>
            <w:top w:w="0" w:type="dxa"/>
            <w:left w:w="108" w:type="dxa"/>
            <w:bottom w:w="0" w:type="dxa"/>
            <w:right w:w="108" w:type="dxa"/>
          </w:tblCellMar>
        </w:tblPrEx>
        <w:trPr>
          <w:trHeight w:val="405" w:hRule="atLeast"/>
          <w:jc w:val="center"/>
        </w:trPr>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53</w:t>
            </w:r>
          </w:p>
        </w:tc>
        <w:tc>
          <w:tcPr>
            <w:tcW w:w="11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IV</w:t>
            </w:r>
          </w:p>
        </w:tc>
        <w:tc>
          <w:tcPr>
            <w:tcW w:w="7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54</w:t>
            </w:r>
          </w:p>
        </w:tc>
        <w:tc>
          <w:tcPr>
            <w:tcW w:w="6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28.70</w:t>
            </w:r>
          </w:p>
        </w:tc>
        <w:tc>
          <w:tcPr>
            <w:tcW w:w="26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kern w:val="0"/>
                <w:szCs w:val="21"/>
                <w:lang w:bidi="ar"/>
                <w14:textFill>
                  <w14:solidFill>
                    <w14:schemeClr w14:val="accent1"/>
                  </w14:solidFill>
                </w14:textFill>
              </w:rPr>
            </w:pPr>
            <w:r>
              <w:rPr>
                <w:rFonts w:hint="eastAsia" w:ascii="Times New Roman" w:hAnsi="Times New Roman" w:eastAsia="宋体" w:cs="Times New Roman"/>
                <w:b/>
                <w:bCs/>
                <w:color w:val="4472C4" w:themeColor="accent1"/>
                <w:kern w:val="0"/>
                <w:szCs w:val="21"/>
                <w:lang w:bidi="ar"/>
                <w14:textFill>
                  <w14:solidFill>
                    <w14:schemeClr w14:val="accent1"/>
                  </w14:solidFill>
                </w14:textFill>
              </w:rPr>
              <w:t>1638.50</w:t>
            </w:r>
          </w:p>
        </w:tc>
        <w:tc>
          <w:tcPr>
            <w:tcW w:w="22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b/>
                <w:bCs/>
                <w:color w:val="4472C4" w:themeColor="accent1"/>
                <w:szCs w:val="21"/>
                <w14:textFill>
                  <w14:solidFill>
                    <w14:schemeClr w14:val="accent1"/>
                  </w14:solidFill>
                </w14:textFill>
              </w:rPr>
            </w:pPr>
            <w:r>
              <w:rPr>
                <w:rFonts w:hint="eastAsia" w:ascii="Times New Roman" w:hAnsi="Times New Roman" w:eastAsia="宋体" w:cs="Times New Roman"/>
                <w:b/>
                <w:bCs/>
                <w:color w:val="4472C4" w:themeColor="accent1"/>
                <w:szCs w:val="21"/>
                <w14:textFill>
                  <w14:solidFill>
                    <w14:schemeClr w14:val="accent1"/>
                  </w14:solidFill>
                </w14:textFill>
              </w:rPr>
              <w:t>No</w:t>
            </w:r>
          </w:p>
        </w:tc>
      </w:tr>
    </w:tbl>
    <w:p>
      <w:pPr>
        <w:rPr>
          <w:rFonts w:ascii="Times New Roman" w:hAnsi="Times New Roman" w:eastAsia="宋体" w:cs="Times New Roman"/>
          <w:sz w:val="24"/>
        </w:rPr>
      </w:pPr>
      <w:bookmarkStart w:id="2" w:name="_GoBack"/>
      <w:bookmarkEnd w:id="2"/>
    </w:p>
    <w:sectPr>
      <w:pgSz w:w="11900" w:h="16840"/>
      <w:pgMar w:top="1440" w:right="1800" w:bottom="1440" w:left="1800" w:header="851" w:footer="992" w:gutter="0"/>
      <w:lnNumType w:countBy="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647F15"/>
    <w:multiLevelType w:val="singleLevel"/>
    <w:tmpl w:val="A6647F15"/>
    <w:lvl w:ilvl="0" w:tentative="0">
      <w:start w:val="1"/>
      <w:numFmt w:val="upperLetter"/>
      <w:suff w:val="space"/>
      <w:lvlText w:val="%1."/>
      <w:lvlJc w:val="left"/>
    </w:lvl>
  </w:abstractNum>
  <w:abstractNum w:abstractNumId="1">
    <w:nsid w:val="7D6D4651"/>
    <w:multiLevelType w:val="singleLevel"/>
    <w:tmpl w:val="7D6D4651"/>
    <w:lvl w:ilvl="0" w:tentative="0">
      <w:start w:val="1"/>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1YmMxZDE0N2M4OTI0MWFkM2U2ZDc3Y2Y0Yjk0YmUifQ=="/>
    <w:docVar w:name="EN.InstantFormat" w:val="&lt;ENInstantFormat&gt;&lt;Enabled&gt;1&lt;/Enabled&gt;&lt;ScanUnformatted&gt;1&lt;/ScanUnformatted&gt;&lt;ScanChanges&gt;1&lt;/ScanChanges&gt;&lt;Suspended&gt;0&lt;/Suspended&gt;&lt;/ENInstantFormat&gt;"/>
    <w:docVar w:name="EN.Layout" w:val="&lt;ENLayout&gt;&lt;Style&gt;J Clinical Investigatio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pxztftwwr9wcexee6p0xerv5espfzfs0r9&quot;&gt;My EndNote Library&lt;record-ids&gt;&lt;item&gt;1&lt;/item&gt;&lt;item&gt;3&lt;/item&gt;&lt;item&gt;4&lt;/item&gt;&lt;item&gt;5&lt;/item&gt;&lt;item&gt;6&lt;/item&gt;&lt;item&gt;7&lt;/item&gt;&lt;item&gt;8&lt;/item&gt;&lt;item&gt;11&lt;/item&gt;&lt;item&gt;12&lt;/item&gt;&lt;item&gt;154&lt;/item&gt;&lt;item&gt;162&lt;/item&gt;&lt;item&gt;163&lt;/item&gt;&lt;item&gt;164&lt;/item&gt;&lt;item&gt;345&lt;/item&gt;&lt;item&gt;347&lt;/item&gt;&lt;item&gt;348&lt;/item&gt;&lt;item&gt;349&lt;/item&gt;&lt;/record-ids&gt;&lt;/item&gt;&lt;/Libraries&gt;"/>
    <w:docVar w:name="KSO_WPS_MARK_KEY" w:val="b96905b8-ae7a-46df-bb08-3293449b6a7e"/>
  </w:docVars>
  <w:rsids>
    <w:rsidRoot w:val="00305FE6"/>
    <w:rsid w:val="00001BEE"/>
    <w:rsid w:val="00002D61"/>
    <w:rsid w:val="000036D1"/>
    <w:rsid w:val="00003ADE"/>
    <w:rsid w:val="00003EC5"/>
    <w:rsid w:val="000042A3"/>
    <w:rsid w:val="000059DB"/>
    <w:rsid w:val="00006EC1"/>
    <w:rsid w:val="00006EF2"/>
    <w:rsid w:val="0001005D"/>
    <w:rsid w:val="00010467"/>
    <w:rsid w:val="00010477"/>
    <w:rsid w:val="00010A3E"/>
    <w:rsid w:val="000116BC"/>
    <w:rsid w:val="00011D55"/>
    <w:rsid w:val="00014498"/>
    <w:rsid w:val="000147B8"/>
    <w:rsid w:val="00015554"/>
    <w:rsid w:val="00015752"/>
    <w:rsid w:val="00020AAF"/>
    <w:rsid w:val="00021CCE"/>
    <w:rsid w:val="00022B11"/>
    <w:rsid w:val="00022C7B"/>
    <w:rsid w:val="00023CAE"/>
    <w:rsid w:val="00023D9F"/>
    <w:rsid w:val="0002406F"/>
    <w:rsid w:val="00025207"/>
    <w:rsid w:val="00026D41"/>
    <w:rsid w:val="00030FFF"/>
    <w:rsid w:val="00031071"/>
    <w:rsid w:val="00031EA0"/>
    <w:rsid w:val="00032B9F"/>
    <w:rsid w:val="00033DF2"/>
    <w:rsid w:val="00034A5C"/>
    <w:rsid w:val="00034E63"/>
    <w:rsid w:val="00037C71"/>
    <w:rsid w:val="0004023E"/>
    <w:rsid w:val="00040F27"/>
    <w:rsid w:val="0004184D"/>
    <w:rsid w:val="000430B7"/>
    <w:rsid w:val="000447EE"/>
    <w:rsid w:val="00044C65"/>
    <w:rsid w:val="00044FD9"/>
    <w:rsid w:val="00045151"/>
    <w:rsid w:val="00045593"/>
    <w:rsid w:val="000467DD"/>
    <w:rsid w:val="00047138"/>
    <w:rsid w:val="00051B80"/>
    <w:rsid w:val="00051FF2"/>
    <w:rsid w:val="00052829"/>
    <w:rsid w:val="0005675C"/>
    <w:rsid w:val="00057BF7"/>
    <w:rsid w:val="000604F0"/>
    <w:rsid w:val="000617E7"/>
    <w:rsid w:val="000626E3"/>
    <w:rsid w:val="0006272B"/>
    <w:rsid w:val="00062A26"/>
    <w:rsid w:val="00065C50"/>
    <w:rsid w:val="00066F99"/>
    <w:rsid w:val="00070038"/>
    <w:rsid w:val="00070FFF"/>
    <w:rsid w:val="000721B0"/>
    <w:rsid w:val="0007683A"/>
    <w:rsid w:val="00076FB5"/>
    <w:rsid w:val="000804D1"/>
    <w:rsid w:val="00080D19"/>
    <w:rsid w:val="00080F30"/>
    <w:rsid w:val="00080F3F"/>
    <w:rsid w:val="00082556"/>
    <w:rsid w:val="00083B11"/>
    <w:rsid w:val="00083CCC"/>
    <w:rsid w:val="00084704"/>
    <w:rsid w:val="00085565"/>
    <w:rsid w:val="000859FB"/>
    <w:rsid w:val="00086814"/>
    <w:rsid w:val="000903A7"/>
    <w:rsid w:val="00090607"/>
    <w:rsid w:val="00097E25"/>
    <w:rsid w:val="000A11F8"/>
    <w:rsid w:val="000A28DB"/>
    <w:rsid w:val="000A6408"/>
    <w:rsid w:val="000B0D6A"/>
    <w:rsid w:val="000B3025"/>
    <w:rsid w:val="000B3B32"/>
    <w:rsid w:val="000B471F"/>
    <w:rsid w:val="000B5ABE"/>
    <w:rsid w:val="000B7AF6"/>
    <w:rsid w:val="000B7B3B"/>
    <w:rsid w:val="000C0BCB"/>
    <w:rsid w:val="000C1302"/>
    <w:rsid w:val="000C2E9A"/>
    <w:rsid w:val="000C3D27"/>
    <w:rsid w:val="000C543B"/>
    <w:rsid w:val="000C5925"/>
    <w:rsid w:val="000C6089"/>
    <w:rsid w:val="000C67C4"/>
    <w:rsid w:val="000C6926"/>
    <w:rsid w:val="000D0F22"/>
    <w:rsid w:val="000D1471"/>
    <w:rsid w:val="000E32F4"/>
    <w:rsid w:val="000E3C4B"/>
    <w:rsid w:val="000E6726"/>
    <w:rsid w:val="000E68AE"/>
    <w:rsid w:val="000F31D6"/>
    <w:rsid w:val="000F3DBE"/>
    <w:rsid w:val="000F5515"/>
    <w:rsid w:val="000F649D"/>
    <w:rsid w:val="000F716B"/>
    <w:rsid w:val="000F7396"/>
    <w:rsid w:val="00101879"/>
    <w:rsid w:val="001027C5"/>
    <w:rsid w:val="00103C8A"/>
    <w:rsid w:val="00104606"/>
    <w:rsid w:val="00106DCB"/>
    <w:rsid w:val="00110111"/>
    <w:rsid w:val="00112B80"/>
    <w:rsid w:val="00113C43"/>
    <w:rsid w:val="00115C61"/>
    <w:rsid w:val="00116168"/>
    <w:rsid w:val="00116DE9"/>
    <w:rsid w:val="001176EF"/>
    <w:rsid w:val="00117AAA"/>
    <w:rsid w:val="0012036C"/>
    <w:rsid w:val="00120D93"/>
    <w:rsid w:val="00121EB0"/>
    <w:rsid w:val="00122483"/>
    <w:rsid w:val="001231F9"/>
    <w:rsid w:val="00125FBF"/>
    <w:rsid w:val="0012638A"/>
    <w:rsid w:val="00131D1F"/>
    <w:rsid w:val="00132BDB"/>
    <w:rsid w:val="00135073"/>
    <w:rsid w:val="00137CA8"/>
    <w:rsid w:val="0014083D"/>
    <w:rsid w:val="00140EFA"/>
    <w:rsid w:val="001411AA"/>
    <w:rsid w:val="001418AA"/>
    <w:rsid w:val="0014241C"/>
    <w:rsid w:val="0014446E"/>
    <w:rsid w:val="00144864"/>
    <w:rsid w:val="001462E2"/>
    <w:rsid w:val="00146F07"/>
    <w:rsid w:val="00147BE4"/>
    <w:rsid w:val="0015065E"/>
    <w:rsid w:val="001506F8"/>
    <w:rsid w:val="00150CBD"/>
    <w:rsid w:val="00150F49"/>
    <w:rsid w:val="001521CA"/>
    <w:rsid w:val="0015635D"/>
    <w:rsid w:val="001566C8"/>
    <w:rsid w:val="00166EB9"/>
    <w:rsid w:val="001674EE"/>
    <w:rsid w:val="00170728"/>
    <w:rsid w:val="00174E86"/>
    <w:rsid w:val="00176533"/>
    <w:rsid w:val="00176E22"/>
    <w:rsid w:val="0018209B"/>
    <w:rsid w:val="00182AEA"/>
    <w:rsid w:val="00186AC5"/>
    <w:rsid w:val="00192FE5"/>
    <w:rsid w:val="001962C0"/>
    <w:rsid w:val="00196A25"/>
    <w:rsid w:val="001A60B6"/>
    <w:rsid w:val="001B0451"/>
    <w:rsid w:val="001B1CB3"/>
    <w:rsid w:val="001B1D93"/>
    <w:rsid w:val="001B4E57"/>
    <w:rsid w:val="001B65E4"/>
    <w:rsid w:val="001B6642"/>
    <w:rsid w:val="001C00A2"/>
    <w:rsid w:val="001C29F7"/>
    <w:rsid w:val="001C2B4E"/>
    <w:rsid w:val="001C7488"/>
    <w:rsid w:val="001D09E1"/>
    <w:rsid w:val="001D2720"/>
    <w:rsid w:val="001D32ED"/>
    <w:rsid w:val="001D3847"/>
    <w:rsid w:val="001D5B80"/>
    <w:rsid w:val="001D6210"/>
    <w:rsid w:val="001D71B4"/>
    <w:rsid w:val="001D726D"/>
    <w:rsid w:val="001E07FF"/>
    <w:rsid w:val="001E2292"/>
    <w:rsid w:val="001E2C9F"/>
    <w:rsid w:val="001E3899"/>
    <w:rsid w:val="001E41F5"/>
    <w:rsid w:val="001E5EE6"/>
    <w:rsid w:val="001E6A3A"/>
    <w:rsid w:val="001F0822"/>
    <w:rsid w:val="001F0EF6"/>
    <w:rsid w:val="001F32BF"/>
    <w:rsid w:val="001F553A"/>
    <w:rsid w:val="00201511"/>
    <w:rsid w:val="00201A69"/>
    <w:rsid w:val="0020248A"/>
    <w:rsid w:val="00202A0D"/>
    <w:rsid w:val="002036A4"/>
    <w:rsid w:val="00205319"/>
    <w:rsid w:val="00205F7C"/>
    <w:rsid w:val="00206411"/>
    <w:rsid w:val="0021298C"/>
    <w:rsid w:val="00214EF6"/>
    <w:rsid w:val="0021556A"/>
    <w:rsid w:val="0021691D"/>
    <w:rsid w:val="00217765"/>
    <w:rsid w:val="00220920"/>
    <w:rsid w:val="00220D91"/>
    <w:rsid w:val="00222DC8"/>
    <w:rsid w:val="002231D1"/>
    <w:rsid w:val="00223DC1"/>
    <w:rsid w:val="0022733E"/>
    <w:rsid w:val="00230D63"/>
    <w:rsid w:val="0023559C"/>
    <w:rsid w:val="00235D18"/>
    <w:rsid w:val="00236D7F"/>
    <w:rsid w:val="0023772E"/>
    <w:rsid w:val="00242362"/>
    <w:rsid w:val="002442B6"/>
    <w:rsid w:val="002454DD"/>
    <w:rsid w:val="0025125F"/>
    <w:rsid w:val="0025274E"/>
    <w:rsid w:val="00253325"/>
    <w:rsid w:val="00254CD2"/>
    <w:rsid w:val="002552BE"/>
    <w:rsid w:val="002575CE"/>
    <w:rsid w:val="002577EC"/>
    <w:rsid w:val="00260648"/>
    <w:rsid w:val="00260F41"/>
    <w:rsid w:val="002614C7"/>
    <w:rsid w:val="00261AB4"/>
    <w:rsid w:val="00261AFC"/>
    <w:rsid w:val="00261DBD"/>
    <w:rsid w:val="00262EA4"/>
    <w:rsid w:val="00263F71"/>
    <w:rsid w:val="00265106"/>
    <w:rsid w:val="00266EEA"/>
    <w:rsid w:val="00267C53"/>
    <w:rsid w:val="00270158"/>
    <w:rsid w:val="0027076E"/>
    <w:rsid w:val="00276408"/>
    <w:rsid w:val="0028131C"/>
    <w:rsid w:val="00282977"/>
    <w:rsid w:val="00282A00"/>
    <w:rsid w:val="00283CDE"/>
    <w:rsid w:val="00283E35"/>
    <w:rsid w:val="00283F57"/>
    <w:rsid w:val="002841C1"/>
    <w:rsid w:val="00284B31"/>
    <w:rsid w:val="002854AF"/>
    <w:rsid w:val="002869F5"/>
    <w:rsid w:val="00286C1E"/>
    <w:rsid w:val="0029270A"/>
    <w:rsid w:val="002945A1"/>
    <w:rsid w:val="00295688"/>
    <w:rsid w:val="00295DA8"/>
    <w:rsid w:val="002A068E"/>
    <w:rsid w:val="002A2038"/>
    <w:rsid w:val="002A211B"/>
    <w:rsid w:val="002A366E"/>
    <w:rsid w:val="002A58F4"/>
    <w:rsid w:val="002A7880"/>
    <w:rsid w:val="002B3D1F"/>
    <w:rsid w:val="002B4A12"/>
    <w:rsid w:val="002B6502"/>
    <w:rsid w:val="002B6952"/>
    <w:rsid w:val="002B6C70"/>
    <w:rsid w:val="002C24D7"/>
    <w:rsid w:val="002C3D8B"/>
    <w:rsid w:val="002C4C9A"/>
    <w:rsid w:val="002C557F"/>
    <w:rsid w:val="002C64DF"/>
    <w:rsid w:val="002C6768"/>
    <w:rsid w:val="002C72A2"/>
    <w:rsid w:val="002D04E3"/>
    <w:rsid w:val="002D098F"/>
    <w:rsid w:val="002D167E"/>
    <w:rsid w:val="002D5F6A"/>
    <w:rsid w:val="002E35B9"/>
    <w:rsid w:val="002E6B0D"/>
    <w:rsid w:val="002F03FF"/>
    <w:rsid w:val="002F2DBB"/>
    <w:rsid w:val="002F559A"/>
    <w:rsid w:val="002F5CF2"/>
    <w:rsid w:val="002F6C65"/>
    <w:rsid w:val="002F7F21"/>
    <w:rsid w:val="00300BD1"/>
    <w:rsid w:val="00305FE6"/>
    <w:rsid w:val="003062E5"/>
    <w:rsid w:val="00311026"/>
    <w:rsid w:val="00312833"/>
    <w:rsid w:val="00312861"/>
    <w:rsid w:val="00313773"/>
    <w:rsid w:val="003140D1"/>
    <w:rsid w:val="0031535B"/>
    <w:rsid w:val="003211CF"/>
    <w:rsid w:val="003216AC"/>
    <w:rsid w:val="00322048"/>
    <w:rsid w:val="0032429E"/>
    <w:rsid w:val="00325362"/>
    <w:rsid w:val="0032555B"/>
    <w:rsid w:val="003264E9"/>
    <w:rsid w:val="003300C0"/>
    <w:rsid w:val="00331944"/>
    <w:rsid w:val="003325A4"/>
    <w:rsid w:val="003362DF"/>
    <w:rsid w:val="003432DE"/>
    <w:rsid w:val="00345457"/>
    <w:rsid w:val="00345C9E"/>
    <w:rsid w:val="00345EDF"/>
    <w:rsid w:val="00347994"/>
    <w:rsid w:val="003500ED"/>
    <w:rsid w:val="0035037D"/>
    <w:rsid w:val="00350647"/>
    <w:rsid w:val="00352046"/>
    <w:rsid w:val="00352EDD"/>
    <w:rsid w:val="0035503A"/>
    <w:rsid w:val="003554C0"/>
    <w:rsid w:val="003556CD"/>
    <w:rsid w:val="00355978"/>
    <w:rsid w:val="00355B34"/>
    <w:rsid w:val="00356444"/>
    <w:rsid w:val="00356830"/>
    <w:rsid w:val="00357558"/>
    <w:rsid w:val="003643C8"/>
    <w:rsid w:val="00364893"/>
    <w:rsid w:val="00364C80"/>
    <w:rsid w:val="00365AC2"/>
    <w:rsid w:val="0036646A"/>
    <w:rsid w:val="0036718C"/>
    <w:rsid w:val="003700E0"/>
    <w:rsid w:val="0037452A"/>
    <w:rsid w:val="00375092"/>
    <w:rsid w:val="00375C24"/>
    <w:rsid w:val="003770EB"/>
    <w:rsid w:val="00381E5D"/>
    <w:rsid w:val="00382A4F"/>
    <w:rsid w:val="00383CD2"/>
    <w:rsid w:val="00384199"/>
    <w:rsid w:val="00387253"/>
    <w:rsid w:val="00390632"/>
    <w:rsid w:val="00390E9C"/>
    <w:rsid w:val="00394B64"/>
    <w:rsid w:val="00396EAE"/>
    <w:rsid w:val="0039786E"/>
    <w:rsid w:val="003A292A"/>
    <w:rsid w:val="003A3D8B"/>
    <w:rsid w:val="003A56E5"/>
    <w:rsid w:val="003A6078"/>
    <w:rsid w:val="003A71B3"/>
    <w:rsid w:val="003A7B0B"/>
    <w:rsid w:val="003B1DF5"/>
    <w:rsid w:val="003B5281"/>
    <w:rsid w:val="003B5554"/>
    <w:rsid w:val="003B5819"/>
    <w:rsid w:val="003B60B6"/>
    <w:rsid w:val="003B67AA"/>
    <w:rsid w:val="003C345B"/>
    <w:rsid w:val="003C404B"/>
    <w:rsid w:val="003D0903"/>
    <w:rsid w:val="003D28CF"/>
    <w:rsid w:val="003D2D5D"/>
    <w:rsid w:val="003D33E8"/>
    <w:rsid w:val="003D4667"/>
    <w:rsid w:val="003D46E2"/>
    <w:rsid w:val="003D622A"/>
    <w:rsid w:val="003D6BC2"/>
    <w:rsid w:val="003D6FEB"/>
    <w:rsid w:val="003D7502"/>
    <w:rsid w:val="003E08B8"/>
    <w:rsid w:val="003E13A3"/>
    <w:rsid w:val="003E4CAE"/>
    <w:rsid w:val="003E5AE3"/>
    <w:rsid w:val="003E6058"/>
    <w:rsid w:val="003E7645"/>
    <w:rsid w:val="003F13AF"/>
    <w:rsid w:val="003F30D8"/>
    <w:rsid w:val="003F3203"/>
    <w:rsid w:val="003F3A52"/>
    <w:rsid w:val="003F4057"/>
    <w:rsid w:val="003F5575"/>
    <w:rsid w:val="004005A9"/>
    <w:rsid w:val="00400F35"/>
    <w:rsid w:val="00402811"/>
    <w:rsid w:val="00404781"/>
    <w:rsid w:val="00405957"/>
    <w:rsid w:val="00406AD9"/>
    <w:rsid w:val="00407A9C"/>
    <w:rsid w:val="00407ACA"/>
    <w:rsid w:val="0041045C"/>
    <w:rsid w:val="00411A99"/>
    <w:rsid w:val="00411BBC"/>
    <w:rsid w:val="00412513"/>
    <w:rsid w:val="00416082"/>
    <w:rsid w:val="004160EE"/>
    <w:rsid w:val="00416233"/>
    <w:rsid w:val="004178E6"/>
    <w:rsid w:val="00417A92"/>
    <w:rsid w:val="00421C49"/>
    <w:rsid w:val="004226F8"/>
    <w:rsid w:val="00426992"/>
    <w:rsid w:val="0042798C"/>
    <w:rsid w:val="00427C51"/>
    <w:rsid w:val="00430218"/>
    <w:rsid w:val="00430411"/>
    <w:rsid w:val="00430EF0"/>
    <w:rsid w:val="00431A97"/>
    <w:rsid w:val="00431F32"/>
    <w:rsid w:val="00432FF1"/>
    <w:rsid w:val="004333EE"/>
    <w:rsid w:val="00433F90"/>
    <w:rsid w:val="004345C2"/>
    <w:rsid w:val="00436586"/>
    <w:rsid w:val="00436A03"/>
    <w:rsid w:val="004401D0"/>
    <w:rsid w:val="0044102E"/>
    <w:rsid w:val="00443120"/>
    <w:rsid w:val="00443F08"/>
    <w:rsid w:val="0044530A"/>
    <w:rsid w:val="004454AA"/>
    <w:rsid w:val="00445B10"/>
    <w:rsid w:val="00446056"/>
    <w:rsid w:val="004476F7"/>
    <w:rsid w:val="00451A13"/>
    <w:rsid w:val="00453717"/>
    <w:rsid w:val="00455361"/>
    <w:rsid w:val="004569F7"/>
    <w:rsid w:val="004574BF"/>
    <w:rsid w:val="00457E02"/>
    <w:rsid w:val="00461A67"/>
    <w:rsid w:val="00463F47"/>
    <w:rsid w:val="00465A2B"/>
    <w:rsid w:val="00467C36"/>
    <w:rsid w:val="004754F1"/>
    <w:rsid w:val="0047582C"/>
    <w:rsid w:val="004801AD"/>
    <w:rsid w:val="0048067E"/>
    <w:rsid w:val="00480833"/>
    <w:rsid w:val="004816C8"/>
    <w:rsid w:val="00486515"/>
    <w:rsid w:val="00487A77"/>
    <w:rsid w:val="00490147"/>
    <w:rsid w:val="00490BD0"/>
    <w:rsid w:val="00490C80"/>
    <w:rsid w:val="004913BC"/>
    <w:rsid w:val="00492815"/>
    <w:rsid w:val="00493136"/>
    <w:rsid w:val="004941B9"/>
    <w:rsid w:val="00494495"/>
    <w:rsid w:val="00496C7F"/>
    <w:rsid w:val="00497E8B"/>
    <w:rsid w:val="004A0278"/>
    <w:rsid w:val="004A4D1C"/>
    <w:rsid w:val="004B0E0D"/>
    <w:rsid w:val="004B1839"/>
    <w:rsid w:val="004B1E74"/>
    <w:rsid w:val="004B4437"/>
    <w:rsid w:val="004B44C2"/>
    <w:rsid w:val="004B4B3B"/>
    <w:rsid w:val="004B4C86"/>
    <w:rsid w:val="004B66E7"/>
    <w:rsid w:val="004B72E6"/>
    <w:rsid w:val="004B7DD5"/>
    <w:rsid w:val="004C0044"/>
    <w:rsid w:val="004C00F3"/>
    <w:rsid w:val="004C1881"/>
    <w:rsid w:val="004C2FF9"/>
    <w:rsid w:val="004C3A59"/>
    <w:rsid w:val="004C54AE"/>
    <w:rsid w:val="004C56FE"/>
    <w:rsid w:val="004C5E09"/>
    <w:rsid w:val="004D2027"/>
    <w:rsid w:val="004D2C66"/>
    <w:rsid w:val="004D33DB"/>
    <w:rsid w:val="004D3ABD"/>
    <w:rsid w:val="004D4626"/>
    <w:rsid w:val="004D536A"/>
    <w:rsid w:val="004D5EB1"/>
    <w:rsid w:val="004D713F"/>
    <w:rsid w:val="004D7639"/>
    <w:rsid w:val="004E0084"/>
    <w:rsid w:val="004E02B7"/>
    <w:rsid w:val="004E0A38"/>
    <w:rsid w:val="004E1A30"/>
    <w:rsid w:val="004E28BD"/>
    <w:rsid w:val="004E2B31"/>
    <w:rsid w:val="004E561C"/>
    <w:rsid w:val="004E6D67"/>
    <w:rsid w:val="004F0AFF"/>
    <w:rsid w:val="004F0F5F"/>
    <w:rsid w:val="004F1314"/>
    <w:rsid w:val="004F135D"/>
    <w:rsid w:val="004F16A6"/>
    <w:rsid w:val="004F19C3"/>
    <w:rsid w:val="004F2CC6"/>
    <w:rsid w:val="004F3EFF"/>
    <w:rsid w:val="004F4164"/>
    <w:rsid w:val="004F4753"/>
    <w:rsid w:val="004F4ABC"/>
    <w:rsid w:val="00500062"/>
    <w:rsid w:val="005013D7"/>
    <w:rsid w:val="00504589"/>
    <w:rsid w:val="00504F88"/>
    <w:rsid w:val="0050674A"/>
    <w:rsid w:val="0050751C"/>
    <w:rsid w:val="0051008B"/>
    <w:rsid w:val="0051010B"/>
    <w:rsid w:val="00512340"/>
    <w:rsid w:val="00512A2C"/>
    <w:rsid w:val="00514E1A"/>
    <w:rsid w:val="00521364"/>
    <w:rsid w:val="00521BAD"/>
    <w:rsid w:val="005244CD"/>
    <w:rsid w:val="00531410"/>
    <w:rsid w:val="0053200A"/>
    <w:rsid w:val="0053471F"/>
    <w:rsid w:val="0053507A"/>
    <w:rsid w:val="00537D3C"/>
    <w:rsid w:val="00540478"/>
    <w:rsid w:val="00540D5B"/>
    <w:rsid w:val="0054370D"/>
    <w:rsid w:val="00545CE4"/>
    <w:rsid w:val="005465FA"/>
    <w:rsid w:val="005469C4"/>
    <w:rsid w:val="00550638"/>
    <w:rsid w:val="00551381"/>
    <w:rsid w:val="00551E74"/>
    <w:rsid w:val="00551FF2"/>
    <w:rsid w:val="00554A41"/>
    <w:rsid w:val="00557F54"/>
    <w:rsid w:val="00560DA4"/>
    <w:rsid w:val="00561F7C"/>
    <w:rsid w:val="00562A78"/>
    <w:rsid w:val="00563D74"/>
    <w:rsid w:val="00566895"/>
    <w:rsid w:val="0057264E"/>
    <w:rsid w:val="00572663"/>
    <w:rsid w:val="00572CEC"/>
    <w:rsid w:val="00574998"/>
    <w:rsid w:val="00574D5D"/>
    <w:rsid w:val="00575366"/>
    <w:rsid w:val="00575BC5"/>
    <w:rsid w:val="005842EA"/>
    <w:rsid w:val="005851FF"/>
    <w:rsid w:val="00587BB2"/>
    <w:rsid w:val="005922B9"/>
    <w:rsid w:val="005940A9"/>
    <w:rsid w:val="0059496A"/>
    <w:rsid w:val="0059631C"/>
    <w:rsid w:val="00596B81"/>
    <w:rsid w:val="005A0C0A"/>
    <w:rsid w:val="005A10C8"/>
    <w:rsid w:val="005A3147"/>
    <w:rsid w:val="005A479B"/>
    <w:rsid w:val="005A52F7"/>
    <w:rsid w:val="005A5728"/>
    <w:rsid w:val="005B030B"/>
    <w:rsid w:val="005B11CF"/>
    <w:rsid w:val="005B1FD3"/>
    <w:rsid w:val="005B27C4"/>
    <w:rsid w:val="005B3E4F"/>
    <w:rsid w:val="005B44EE"/>
    <w:rsid w:val="005B4DAB"/>
    <w:rsid w:val="005B5073"/>
    <w:rsid w:val="005B565A"/>
    <w:rsid w:val="005B696B"/>
    <w:rsid w:val="005B6B6B"/>
    <w:rsid w:val="005B6C4F"/>
    <w:rsid w:val="005B7617"/>
    <w:rsid w:val="005C0D73"/>
    <w:rsid w:val="005C21B9"/>
    <w:rsid w:val="005C3331"/>
    <w:rsid w:val="005C349D"/>
    <w:rsid w:val="005C433A"/>
    <w:rsid w:val="005C7193"/>
    <w:rsid w:val="005C7862"/>
    <w:rsid w:val="005D03C5"/>
    <w:rsid w:val="005D12E0"/>
    <w:rsid w:val="005D2778"/>
    <w:rsid w:val="005D4FBB"/>
    <w:rsid w:val="005D612A"/>
    <w:rsid w:val="005E02AD"/>
    <w:rsid w:val="005E0826"/>
    <w:rsid w:val="005E1AE5"/>
    <w:rsid w:val="005E1C1D"/>
    <w:rsid w:val="005E27DD"/>
    <w:rsid w:val="005E397C"/>
    <w:rsid w:val="005E4021"/>
    <w:rsid w:val="005E416E"/>
    <w:rsid w:val="005E73E2"/>
    <w:rsid w:val="005E7F25"/>
    <w:rsid w:val="005F020E"/>
    <w:rsid w:val="005F34AB"/>
    <w:rsid w:val="005F4A15"/>
    <w:rsid w:val="005F5F6D"/>
    <w:rsid w:val="00600AA5"/>
    <w:rsid w:val="006031F0"/>
    <w:rsid w:val="00603A3E"/>
    <w:rsid w:val="006041A0"/>
    <w:rsid w:val="00604236"/>
    <w:rsid w:val="00604294"/>
    <w:rsid w:val="0060437D"/>
    <w:rsid w:val="00604CF5"/>
    <w:rsid w:val="00604DDD"/>
    <w:rsid w:val="0060572C"/>
    <w:rsid w:val="00606CC6"/>
    <w:rsid w:val="00607D53"/>
    <w:rsid w:val="00613B90"/>
    <w:rsid w:val="00614E55"/>
    <w:rsid w:val="006166C2"/>
    <w:rsid w:val="00616E32"/>
    <w:rsid w:val="00620678"/>
    <w:rsid w:val="006206D4"/>
    <w:rsid w:val="006208F3"/>
    <w:rsid w:val="00624249"/>
    <w:rsid w:val="00624775"/>
    <w:rsid w:val="00625CB2"/>
    <w:rsid w:val="00627593"/>
    <w:rsid w:val="00627AF7"/>
    <w:rsid w:val="00627B1A"/>
    <w:rsid w:val="006308E8"/>
    <w:rsid w:val="00630920"/>
    <w:rsid w:val="00630B7D"/>
    <w:rsid w:val="006313B1"/>
    <w:rsid w:val="006317F6"/>
    <w:rsid w:val="00632532"/>
    <w:rsid w:val="00632E75"/>
    <w:rsid w:val="006335D1"/>
    <w:rsid w:val="006336FA"/>
    <w:rsid w:val="00636FA3"/>
    <w:rsid w:val="0064003C"/>
    <w:rsid w:val="0064053A"/>
    <w:rsid w:val="00644174"/>
    <w:rsid w:val="006448D8"/>
    <w:rsid w:val="00644ABA"/>
    <w:rsid w:val="00644E00"/>
    <w:rsid w:val="00645A7A"/>
    <w:rsid w:val="00645B45"/>
    <w:rsid w:val="00650645"/>
    <w:rsid w:val="00652C83"/>
    <w:rsid w:val="00654693"/>
    <w:rsid w:val="006556E1"/>
    <w:rsid w:val="006558DC"/>
    <w:rsid w:val="00655EB8"/>
    <w:rsid w:val="00656AAC"/>
    <w:rsid w:val="00656EE3"/>
    <w:rsid w:val="0066250A"/>
    <w:rsid w:val="00662591"/>
    <w:rsid w:val="00664836"/>
    <w:rsid w:val="00665869"/>
    <w:rsid w:val="00666247"/>
    <w:rsid w:val="00666446"/>
    <w:rsid w:val="00670274"/>
    <w:rsid w:val="00670CBD"/>
    <w:rsid w:val="00673641"/>
    <w:rsid w:val="006762BB"/>
    <w:rsid w:val="006775FB"/>
    <w:rsid w:val="00681B12"/>
    <w:rsid w:val="006820DC"/>
    <w:rsid w:val="00682194"/>
    <w:rsid w:val="00682614"/>
    <w:rsid w:val="00683880"/>
    <w:rsid w:val="0068477D"/>
    <w:rsid w:val="0068478B"/>
    <w:rsid w:val="00687973"/>
    <w:rsid w:val="00690E24"/>
    <w:rsid w:val="00690F0A"/>
    <w:rsid w:val="0069104B"/>
    <w:rsid w:val="00693196"/>
    <w:rsid w:val="00696BFA"/>
    <w:rsid w:val="006A0A78"/>
    <w:rsid w:val="006A18E8"/>
    <w:rsid w:val="006A27BB"/>
    <w:rsid w:val="006A323C"/>
    <w:rsid w:val="006A5F40"/>
    <w:rsid w:val="006A7241"/>
    <w:rsid w:val="006A7756"/>
    <w:rsid w:val="006B0171"/>
    <w:rsid w:val="006B11C6"/>
    <w:rsid w:val="006B135C"/>
    <w:rsid w:val="006B1DB9"/>
    <w:rsid w:val="006B1E79"/>
    <w:rsid w:val="006B5D20"/>
    <w:rsid w:val="006B6789"/>
    <w:rsid w:val="006C00BA"/>
    <w:rsid w:val="006C46CC"/>
    <w:rsid w:val="006C49DE"/>
    <w:rsid w:val="006C5904"/>
    <w:rsid w:val="006D30BF"/>
    <w:rsid w:val="006D31F7"/>
    <w:rsid w:val="006D4637"/>
    <w:rsid w:val="006D4FF4"/>
    <w:rsid w:val="006E0958"/>
    <w:rsid w:val="006E0A9B"/>
    <w:rsid w:val="006E13DA"/>
    <w:rsid w:val="006E145B"/>
    <w:rsid w:val="006E3811"/>
    <w:rsid w:val="006E3E5A"/>
    <w:rsid w:val="006E59D9"/>
    <w:rsid w:val="006E5CB0"/>
    <w:rsid w:val="006E638B"/>
    <w:rsid w:val="006E6C11"/>
    <w:rsid w:val="006E6D8C"/>
    <w:rsid w:val="006F2479"/>
    <w:rsid w:val="006F3C8F"/>
    <w:rsid w:val="006F452D"/>
    <w:rsid w:val="006F4C64"/>
    <w:rsid w:val="006F7792"/>
    <w:rsid w:val="00701649"/>
    <w:rsid w:val="00702BC2"/>
    <w:rsid w:val="00710AD5"/>
    <w:rsid w:val="00710AFA"/>
    <w:rsid w:val="00712970"/>
    <w:rsid w:val="0071483F"/>
    <w:rsid w:val="007174F9"/>
    <w:rsid w:val="007179D8"/>
    <w:rsid w:val="00721739"/>
    <w:rsid w:val="00722766"/>
    <w:rsid w:val="0072503C"/>
    <w:rsid w:val="00726BDD"/>
    <w:rsid w:val="00727D3A"/>
    <w:rsid w:val="00732367"/>
    <w:rsid w:val="00732B77"/>
    <w:rsid w:val="00732EC7"/>
    <w:rsid w:val="00733164"/>
    <w:rsid w:val="00735A0D"/>
    <w:rsid w:val="00737584"/>
    <w:rsid w:val="007413C7"/>
    <w:rsid w:val="00742C26"/>
    <w:rsid w:val="007432C1"/>
    <w:rsid w:val="0074453D"/>
    <w:rsid w:val="00746639"/>
    <w:rsid w:val="00746CB6"/>
    <w:rsid w:val="00747AE1"/>
    <w:rsid w:val="007523FE"/>
    <w:rsid w:val="00752881"/>
    <w:rsid w:val="007529BF"/>
    <w:rsid w:val="00753BAF"/>
    <w:rsid w:val="0075433A"/>
    <w:rsid w:val="007608F2"/>
    <w:rsid w:val="00761998"/>
    <w:rsid w:val="00761CA1"/>
    <w:rsid w:val="00761FF5"/>
    <w:rsid w:val="00762FD9"/>
    <w:rsid w:val="00763B3F"/>
    <w:rsid w:val="00764D22"/>
    <w:rsid w:val="00765E60"/>
    <w:rsid w:val="00767C5C"/>
    <w:rsid w:val="0077087E"/>
    <w:rsid w:val="00770CB5"/>
    <w:rsid w:val="007710B5"/>
    <w:rsid w:val="00771465"/>
    <w:rsid w:val="00772E6C"/>
    <w:rsid w:val="0077410E"/>
    <w:rsid w:val="00774878"/>
    <w:rsid w:val="00774A9C"/>
    <w:rsid w:val="00780E5A"/>
    <w:rsid w:val="0078174B"/>
    <w:rsid w:val="00787775"/>
    <w:rsid w:val="00787C57"/>
    <w:rsid w:val="00790738"/>
    <w:rsid w:val="00792927"/>
    <w:rsid w:val="00792B75"/>
    <w:rsid w:val="00792F32"/>
    <w:rsid w:val="0079303A"/>
    <w:rsid w:val="00793E0B"/>
    <w:rsid w:val="007951D2"/>
    <w:rsid w:val="00796A44"/>
    <w:rsid w:val="007A054D"/>
    <w:rsid w:val="007A06E7"/>
    <w:rsid w:val="007A21C5"/>
    <w:rsid w:val="007A2AC9"/>
    <w:rsid w:val="007A3148"/>
    <w:rsid w:val="007A32E5"/>
    <w:rsid w:val="007A3C96"/>
    <w:rsid w:val="007A5746"/>
    <w:rsid w:val="007A6091"/>
    <w:rsid w:val="007A6358"/>
    <w:rsid w:val="007A71BD"/>
    <w:rsid w:val="007A79BD"/>
    <w:rsid w:val="007A7AA5"/>
    <w:rsid w:val="007B137B"/>
    <w:rsid w:val="007B1A45"/>
    <w:rsid w:val="007B5B46"/>
    <w:rsid w:val="007B6625"/>
    <w:rsid w:val="007C03E3"/>
    <w:rsid w:val="007C5A9C"/>
    <w:rsid w:val="007C5D4B"/>
    <w:rsid w:val="007D16B2"/>
    <w:rsid w:val="007D173A"/>
    <w:rsid w:val="007D18D5"/>
    <w:rsid w:val="007D3103"/>
    <w:rsid w:val="007D3FEB"/>
    <w:rsid w:val="007D49C2"/>
    <w:rsid w:val="007D4BBA"/>
    <w:rsid w:val="007D6138"/>
    <w:rsid w:val="007D70D3"/>
    <w:rsid w:val="007D7671"/>
    <w:rsid w:val="007E085D"/>
    <w:rsid w:val="007E3B3D"/>
    <w:rsid w:val="007E47B1"/>
    <w:rsid w:val="007E513C"/>
    <w:rsid w:val="007E547C"/>
    <w:rsid w:val="007E554B"/>
    <w:rsid w:val="007E5790"/>
    <w:rsid w:val="007E67C3"/>
    <w:rsid w:val="007E7E9E"/>
    <w:rsid w:val="007F004E"/>
    <w:rsid w:val="007F09C5"/>
    <w:rsid w:val="007F100F"/>
    <w:rsid w:val="007F43CD"/>
    <w:rsid w:val="007F456A"/>
    <w:rsid w:val="007F46D1"/>
    <w:rsid w:val="007F6C9B"/>
    <w:rsid w:val="007F7CA2"/>
    <w:rsid w:val="007F7FE4"/>
    <w:rsid w:val="008017F3"/>
    <w:rsid w:val="0080361A"/>
    <w:rsid w:val="00805C19"/>
    <w:rsid w:val="00807673"/>
    <w:rsid w:val="00807F74"/>
    <w:rsid w:val="00811E26"/>
    <w:rsid w:val="008123D4"/>
    <w:rsid w:val="008125D0"/>
    <w:rsid w:val="00813912"/>
    <w:rsid w:val="0081453F"/>
    <w:rsid w:val="0081460F"/>
    <w:rsid w:val="00814B02"/>
    <w:rsid w:val="00815941"/>
    <w:rsid w:val="00815A80"/>
    <w:rsid w:val="00816A79"/>
    <w:rsid w:val="00816E72"/>
    <w:rsid w:val="00817BFC"/>
    <w:rsid w:val="008201F9"/>
    <w:rsid w:val="0082253D"/>
    <w:rsid w:val="00822723"/>
    <w:rsid w:val="00824342"/>
    <w:rsid w:val="00826851"/>
    <w:rsid w:val="00826B84"/>
    <w:rsid w:val="00826CB2"/>
    <w:rsid w:val="008300EF"/>
    <w:rsid w:val="0083356C"/>
    <w:rsid w:val="00836800"/>
    <w:rsid w:val="00836FAB"/>
    <w:rsid w:val="00840BD2"/>
    <w:rsid w:val="00843828"/>
    <w:rsid w:val="00843E17"/>
    <w:rsid w:val="008475AC"/>
    <w:rsid w:val="00847B1F"/>
    <w:rsid w:val="008503DF"/>
    <w:rsid w:val="00851DF0"/>
    <w:rsid w:val="00851E80"/>
    <w:rsid w:val="008521ED"/>
    <w:rsid w:val="008528C5"/>
    <w:rsid w:val="00853354"/>
    <w:rsid w:val="0085458D"/>
    <w:rsid w:val="00854AE8"/>
    <w:rsid w:val="00855A5C"/>
    <w:rsid w:val="0085742D"/>
    <w:rsid w:val="00862B25"/>
    <w:rsid w:val="0086313C"/>
    <w:rsid w:val="00863C84"/>
    <w:rsid w:val="00864F3E"/>
    <w:rsid w:val="008665C2"/>
    <w:rsid w:val="00867175"/>
    <w:rsid w:val="00867538"/>
    <w:rsid w:val="008708AC"/>
    <w:rsid w:val="00870AEC"/>
    <w:rsid w:val="0087264B"/>
    <w:rsid w:val="00875252"/>
    <w:rsid w:val="0087565B"/>
    <w:rsid w:val="00876BD4"/>
    <w:rsid w:val="0087788D"/>
    <w:rsid w:val="00880218"/>
    <w:rsid w:val="008802D3"/>
    <w:rsid w:val="008809A1"/>
    <w:rsid w:val="00880DC2"/>
    <w:rsid w:val="00882F79"/>
    <w:rsid w:val="00883265"/>
    <w:rsid w:val="008832EF"/>
    <w:rsid w:val="008857AD"/>
    <w:rsid w:val="008866C3"/>
    <w:rsid w:val="00886BDD"/>
    <w:rsid w:val="008875F1"/>
    <w:rsid w:val="00892240"/>
    <w:rsid w:val="008935A3"/>
    <w:rsid w:val="00894589"/>
    <w:rsid w:val="00895694"/>
    <w:rsid w:val="00895B92"/>
    <w:rsid w:val="00896757"/>
    <w:rsid w:val="008979AB"/>
    <w:rsid w:val="008A2229"/>
    <w:rsid w:val="008A3782"/>
    <w:rsid w:val="008A40A8"/>
    <w:rsid w:val="008A4AE6"/>
    <w:rsid w:val="008A4E52"/>
    <w:rsid w:val="008A6847"/>
    <w:rsid w:val="008A79F4"/>
    <w:rsid w:val="008B23CD"/>
    <w:rsid w:val="008B3551"/>
    <w:rsid w:val="008B4262"/>
    <w:rsid w:val="008B4E75"/>
    <w:rsid w:val="008B5223"/>
    <w:rsid w:val="008B6831"/>
    <w:rsid w:val="008C11CB"/>
    <w:rsid w:val="008C143F"/>
    <w:rsid w:val="008C1564"/>
    <w:rsid w:val="008C30AA"/>
    <w:rsid w:val="008C3514"/>
    <w:rsid w:val="008C366C"/>
    <w:rsid w:val="008C5343"/>
    <w:rsid w:val="008C6F88"/>
    <w:rsid w:val="008D037D"/>
    <w:rsid w:val="008D09FE"/>
    <w:rsid w:val="008D0D7B"/>
    <w:rsid w:val="008D0DD5"/>
    <w:rsid w:val="008D1B2E"/>
    <w:rsid w:val="008D266F"/>
    <w:rsid w:val="008D3B16"/>
    <w:rsid w:val="008D4A51"/>
    <w:rsid w:val="008D6992"/>
    <w:rsid w:val="008D7E07"/>
    <w:rsid w:val="008E0B68"/>
    <w:rsid w:val="008E148F"/>
    <w:rsid w:val="008E2F59"/>
    <w:rsid w:val="008E36B9"/>
    <w:rsid w:val="008E436E"/>
    <w:rsid w:val="008E682A"/>
    <w:rsid w:val="008F0486"/>
    <w:rsid w:val="008F136A"/>
    <w:rsid w:val="008F456C"/>
    <w:rsid w:val="009024D9"/>
    <w:rsid w:val="009027C8"/>
    <w:rsid w:val="009040CB"/>
    <w:rsid w:val="0090452F"/>
    <w:rsid w:val="009054CC"/>
    <w:rsid w:val="00906119"/>
    <w:rsid w:val="00910F5E"/>
    <w:rsid w:val="00914612"/>
    <w:rsid w:val="00914C6C"/>
    <w:rsid w:val="0091521D"/>
    <w:rsid w:val="00916631"/>
    <w:rsid w:val="00916DD6"/>
    <w:rsid w:val="00917536"/>
    <w:rsid w:val="00917F5D"/>
    <w:rsid w:val="009216B7"/>
    <w:rsid w:val="009218B2"/>
    <w:rsid w:val="00921D30"/>
    <w:rsid w:val="0092344B"/>
    <w:rsid w:val="00925000"/>
    <w:rsid w:val="00925D8E"/>
    <w:rsid w:val="00925FB0"/>
    <w:rsid w:val="00930C1E"/>
    <w:rsid w:val="00931128"/>
    <w:rsid w:val="00934E9C"/>
    <w:rsid w:val="00937525"/>
    <w:rsid w:val="00941456"/>
    <w:rsid w:val="0094637E"/>
    <w:rsid w:val="009507A0"/>
    <w:rsid w:val="00950F44"/>
    <w:rsid w:val="00951FD8"/>
    <w:rsid w:val="009538AA"/>
    <w:rsid w:val="00954385"/>
    <w:rsid w:val="0095777B"/>
    <w:rsid w:val="0096420F"/>
    <w:rsid w:val="00964619"/>
    <w:rsid w:val="00965FB1"/>
    <w:rsid w:val="00966F99"/>
    <w:rsid w:val="00971AF9"/>
    <w:rsid w:val="009765D0"/>
    <w:rsid w:val="00980952"/>
    <w:rsid w:val="00981680"/>
    <w:rsid w:val="0098334A"/>
    <w:rsid w:val="009833DD"/>
    <w:rsid w:val="009846B4"/>
    <w:rsid w:val="00990AF1"/>
    <w:rsid w:val="00990B64"/>
    <w:rsid w:val="0099154D"/>
    <w:rsid w:val="00992A36"/>
    <w:rsid w:val="0099300D"/>
    <w:rsid w:val="00993B01"/>
    <w:rsid w:val="00994B78"/>
    <w:rsid w:val="009957EA"/>
    <w:rsid w:val="00996DF8"/>
    <w:rsid w:val="009A35F4"/>
    <w:rsid w:val="009A437E"/>
    <w:rsid w:val="009A4C92"/>
    <w:rsid w:val="009A620B"/>
    <w:rsid w:val="009B167B"/>
    <w:rsid w:val="009B2651"/>
    <w:rsid w:val="009B2F0C"/>
    <w:rsid w:val="009B32BF"/>
    <w:rsid w:val="009B4BA1"/>
    <w:rsid w:val="009C250A"/>
    <w:rsid w:val="009C2AB7"/>
    <w:rsid w:val="009C30A7"/>
    <w:rsid w:val="009C3AB0"/>
    <w:rsid w:val="009C5932"/>
    <w:rsid w:val="009C5CB7"/>
    <w:rsid w:val="009C73F5"/>
    <w:rsid w:val="009D05A4"/>
    <w:rsid w:val="009D1258"/>
    <w:rsid w:val="009D17EE"/>
    <w:rsid w:val="009D2BA2"/>
    <w:rsid w:val="009D3818"/>
    <w:rsid w:val="009D39DC"/>
    <w:rsid w:val="009D485B"/>
    <w:rsid w:val="009F17CA"/>
    <w:rsid w:val="009F3465"/>
    <w:rsid w:val="009F39AA"/>
    <w:rsid w:val="009F6DCF"/>
    <w:rsid w:val="009F7CEA"/>
    <w:rsid w:val="00A03C60"/>
    <w:rsid w:val="00A048CB"/>
    <w:rsid w:val="00A06704"/>
    <w:rsid w:val="00A06F81"/>
    <w:rsid w:val="00A074EB"/>
    <w:rsid w:val="00A1007C"/>
    <w:rsid w:val="00A13AB4"/>
    <w:rsid w:val="00A161B8"/>
    <w:rsid w:val="00A16921"/>
    <w:rsid w:val="00A175B7"/>
    <w:rsid w:val="00A2225B"/>
    <w:rsid w:val="00A22560"/>
    <w:rsid w:val="00A2348C"/>
    <w:rsid w:val="00A24578"/>
    <w:rsid w:val="00A252F7"/>
    <w:rsid w:val="00A25E56"/>
    <w:rsid w:val="00A27E30"/>
    <w:rsid w:val="00A31E65"/>
    <w:rsid w:val="00A33474"/>
    <w:rsid w:val="00A33AAF"/>
    <w:rsid w:val="00A33FEB"/>
    <w:rsid w:val="00A34AB6"/>
    <w:rsid w:val="00A35F4F"/>
    <w:rsid w:val="00A4132C"/>
    <w:rsid w:val="00A428A9"/>
    <w:rsid w:val="00A43B25"/>
    <w:rsid w:val="00A43C13"/>
    <w:rsid w:val="00A45BE5"/>
    <w:rsid w:val="00A45DDD"/>
    <w:rsid w:val="00A46CE2"/>
    <w:rsid w:val="00A51985"/>
    <w:rsid w:val="00A53918"/>
    <w:rsid w:val="00A54AE6"/>
    <w:rsid w:val="00A577EF"/>
    <w:rsid w:val="00A61412"/>
    <w:rsid w:val="00A62287"/>
    <w:rsid w:val="00A6448B"/>
    <w:rsid w:val="00A6783C"/>
    <w:rsid w:val="00A705DD"/>
    <w:rsid w:val="00A712C7"/>
    <w:rsid w:val="00A721B1"/>
    <w:rsid w:val="00A74F20"/>
    <w:rsid w:val="00A773B9"/>
    <w:rsid w:val="00A77B42"/>
    <w:rsid w:val="00A814C9"/>
    <w:rsid w:val="00A81FA4"/>
    <w:rsid w:val="00A827B7"/>
    <w:rsid w:val="00A83294"/>
    <w:rsid w:val="00A84474"/>
    <w:rsid w:val="00A84FF3"/>
    <w:rsid w:val="00A863A4"/>
    <w:rsid w:val="00A90064"/>
    <w:rsid w:val="00A907DF"/>
    <w:rsid w:val="00A90869"/>
    <w:rsid w:val="00A93368"/>
    <w:rsid w:val="00A95821"/>
    <w:rsid w:val="00A95DFD"/>
    <w:rsid w:val="00A96754"/>
    <w:rsid w:val="00A97BC8"/>
    <w:rsid w:val="00A97F56"/>
    <w:rsid w:val="00AA032B"/>
    <w:rsid w:val="00AA1DD6"/>
    <w:rsid w:val="00AA24BD"/>
    <w:rsid w:val="00AA42CC"/>
    <w:rsid w:val="00AA5402"/>
    <w:rsid w:val="00AA5591"/>
    <w:rsid w:val="00AA587A"/>
    <w:rsid w:val="00AB1E0B"/>
    <w:rsid w:val="00AB40A8"/>
    <w:rsid w:val="00AB76D8"/>
    <w:rsid w:val="00AB7A28"/>
    <w:rsid w:val="00AC08D8"/>
    <w:rsid w:val="00AC1E9D"/>
    <w:rsid w:val="00AC3436"/>
    <w:rsid w:val="00AC37D7"/>
    <w:rsid w:val="00AC413A"/>
    <w:rsid w:val="00AC56B0"/>
    <w:rsid w:val="00AC704F"/>
    <w:rsid w:val="00AD513C"/>
    <w:rsid w:val="00AD55A7"/>
    <w:rsid w:val="00AD7C16"/>
    <w:rsid w:val="00AE09FA"/>
    <w:rsid w:val="00AE1EC3"/>
    <w:rsid w:val="00AE2B6C"/>
    <w:rsid w:val="00AE4305"/>
    <w:rsid w:val="00AE4723"/>
    <w:rsid w:val="00AE5B56"/>
    <w:rsid w:val="00AE5B6A"/>
    <w:rsid w:val="00AE6DF4"/>
    <w:rsid w:val="00AF104A"/>
    <w:rsid w:val="00AF338D"/>
    <w:rsid w:val="00AF4807"/>
    <w:rsid w:val="00AF4F0B"/>
    <w:rsid w:val="00B00444"/>
    <w:rsid w:val="00B042CB"/>
    <w:rsid w:val="00B05442"/>
    <w:rsid w:val="00B06023"/>
    <w:rsid w:val="00B06275"/>
    <w:rsid w:val="00B0640D"/>
    <w:rsid w:val="00B06CEF"/>
    <w:rsid w:val="00B113A5"/>
    <w:rsid w:val="00B11806"/>
    <w:rsid w:val="00B11C3F"/>
    <w:rsid w:val="00B124EB"/>
    <w:rsid w:val="00B131FE"/>
    <w:rsid w:val="00B145CE"/>
    <w:rsid w:val="00B14B73"/>
    <w:rsid w:val="00B14C93"/>
    <w:rsid w:val="00B20681"/>
    <w:rsid w:val="00B21245"/>
    <w:rsid w:val="00B22C12"/>
    <w:rsid w:val="00B2589B"/>
    <w:rsid w:val="00B26CCB"/>
    <w:rsid w:val="00B27B18"/>
    <w:rsid w:val="00B30CB5"/>
    <w:rsid w:val="00B329F5"/>
    <w:rsid w:val="00B32B17"/>
    <w:rsid w:val="00B333E4"/>
    <w:rsid w:val="00B33EB3"/>
    <w:rsid w:val="00B34F08"/>
    <w:rsid w:val="00B36566"/>
    <w:rsid w:val="00B37DB0"/>
    <w:rsid w:val="00B42BF8"/>
    <w:rsid w:val="00B4443B"/>
    <w:rsid w:val="00B46FED"/>
    <w:rsid w:val="00B517C6"/>
    <w:rsid w:val="00B5185E"/>
    <w:rsid w:val="00B53E9B"/>
    <w:rsid w:val="00B55210"/>
    <w:rsid w:val="00B553BA"/>
    <w:rsid w:val="00B575B4"/>
    <w:rsid w:val="00B617B1"/>
    <w:rsid w:val="00B64D41"/>
    <w:rsid w:val="00B659F5"/>
    <w:rsid w:val="00B66A28"/>
    <w:rsid w:val="00B7021E"/>
    <w:rsid w:val="00B70C15"/>
    <w:rsid w:val="00B71E5D"/>
    <w:rsid w:val="00B7237C"/>
    <w:rsid w:val="00B72722"/>
    <w:rsid w:val="00B7331A"/>
    <w:rsid w:val="00B744EF"/>
    <w:rsid w:val="00B749F3"/>
    <w:rsid w:val="00B759D7"/>
    <w:rsid w:val="00B75C5E"/>
    <w:rsid w:val="00B81749"/>
    <w:rsid w:val="00B83519"/>
    <w:rsid w:val="00B85A19"/>
    <w:rsid w:val="00B8711E"/>
    <w:rsid w:val="00B9350B"/>
    <w:rsid w:val="00B94F83"/>
    <w:rsid w:val="00B974D8"/>
    <w:rsid w:val="00BA0024"/>
    <w:rsid w:val="00BA0D5B"/>
    <w:rsid w:val="00BA3C4E"/>
    <w:rsid w:val="00BA4E0B"/>
    <w:rsid w:val="00BA5FAB"/>
    <w:rsid w:val="00BA755E"/>
    <w:rsid w:val="00BA7909"/>
    <w:rsid w:val="00BB1CB8"/>
    <w:rsid w:val="00BB1DAF"/>
    <w:rsid w:val="00BB23A6"/>
    <w:rsid w:val="00BB25E9"/>
    <w:rsid w:val="00BB2FF6"/>
    <w:rsid w:val="00BB540F"/>
    <w:rsid w:val="00BB713B"/>
    <w:rsid w:val="00BB7835"/>
    <w:rsid w:val="00BC01F8"/>
    <w:rsid w:val="00BC0725"/>
    <w:rsid w:val="00BC16E0"/>
    <w:rsid w:val="00BC25CE"/>
    <w:rsid w:val="00BC45B4"/>
    <w:rsid w:val="00BC61E7"/>
    <w:rsid w:val="00BC7A01"/>
    <w:rsid w:val="00BD0830"/>
    <w:rsid w:val="00BD0A1A"/>
    <w:rsid w:val="00BD12F7"/>
    <w:rsid w:val="00BD19E0"/>
    <w:rsid w:val="00BD43CC"/>
    <w:rsid w:val="00BD5BB6"/>
    <w:rsid w:val="00BD6AC1"/>
    <w:rsid w:val="00BE0003"/>
    <w:rsid w:val="00BE3B87"/>
    <w:rsid w:val="00BE45CB"/>
    <w:rsid w:val="00BF0501"/>
    <w:rsid w:val="00BF1E61"/>
    <w:rsid w:val="00BF228A"/>
    <w:rsid w:val="00BF3F75"/>
    <w:rsid w:val="00BF4086"/>
    <w:rsid w:val="00BF4725"/>
    <w:rsid w:val="00BF4DEE"/>
    <w:rsid w:val="00BF5943"/>
    <w:rsid w:val="00BF65B6"/>
    <w:rsid w:val="00BF6AFE"/>
    <w:rsid w:val="00BF793E"/>
    <w:rsid w:val="00C009E1"/>
    <w:rsid w:val="00C00B9A"/>
    <w:rsid w:val="00C042EB"/>
    <w:rsid w:val="00C05017"/>
    <w:rsid w:val="00C066FB"/>
    <w:rsid w:val="00C0701B"/>
    <w:rsid w:val="00C10FA7"/>
    <w:rsid w:val="00C14A1A"/>
    <w:rsid w:val="00C249DE"/>
    <w:rsid w:val="00C24EA3"/>
    <w:rsid w:val="00C250F3"/>
    <w:rsid w:val="00C265FF"/>
    <w:rsid w:val="00C27035"/>
    <w:rsid w:val="00C27CBC"/>
    <w:rsid w:val="00C301D9"/>
    <w:rsid w:val="00C31246"/>
    <w:rsid w:val="00C32D8E"/>
    <w:rsid w:val="00C3536E"/>
    <w:rsid w:val="00C36401"/>
    <w:rsid w:val="00C36784"/>
    <w:rsid w:val="00C37B67"/>
    <w:rsid w:val="00C417C3"/>
    <w:rsid w:val="00C418A4"/>
    <w:rsid w:val="00C42073"/>
    <w:rsid w:val="00C42C91"/>
    <w:rsid w:val="00C437CF"/>
    <w:rsid w:val="00C43BD1"/>
    <w:rsid w:val="00C46CD5"/>
    <w:rsid w:val="00C53F11"/>
    <w:rsid w:val="00C543C4"/>
    <w:rsid w:val="00C54CF3"/>
    <w:rsid w:val="00C552F3"/>
    <w:rsid w:val="00C56467"/>
    <w:rsid w:val="00C614EC"/>
    <w:rsid w:val="00C62B70"/>
    <w:rsid w:val="00C62BA5"/>
    <w:rsid w:val="00C648EC"/>
    <w:rsid w:val="00C64FAC"/>
    <w:rsid w:val="00C65846"/>
    <w:rsid w:val="00C67187"/>
    <w:rsid w:val="00C678D2"/>
    <w:rsid w:val="00C71AE4"/>
    <w:rsid w:val="00C71EC7"/>
    <w:rsid w:val="00C7429E"/>
    <w:rsid w:val="00C74F34"/>
    <w:rsid w:val="00C7575B"/>
    <w:rsid w:val="00C75FD9"/>
    <w:rsid w:val="00C76550"/>
    <w:rsid w:val="00C8212C"/>
    <w:rsid w:val="00C82BE6"/>
    <w:rsid w:val="00C82F8B"/>
    <w:rsid w:val="00C83CFB"/>
    <w:rsid w:val="00C83F03"/>
    <w:rsid w:val="00C847F2"/>
    <w:rsid w:val="00C85E9D"/>
    <w:rsid w:val="00C865F4"/>
    <w:rsid w:val="00C8688B"/>
    <w:rsid w:val="00C937C1"/>
    <w:rsid w:val="00C945A3"/>
    <w:rsid w:val="00C947A6"/>
    <w:rsid w:val="00C955DD"/>
    <w:rsid w:val="00C95B48"/>
    <w:rsid w:val="00C96DA8"/>
    <w:rsid w:val="00CA2F46"/>
    <w:rsid w:val="00CA33D5"/>
    <w:rsid w:val="00CA3CB1"/>
    <w:rsid w:val="00CA5047"/>
    <w:rsid w:val="00CA5352"/>
    <w:rsid w:val="00CA5D1A"/>
    <w:rsid w:val="00CA6146"/>
    <w:rsid w:val="00CA69D4"/>
    <w:rsid w:val="00CB0179"/>
    <w:rsid w:val="00CB138E"/>
    <w:rsid w:val="00CB2C18"/>
    <w:rsid w:val="00CB2E86"/>
    <w:rsid w:val="00CB3EAC"/>
    <w:rsid w:val="00CB414F"/>
    <w:rsid w:val="00CB48E6"/>
    <w:rsid w:val="00CB4D41"/>
    <w:rsid w:val="00CB4E65"/>
    <w:rsid w:val="00CB58B6"/>
    <w:rsid w:val="00CB5951"/>
    <w:rsid w:val="00CB656D"/>
    <w:rsid w:val="00CB676C"/>
    <w:rsid w:val="00CC0BE2"/>
    <w:rsid w:val="00CC5342"/>
    <w:rsid w:val="00CC5C57"/>
    <w:rsid w:val="00CC6314"/>
    <w:rsid w:val="00CC6B0F"/>
    <w:rsid w:val="00CC7220"/>
    <w:rsid w:val="00CC7B8A"/>
    <w:rsid w:val="00CD044F"/>
    <w:rsid w:val="00CD04B1"/>
    <w:rsid w:val="00CD5EF3"/>
    <w:rsid w:val="00CD6C20"/>
    <w:rsid w:val="00CD6CB6"/>
    <w:rsid w:val="00CD6DB9"/>
    <w:rsid w:val="00CE0BAA"/>
    <w:rsid w:val="00CE0C9A"/>
    <w:rsid w:val="00CE29F9"/>
    <w:rsid w:val="00CE4382"/>
    <w:rsid w:val="00CE6595"/>
    <w:rsid w:val="00CE6800"/>
    <w:rsid w:val="00CF2D07"/>
    <w:rsid w:val="00CF337D"/>
    <w:rsid w:val="00CF5E6A"/>
    <w:rsid w:val="00CF6880"/>
    <w:rsid w:val="00CF7A26"/>
    <w:rsid w:val="00D012FD"/>
    <w:rsid w:val="00D016DA"/>
    <w:rsid w:val="00D041EC"/>
    <w:rsid w:val="00D05AB2"/>
    <w:rsid w:val="00D05B31"/>
    <w:rsid w:val="00D05CF7"/>
    <w:rsid w:val="00D06751"/>
    <w:rsid w:val="00D075C6"/>
    <w:rsid w:val="00D07B29"/>
    <w:rsid w:val="00D17674"/>
    <w:rsid w:val="00D179BD"/>
    <w:rsid w:val="00D20038"/>
    <w:rsid w:val="00D206F4"/>
    <w:rsid w:val="00D20FF2"/>
    <w:rsid w:val="00D21423"/>
    <w:rsid w:val="00D237F8"/>
    <w:rsid w:val="00D258B0"/>
    <w:rsid w:val="00D258CC"/>
    <w:rsid w:val="00D25C0B"/>
    <w:rsid w:val="00D25D54"/>
    <w:rsid w:val="00D26ACE"/>
    <w:rsid w:val="00D2722D"/>
    <w:rsid w:val="00D30AE0"/>
    <w:rsid w:val="00D325CD"/>
    <w:rsid w:val="00D328B9"/>
    <w:rsid w:val="00D32E9B"/>
    <w:rsid w:val="00D330DC"/>
    <w:rsid w:val="00D336BF"/>
    <w:rsid w:val="00D339B7"/>
    <w:rsid w:val="00D34CD3"/>
    <w:rsid w:val="00D35327"/>
    <w:rsid w:val="00D35686"/>
    <w:rsid w:val="00D37878"/>
    <w:rsid w:val="00D37B75"/>
    <w:rsid w:val="00D400E7"/>
    <w:rsid w:val="00D41968"/>
    <w:rsid w:val="00D4233D"/>
    <w:rsid w:val="00D42944"/>
    <w:rsid w:val="00D43021"/>
    <w:rsid w:val="00D43352"/>
    <w:rsid w:val="00D47147"/>
    <w:rsid w:val="00D5188C"/>
    <w:rsid w:val="00D51DB6"/>
    <w:rsid w:val="00D52640"/>
    <w:rsid w:val="00D52A59"/>
    <w:rsid w:val="00D52E88"/>
    <w:rsid w:val="00D532F6"/>
    <w:rsid w:val="00D53517"/>
    <w:rsid w:val="00D54041"/>
    <w:rsid w:val="00D56D5F"/>
    <w:rsid w:val="00D57700"/>
    <w:rsid w:val="00D57876"/>
    <w:rsid w:val="00D6032D"/>
    <w:rsid w:val="00D61330"/>
    <w:rsid w:val="00D65383"/>
    <w:rsid w:val="00D674FA"/>
    <w:rsid w:val="00D67D6E"/>
    <w:rsid w:val="00D7007F"/>
    <w:rsid w:val="00D7116D"/>
    <w:rsid w:val="00D71E46"/>
    <w:rsid w:val="00D73B3F"/>
    <w:rsid w:val="00D75761"/>
    <w:rsid w:val="00D757F4"/>
    <w:rsid w:val="00D75A5F"/>
    <w:rsid w:val="00D80CCA"/>
    <w:rsid w:val="00D81D22"/>
    <w:rsid w:val="00D82D18"/>
    <w:rsid w:val="00D842DA"/>
    <w:rsid w:val="00D8697D"/>
    <w:rsid w:val="00D87732"/>
    <w:rsid w:val="00D9154F"/>
    <w:rsid w:val="00D93190"/>
    <w:rsid w:val="00D95349"/>
    <w:rsid w:val="00DA1217"/>
    <w:rsid w:val="00DA1F2A"/>
    <w:rsid w:val="00DA2755"/>
    <w:rsid w:val="00DA3D1B"/>
    <w:rsid w:val="00DA4846"/>
    <w:rsid w:val="00DA496F"/>
    <w:rsid w:val="00DA5491"/>
    <w:rsid w:val="00DA7D56"/>
    <w:rsid w:val="00DB205D"/>
    <w:rsid w:val="00DB5A65"/>
    <w:rsid w:val="00DB6C69"/>
    <w:rsid w:val="00DB6DEB"/>
    <w:rsid w:val="00DB6EC6"/>
    <w:rsid w:val="00DC0788"/>
    <w:rsid w:val="00DC0966"/>
    <w:rsid w:val="00DC129E"/>
    <w:rsid w:val="00DC13E0"/>
    <w:rsid w:val="00DC5E5A"/>
    <w:rsid w:val="00DC67C7"/>
    <w:rsid w:val="00DD04C7"/>
    <w:rsid w:val="00DD17C1"/>
    <w:rsid w:val="00DD5B46"/>
    <w:rsid w:val="00DE0113"/>
    <w:rsid w:val="00DE1F1C"/>
    <w:rsid w:val="00DE203C"/>
    <w:rsid w:val="00DE32E2"/>
    <w:rsid w:val="00DE4350"/>
    <w:rsid w:val="00DE59C4"/>
    <w:rsid w:val="00DE60E8"/>
    <w:rsid w:val="00DE6360"/>
    <w:rsid w:val="00DF02C5"/>
    <w:rsid w:val="00DF11F2"/>
    <w:rsid w:val="00DF1790"/>
    <w:rsid w:val="00DF1A5C"/>
    <w:rsid w:val="00DF1B07"/>
    <w:rsid w:val="00DF1B2C"/>
    <w:rsid w:val="00DF2449"/>
    <w:rsid w:val="00DF4985"/>
    <w:rsid w:val="00DF6BD7"/>
    <w:rsid w:val="00DF6F5E"/>
    <w:rsid w:val="00E02627"/>
    <w:rsid w:val="00E02785"/>
    <w:rsid w:val="00E077A8"/>
    <w:rsid w:val="00E07D55"/>
    <w:rsid w:val="00E22AA7"/>
    <w:rsid w:val="00E230B0"/>
    <w:rsid w:val="00E2384E"/>
    <w:rsid w:val="00E24DEA"/>
    <w:rsid w:val="00E25B40"/>
    <w:rsid w:val="00E26B12"/>
    <w:rsid w:val="00E27632"/>
    <w:rsid w:val="00E27AE5"/>
    <w:rsid w:val="00E307F5"/>
    <w:rsid w:val="00E3130C"/>
    <w:rsid w:val="00E33A8E"/>
    <w:rsid w:val="00E3452F"/>
    <w:rsid w:val="00E34F85"/>
    <w:rsid w:val="00E351BC"/>
    <w:rsid w:val="00E371E1"/>
    <w:rsid w:val="00E37C3C"/>
    <w:rsid w:val="00E405B5"/>
    <w:rsid w:val="00E408C2"/>
    <w:rsid w:val="00E425D0"/>
    <w:rsid w:val="00E43D7F"/>
    <w:rsid w:val="00E448B1"/>
    <w:rsid w:val="00E448CB"/>
    <w:rsid w:val="00E44DB5"/>
    <w:rsid w:val="00E47B51"/>
    <w:rsid w:val="00E50057"/>
    <w:rsid w:val="00E50273"/>
    <w:rsid w:val="00E50919"/>
    <w:rsid w:val="00E51341"/>
    <w:rsid w:val="00E522AB"/>
    <w:rsid w:val="00E527C2"/>
    <w:rsid w:val="00E534A7"/>
    <w:rsid w:val="00E538DC"/>
    <w:rsid w:val="00E54205"/>
    <w:rsid w:val="00E55027"/>
    <w:rsid w:val="00E553DD"/>
    <w:rsid w:val="00E5698A"/>
    <w:rsid w:val="00E57187"/>
    <w:rsid w:val="00E6185B"/>
    <w:rsid w:val="00E618D0"/>
    <w:rsid w:val="00E61EEE"/>
    <w:rsid w:val="00E62F49"/>
    <w:rsid w:val="00E63213"/>
    <w:rsid w:val="00E64952"/>
    <w:rsid w:val="00E6658D"/>
    <w:rsid w:val="00E74117"/>
    <w:rsid w:val="00E7444E"/>
    <w:rsid w:val="00E750D3"/>
    <w:rsid w:val="00E7628B"/>
    <w:rsid w:val="00E7705E"/>
    <w:rsid w:val="00E805F8"/>
    <w:rsid w:val="00E80894"/>
    <w:rsid w:val="00E80F89"/>
    <w:rsid w:val="00E81642"/>
    <w:rsid w:val="00E81B47"/>
    <w:rsid w:val="00E82D92"/>
    <w:rsid w:val="00E83735"/>
    <w:rsid w:val="00E83743"/>
    <w:rsid w:val="00E848A2"/>
    <w:rsid w:val="00E84EFF"/>
    <w:rsid w:val="00E8604B"/>
    <w:rsid w:val="00E860D9"/>
    <w:rsid w:val="00E907B0"/>
    <w:rsid w:val="00E9138B"/>
    <w:rsid w:val="00E91B74"/>
    <w:rsid w:val="00E920BC"/>
    <w:rsid w:val="00E95353"/>
    <w:rsid w:val="00E95397"/>
    <w:rsid w:val="00E9717E"/>
    <w:rsid w:val="00EA0605"/>
    <w:rsid w:val="00EA09AD"/>
    <w:rsid w:val="00EA229C"/>
    <w:rsid w:val="00EA59B3"/>
    <w:rsid w:val="00EA7E42"/>
    <w:rsid w:val="00EB1DC6"/>
    <w:rsid w:val="00EB2F3B"/>
    <w:rsid w:val="00EB4ACF"/>
    <w:rsid w:val="00EB542E"/>
    <w:rsid w:val="00EB65DC"/>
    <w:rsid w:val="00EB6946"/>
    <w:rsid w:val="00EB71EE"/>
    <w:rsid w:val="00EB75F4"/>
    <w:rsid w:val="00EB7784"/>
    <w:rsid w:val="00EC35A6"/>
    <w:rsid w:val="00ED24AF"/>
    <w:rsid w:val="00ED45AF"/>
    <w:rsid w:val="00ED5AFE"/>
    <w:rsid w:val="00ED688F"/>
    <w:rsid w:val="00EE23DB"/>
    <w:rsid w:val="00EE2CE9"/>
    <w:rsid w:val="00EE41E2"/>
    <w:rsid w:val="00EE585D"/>
    <w:rsid w:val="00EE5EE6"/>
    <w:rsid w:val="00EE6735"/>
    <w:rsid w:val="00EE7A9C"/>
    <w:rsid w:val="00EF0958"/>
    <w:rsid w:val="00EF1C54"/>
    <w:rsid w:val="00EF35C2"/>
    <w:rsid w:val="00EF3655"/>
    <w:rsid w:val="00EF43AD"/>
    <w:rsid w:val="00F00B99"/>
    <w:rsid w:val="00F03ABD"/>
    <w:rsid w:val="00F07C84"/>
    <w:rsid w:val="00F1132D"/>
    <w:rsid w:val="00F11C2A"/>
    <w:rsid w:val="00F12EAC"/>
    <w:rsid w:val="00F1455C"/>
    <w:rsid w:val="00F15BA6"/>
    <w:rsid w:val="00F17F06"/>
    <w:rsid w:val="00F204B0"/>
    <w:rsid w:val="00F21580"/>
    <w:rsid w:val="00F21B47"/>
    <w:rsid w:val="00F21F6A"/>
    <w:rsid w:val="00F2250E"/>
    <w:rsid w:val="00F22873"/>
    <w:rsid w:val="00F245A0"/>
    <w:rsid w:val="00F24C09"/>
    <w:rsid w:val="00F258A5"/>
    <w:rsid w:val="00F25EBD"/>
    <w:rsid w:val="00F26143"/>
    <w:rsid w:val="00F30FE1"/>
    <w:rsid w:val="00F316DB"/>
    <w:rsid w:val="00F3251A"/>
    <w:rsid w:val="00F35B1C"/>
    <w:rsid w:val="00F3612D"/>
    <w:rsid w:val="00F374BA"/>
    <w:rsid w:val="00F402B1"/>
    <w:rsid w:val="00F40F55"/>
    <w:rsid w:val="00F415E2"/>
    <w:rsid w:val="00F44AE3"/>
    <w:rsid w:val="00F454F0"/>
    <w:rsid w:val="00F46810"/>
    <w:rsid w:val="00F46991"/>
    <w:rsid w:val="00F47BC2"/>
    <w:rsid w:val="00F50575"/>
    <w:rsid w:val="00F53304"/>
    <w:rsid w:val="00F54627"/>
    <w:rsid w:val="00F54742"/>
    <w:rsid w:val="00F60501"/>
    <w:rsid w:val="00F6097B"/>
    <w:rsid w:val="00F62505"/>
    <w:rsid w:val="00F63EB5"/>
    <w:rsid w:val="00F65147"/>
    <w:rsid w:val="00F65CC7"/>
    <w:rsid w:val="00F6677E"/>
    <w:rsid w:val="00F677F0"/>
    <w:rsid w:val="00F7052D"/>
    <w:rsid w:val="00F708F1"/>
    <w:rsid w:val="00F7204A"/>
    <w:rsid w:val="00F724E5"/>
    <w:rsid w:val="00F740E0"/>
    <w:rsid w:val="00F75262"/>
    <w:rsid w:val="00F75410"/>
    <w:rsid w:val="00F76DA4"/>
    <w:rsid w:val="00F77CEA"/>
    <w:rsid w:val="00F77E9B"/>
    <w:rsid w:val="00F8005D"/>
    <w:rsid w:val="00F807C2"/>
    <w:rsid w:val="00F81601"/>
    <w:rsid w:val="00F81B45"/>
    <w:rsid w:val="00F84CE2"/>
    <w:rsid w:val="00F85A8C"/>
    <w:rsid w:val="00F93DDF"/>
    <w:rsid w:val="00FA0165"/>
    <w:rsid w:val="00FA02D6"/>
    <w:rsid w:val="00FA0488"/>
    <w:rsid w:val="00FA65E9"/>
    <w:rsid w:val="00FA6CA7"/>
    <w:rsid w:val="00FA76CB"/>
    <w:rsid w:val="00FA7B0F"/>
    <w:rsid w:val="00FB057B"/>
    <w:rsid w:val="00FB26FE"/>
    <w:rsid w:val="00FB35CC"/>
    <w:rsid w:val="00FB39BF"/>
    <w:rsid w:val="00FB3F09"/>
    <w:rsid w:val="00FB45CF"/>
    <w:rsid w:val="00FB7657"/>
    <w:rsid w:val="00FB77E0"/>
    <w:rsid w:val="00FC010D"/>
    <w:rsid w:val="00FC033E"/>
    <w:rsid w:val="00FC0C3E"/>
    <w:rsid w:val="00FC37A4"/>
    <w:rsid w:val="00FC4E55"/>
    <w:rsid w:val="00FC507E"/>
    <w:rsid w:val="00FC5A4E"/>
    <w:rsid w:val="00FC68B3"/>
    <w:rsid w:val="00FC74C0"/>
    <w:rsid w:val="00FD0708"/>
    <w:rsid w:val="00FD08A1"/>
    <w:rsid w:val="00FD409B"/>
    <w:rsid w:val="00FD516B"/>
    <w:rsid w:val="00FD5B25"/>
    <w:rsid w:val="00FE1617"/>
    <w:rsid w:val="00FE499E"/>
    <w:rsid w:val="00FE50F5"/>
    <w:rsid w:val="00FE52EB"/>
    <w:rsid w:val="00FE5C26"/>
    <w:rsid w:val="00FE70CD"/>
    <w:rsid w:val="00FF2A35"/>
    <w:rsid w:val="00FF33A0"/>
    <w:rsid w:val="00FF36E6"/>
    <w:rsid w:val="00FF5F74"/>
    <w:rsid w:val="00FF667F"/>
    <w:rsid w:val="00FF7BFF"/>
    <w:rsid w:val="00FF7EA7"/>
    <w:rsid w:val="01087C85"/>
    <w:rsid w:val="02137787"/>
    <w:rsid w:val="022B421F"/>
    <w:rsid w:val="0272442D"/>
    <w:rsid w:val="02F45E67"/>
    <w:rsid w:val="0377490B"/>
    <w:rsid w:val="03B155D8"/>
    <w:rsid w:val="05B16FE4"/>
    <w:rsid w:val="05B70EED"/>
    <w:rsid w:val="064552D9"/>
    <w:rsid w:val="070D149F"/>
    <w:rsid w:val="072C0011"/>
    <w:rsid w:val="078D25E7"/>
    <w:rsid w:val="08A96345"/>
    <w:rsid w:val="08DF5D71"/>
    <w:rsid w:val="09A37640"/>
    <w:rsid w:val="0A900A2D"/>
    <w:rsid w:val="0A957B25"/>
    <w:rsid w:val="0B254E57"/>
    <w:rsid w:val="0DAB143A"/>
    <w:rsid w:val="0DBD2757"/>
    <w:rsid w:val="0DC15547"/>
    <w:rsid w:val="0DDD695F"/>
    <w:rsid w:val="0DF0784A"/>
    <w:rsid w:val="0EC91919"/>
    <w:rsid w:val="0ECA6181"/>
    <w:rsid w:val="0EDC3C6E"/>
    <w:rsid w:val="0EFE76A6"/>
    <w:rsid w:val="0FC64D01"/>
    <w:rsid w:val="10441BE2"/>
    <w:rsid w:val="105A40DF"/>
    <w:rsid w:val="107A1EF0"/>
    <w:rsid w:val="112A366B"/>
    <w:rsid w:val="116F149C"/>
    <w:rsid w:val="11A17C7A"/>
    <w:rsid w:val="12D72E86"/>
    <w:rsid w:val="130A2712"/>
    <w:rsid w:val="13324B8D"/>
    <w:rsid w:val="13F70CDC"/>
    <w:rsid w:val="14C3438E"/>
    <w:rsid w:val="154767F6"/>
    <w:rsid w:val="15525921"/>
    <w:rsid w:val="155E4EB6"/>
    <w:rsid w:val="15EF5B26"/>
    <w:rsid w:val="16642533"/>
    <w:rsid w:val="18054A2D"/>
    <w:rsid w:val="18BB16A1"/>
    <w:rsid w:val="198C33B8"/>
    <w:rsid w:val="1A290EF0"/>
    <w:rsid w:val="1AF04180"/>
    <w:rsid w:val="1C8D4564"/>
    <w:rsid w:val="1CB44424"/>
    <w:rsid w:val="1CE92B6F"/>
    <w:rsid w:val="1D132CB6"/>
    <w:rsid w:val="1D5A0FD3"/>
    <w:rsid w:val="1F045984"/>
    <w:rsid w:val="1F0C367F"/>
    <w:rsid w:val="1F412854"/>
    <w:rsid w:val="1F6F760E"/>
    <w:rsid w:val="1FC93A32"/>
    <w:rsid w:val="1FFF3DB6"/>
    <w:rsid w:val="201673B4"/>
    <w:rsid w:val="203C17F2"/>
    <w:rsid w:val="20ED3B94"/>
    <w:rsid w:val="2165106E"/>
    <w:rsid w:val="217D4EA0"/>
    <w:rsid w:val="217F0F88"/>
    <w:rsid w:val="21836286"/>
    <w:rsid w:val="221538C3"/>
    <w:rsid w:val="228E1EC6"/>
    <w:rsid w:val="229E3E9E"/>
    <w:rsid w:val="22A218B8"/>
    <w:rsid w:val="23574F07"/>
    <w:rsid w:val="23B930D4"/>
    <w:rsid w:val="243548F6"/>
    <w:rsid w:val="24C36BB8"/>
    <w:rsid w:val="25966EF9"/>
    <w:rsid w:val="2643722E"/>
    <w:rsid w:val="26DB402B"/>
    <w:rsid w:val="272A4F3A"/>
    <w:rsid w:val="2762122A"/>
    <w:rsid w:val="277B27E0"/>
    <w:rsid w:val="27A24146"/>
    <w:rsid w:val="28291852"/>
    <w:rsid w:val="285967FD"/>
    <w:rsid w:val="289D572F"/>
    <w:rsid w:val="28B006F2"/>
    <w:rsid w:val="293A54BB"/>
    <w:rsid w:val="29A94F5C"/>
    <w:rsid w:val="2A97058D"/>
    <w:rsid w:val="2AB240D8"/>
    <w:rsid w:val="2B1A46C4"/>
    <w:rsid w:val="2C3D01A4"/>
    <w:rsid w:val="2C7101C1"/>
    <w:rsid w:val="2D406ACD"/>
    <w:rsid w:val="2DD97BBE"/>
    <w:rsid w:val="2E1B2C98"/>
    <w:rsid w:val="2E955D79"/>
    <w:rsid w:val="2EBF378F"/>
    <w:rsid w:val="2F1C09FF"/>
    <w:rsid w:val="2F301374"/>
    <w:rsid w:val="2F362C4E"/>
    <w:rsid w:val="2F772F93"/>
    <w:rsid w:val="2FBD2AD2"/>
    <w:rsid w:val="300C3AAC"/>
    <w:rsid w:val="30191779"/>
    <w:rsid w:val="304944C6"/>
    <w:rsid w:val="30565FFB"/>
    <w:rsid w:val="306C7EFE"/>
    <w:rsid w:val="308D3C15"/>
    <w:rsid w:val="309B7DB3"/>
    <w:rsid w:val="30FA076A"/>
    <w:rsid w:val="313F124A"/>
    <w:rsid w:val="31650C12"/>
    <w:rsid w:val="31A237FE"/>
    <w:rsid w:val="32235051"/>
    <w:rsid w:val="334D3BBD"/>
    <w:rsid w:val="33B02259"/>
    <w:rsid w:val="33ED5A9E"/>
    <w:rsid w:val="345413AB"/>
    <w:rsid w:val="34D55071"/>
    <w:rsid w:val="350038F4"/>
    <w:rsid w:val="35DC448E"/>
    <w:rsid w:val="365C69BF"/>
    <w:rsid w:val="367904EE"/>
    <w:rsid w:val="369E320D"/>
    <w:rsid w:val="36BA4F76"/>
    <w:rsid w:val="36D76309"/>
    <w:rsid w:val="36D8454D"/>
    <w:rsid w:val="36FD1843"/>
    <w:rsid w:val="37290C5E"/>
    <w:rsid w:val="380556F6"/>
    <w:rsid w:val="38774730"/>
    <w:rsid w:val="39521046"/>
    <w:rsid w:val="39932868"/>
    <w:rsid w:val="39957106"/>
    <w:rsid w:val="3A2C2AFD"/>
    <w:rsid w:val="3A3B3117"/>
    <w:rsid w:val="3A5304DE"/>
    <w:rsid w:val="3A712296"/>
    <w:rsid w:val="3AB3010A"/>
    <w:rsid w:val="3AF24E44"/>
    <w:rsid w:val="3B180B70"/>
    <w:rsid w:val="3B2A389B"/>
    <w:rsid w:val="3B353307"/>
    <w:rsid w:val="3D2442C0"/>
    <w:rsid w:val="3D9266CA"/>
    <w:rsid w:val="3D99601D"/>
    <w:rsid w:val="3E12060F"/>
    <w:rsid w:val="3E2D2E4F"/>
    <w:rsid w:val="3E825F9A"/>
    <w:rsid w:val="3F992A7A"/>
    <w:rsid w:val="3FE23A60"/>
    <w:rsid w:val="3FEA3B36"/>
    <w:rsid w:val="40BB046E"/>
    <w:rsid w:val="410E7634"/>
    <w:rsid w:val="41720D76"/>
    <w:rsid w:val="420E3A70"/>
    <w:rsid w:val="4229258C"/>
    <w:rsid w:val="438E071D"/>
    <w:rsid w:val="439C15DD"/>
    <w:rsid w:val="444E229E"/>
    <w:rsid w:val="448F0CEA"/>
    <w:rsid w:val="4494718F"/>
    <w:rsid w:val="44F532AF"/>
    <w:rsid w:val="45B1292E"/>
    <w:rsid w:val="460C3C12"/>
    <w:rsid w:val="461E6C96"/>
    <w:rsid w:val="46DA2BC7"/>
    <w:rsid w:val="46FD57BF"/>
    <w:rsid w:val="48A81BC2"/>
    <w:rsid w:val="48C717EF"/>
    <w:rsid w:val="49410851"/>
    <w:rsid w:val="499A0249"/>
    <w:rsid w:val="4AB43D3F"/>
    <w:rsid w:val="4C037B2F"/>
    <w:rsid w:val="4C26757B"/>
    <w:rsid w:val="4C925C43"/>
    <w:rsid w:val="4D4A3E5A"/>
    <w:rsid w:val="4D620F83"/>
    <w:rsid w:val="4D886D38"/>
    <w:rsid w:val="4DA64756"/>
    <w:rsid w:val="4DB56574"/>
    <w:rsid w:val="4F4B5639"/>
    <w:rsid w:val="4F531CB1"/>
    <w:rsid w:val="4F655099"/>
    <w:rsid w:val="4FDE05DD"/>
    <w:rsid w:val="50620EC4"/>
    <w:rsid w:val="50B8359A"/>
    <w:rsid w:val="50D154FD"/>
    <w:rsid w:val="51C868F9"/>
    <w:rsid w:val="51CA36B3"/>
    <w:rsid w:val="524E6196"/>
    <w:rsid w:val="52EA2884"/>
    <w:rsid w:val="53947378"/>
    <w:rsid w:val="53F01145"/>
    <w:rsid w:val="547A7BA1"/>
    <w:rsid w:val="554A5CB5"/>
    <w:rsid w:val="559E4304"/>
    <w:rsid w:val="56126841"/>
    <w:rsid w:val="568E54EE"/>
    <w:rsid w:val="56E756A5"/>
    <w:rsid w:val="56ED514D"/>
    <w:rsid w:val="5738015D"/>
    <w:rsid w:val="57393808"/>
    <w:rsid w:val="57993EC1"/>
    <w:rsid w:val="58341AEF"/>
    <w:rsid w:val="598E2880"/>
    <w:rsid w:val="5A8E79A0"/>
    <w:rsid w:val="5B0053E1"/>
    <w:rsid w:val="5B137BF9"/>
    <w:rsid w:val="5B1654EB"/>
    <w:rsid w:val="5B1B0888"/>
    <w:rsid w:val="5C1B4405"/>
    <w:rsid w:val="5C4970EF"/>
    <w:rsid w:val="5C9013FC"/>
    <w:rsid w:val="5D3429D0"/>
    <w:rsid w:val="5DBA62E1"/>
    <w:rsid w:val="5E00298E"/>
    <w:rsid w:val="5E0F3304"/>
    <w:rsid w:val="5F5A7116"/>
    <w:rsid w:val="5FA25B22"/>
    <w:rsid w:val="5FA31F76"/>
    <w:rsid w:val="5FA62D85"/>
    <w:rsid w:val="5FF97102"/>
    <w:rsid w:val="61F01A83"/>
    <w:rsid w:val="62403FA7"/>
    <w:rsid w:val="62EA2F9E"/>
    <w:rsid w:val="63947773"/>
    <w:rsid w:val="63C909D8"/>
    <w:rsid w:val="63DE1526"/>
    <w:rsid w:val="63FE23F4"/>
    <w:rsid w:val="64D92503"/>
    <w:rsid w:val="64ED1243"/>
    <w:rsid w:val="650933E1"/>
    <w:rsid w:val="657215AF"/>
    <w:rsid w:val="65B221E6"/>
    <w:rsid w:val="65C954AE"/>
    <w:rsid w:val="67786951"/>
    <w:rsid w:val="681E6D1B"/>
    <w:rsid w:val="686D2465"/>
    <w:rsid w:val="69B34200"/>
    <w:rsid w:val="69BC7586"/>
    <w:rsid w:val="6A713A2E"/>
    <w:rsid w:val="6A7468A8"/>
    <w:rsid w:val="6B1B6445"/>
    <w:rsid w:val="6BB564B9"/>
    <w:rsid w:val="6BBF5CE7"/>
    <w:rsid w:val="6C837F96"/>
    <w:rsid w:val="6CD61F9E"/>
    <w:rsid w:val="6D534DEB"/>
    <w:rsid w:val="6D9073A0"/>
    <w:rsid w:val="6DDF2674"/>
    <w:rsid w:val="6E540211"/>
    <w:rsid w:val="6EC5294E"/>
    <w:rsid w:val="6F7441F6"/>
    <w:rsid w:val="705D4C14"/>
    <w:rsid w:val="70B51931"/>
    <w:rsid w:val="71381AA4"/>
    <w:rsid w:val="71BD07A1"/>
    <w:rsid w:val="71F21D65"/>
    <w:rsid w:val="72326EE7"/>
    <w:rsid w:val="72685939"/>
    <w:rsid w:val="728E6482"/>
    <w:rsid w:val="72B175B7"/>
    <w:rsid w:val="72C20D55"/>
    <w:rsid w:val="730D0460"/>
    <w:rsid w:val="7464010D"/>
    <w:rsid w:val="74D4555F"/>
    <w:rsid w:val="753A2654"/>
    <w:rsid w:val="753A6E5F"/>
    <w:rsid w:val="754E2451"/>
    <w:rsid w:val="75960DB1"/>
    <w:rsid w:val="75974FFA"/>
    <w:rsid w:val="76A34D34"/>
    <w:rsid w:val="77A02B5A"/>
    <w:rsid w:val="783F0E54"/>
    <w:rsid w:val="78663B14"/>
    <w:rsid w:val="792C4115"/>
    <w:rsid w:val="7959663F"/>
    <w:rsid w:val="797E3F72"/>
    <w:rsid w:val="79BE7387"/>
    <w:rsid w:val="7A9D782E"/>
    <w:rsid w:val="7B35042F"/>
    <w:rsid w:val="7C9C22FF"/>
    <w:rsid w:val="7CB42A18"/>
    <w:rsid w:val="7D272ABC"/>
    <w:rsid w:val="7D3533F7"/>
    <w:rsid w:val="7D5C493C"/>
    <w:rsid w:val="7DB93C91"/>
    <w:rsid w:val="7E115B8D"/>
    <w:rsid w:val="7E5506CC"/>
    <w:rsid w:val="7E9870A0"/>
    <w:rsid w:val="7EF8435D"/>
    <w:rsid w:val="7F155CBF"/>
    <w:rsid w:val="7F16390D"/>
    <w:rsid w:val="7F52152E"/>
    <w:rsid w:val="7F824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6"/>
    <w:unhideWhenUsed/>
    <w:qFormat/>
    <w:uiPriority w:val="99"/>
    <w:pPr>
      <w:jc w:val="left"/>
    </w:pPr>
  </w:style>
  <w:style w:type="paragraph" w:styleId="4">
    <w:name w:val="Balloon Text"/>
    <w:basedOn w:val="1"/>
    <w:link w:val="23"/>
    <w:semiHidden/>
    <w:unhideWhenUsed/>
    <w:qFormat/>
    <w:uiPriority w:val="99"/>
    <w:rPr>
      <w:sz w:val="18"/>
      <w:szCs w:val="18"/>
    </w:rPr>
  </w:style>
  <w:style w:type="paragraph" w:styleId="5">
    <w:name w:val="footer"/>
    <w:basedOn w:val="1"/>
    <w:link w:val="21"/>
    <w:unhideWhenUsed/>
    <w:qFormat/>
    <w:uiPriority w:val="99"/>
    <w:pPr>
      <w:tabs>
        <w:tab w:val="center" w:pos="4153"/>
        <w:tab w:val="right" w:pos="8306"/>
      </w:tabs>
      <w:snapToGrid w:val="0"/>
      <w:jc w:val="left"/>
    </w:pPr>
    <w:rPr>
      <w:sz w:val="18"/>
      <w:szCs w:val="18"/>
    </w:rPr>
  </w:style>
  <w:style w:type="paragraph" w:styleId="6">
    <w:name w:val="header"/>
    <w:basedOn w:val="1"/>
    <w:link w:val="20"/>
    <w:unhideWhenUsed/>
    <w:qFormat/>
    <w:uiPriority w:val="99"/>
    <w:pP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Autospacing="1" w:afterAutospacing="1"/>
      <w:jc w:val="left"/>
    </w:pPr>
    <w:rPr>
      <w:rFonts w:cs="Times New Roman"/>
      <w:kern w:val="0"/>
      <w:sz w:val="24"/>
    </w:rPr>
  </w:style>
  <w:style w:type="paragraph" w:styleId="8">
    <w:name w:val="annotation subject"/>
    <w:basedOn w:val="3"/>
    <w:next w:val="3"/>
    <w:link w:val="27"/>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line number"/>
    <w:basedOn w:val="11"/>
    <w:semiHidden/>
    <w:unhideWhenUsed/>
    <w:qFormat/>
    <w:uiPriority w:val="99"/>
  </w:style>
  <w:style w:type="character" w:styleId="14">
    <w:name w:val="Hyperlink"/>
    <w:basedOn w:val="11"/>
    <w:unhideWhenUsed/>
    <w:qFormat/>
    <w:uiPriority w:val="99"/>
    <w:rPr>
      <w:color w:val="0563C1" w:themeColor="hyperlink"/>
      <w:u w:val="single"/>
      <w14:textFill>
        <w14:solidFill>
          <w14:schemeClr w14:val="hlink"/>
        </w14:solidFill>
      </w14:textFill>
    </w:rPr>
  </w:style>
  <w:style w:type="character" w:styleId="15">
    <w:name w:val="annotation reference"/>
    <w:basedOn w:val="11"/>
    <w:semiHidden/>
    <w:unhideWhenUsed/>
    <w:qFormat/>
    <w:uiPriority w:val="99"/>
    <w:rPr>
      <w:sz w:val="21"/>
      <w:szCs w:val="21"/>
    </w:rPr>
  </w:style>
  <w:style w:type="paragraph" w:styleId="16">
    <w:name w:val="List Paragraph"/>
    <w:basedOn w:val="1"/>
    <w:qFormat/>
    <w:uiPriority w:val="34"/>
    <w:pPr>
      <w:ind w:firstLine="420" w:firstLineChars="200"/>
    </w:pPr>
  </w:style>
  <w:style w:type="paragraph" w:customStyle="1" w:styleId="17">
    <w:name w:val="EndNote Bibliography"/>
    <w:basedOn w:val="1"/>
    <w:link w:val="18"/>
    <w:qFormat/>
    <w:uiPriority w:val="0"/>
    <w:rPr>
      <w:rFonts w:ascii="等线" w:hAnsi="等线" w:eastAsia="等线" w:cs="Calibri"/>
      <w:sz w:val="20"/>
      <w:szCs w:val="21"/>
    </w:rPr>
  </w:style>
  <w:style w:type="character" w:customStyle="1" w:styleId="18">
    <w:name w:val="EndNote Bibliography Char"/>
    <w:basedOn w:val="11"/>
    <w:link w:val="17"/>
    <w:qFormat/>
    <w:uiPriority w:val="0"/>
    <w:rPr>
      <w:rFonts w:ascii="等线" w:hAnsi="等线" w:eastAsia="等线" w:cs="Calibri"/>
      <w:kern w:val="2"/>
      <w:szCs w:val="21"/>
    </w:rPr>
  </w:style>
  <w:style w:type="character" w:customStyle="1" w:styleId="19">
    <w:name w:val="未处理的提及1"/>
    <w:basedOn w:val="11"/>
    <w:semiHidden/>
    <w:unhideWhenUsed/>
    <w:qFormat/>
    <w:uiPriority w:val="99"/>
    <w:rPr>
      <w:color w:val="605E5C"/>
      <w:shd w:val="clear" w:color="auto" w:fill="E1DFDD"/>
    </w:rPr>
  </w:style>
  <w:style w:type="character" w:customStyle="1" w:styleId="20">
    <w:name w:val="页眉 字符"/>
    <w:basedOn w:val="11"/>
    <w:link w:val="6"/>
    <w:qFormat/>
    <w:uiPriority w:val="99"/>
    <w:rPr>
      <w:sz w:val="18"/>
      <w:szCs w:val="18"/>
    </w:rPr>
  </w:style>
  <w:style w:type="character" w:customStyle="1" w:styleId="21">
    <w:name w:val="页脚 字符"/>
    <w:basedOn w:val="11"/>
    <w:link w:val="5"/>
    <w:qFormat/>
    <w:uiPriority w:val="99"/>
    <w:rPr>
      <w:sz w:val="18"/>
      <w:szCs w:val="18"/>
    </w:rPr>
  </w:style>
  <w:style w:type="paragraph" w:customStyle="1" w:styleId="22">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3">
    <w:name w:val="批注框文本 字符"/>
    <w:basedOn w:val="11"/>
    <w:link w:val="4"/>
    <w:semiHidden/>
    <w:qFormat/>
    <w:uiPriority w:val="99"/>
    <w:rPr>
      <w:sz w:val="18"/>
      <w:szCs w:val="18"/>
    </w:rPr>
  </w:style>
  <w:style w:type="paragraph" w:customStyle="1" w:styleId="24">
    <w:name w:val="EndNote Bibliography Title"/>
    <w:basedOn w:val="1"/>
    <w:link w:val="25"/>
    <w:qFormat/>
    <w:uiPriority w:val="0"/>
    <w:pPr>
      <w:jc w:val="center"/>
    </w:pPr>
    <w:rPr>
      <w:rFonts w:ascii="等线" w:hAnsi="等线" w:eastAsia="等线"/>
      <w:sz w:val="20"/>
    </w:rPr>
  </w:style>
  <w:style w:type="character" w:customStyle="1" w:styleId="25">
    <w:name w:val="EndNote Bibliography Title 字符"/>
    <w:basedOn w:val="11"/>
    <w:link w:val="24"/>
    <w:qFormat/>
    <w:uiPriority w:val="0"/>
    <w:rPr>
      <w:rFonts w:ascii="等线" w:hAnsi="等线" w:eastAsia="等线" w:cstheme="minorBidi"/>
      <w:kern w:val="2"/>
      <w:szCs w:val="24"/>
    </w:rPr>
  </w:style>
  <w:style w:type="character" w:customStyle="1" w:styleId="26">
    <w:name w:val="批注文字 字符"/>
    <w:basedOn w:val="11"/>
    <w:link w:val="3"/>
    <w:qFormat/>
    <w:uiPriority w:val="99"/>
    <w:rPr>
      <w:kern w:val="2"/>
      <w:sz w:val="21"/>
      <w:szCs w:val="24"/>
    </w:rPr>
  </w:style>
  <w:style w:type="character" w:customStyle="1" w:styleId="27">
    <w:name w:val="批注主题 字符"/>
    <w:basedOn w:val="26"/>
    <w:link w:val="8"/>
    <w:semiHidden/>
    <w:qFormat/>
    <w:uiPriority w:val="99"/>
    <w:rPr>
      <w:b/>
      <w:bCs/>
      <w:kern w:val="2"/>
      <w:sz w:val="21"/>
      <w:szCs w:val="24"/>
    </w:rPr>
  </w:style>
  <w:style w:type="paragraph" w:customStyle="1" w:styleId="28">
    <w:name w:val="修订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9">
    <w:name w:val="修订3"/>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0">
    <w:name w:val="未处理的提及2"/>
    <w:basedOn w:val="11"/>
    <w:semiHidden/>
    <w:unhideWhenUsed/>
    <w:qFormat/>
    <w:uiPriority w:val="99"/>
    <w:rPr>
      <w:color w:val="605E5C"/>
      <w:shd w:val="clear" w:color="auto" w:fill="E1DFDD"/>
    </w:rPr>
  </w:style>
  <w:style w:type="character" w:customStyle="1" w:styleId="31">
    <w:name w:val="标题 1 字符"/>
    <w:basedOn w:val="11"/>
    <w:link w:val="2"/>
    <w:qFormat/>
    <w:uiPriority w:val="9"/>
    <w:rPr>
      <w:b/>
      <w:bCs/>
      <w:kern w:val="44"/>
      <w:sz w:val="44"/>
      <w:szCs w:val="44"/>
    </w:rPr>
  </w:style>
  <w:style w:type="paragraph" w:customStyle="1" w:styleId="32">
    <w:name w:val="修订4"/>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3">
    <w:name w:val="修订5"/>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4">
    <w:name w:val="未处理的提及3"/>
    <w:basedOn w:val="11"/>
    <w:semiHidden/>
    <w:unhideWhenUsed/>
    <w:qFormat/>
    <w:uiPriority w:val="99"/>
    <w:rPr>
      <w:color w:val="605E5C"/>
      <w:shd w:val="clear" w:color="auto" w:fill="E1DFDD"/>
    </w:rPr>
  </w:style>
  <w:style w:type="paragraph" w:customStyle="1" w:styleId="35">
    <w:name w:val="修订6"/>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6">
    <w:name w:val="未处理的提及4"/>
    <w:basedOn w:val="11"/>
    <w:semiHidden/>
    <w:unhideWhenUsed/>
    <w:qFormat/>
    <w:uiPriority w:val="99"/>
    <w:rPr>
      <w:color w:val="605E5C"/>
      <w:shd w:val="clear" w:color="auto" w:fill="E1DFDD"/>
    </w:rPr>
  </w:style>
  <w:style w:type="paragraph" w:customStyle="1" w:styleId="37">
    <w:name w:val="修订7"/>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8">
    <w:name w:val="修订8"/>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9">
    <w:name w:val="修订9"/>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DBD61-E730-4C8F-8062-5C9311554FEA}">
  <ds:schemaRefs/>
</ds:datastoreItem>
</file>

<file path=docProps/app.xml><?xml version="1.0" encoding="utf-8"?>
<Properties xmlns="http://schemas.openxmlformats.org/officeDocument/2006/extended-properties" xmlns:vt="http://schemas.openxmlformats.org/officeDocument/2006/docPropsVTypes">
  <Template>Normal</Template>
  <Pages>14</Pages>
  <Words>2025</Words>
  <Characters>11052</Characters>
  <Lines>780</Lines>
  <Paragraphs>219</Paragraphs>
  <TotalTime>173</TotalTime>
  <ScaleCrop>false</ScaleCrop>
  <LinksUpToDate>false</LinksUpToDate>
  <CharactersWithSpaces>12882</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2025-08-28T09:14:00Z</dcterms:created>
  <dc:creator>biohuoxiao@outlook.com</dc:creator>
  <cp:lastModifiedBy>swanthy</cp:lastModifiedBy>
  <cp:lastPrinted>2025-02-10T00:59:00Z</cp:lastPrinted>
  <dcterms:modified xsi:type="dcterms:W3CDTF">2025-10-22T02:36:33Z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642C556E7CA3432ABBAAB20E5EAF8105</vt:lpwstr>
  </property>
</Properties>
</file>