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9041AF">
      <w:pPr>
        <w:spacing w:line="360" w:lineRule="auto"/>
        <w:rPr>
          <w:rStyle w:val="16"/>
          <w:rFonts w:ascii="Arial" w:hAnsi="Arial" w:cs="Arial"/>
          <w:b/>
          <w:bCs/>
          <w:sz w:val="24"/>
          <w:szCs w:val="24"/>
        </w:rPr>
      </w:pPr>
      <w:bookmarkStart w:id="0" w:name="_Hlk150437161"/>
      <w:r>
        <w:rPr>
          <w:rStyle w:val="16"/>
          <w:rFonts w:ascii="Arial" w:hAnsi="Arial" w:cs="Arial"/>
          <w:b/>
          <w:bCs/>
          <w:sz w:val="24"/>
          <w:szCs w:val="24"/>
        </w:rPr>
        <w:t>Supplementary materials</w:t>
      </w:r>
    </w:p>
    <w:bookmarkEnd w:id="0"/>
    <w:p w14:paraId="5DFF6B4D">
      <w:pPr>
        <w:spacing w:line="360" w:lineRule="auto"/>
        <w:rPr>
          <w:rFonts w:ascii="Arial" w:hAnsi="Arial" w:cs="Arial"/>
          <w:b/>
          <w:bCs/>
          <w:color w:val="000000"/>
          <w:szCs w:val="21"/>
        </w:rPr>
      </w:pPr>
      <w:r>
        <w:rPr>
          <w:rStyle w:val="17"/>
          <w:rFonts w:ascii="Arial" w:hAnsi="Arial" w:cs="Arial"/>
          <w:b/>
          <w:bCs/>
          <w:szCs w:val="21"/>
        </w:rPr>
        <w:t>Supplementary Figure</w:t>
      </w:r>
      <w:r>
        <w:rPr>
          <w:rFonts w:ascii="Arial" w:hAnsi="Arial" w:cs="Arial"/>
          <w:b/>
          <w:bCs/>
          <w:color w:val="000000"/>
          <w:szCs w:val="21"/>
        </w:rPr>
        <w:t xml:space="preserve"> 1</w:t>
      </w:r>
      <w:r>
        <w:rPr>
          <w:rFonts w:ascii="Arial" w:hAnsi="Arial" w:cs="Arial"/>
          <w:b/>
          <w:bCs/>
        </w:rPr>
        <w:t>.</w:t>
      </w:r>
      <w:r>
        <w:rPr>
          <w:rFonts w:ascii="Arial" w:hAnsi="Arial" w:cs="Arial"/>
          <w:b/>
          <w:bCs/>
          <w:color w:val="000000"/>
          <w:szCs w:val="21"/>
        </w:rPr>
        <w:t xml:space="preserve"> </w:t>
      </w:r>
      <w:r>
        <w:rPr>
          <w:rFonts w:ascii="Arial" w:hAnsi="Arial" w:cs="Arial"/>
          <w:b/>
          <w:bCs/>
        </w:rPr>
        <w:t>USP8 combines with TJP1 in BLCA</w:t>
      </w:r>
      <w:r>
        <w:rPr>
          <w:rFonts w:ascii="Arial" w:hAnsi="Arial" w:cs="Arial"/>
          <w:b/>
          <w:bCs/>
          <w:color w:val="000000"/>
          <w:szCs w:val="21"/>
        </w:rPr>
        <w:t>.</w:t>
      </w:r>
    </w:p>
    <w:p w14:paraId="5600B22D">
      <w:pPr>
        <w:spacing w:line="360" w:lineRule="auto"/>
        <w:rPr>
          <w:rFonts w:ascii="Arial" w:hAnsi="Arial" w:cs="Arial"/>
          <w:b/>
          <w:bCs/>
        </w:rPr>
      </w:pPr>
      <w:r>
        <w:drawing>
          <wp:inline distT="0" distB="0" distL="0" distR="0">
            <wp:extent cx="5274310" cy="3498850"/>
            <wp:effectExtent l="0" t="0" r="2540" b="6350"/>
            <wp:docPr id="1489608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08987"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498850"/>
                    </a:xfrm>
                    <a:prstGeom prst="rect">
                      <a:avLst/>
                    </a:prstGeom>
                    <a:noFill/>
                    <a:ln>
                      <a:noFill/>
                    </a:ln>
                  </pic:spPr>
                </pic:pic>
              </a:graphicData>
            </a:graphic>
          </wp:inline>
        </w:drawing>
      </w:r>
    </w:p>
    <w:p w14:paraId="3C51CD47">
      <w:pPr>
        <w:spacing w:line="360" w:lineRule="auto"/>
        <w:rPr>
          <w:rFonts w:ascii="Arial" w:hAnsi="Arial" w:cs="Arial"/>
          <w:b/>
          <w:bCs/>
        </w:rPr>
      </w:pPr>
    </w:p>
    <w:p w14:paraId="0FE5F99D">
      <w:pPr>
        <w:spacing w:line="360" w:lineRule="auto"/>
        <w:rPr>
          <w:rFonts w:ascii="Arial" w:hAnsi="Arial" w:cs="Arial"/>
        </w:rPr>
      </w:pPr>
      <w:r>
        <w:rPr>
          <w:rFonts w:ascii="Arial" w:hAnsi="Arial" w:cs="Arial"/>
          <w:b/>
          <w:bCs/>
        </w:rPr>
        <w:t xml:space="preserve">(A) </w:t>
      </w:r>
      <w:r>
        <w:rPr>
          <w:rFonts w:ascii="Arial" w:hAnsi="Arial" w:cs="Arial"/>
        </w:rPr>
        <w:t xml:space="preserve">Cellular extract from 293T cells stably expressing Flag (Vector) or Flag-TJP1 were immunopurified with anti-Flag antibody and then eluted. The eluates were resolved by SDS-PAGE and Coomassie blue-stained. </w:t>
      </w:r>
    </w:p>
    <w:p w14:paraId="04A5BF79">
      <w:pPr>
        <w:spacing w:line="360" w:lineRule="auto"/>
        <w:rPr>
          <w:rFonts w:ascii="Arial" w:hAnsi="Arial" w:cs="Arial"/>
          <w:b/>
          <w:bCs/>
        </w:rPr>
      </w:pPr>
      <w:r>
        <w:rPr>
          <w:rFonts w:ascii="Arial" w:hAnsi="Arial" w:cs="Arial"/>
          <w:b/>
          <w:bCs/>
        </w:rPr>
        <w:t xml:space="preserve">(B) </w:t>
      </w:r>
      <w:r>
        <w:rPr>
          <w:rFonts w:ascii="Arial" w:hAnsi="Arial" w:cs="Arial"/>
        </w:rPr>
        <w:t>Summary of the binding proteins verified by mass spectrometry conducted in 293T and T24 as well as 5637 cells to search for DUBs that interact with TJP1 when co-expressed.</w:t>
      </w:r>
    </w:p>
    <w:p w14:paraId="65AF4AB7">
      <w:pPr>
        <w:spacing w:line="360" w:lineRule="auto"/>
        <w:rPr>
          <w:rFonts w:ascii="Arial" w:hAnsi="Arial" w:cs="Arial"/>
        </w:rPr>
      </w:pPr>
      <w:r>
        <w:rPr>
          <w:rFonts w:ascii="Arial" w:hAnsi="Arial" w:cs="Arial"/>
          <w:b/>
          <w:bCs/>
        </w:rPr>
        <w:t xml:space="preserve">(C) </w:t>
      </w:r>
      <w:r>
        <w:rPr>
          <w:rFonts w:ascii="Arial" w:hAnsi="Arial" w:cs="Arial"/>
        </w:rPr>
        <w:t>Mass spectrometry data of analyzed the peptide of USP8 pulled down by TJP1 was as indicated in panel.</w:t>
      </w:r>
    </w:p>
    <w:p w14:paraId="10D22C72">
      <w:pPr>
        <w:spacing w:line="360" w:lineRule="auto"/>
        <w:rPr>
          <w:rFonts w:ascii="Arial" w:hAnsi="Arial" w:cs="Arial"/>
          <w:b/>
          <w:bCs/>
        </w:rPr>
      </w:pPr>
      <w:r>
        <w:rPr>
          <w:rFonts w:ascii="Arial" w:hAnsi="Arial" w:cs="Arial"/>
          <w:b/>
          <w:bCs/>
        </w:rPr>
        <w:t xml:space="preserve">(D) </w:t>
      </w:r>
      <w:r>
        <w:rPr>
          <w:rFonts w:ascii="Arial" w:hAnsi="Arial" w:cs="Arial"/>
        </w:rPr>
        <w:t>The schematic of full length and segmented TJP1 plasmids was showed for using in the following analysis.</w:t>
      </w:r>
    </w:p>
    <w:p w14:paraId="69FFBC59">
      <w:pPr>
        <w:spacing w:line="360" w:lineRule="auto"/>
        <w:rPr>
          <w:rFonts w:ascii="Arial" w:hAnsi="Arial" w:cs="Arial"/>
        </w:rPr>
      </w:pPr>
      <w:r>
        <w:rPr>
          <w:rFonts w:ascii="Arial" w:hAnsi="Arial" w:cs="Arial"/>
          <w:b/>
          <w:bCs/>
        </w:rPr>
        <w:t xml:space="preserve">(E) </w:t>
      </w:r>
      <w:r>
        <w:rPr>
          <w:rFonts w:ascii="Arial" w:hAnsi="Arial" w:cs="Arial"/>
        </w:rPr>
        <w:t>293T cells were co-transfected V5-USP8 plasmids with full length or segmented TJP1 plasmids. Co-IP assay was performed by using Flag magnetic beads followed by immunoblotting with Flag or HA antibody.</w:t>
      </w:r>
    </w:p>
    <w:p w14:paraId="276FE89D">
      <w:pPr>
        <w:spacing w:line="360" w:lineRule="auto"/>
        <w:rPr>
          <w:rFonts w:ascii="Arial" w:hAnsi="Arial" w:cs="Arial"/>
          <w:b/>
          <w:bCs/>
        </w:rPr>
      </w:pPr>
    </w:p>
    <w:p w14:paraId="713A5FAD">
      <w:pPr>
        <w:spacing w:line="360" w:lineRule="auto"/>
        <w:rPr>
          <w:rFonts w:ascii="Arial" w:hAnsi="Arial" w:cs="Arial"/>
          <w:b/>
          <w:bCs/>
          <w:color w:val="000000"/>
          <w:szCs w:val="21"/>
        </w:rPr>
      </w:pPr>
      <w:r>
        <w:rPr>
          <w:rStyle w:val="17"/>
          <w:rFonts w:ascii="Arial" w:hAnsi="Arial" w:cs="Arial"/>
          <w:b/>
          <w:bCs/>
          <w:szCs w:val="21"/>
        </w:rPr>
        <w:t>Supplementary Figure</w:t>
      </w:r>
      <w:r>
        <w:rPr>
          <w:rFonts w:ascii="Arial" w:hAnsi="Arial" w:cs="Arial"/>
          <w:b/>
          <w:bCs/>
          <w:color w:val="000000"/>
          <w:szCs w:val="21"/>
        </w:rPr>
        <w:t xml:space="preserve"> 2</w:t>
      </w:r>
      <w:r>
        <w:rPr>
          <w:rFonts w:ascii="Arial" w:hAnsi="Arial" w:cs="Arial"/>
          <w:b/>
          <w:bCs/>
        </w:rPr>
        <w:t>. USP8 promotes BLCA angiogenesis through TJP1</w:t>
      </w:r>
      <w:r>
        <w:rPr>
          <w:rFonts w:ascii="Arial" w:hAnsi="Arial" w:cs="Arial"/>
          <w:b/>
          <w:bCs/>
          <w:color w:val="000000"/>
          <w:szCs w:val="21"/>
        </w:rPr>
        <w:t>.</w:t>
      </w:r>
    </w:p>
    <w:p w14:paraId="59D25DBB">
      <w:pPr>
        <w:spacing w:line="360" w:lineRule="auto"/>
        <w:rPr>
          <w:rFonts w:ascii="Arial" w:hAnsi="Arial" w:cs="Arial"/>
          <w:b/>
          <w:bCs/>
          <w:color w:val="000000"/>
          <w:szCs w:val="21"/>
        </w:rPr>
      </w:pPr>
      <w:r>
        <w:drawing>
          <wp:inline distT="0" distB="0" distL="0" distR="0">
            <wp:extent cx="5232400" cy="8863330"/>
            <wp:effectExtent l="0" t="0" r="6350" b="0"/>
            <wp:docPr id="17964587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5877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32400" cy="8863330"/>
                    </a:xfrm>
                    <a:prstGeom prst="rect">
                      <a:avLst/>
                    </a:prstGeom>
                    <a:noFill/>
                    <a:ln>
                      <a:noFill/>
                    </a:ln>
                  </pic:spPr>
                </pic:pic>
              </a:graphicData>
            </a:graphic>
          </wp:inline>
        </w:drawing>
      </w:r>
    </w:p>
    <w:p w14:paraId="4DCE530C">
      <w:pPr>
        <w:spacing w:line="360" w:lineRule="auto"/>
        <w:rPr>
          <w:rFonts w:ascii="Arial" w:hAnsi="Arial" w:cs="Arial"/>
          <w:b/>
          <w:bCs/>
          <w:color w:val="000000"/>
          <w:szCs w:val="21"/>
        </w:rPr>
      </w:pPr>
    </w:p>
    <w:p w14:paraId="205848E3">
      <w:pPr>
        <w:spacing w:line="360" w:lineRule="auto"/>
        <w:rPr>
          <w:rFonts w:ascii="Arial" w:hAnsi="Arial" w:cs="Arial"/>
        </w:rPr>
      </w:pPr>
      <w:r>
        <w:rPr>
          <w:rFonts w:ascii="Arial" w:hAnsi="Arial" w:cs="Arial"/>
          <w:b/>
          <w:bCs/>
        </w:rPr>
        <w:t xml:space="preserve">(A) </w:t>
      </w:r>
      <w:r>
        <w:rPr>
          <w:rFonts w:ascii="Arial" w:hAnsi="Arial" w:cs="Arial"/>
        </w:rPr>
        <w:t>EA.hy926 cells cultured with conditioned medium (CM) derived from 5637 cells when treating with USP8 inhibitor DUBs-IN-2. Tube formation w</w:t>
      </w:r>
      <w:r>
        <w:rPr>
          <w:rFonts w:hint="eastAsia" w:ascii="Arial" w:hAnsi="Arial" w:cs="Arial"/>
        </w:rPr>
        <w:t>as</w:t>
      </w:r>
      <w:r>
        <w:rPr>
          <w:rFonts w:ascii="Arial" w:hAnsi="Arial" w:cs="Arial"/>
        </w:rPr>
        <w:t xml:space="preserve"> stained with Calcein AM (1 μM) for 30 minutes and imaged by fluorescence microscopy. Scale bar = 100 μm.</w:t>
      </w:r>
      <w:r>
        <w:rPr>
          <w:rStyle w:val="17"/>
          <w:rFonts w:ascii="Arial" w:hAnsi="Arial" w:cs="Arial"/>
          <w:b/>
          <w:bCs/>
          <w:szCs w:val="21"/>
        </w:rPr>
        <w:t xml:space="preserve"> </w:t>
      </w:r>
      <w:r>
        <w:rPr>
          <w:rFonts w:ascii="Arial" w:hAnsi="Arial" w:cs="Arial"/>
        </w:rPr>
        <w:t>Vascular-like network formation numbers were counted and analyzed by angiogenesis module of Image J. All quantitative data are reported as the mean ± standard error of the mean (SEM) from at least three independent experiments. *,0.01&lt; p &lt; 0.05; **, 0.001&lt; p &lt; 0.01; ***, p &lt; 0.001.</w:t>
      </w:r>
    </w:p>
    <w:p w14:paraId="05A1EE80">
      <w:pPr>
        <w:spacing w:line="360" w:lineRule="auto"/>
        <w:rPr>
          <w:rFonts w:ascii="Arial" w:hAnsi="Arial" w:cs="Arial"/>
        </w:rPr>
      </w:pPr>
      <w:r>
        <w:rPr>
          <w:rFonts w:ascii="Arial" w:hAnsi="Arial" w:cs="Arial"/>
          <w:b/>
          <w:bCs/>
        </w:rPr>
        <w:t xml:space="preserve">(B) </w:t>
      </w:r>
      <w:r>
        <w:rPr>
          <w:rFonts w:ascii="Arial" w:hAnsi="Arial" w:cs="Arial"/>
        </w:rPr>
        <w:t xml:space="preserve">Schematic diagram of Matrigel plug for </w:t>
      </w:r>
      <w:r>
        <w:rPr>
          <w:rFonts w:ascii="Arial" w:hAnsi="Arial" w:cs="Arial"/>
          <w:i/>
          <w:iCs/>
        </w:rPr>
        <w:t>in vivo</w:t>
      </w:r>
      <w:r>
        <w:rPr>
          <w:rFonts w:ascii="Arial" w:hAnsi="Arial" w:cs="Arial"/>
        </w:rPr>
        <w:t xml:space="preserve"> evaluation of angiogenesis in BLCA. USP8 inhibitor DUBs-IN-2 was injected</w:t>
      </w:r>
      <w:r>
        <w:t xml:space="preserve"> </w:t>
      </w:r>
      <w:r>
        <w:rPr>
          <w:rFonts w:ascii="Arial" w:hAnsi="Arial" w:cs="Arial"/>
        </w:rPr>
        <w:t>intraperitoneally into the mice every two days. The plugs were harvested after 10 days (T24 cells) and 15 days (5637 cells), respectively.</w:t>
      </w:r>
    </w:p>
    <w:p w14:paraId="75F0F059">
      <w:pPr>
        <w:spacing w:line="360" w:lineRule="auto"/>
        <w:rPr>
          <w:rFonts w:ascii="Arial" w:hAnsi="Arial" w:cs="Arial"/>
        </w:rPr>
      </w:pPr>
      <w:r>
        <w:rPr>
          <w:rFonts w:ascii="Arial" w:hAnsi="Arial" w:cs="Arial"/>
          <w:b/>
          <w:bCs/>
        </w:rPr>
        <w:t xml:space="preserve">(C-D) </w:t>
      </w:r>
      <w:r>
        <w:rPr>
          <w:rFonts w:ascii="Arial" w:hAnsi="Arial" w:cs="Arial"/>
        </w:rPr>
        <w:t>The T24 and 5637 cells xenograft mice were sacrificed in time, the Matrigel plugs were taken out and photograph.</w:t>
      </w:r>
    </w:p>
    <w:p w14:paraId="6554E43A">
      <w:pPr>
        <w:spacing w:line="360" w:lineRule="auto"/>
        <w:rPr>
          <w:rFonts w:ascii="Arial" w:hAnsi="Arial" w:cs="Arial"/>
        </w:rPr>
      </w:pPr>
      <w:r>
        <w:rPr>
          <w:rFonts w:ascii="Arial" w:hAnsi="Arial" w:cs="Arial"/>
          <w:b/>
          <w:bCs/>
        </w:rPr>
        <w:t xml:space="preserve">(E-F) </w:t>
      </w:r>
      <w:r>
        <w:rPr>
          <w:rFonts w:ascii="Arial" w:hAnsi="Arial" w:cs="Arial"/>
        </w:rPr>
        <w:t>IHC staining for USP8 and CD31 in paraffin embedded T24 and 5637 cells Matrigel plugs, insets show magnification for staining detail, the scale bar, 250 μm. The relative IHC staining index of USP8 and CD31 in Matrigel plugs from xenograft mice injected with indicated T24 and 5637 cells.</w:t>
      </w:r>
    </w:p>
    <w:p w14:paraId="7C93C126">
      <w:pPr>
        <w:spacing w:line="360" w:lineRule="auto"/>
        <w:rPr>
          <w:rFonts w:ascii="Arial" w:hAnsi="Arial" w:cs="Arial"/>
          <w:b/>
          <w:bCs/>
        </w:rPr>
      </w:pPr>
      <w:r>
        <w:rPr>
          <w:rFonts w:ascii="Arial" w:hAnsi="Arial" w:cs="Arial"/>
          <w:b/>
          <w:bCs/>
        </w:rPr>
        <w:t xml:space="preserve">(G) </w:t>
      </w:r>
      <w:r>
        <w:rPr>
          <w:rFonts w:ascii="Arial" w:hAnsi="Arial" w:cs="Arial"/>
        </w:rPr>
        <w:t>EA.hy926 cells cultured with conditioned medium (CM) derived from USP8-silenced 5637 cells followed by overexpression of TJP1. Tube formation w</w:t>
      </w:r>
      <w:r>
        <w:rPr>
          <w:rFonts w:hint="eastAsia" w:ascii="Arial" w:hAnsi="Arial" w:cs="Arial"/>
        </w:rPr>
        <w:t>as</w:t>
      </w:r>
      <w:r>
        <w:rPr>
          <w:rFonts w:ascii="Arial" w:hAnsi="Arial" w:cs="Arial"/>
        </w:rPr>
        <w:t xml:space="preserve"> stained with Calcein AM (1 μM) for 30 minutes and imaged by fluorescence microscopy. Scale bar = 100 μm.</w:t>
      </w:r>
      <w:r>
        <w:rPr>
          <w:rFonts w:ascii="Arial" w:hAnsi="Arial" w:cs="Arial"/>
          <w:b/>
          <w:bCs/>
        </w:rPr>
        <w:t xml:space="preserve"> </w:t>
      </w:r>
      <w:r>
        <w:rPr>
          <w:rFonts w:ascii="Arial" w:hAnsi="Arial" w:cs="Arial"/>
        </w:rPr>
        <w:t>The number of meshes and segment lengths were analyzed by ImageJ software. All quantitative data are reported as the mean ± standard error of the mean (SEM) from at least three independent experiments. *,0.01&lt; p &lt; 0.05; **, 0.001&lt; p &lt; 0.01; ***, p &lt; 0.001.</w:t>
      </w:r>
    </w:p>
    <w:p w14:paraId="4B65CFD5">
      <w:pPr>
        <w:spacing w:line="360" w:lineRule="auto"/>
        <w:rPr>
          <w:rFonts w:ascii="Arial" w:hAnsi="Arial" w:cs="Arial"/>
        </w:rPr>
      </w:pPr>
      <w:r>
        <w:rPr>
          <w:rFonts w:ascii="Arial" w:hAnsi="Arial" w:cs="Arial"/>
          <w:b/>
          <w:bCs/>
        </w:rPr>
        <w:t xml:space="preserve">(H) </w:t>
      </w:r>
      <w:r>
        <w:rPr>
          <w:rFonts w:ascii="Arial" w:hAnsi="Arial" w:cs="Arial"/>
        </w:rPr>
        <w:t>Matrigel plugs were removed from xenograft mice injected with 5637 cells that stable overexpressed TJP1, followed by processed for macroscopic images.</w:t>
      </w:r>
    </w:p>
    <w:p w14:paraId="1BE2F021">
      <w:pPr>
        <w:spacing w:line="360" w:lineRule="auto"/>
        <w:rPr>
          <w:rFonts w:cs="Arial"/>
          <w:b/>
          <w:bCs/>
        </w:rPr>
      </w:pPr>
      <w:r>
        <w:rPr>
          <w:rFonts w:ascii="Arial" w:hAnsi="Arial" w:cs="Arial"/>
          <w:b/>
          <w:bCs/>
        </w:rPr>
        <w:t xml:space="preserve">(I) </w:t>
      </w:r>
      <w:r>
        <w:rPr>
          <w:rFonts w:ascii="Arial" w:hAnsi="Arial" w:cs="Arial"/>
        </w:rPr>
        <w:t>IHC staining for USP8, CD31 as well as TJP1 in paraffin embedded 5637 cells Matrigel plugs, insets show magnification for staining detail, the scale bar, 250 μm.</w:t>
      </w:r>
    </w:p>
    <w:p w14:paraId="2AC87D1B">
      <w:pPr>
        <w:spacing w:line="360" w:lineRule="auto"/>
        <w:rPr>
          <w:rFonts w:ascii="Arial" w:hAnsi="Arial" w:cs="Arial"/>
          <w:b/>
          <w:bCs/>
        </w:rPr>
      </w:pPr>
    </w:p>
    <w:p w14:paraId="52D5B6DC">
      <w:pPr>
        <w:spacing w:line="360" w:lineRule="auto"/>
        <w:rPr>
          <w:rStyle w:val="17"/>
          <w:rFonts w:ascii="Arial" w:hAnsi="Arial"/>
          <w:b/>
          <w:bCs/>
          <w:szCs w:val="21"/>
        </w:rPr>
      </w:pPr>
      <w:r>
        <w:rPr>
          <w:rStyle w:val="17"/>
          <w:rFonts w:ascii="Arial" w:hAnsi="Arial" w:cs="Arial"/>
          <w:b/>
          <w:bCs/>
          <w:szCs w:val="21"/>
        </w:rPr>
        <w:t>Supplementary Figure</w:t>
      </w:r>
      <w:r>
        <w:rPr>
          <w:rFonts w:ascii="Arial" w:hAnsi="Arial" w:cs="Arial"/>
          <w:b/>
          <w:bCs/>
          <w:color w:val="000000"/>
          <w:szCs w:val="21"/>
        </w:rPr>
        <w:t xml:space="preserve"> 3</w:t>
      </w:r>
      <w:r>
        <w:rPr>
          <w:rFonts w:ascii="Arial" w:hAnsi="Arial" w:cs="Arial"/>
          <w:b/>
          <w:bCs/>
        </w:rPr>
        <w:t>.</w:t>
      </w:r>
      <w:r>
        <w:t xml:space="preserve"> </w:t>
      </w:r>
      <w:r>
        <w:rPr>
          <w:rStyle w:val="17"/>
          <w:rFonts w:ascii="Arial" w:hAnsi="Arial"/>
          <w:b/>
          <w:bCs/>
          <w:szCs w:val="21"/>
        </w:rPr>
        <w:t xml:space="preserve">USP8 deubiquitinates TJP1 at Lys695 site to participate </w:t>
      </w:r>
      <w:r>
        <w:rPr>
          <w:rStyle w:val="17"/>
          <w:rFonts w:hint="eastAsia" w:ascii="Arial" w:hAnsi="Arial"/>
          <w:b/>
          <w:bCs/>
          <w:szCs w:val="21"/>
        </w:rPr>
        <w:t>in</w:t>
      </w:r>
      <w:r>
        <w:rPr>
          <w:rStyle w:val="17"/>
          <w:rFonts w:ascii="Arial" w:hAnsi="Arial"/>
          <w:b/>
          <w:bCs/>
          <w:szCs w:val="21"/>
        </w:rPr>
        <w:t xml:space="preserve"> BLCA angiogenesis.</w:t>
      </w:r>
    </w:p>
    <w:p w14:paraId="1AC9616D">
      <w:pPr>
        <w:spacing w:line="360" w:lineRule="auto"/>
        <w:rPr>
          <w:rStyle w:val="17"/>
          <w:rFonts w:ascii="Arial" w:hAnsi="Arial" w:cs="Arial"/>
          <w:b/>
          <w:bCs/>
          <w:szCs w:val="21"/>
        </w:rPr>
      </w:pPr>
      <w:r>
        <w:drawing>
          <wp:inline distT="0" distB="0" distL="0" distR="0">
            <wp:extent cx="5274310" cy="4261485"/>
            <wp:effectExtent l="0" t="0" r="2540" b="5715"/>
            <wp:docPr id="14675742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74200"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4261485"/>
                    </a:xfrm>
                    <a:prstGeom prst="rect">
                      <a:avLst/>
                    </a:prstGeom>
                    <a:noFill/>
                    <a:ln>
                      <a:noFill/>
                    </a:ln>
                  </pic:spPr>
                </pic:pic>
              </a:graphicData>
            </a:graphic>
          </wp:inline>
        </w:drawing>
      </w:r>
    </w:p>
    <w:p w14:paraId="5B6DDFCC">
      <w:pPr>
        <w:spacing w:line="360" w:lineRule="auto"/>
        <w:rPr>
          <w:rStyle w:val="17"/>
          <w:rFonts w:ascii="Arial" w:hAnsi="Arial" w:cs="Arial"/>
          <w:b/>
          <w:bCs/>
          <w:szCs w:val="21"/>
        </w:rPr>
      </w:pPr>
    </w:p>
    <w:p w14:paraId="124F295F">
      <w:pPr>
        <w:spacing w:line="360" w:lineRule="auto"/>
        <w:rPr>
          <w:rFonts w:ascii="Arial" w:hAnsi="Arial" w:cs="Arial"/>
        </w:rPr>
      </w:pPr>
      <w:r>
        <w:rPr>
          <w:rStyle w:val="17"/>
          <w:rFonts w:ascii="Arial" w:hAnsi="Arial" w:cs="Arial"/>
          <w:b/>
          <w:bCs/>
          <w:szCs w:val="21"/>
        </w:rPr>
        <w:t xml:space="preserve">(A) </w:t>
      </w:r>
      <w:r>
        <w:rPr>
          <w:rFonts w:ascii="Arial" w:hAnsi="Arial" w:cs="Arial"/>
        </w:rPr>
        <w:t>Mass spectrometry data of enzymatic digested peptides from Flag-TJP1 was acquired and analyzed using MaxQuant. The 4 ubiquitination sites of TJP1 on K502, K529, K695, K1709 were highlighted and shown on the peptide sequence.</w:t>
      </w:r>
    </w:p>
    <w:p w14:paraId="01F2D644">
      <w:pPr>
        <w:spacing w:line="360" w:lineRule="auto"/>
        <w:rPr>
          <w:rStyle w:val="17"/>
          <w:rFonts w:ascii="Arial" w:hAnsi="Arial" w:cs="Arial"/>
          <w:b/>
          <w:bCs/>
          <w:szCs w:val="21"/>
        </w:rPr>
      </w:pPr>
      <w:r>
        <w:rPr>
          <w:rStyle w:val="17"/>
          <w:rFonts w:ascii="Arial" w:hAnsi="Arial" w:cs="Arial"/>
          <w:b/>
          <w:bCs/>
          <w:szCs w:val="21"/>
        </w:rPr>
        <w:t xml:space="preserve">(B) </w:t>
      </w:r>
      <w:r>
        <w:rPr>
          <w:rFonts w:ascii="Arial" w:hAnsi="Arial" w:cs="Arial"/>
        </w:rPr>
        <w:t>5637 cells were co-transfected with USP8 plasmid and TJP1 or TJP1-K695R plasmid, then they were treated with CHX (20 μg/mL) for 4,8 and 12 hours, and the TJP1 expression was detected by western blot.</w:t>
      </w:r>
    </w:p>
    <w:p w14:paraId="5C129D62">
      <w:pPr>
        <w:spacing w:line="360" w:lineRule="auto"/>
        <w:rPr>
          <w:rStyle w:val="17"/>
          <w:rFonts w:ascii="Arial" w:hAnsi="Arial" w:cs="Arial"/>
          <w:b/>
          <w:bCs/>
          <w:szCs w:val="21"/>
        </w:rPr>
      </w:pPr>
      <w:r>
        <w:rPr>
          <w:rStyle w:val="17"/>
          <w:rFonts w:ascii="Arial" w:hAnsi="Arial" w:cs="Arial"/>
          <w:b/>
          <w:bCs/>
          <w:szCs w:val="21"/>
        </w:rPr>
        <w:t xml:space="preserve">(C) </w:t>
      </w:r>
      <w:r>
        <w:rPr>
          <w:rFonts w:ascii="Arial" w:hAnsi="Arial" w:cs="Arial"/>
        </w:rPr>
        <w:t>293T cells were co-transfected with indicated plasmids, the relative activity of the CCL2 promoter was evaluated by dual luciferase reporter assay. All quantitative data are reported as the mean ± standard error of the mean (SEM) from at least three independent experiments. *,0.01&lt; p &lt; 0.05; **, 0.001&lt; p &lt; 0.01; ***, p &lt; 0.001.</w:t>
      </w:r>
    </w:p>
    <w:p w14:paraId="0D4568B5">
      <w:pPr>
        <w:spacing w:line="360" w:lineRule="auto"/>
        <w:rPr>
          <w:rFonts w:ascii="Arial" w:hAnsi="Arial" w:cs="Arial"/>
        </w:rPr>
      </w:pPr>
    </w:p>
    <w:p w14:paraId="0B62268C">
      <w:pPr>
        <w:spacing w:line="360" w:lineRule="auto"/>
        <w:rPr>
          <w:rStyle w:val="17"/>
          <w:rFonts w:ascii="Arial" w:hAnsi="Arial" w:cs="Arial"/>
          <w:b/>
          <w:bCs/>
          <w:szCs w:val="21"/>
        </w:rPr>
      </w:pPr>
      <w:r>
        <w:rPr>
          <w:rStyle w:val="17"/>
          <w:rFonts w:ascii="Arial" w:hAnsi="Arial" w:cs="Arial"/>
          <w:b/>
          <w:bCs/>
          <w:szCs w:val="21"/>
        </w:rPr>
        <w:t>Supplementary Figure</w:t>
      </w:r>
      <w:r>
        <w:rPr>
          <w:rFonts w:ascii="Arial" w:hAnsi="Arial" w:cs="Arial"/>
          <w:b/>
          <w:bCs/>
          <w:color w:val="000000"/>
          <w:szCs w:val="21"/>
        </w:rPr>
        <w:t xml:space="preserve"> 4</w:t>
      </w:r>
      <w:r>
        <w:rPr>
          <w:rFonts w:ascii="Arial" w:hAnsi="Arial" w:cs="Arial"/>
          <w:b/>
          <w:bCs/>
        </w:rPr>
        <w:t>. Screening of TJP1-specific E3 ligases in bladder cancer.</w:t>
      </w:r>
    </w:p>
    <w:p w14:paraId="6F70B713">
      <w:pPr>
        <w:spacing w:line="360" w:lineRule="auto"/>
        <w:rPr>
          <w:rStyle w:val="17"/>
          <w:rFonts w:ascii="Arial" w:hAnsi="Arial" w:cs="Arial"/>
          <w:b/>
          <w:bCs/>
          <w:szCs w:val="21"/>
        </w:rPr>
      </w:pPr>
      <w:r>
        <w:drawing>
          <wp:inline distT="0" distB="0" distL="0" distR="0">
            <wp:extent cx="5274310" cy="6882130"/>
            <wp:effectExtent l="0" t="0" r="2540" b="0"/>
            <wp:docPr id="11491865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86568"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6882130"/>
                    </a:xfrm>
                    <a:prstGeom prst="rect">
                      <a:avLst/>
                    </a:prstGeom>
                    <a:noFill/>
                    <a:ln>
                      <a:noFill/>
                    </a:ln>
                  </pic:spPr>
                </pic:pic>
              </a:graphicData>
            </a:graphic>
          </wp:inline>
        </w:drawing>
      </w:r>
    </w:p>
    <w:p w14:paraId="1B888D3F">
      <w:pPr>
        <w:spacing w:line="360" w:lineRule="auto"/>
        <w:rPr>
          <w:rStyle w:val="17"/>
          <w:rFonts w:ascii="Arial" w:hAnsi="Arial" w:cs="Arial"/>
          <w:b/>
          <w:bCs/>
          <w:szCs w:val="21"/>
        </w:rPr>
      </w:pPr>
    </w:p>
    <w:p w14:paraId="4F6D7956">
      <w:pPr>
        <w:spacing w:line="360" w:lineRule="auto"/>
        <w:rPr>
          <w:rStyle w:val="17"/>
          <w:rFonts w:ascii="Arial" w:hAnsi="Arial" w:cs="Arial"/>
          <w:b/>
          <w:bCs/>
          <w:szCs w:val="21"/>
        </w:rPr>
      </w:pPr>
      <w:r>
        <w:rPr>
          <w:rStyle w:val="17"/>
          <w:rFonts w:ascii="Arial" w:hAnsi="Arial" w:cs="Arial"/>
          <w:b/>
          <w:bCs/>
          <w:szCs w:val="21"/>
        </w:rPr>
        <w:t xml:space="preserve">(A) </w:t>
      </w:r>
      <w:r>
        <w:rPr>
          <w:rFonts w:ascii="Arial" w:hAnsi="Arial" w:cs="Arial"/>
        </w:rPr>
        <w:t>Mass spectrometry data of analyzed the peptide of E3 ligases of TRIM family pulled down by TJP1 was as indicated in panel.</w:t>
      </w:r>
    </w:p>
    <w:p w14:paraId="35D4C617">
      <w:pPr>
        <w:spacing w:line="360" w:lineRule="auto"/>
        <w:rPr>
          <w:rStyle w:val="17"/>
          <w:rFonts w:ascii="Arial" w:hAnsi="Arial" w:cs="Arial"/>
          <w:b/>
          <w:bCs/>
          <w:szCs w:val="21"/>
        </w:rPr>
      </w:pPr>
      <w:r>
        <w:rPr>
          <w:rStyle w:val="17"/>
          <w:rFonts w:ascii="Arial" w:hAnsi="Arial" w:cs="Arial"/>
          <w:b/>
          <w:bCs/>
          <w:szCs w:val="21"/>
        </w:rPr>
        <w:t xml:space="preserve">(B) </w:t>
      </w:r>
      <w:r>
        <w:rPr>
          <w:rFonts w:ascii="Arial" w:hAnsi="Arial" w:cs="Arial"/>
        </w:rPr>
        <w:t>293T cells were co-transfected with Flag-TJP1 and indicated V5-tagged E3 ligase plasmids, cells were lysed and analyzed by IP assay using Flag magnetic beads followed by immunoblotting with Flag or V5 antibody.</w:t>
      </w:r>
    </w:p>
    <w:p w14:paraId="3EC01EC5">
      <w:pPr>
        <w:spacing w:line="360" w:lineRule="auto"/>
        <w:rPr>
          <w:rStyle w:val="17"/>
          <w:rFonts w:ascii="Arial" w:hAnsi="Arial" w:cs="Arial"/>
          <w:b/>
          <w:bCs/>
          <w:szCs w:val="21"/>
        </w:rPr>
      </w:pPr>
      <w:r>
        <w:rPr>
          <w:rStyle w:val="17"/>
          <w:rFonts w:ascii="Arial" w:hAnsi="Arial" w:cs="Arial"/>
          <w:b/>
          <w:bCs/>
          <w:szCs w:val="21"/>
        </w:rPr>
        <w:t xml:space="preserve">(C) </w:t>
      </w:r>
      <w:r>
        <w:rPr>
          <w:rFonts w:ascii="Arial" w:hAnsi="Arial" w:cs="Arial"/>
        </w:rPr>
        <w:t>TJP1 protein expression was detected after transfecting the indicated E3 ligases of TRIM family in T24 and 5637 cells.</w:t>
      </w:r>
    </w:p>
    <w:p w14:paraId="6B69512B">
      <w:pPr>
        <w:spacing w:line="360" w:lineRule="auto"/>
        <w:rPr>
          <w:rStyle w:val="17"/>
          <w:rFonts w:ascii="Arial" w:hAnsi="Arial" w:cs="Arial"/>
          <w:b/>
          <w:bCs/>
          <w:szCs w:val="21"/>
        </w:rPr>
      </w:pPr>
      <w:r>
        <w:rPr>
          <w:rStyle w:val="17"/>
          <w:rFonts w:ascii="Arial" w:hAnsi="Arial" w:cs="Arial"/>
          <w:b/>
          <w:bCs/>
          <w:szCs w:val="21"/>
        </w:rPr>
        <w:t xml:space="preserve">(D) </w:t>
      </w:r>
      <w:r>
        <w:rPr>
          <w:rFonts w:ascii="Arial" w:hAnsi="Arial" w:cs="Arial"/>
        </w:rPr>
        <w:t>T24 and 5637 cells were transfected with V5-tagged TRIM25 plasmid and treated with MG132 (20 μM). V5 and TJP1 expression was assessed by western blot.</w:t>
      </w:r>
    </w:p>
    <w:p w14:paraId="425BC426">
      <w:pPr>
        <w:spacing w:line="360" w:lineRule="auto"/>
        <w:rPr>
          <w:rStyle w:val="17"/>
          <w:rFonts w:ascii="Arial" w:hAnsi="Arial" w:cs="Arial"/>
          <w:b/>
          <w:bCs/>
          <w:szCs w:val="21"/>
        </w:rPr>
      </w:pPr>
      <w:r>
        <w:rPr>
          <w:rStyle w:val="17"/>
          <w:rFonts w:ascii="Arial" w:hAnsi="Arial" w:cs="Arial"/>
          <w:b/>
          <w:bCs/>
          <w:szCs w:val="21"/>
        </w:rPr>
        <w:t xml:space="preserve">(E) </w:t>
      </w:r>
      <w:r>
        <w:rPr>
          <w:rFonts w:ascii="Arial" w:hAnsi="Arial" w:cs="Arial"/>
        </w:rPr>
        <w:t>T24 and 5637 cells were co-transfected with HA-Ub, V5-TRIM25 and Flag-TJP1 plasmids. Cells were lysed, and immunoprecipitated using anti-Flag magnetic beads, and then subjected to immunoblotting with the HA antibody to detect TJP1 ubiquitination.</w:t>
      </w:r>
    </w:p>
    <w:p w14:paraId="5580C470">
      <w:pPr>
        <w:spacing w:line="360" w:lineRule="auto"/>
        <w:rPr>
          <w:rFonts w:ascii="Arial" w:hAnsi="Arial" w:cs="Arial"/>
        </w:rPr>
      </w:pPr>
      <w:r>
        <w:rPr>
          <w:rStyle w:val="17"/>
          <w:rFonts w:ascii="Arial" w:hAnsi="Arial" w:cs="Arial"/>
          <w:b/>
          <w:bCs/>
          <w:szCs w:val="21"/>
        </w:rPr>
        <w:t xml:space="preserve">(F) </w:t>
      </w:r>
      <w:r>
        <w:rPr>
          <w:rFonts w:ascii="Arial" w:hAnsi="Arial" w:cs="Arial"/>
        </w:rPr>
        <w:t>Kaplan–Meier plots of survival in 642 bladder cancer patients, stratified by protein expression of TRIM21. Log rank analysis was conducted to determine significance.</w:t>
      </w:r>
    </w:p>
    <w:p w14:paraId="6C166484">
      <w:pPr>
        <w:spacing w:line="360" w:lineRule="auto"/>
        <w:rPr>
          <w:rFonts w:ascii="Arial" w:hAnsi="Arial" w:cs="Arial"/>
        </w:rPr>
      </w:pPr>
    </w:p>
    <w:p w14:paraId="23D3E305">
      <w:pPr>
        <w:spacing w:line="360" w:lineRule="auto"/>
        <w:rPr>
          <w:rStyle w:val="17"/>
          <w:rFonts w:ascii="Arial" w:hAnsi="Arial" w:cs="Arial"/>
          <w:b/>
          <w:bCs/>
          <w:szCs w:val="21"/>
        </w:rPr>
      </w:pPr>
      <w:r>
        <w:rPr>
          <w:rStyle w:val="17"/>
          <w:rFonts w:ascii="Arial" w:hAnsi="Arial" w:cs="Arial"/>
          <w:b/>
          <w:bCs/>
          <w:szCs w:val="21"/>
        </w:rPr>
        <w:t>Supplementary Figure</w:t>
      </w:r>
      <w:r>
        <w:rPr>
          <w:rFonts w:ascii="Arial" w:hAnsi="Arial" w:cs="Arial"/>
          <w:b/>
          <w:bCs/>
          <w:color w:val="000000"/>
          <w:szCs w:val="21"/>
        </w:rPr>
        <w:t xml:space="preserve"> 5</w:t>
      </w:r>
      <w:r>
        <w:rPr>
          <w:rFonts w:ascii="Arial" w:hAnsi="Arial" w:cs="Arial"/>
          <w:b/>
          <w:bCs/>
        </w:rPr>
        <w:t xml:space="preserve">. </w:t>
      </w:r>
      <w:r>
        <w:rPr>
          <w:rStyle w:val="17"/>
          <w:rFonts w:ascii="Arial" w:hAnsi="Arial"/>
          <w:b/>
          <w:bCs/>
          <w:szCs w:val="21"/>
        </w:rPr>
        <w:t>LYN mediated phosphorylation of TJP1 increases its stability and nuclear localization in BLCA.</w:t>
      </w:r>
    </w:p>
    <w:p w14:paraId="405139B6">
      <w:pPr>
        <w:spacing w:line="360" w:lineRule="auto"/>
        <w:rPr>
          <w:rFonts w:hint="eastAsia" w:ascii="Arial" w:hAnsi="Arial" w:cs="Arial" w:eastAsiaTheme="minorEastAsia"/>
          <w:lang w:eastAsia="zh-CN"/>
        </w:rPr>
      </w:pPr>
      <w:r>
        <w:rPr>
          <w:rFonts w:hint="eastAsia" w:ascii="Arial" w:hAnsi="Arial" w:cs="Arial" w:eastAsiaTheme="minorEastAsia"/>
          <w:lang w:eastAsia="zh-CN"/>
        </w:rPr>
        <w:drawing>
          <wp:inline distT="0" distB="0" distL="114300" distR="114300">
            <wp:extent cx="5268595" cy="7913370"/>
            <wp:effectExtent l="0" t="0" r="8255" b="1905"/>
            <wp:docPr id="1" name="图片 1" descr="S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F5"/>
                    <pic:cNvPicPr>
                      <a:picLocks noChangeAspect="1"/>
                    </pic:cNvPicPr>
                  </pic:nvPicPr>
                  <pic:blipFill>
                    <a:blip r:embed="rId8"/>
                    <a:stretch>
                      <a:fillRect/>
                    </a:stretch>
                  </pic:blipFill>
                  <pic:spPr>
                    <a:xfrm>
                      <a:off x="0" y="0"/>
                      <a:ext cx="5268595" cy="7913370"/>
                    </a:xfrm>
                    <a:prstGeom prst="rect">
                      <a:avLst/>
                    </a:prstGeom>
                  </pic:spPr>
                </pic:pic>
              </a:graphicData>
            </a:graphic>
          </wp:inline>
        </w:drawing>
      </w:r>
    </w:p>
    <w:p w14:paraId="17017161">
      <w:pPr>
        <w:spacing w:line="360" w:lineRule="auto"/>
        <w:rPr>
          <w:rFonts w:ascii="Arial" w:hAnsi="Arial" w:cs="Arial"/>
        </w:rPr>
      </w:pPr>
    </w:p>
    <w:p w14:paraId="38DF6EC6">
      <w:pPr>
        <w:spacing w:line="360" w:lineRule="auto"/>
        <w:rPr>
          <w:rFonts w:ascii="Arial" w:hAnsi="Arial" w:cs="Arial"/>
        </w:rPr>
      </w:pPr>
      <w:r>
        <w:rPr>
          <w:rStyle w:val="17"/>
          <w:rFonts w:ascii="Arial" w:hAnsi="Arial" w:cs="Arial"/>
          <w:b/>
          <w:bCs/>
          <w:szCs w:val="21"/>
        </w:rPr>
        <w:t xml:space="preserve">(A) </w:t>
      </w:r>
      <w:r>
        <w:rPr>
          <w:rFonts w:ascii="Arial" w:hAnsi="Arial" w:cs="Arial"/>
        </w:rPr>
        <w:t>293T cells were transfected with the indicated plasmids or siRNA, cells were lysed, and immunoprecipitated using anti-Flag magnetic beads, and then subjected to immunoblotting with the p-Tyrosine antibody to detect USP8 phosphorylation.</w:t>
      </w:r>
    </w:p>
    <w:p w14:paraId="77937F83">
      <w:pPr>
        <w:spacing w:line="360" w:lineRule="auto"/>
        <w:rPr>
          <w:rFonts w:ascii="Arial" w:hAnsi="Arial" w:cs="Arial"/>
        </w:rPr>
      </w:pPr>
      <w:r>
        <w:rPr>
          <w:rStyle w:val="17"/>
          <w:rFonts w:ascii="Arial" w:hAnsi="Arial" w:cs="Arial"/>
          <w:b/>
          <w:bCs/>
          <w:szCs w:val="21"/>
        </w:rPr>
        <w:t xml:space="preserve">(B) </w:t>
      </w:r>
      <w:r>
        <w:rPr>
          <w:rFonts w:ascii="Arial" w:hAnsi="Arial" w:cs="Arial"/>
        </w:rPr>
        <w:t>IF assay was performed to detect TJP1 (red fluorescence) and USP8 (green fluorescence) in 5637 cells that transfecting the indicated LYN mutant plasmids. Photos were imaged by confocal microscope. Scale bar = 10 μm.</w:t>
      </w:r>
    </w:p>
    <w:p w14:paraId="708FAE03">
      <w:pPr>
        <w:spacing w:line="360" w:lineRule="auto"/>
        <w:rPr>
          <w:rFonts w:ascii="Arial" w:hAnsi="Arial" w:cs="Arial"/>
        </w:rPr>
      </w:pPr>
      <w:r>
        <w:rPr>
          <w:rStyle w:val="17"/>
          <w:rFonts w:ascii="Arial" w:hAnsi="Arial" w:cs="Arial"/>
          <w:b/>
          <w:bCs/>
          <w:szCs w:val="21"/>
        </w:rPr>
        <w:t>(</w:t>
      </w:r>
      <w:r>
        <w:rPr>
          <w:rStyle w:val="17"/>
          <w:rFonts w:hint="eastAsia" w:ascii="Arial" w:hAnsi="Arial" w:cs="Arial"/>
          <w:b/>
          <w:bCs/>
          <w:szCs w:val="21"/>
          <w:lang w:val="en-US" w:eastAsia="zh-CN"/>
        </w:rPr>
        <w:t>C</w:t>
      </w:r>
      <w:r>
        <w:rPr>
          <w:rStyle w:val="17"/>
          <w:rFonts w:ascii="Arial" w:hAnsi="Arial" w:cs="Arial"/>
          <w:b/>
          <w:bCs/>
          <w:szCs w:val="21"/>
        </w:rPr>
        <w:t xml:space="preserve">) </w:t>
      </w:r>
      <w:r>
        <w:rPr>
          <w:rFonts w:ascii="Arial" w:hAnsi="Arial" w:cs="Arial"/>
        </w:rPr>
        <w:t>293T cells were transfected with the HA-Ub, V5-USP8, Flag-TJP1 and MYC-LYN plasmids, cells were lysed, and immunoprecipitated using anti-Flag magnetic beads, and then subjected to immunoblotting with the HA antibody to detect TJP1 ubiquitination.</w:t>
      </w:r>
    </w:p>
    <w:p w14:paraId="531398CF">
      <w:pPr>
        <w:spacing w:line="360" w:lineRule="auto"/>
        <w:rPr>
          <w:rFonts w:ascii="Arial" w:hAnsi="Arial" w:cs="Arial"/>
          <w:b/>
          <w:bCs/>
        </w:rPr>
      </w:pPr>
      <w:r>
        <w:rPr>
          <w:rFonts w:ascii="Arial" w:hAnsi="Arial" w:cs="Arial"/>
          <w:b/>
          <w:bCs/>
        </w:rPr>
        <w:t>(</w:t>
      </w:r>
      <w:r>
        <w:rPr>
          <w:rFonts w:hint="eastAsia" w:ascii="Arial" w:hAnsi="Arial" w:cs="Arial"/>
          <w:b/>
          <w:bCs/>
          <w:lang w:val="en-US" w:eastAsia="zh-CN"/>
        </w:rPr>
        <w:t>D</w:t>
      </w:r>
      <w:r>
        <w:rPr>
          <w:rFonts w:ascii="Arial" w:hAnsi="Arial" w:cs="Arial"/>
          <w:b/>
          <w:bCs/>
        </w:rPr>
        <w:t xml:space="preserve">) </w:t>
      </w:r>
      <w:r>
        <w:rPr>
          <w:rFonts w:ascii="Arial" w:hAnsi="Arial" w:cs="Arial"/>
        </w:rPr>
        <w:t>293T cells were transfected with the HA-Ub, V5-USP8, MYC-LYN, Flag-TJP1 and TJP1 K695R plasmids, cells were lysed, and immunoprecipitated using anti-Flag magnetic beads, and then subjected to immunoblotting with the HA antibody to detect TJP1 ubiquitination.</w:t>
      </w:r>
    </w:p>
    <w:p w14:paraId="31DA1072">
      <w:pPr>
        <w:spacing w:line="360" w:lineRule="auto"/>
        <w:rPr>
          <w:rFonts w:ascii="Arial" w:hAnsi="Arial" w:cs="Arial"/>
        </w:rPr>
      </w:pPr>
      <w:r>
        <w:rPr>
          <w:rFonts w:ascii="Arial" w:hAnsi="Arial" w:cs="Arial"/>
          <w:b/>
          <w:bCs/>
        </w:rPr>
        <w:t>(</w:t>
      </w:r>
      <w:bookmarkStart w:id="2" w:name="_GoBack"/>
      <w:bookmarkEnd w:id="2"/>
      <w:r>
        <w:rPr>
          <w:rFonts w:hint="eastAsia" w:ascii="Arial" w:hAnsi="Arial" w:cs="Arial"/>
          <w:b/>
          <w:bCs/>
          <w:lang w:val="en-US" w:eastAsia="zh-CN"/>
        </w:rPr>
        <w:t>E</w:t>
      </w:r>
      <w:r>
        <w:rPr>
          <w:rFonts w:ascii="Arial" w:hAnsi="Arial" w:cs="Arial"/>
          <w:b/>
          <w:bCs/>
        </w:rPr>
        <w:t xml:space="preserve">) </w:t>
      </w:r>
      <w:r>
        <w:rPr>
          <w:rFonts w:ascii="Arial" w:hAnsi="Arial" w:cs="Arial"/>
        </w:rPr>
        <w:t>293T cells were transfected with the HA-Ub, V5-TRIM21, MYC-LYN, Flag-TJP1 plasmids, cells were lysed, and immunoprecipitated using anti-Flag magnetic beads, and then subjected to immunoblotting with the HA antibody to detect TJP1 ubiquitination.</w:t>
      </w:r>
    </w:p>
    <w:p w14:paraId="15B5B7B0">
      <w:pPr>
        <w:spacing w:line="360" w:lineRule="auto"/>
        <w:rPr>
          <w:rFonts w:ascii="Arial" w:hAnsi="Arial" w:cs="Arial"/>
        </w:rPr>
      </w:pPr>
      <w:r>
        <w:rPr>
          <w:rFonts w:ascii="Arial" w:hAnsi="Arial" w:cs="Arial"/>
          <w:b/>
          <w:bCs/>
        </w:rPr>
        <w:t>(</w:t>
      </w:r>
      <w:r>
        <w:rPr>
          <w:rFonts w:hint="eastAsia" w:ascii="Arial" w:hAnsi="Arial" w:cs="Arial"/>
          <w:b/>
          <w:bCs/>
          <w:lang w:val="en-US" w:eastAsia="zh-CN"/>
        </w:rPr>
        <w:t>F</w:t>
      </w:r>
      <w:r>
        <w:rPr>
          <w:rFonts w:ascii="Arial" w:hAnsi="Arial" w:cs="Arial"/>
          <w:b/>
          <w:bCs/>
        </w:rPr>
        <w:t>)</w:t>
      </w:r>
      <w:r>
        <w:rPr>
          <w:rFonts w:ascii="Arial" w:hAnsi="Arial" w:cs="Arial"/>
        </w:rPr>
        <w:t xml:space="preserve"> 5637 cells were transfected with LYN or the indicated LYN mutant plasmids, nuclear and cytosolic lysates were immunoblotted with the indicated antibodies.</w:t>
      </w:r>
    </w:p>
    <w:p w14:paraId="77549F58">
      <w:pPr>
        <w:spacing w:line="360" w:lineRule="auto"/>
        <w:rPr>
          <w:rFonts w:ascii="Arial" w:hAnsi="Arial" w:cs="Arial"/>
        </w:rPr>
      </w:pPr>
      <w:r>
        <w:rPr>
          <w:rFonts w:ascii="Arial" w:hAnsi="Arial" w:cs="Arial"/>
          <w:b/>
          <w:bCs/>
        </w:rPr>
        <w:t>(</w:t>
      </w:r>
      <w:r>
        <w:rPr>
          <w:rFonts w:hint="eastAsia" w:ascii="Arial" w:hAnsi="Arial" w:cs="Arial"/>
          <w:b/>
          <w:bCs/>
          <w:lang w:val="en-US" w:eastAsia="zh-CN"/>
        </w:rPr>
        <w:t>G</w:t>
      </w:r>
      <w:r>
        <w:rPr>
          <w:rFonts w:ascii="Arial" w:hAnsi="Arial" w:cs="Arial"/>
          <w:b/>
          <w:bCs/>
        </w:rPr>
        <w:t>)</w:t>
      </w:r>
      <w:r>
        <w:rPr>
          <w:rFonts w:ascii="Arial" w:hAnsi="Arial" w:cs="Arial"/>
        </w:rPr>
        <w:t xml:space="preserve"> IF assay was performed to detect TJP1 (red fluorescence) and LYN (green fluorescence) in 5637 cells that treatment with LYN inhibitor Saracatinib or transfecting the indicated LYN mutant plasmids. Photos were imaged by confocal microscope. Scale bar = 10 μm.</w:t>
      </w:r>
    </w:p>
    <w:p w14:paraId="0471ECF5">
      <w:pPr>
        <w:spacing w:line="360" w:lineRule="auto"/>
        <w:rPr>
          <w:rFonts w:ascii="Arial" w:hAnsi="Arial" w:cs="Arial"/>
        </w:rPr>
      </w:pPr>
      <w:r>
        <w:rPr>
          <w:rFonts w:ascii="Arial" w:hAnsi="Arial" w:cs="Arial"/>
          <w:b/>
          <w:bCs/>
        </w:rPr>
        <w:t>(</w:t>
      </w:r>
      <w:r>
        <w:rPr>
          <w:rFonts w:hint="eastAsia" w:ascii="Arial" w:hAnsi="Arial" w:cs="Arial"/>
          <w:b/>
          <w:bCs/>
          <w:lang w:val="en-US" w:eastAsia="zh-CN"/>
        </w:rPr>
        <w:t>H</w:t>
      </w:r>
      <w:r>
        <w:rPr>
          <w:rFonts w:ascii="Arial" w:hAnsi="Arial" w:cs="Arial"/>
          <w:b/>
          <w:bCs/>
        </w:rPr>
        <w:t xml:space="preserve">) </w:t>
      </w:r>
      <w:r>
        <w:rPr>
          <w:rFonts w:ascii="Arial" w:hAnsi="Arial" w:cs="Arial"/>
        </w:rPr>
        <w:t>IF assay was performed to detect TJP1 (red fluorescence) and TWIST1 (green fluorescence) in T24 cells that treatment with LYN inhibitor Saracatinib or transfecting the indicated LYN mutant plasmids. Photos were imaged by confocal microscope. Scale bar = 10 μm.</w:t>
      </w:r>
    </w:p>
    <w:p w14:paraId="219C1B64">
      <w:pPr>
        <w:spacing w:line="360" w:lineRule="auto"/>
        <w:rPr>
          <w:rFonts w:ascii="Arial" w:hAnsi="Arial" w:cs="Arial"/>
        </w:rPr>
      </w:pPr>
      <w:r>
        <w:rPr>
          <w:rFonts w:ascii="Arial" w:hAnsi="Arial" w:cs="Arial"/>
          <w:b/>
          <w:bCs/>
        </w:rPr>
        <w:t>(</w:t>
      </w:r>
      <w:r>
        <w:rPr>
          <w:rFonts w:hint="eastAsia" w:ascii="Arial" w:hAnsi="Arial" w:cs="Arial"/>
          <w:b/>
          <w:bCs/>
          <w:lang w:val="en-US" w:eastAsia="zh-CN"/>
        </w:rPr>
        <w:t>I</w:t>
      </w:r>
      <w:r>
        <w:rPr>
          <w:rFonts w:ascii="Arial" w:hAnsi="Arial" w:cs="Arial"/>
          <w:b/>
          <w:bCs/>
        </w:rPr>
        <w:t xml:space="preserve">) </w:t>
      </w:r>
      <w:r>
        <w:rPr>
          <w:rFonts w:ascii="Arial" w:hAnsi="Arial" w:cs="Arial"/>
        </w:rPr>
        <w:t>293T cells were co-transfected with the indicated plasmids for 24 hours, the relative activity of the CCL2 promoter was evaluated by dual luciferase reporter assay. All quantitative data are reported as the mean ± standard error of the mean (SEM) from at least three independent experiments. *,0.01&lt; p &lt; 0.05; **, 0.001&lt; p &lt; 0.01; ***, p &lt; 0.001.</w:t>
      </w:r>
    </w:p>
    <w:p w14:paraId="15686CDE">
      <w:pPr>
        <w:spacing w:line="360" w:lineRule="auto"/>
        <w:rPr>
          <w:rFonts w:ascii="Arial" w:hAnsi="Arial" w:cs="Arial"/>
        </w:rPr>
      </w:pPr>
    </w:p>
    <w:p w14:paraId="080E9C8A">
      <w:pPr>
        <w:spacing w:line="360" w:lineRule="auto"/>
        <w:rPr>
          <w:rStyle w:val="17"/>
          <w:rFonts w:ascii="Arial" w:hAnsi="Arial" w:cs="Arial"/>
          <w:b/>
          <w:bCs/>
          <w:szCs w:val="21"/>
        </w:rPr>
      </w:pPr>
      <w:r>
        <w:rPr>
          <w:rStyle w:val="17"/>
          <w:rFonts w:ascii="Arial" w:hAnsi="Arial" w:cs="Arial"/>
          <w:b/>
          <w:bCs/>
          <w:szCs w:val="21"/>
        </w:rPr>
        <w:t>Supplementary Figure</w:t>
      </w:r>
      <w:r>
        <w:rPr>
          <w:rFonts w:ascii="Arial" w:hAnsi="Arial" w:cs="Arial"/>
          <w:b/>
          <w:bCs/>
          <w:color w:val="000000"/>
          <w:szCs w:val="21"/>
        </w:rPr>
        <w:t xml:space="preserve"> 6</w:t>
      </w:r>
      <w:r>
        <w:rPr>
          <w:rFonts w:ascii="Arial" w:hAnsi="Arial" w:cs="Arial"/>
          <w:b/>
          <w:bCs/>
        </w:rPr>
        <w:t>. LYN promotes the phosphorylation of TJP1 and further increases tumor angiogenesis in bladder cancer.</w:t>
      </w:r>
    </w:p>
    <w:p w14:paraId="27D2820A">
      <w:pPr>
        <w:spacing w:line="360" w:lineRule="auto"/>
        <w:rPr>
          <w:rStyle w:val="17"/>
          <w:rFonts w:hint="eastAsia" w:ascii="Arial" w:hAnsi="Arial" w:cs="Arial" w:eastAsiaTheme="minorEastAsia"/>
          <w:b/>
          <w:bCs/>
          <w:szCs w:val="21"/>
          <w:lang w:eastAsia="zh-CN"/>
        </w:rPr>
      </w:pPr>
      <w:r>
        <w:rPr>
          <w:rStyle w:val="17"/>
          <w:rFonts w:hint="eastAsia" w:ascii="Arial" w:hAnsi="Arial" w:cs="Arial" w:eastAsiaTheme="minorEastAsia"/>
          <w:b/>
          <w:bCs/>
          <w:szCs w:val="21"/>
          <w:lang w:eastAsia="zh-CN"/>
        </w:rPr>
        <w:drawing>
          <wp:inline distT="0" distB="0" distL="114300" distR="114300">
            <wp:extent cx="5270500" cy="6814185"/>
            <wp:effectExtent l="0" t="0" r="6350" b="5715"/>
            <wp:docPr id="2" name="图片 2" descr="S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F6"/>
                    <pic:cNvPicPr>
                      <a:picLocks noChangeAspect="1"/>
                    </pic:cNvPicPr>
                  </pic:nvPicPr>
                  <pic:blipFill>
                    <a:blip r:embed="rId9"/>
                    <a:stretch>
                      <a:fillRect/>
                    </a:stretch>
                  </pic:blipFill>
                  <pic:spPr>
                    <a:xfrm>
                      <a:off x="0" y="0"/>
                      <a:ext cx="5270500" cy="6814185"/>
                    </a:xfrm>
                    <a:prstGeom prst="rect">
                      <a:avLst/>
                    </a:prstGeom>
                  </pic:spPr>
                </pic:pic>
              </a:graphicData>
            </a:graphic>
          </wp:inline>
        </w:drawing>
      </w:r>
    </w:p>
    <w:p w14:paraId="5A3C8A88">
      <w:pPr>
        <w:spacing w:line="360" w:lineRule="auto"/>
        <w:rPr>
          <w:rStyle w:val="17"/>
          <w:rFonts w:ascii="Arial" w:hAnsi="Arial" w:cs="Arial"/>
          <w:b/>
          <w:bCs/>
          <w:szCs w:val="21"/>
        </w:rPr>
      </w:pPr>
    </w:p>
    <w:p w14:paraId="33981A7F">
      <w:pPr>
        <w:spacing w:line="360" w:lineRule="auto"/>
        <w:rPr>
          <w:rFonts w:ascii="Arial" w:hAnsi="Arial" w:cs="Arial"/>
          <w:b/>
          <w:bCs/>
        </w:rPr>
      </w:pPr>
      <w:r>
        <w:rPr>
          <w:rStyle w:val="17"/>
          <w:rFonts w:ascii="Arial" w:hAnsi="Arial" w:cs="Arial"/>
          <w:b/>
          <w:bCs/>
          <w:szCs w:val="21"/>
        </w:rPr>
        <w:t xml:space="preserve">(A) </w:t>
      </w:r>
      <w:r>
        <w:rPr>
          <w:rFonts w:ascii="Arial" w:hAnsi="Arial" w:cs="Arial"/>
        </w:rPr>
        <w:t>EA.hy926 cells cultured with conditioned medium (CM) derived from 5637 cells when treating with LYN inhibitor Saracatinib. Tube formation w</w:t>
      </w:r>
      <w:r>
        <w:rPr>
          <w:rFonts w:hint="eastAsia" w:ascii="Arial" w:hAnsi="Arial" w:cs="Arial"/>
        </w:rPr>
        <w:t>as</w:t>
      </w:r>
      <w:r>
        <w:rPr>
          <w:rFonts w:ascii="Arial" w:hAnsi="Arial" w:cs="Arial"/>
        </w:rPr>
        <w:t xml:space="preserve"> stained with Calcein AM (1 μM) for 30 minutes and imaged by fluorescence microscopy. Scale bar = 100 μm. The number of meshes and segment lengths were analyzed using ImageJ software. All quantitative data are reported as the mean ± standard error of the mean (SEM) from at least three independent experiments. *,0.01&lt; p &lt; 0.05; **, 0.001&lt; p &lt; 0.01; ***, p &lt; 0.001.</w:t>
      </w:r>
    </w:p>
    <w:p w14:paraId="339BB749">
      <w:pPr>
        <w:spacing w:line="360" w:lineRule="auto"/>
        <w:rPr>
          <w:rStyle w:val="17"/>
          <w:rFonts w:ascii="Arial" w:hAnsi="Arial" w:cs="Arial"/>
          <w:color w:val="auto"/>
          <w:sz w:val="21"/>
          <w:szCs w:val="22"/>
        </w:rPr>
      </w:pPr>
      <w:r>
        <w:rPr>
          <w:rFonts w:ascii="Arial" w:hAnsi="Arial" w:cs="Arial"/>
          <w:b/>
          <w:bCs/>
        </w:rPr>
        <w:t xml:space="preserve">(B) </w:t>
      </w:r>
      <w:r>
        <w:rPr>
          <w:rFonts w:ascii="Arial" w:hAnsi="Arial" w:cs="Arial"/>
        </w:rPr>
        <w:t xml:space="preserve">Schematic diagram of Matrigel plug for </w:t>
      </w:r>
      <w:r>
        <w:rPr>
          <w:rFonts w:ascii="Arial" w:hAnsi="Arial" w:cs="Arial"/>
          <w:i/>
          <w:iCs/>
        </w:rPr>
        <w:t>in vivo</w:t>
      </w:r>
      <w:r>
        <w:rPr>
          <w:rFonts w:ascii="Arial" w:hAnsi="Arial" w:cs="Arial"/>
        </w:rPr>
        <w:t xml:space="preserve"> evaluation of angiogenesis in BLCA. LYN inhibitor Saracatinib was injected</w:t>
      </w:r>
      <w:r>
        <w:t xml:space="preserve"> </w:t>
      </w:r>
      <w:r>
        <w:rPr>
          <w:rFonts w:ascii="Arial" w:hAnsi="Arial" w:cs="Arial"/>
        </w:rPr>
        <w:t>intraperitoneally into the mice every two days. The plugs were harvested after 10 days (T24 cells) and 15 days (5637 cells), respectively.</w:t>
      </w:r>
    </w:p>
    <w:p w14:paraId="64F68D8D">
      <w:pPr>
        <w:spacing w:line="360" w:lineRule="auto"/>
        <w:rPr>
          <w:rFonts w:ascii="Arial" w:hAnsi="Arial" w:cs="Arial"/>
        </w:rPr>
      </w:pPr>
      <w:r>
        <w:rPr>
          <w:rFonts w:ascii="Arial" w:hAnsi="Arial" w:cs="Arial"/>
          <w:b/>
          <w:bCs/>
        </w:rPr>
        <w:t xml:space="preserve">(C) </w:t>
      </w:r>
      <w:r>
        <w:rPr>
          <w:rFonts w:ascii="Arial" w:hAnsi="Arial" w:cs="Arial"/>
        </w:rPr>
        <w:t>The 5637 cells xenograft mice were sacrificed in time, the Matrigel plugs were taken out and photograph.</w:t>
      </w:r>
    </w:p>
    <w:p w14:paraId="0284C266">
      <w:pPr>
        <w:spacing w:line="360" w:lineRule="auto"/>
        <w:rPr>
          <w:rFonts w:ascii="Arial" w:hAnsi="Arial" w:cs="Arial"/>
        </w:rPr>
      </w:pPr>
      <w:r>
        <w:rPr>
          <w:rFonts w:ascii="Arial" w:hAnsi="Arial" w:cs="Arial"/>
          <w:b/>
          <w:bCs/>
        </w:rPr>
        <w:t xml:space="preserve">(D) </w:t>
      </w:r>
      <w:r>
        <w:rPr>
          <w:rFonts w:ascii="Arial" w:hAnsi="Arial" w:cs="Arial"/>
        </w:rPr>
        <w:t>IHC staining for LYN and CD31 in paraffin embedded 5637 cells Matrigel plugs, insets show magnification for staining detail. The scale bar, 250 μm. The relative IHC staining index of LYN and CD31 in Matrigel plugs from xenograft mice injected with indicated 5637 cells.</w:t>
      </w:r>
    </w:p>
    <w:p w14:paraId="58048740">
      <w:pPr>
        <w:spacing w:line="360" w:lineRule="auto"/>
        <w:rPr>
          <w:rFonts w:ascii="Arial" w:hAnsi="Arial" w:cs="Arial"/>
        </w:rPr>
      </w:pPr>
      <w:r>
        <w:rPr>
          <w:rFonts w:ascii="Arial" w:hAnsi="Arial" w:cs="Arial"/>
          <w:b/>
          <w:bCs/>
        </w:rPr>
        <w:t xml:space="preserve">(E) </w:t>
      </w:r>
      <w:r>
        <w:rPr>
          <w:rFonts w:ascii="Arial" w:hAnsi="Arial" w:cs="Arial"/>
        </w:rPr>
        <w:t>EA.hy926 cells cultured with conditioned medium (CM) derived from 5637 cells when treating with LYN inhibitor Saracatinib, followed by overexpressed TJP1 or USP8. Cells were colored by Calcein AM (1 μM) for 30 min and imaged by fluorescence microscope. Scale bar = 100 μm. The network formation numbers were counted and statistic analyzed by angiogenesis module of Image J. All quantitative data are reported as the mean ± standard error of the mean (SEM) from at least three independent experiments. *,0.01&lt; p &lt; 0.05; **, 0.001&lt; p &lt; 0.01; ***, p &lt; 0.001.</w:t>
      </w:r>
    </w:p>
    <w:p w14:paraId="75A613F6">
      <w:pPr>
        <w:spacing w:line="360" w:lineRule="auto"/>
        <w:rPr>
          <w:rStyle w:val="17"/>
          <w:rFonts w:ascii="Arial" w:hAnsi="Arial" w:cs="Arial"/>
          <w:color w:val="auto"/>
          <w:sz w:val="21"/>
          <w:szCs w:val="22"/>
        </w:rPr>
      </w:pPr>
      <w:r>
        <w:rPr>
          <w:rFonts w:ascii="Arial" w:hAnsi="Arial" w:cs="Arial"/>
          <w:b/>
          <w:bCs/>
        </w:rPr>
        <w:t xml:space="preserve">(F) </w:t>
      </w:r>
      <w:r>
        <w:rPr>
          <w:rFonts w:ascii="Arial" w:hAnsi="Arial" w:cs="Arial"/>
        </w:rPr>
        <w:t>EA.hy926 cells cultured with conditioned medium (CM) derived from 5637 cells that transfected with indicated plasmids. Cells were colored by Calcein AM (1 μM) for 30 min and imaged by fluorescence microscope. Scale bar = 100 μm. Vascular-like network formation numbers were counted and analyzed by angiogenesis module of Image J. All quantitative data are reported as the mean ± standard error of the mean (SEM) from at least three independent experiments. *,0.01&lt; p &lt; 0.05; **, 0.001&lt; p &lt; 0.01; ***, p &lt; 0.001.</w:t>
      </w:r>
    </w:p>
    <w:p w14:paraId="7F58B834">
      <w:pPr>
        <w:spacing w:line="360" w:lineRule="auto"/>
        <w:rPr>
          <w:rFonts w:ascii="Arial" w:hAnsi="Arial" w:cs="Arial"/>
        </w:rPr>
      </w:pPr>
      <w:r>
        <w:rPr>
          <w:rFonts w:ascii="Arial" w:hAnsi="Arial" w:cs="Arial"/>
          <w:b/>
          <w:bCs/>
        </w:rPr>
        <w:t xml:space="preserve">(G) </w:t>
      </w:r>
      <w:r>
        <w:rPr>
          <w:rFonts w:ascii="Arial" w:hAnsi="Arial" w:cs="Arial"/>
        </w:rPr>
        <w:t>GSEA analysis for angiogenic-related gene signatures in the clinical BLCA patient database with LYN expression (FDR q</w:t>
      </w:r>
      <w:r>
        <w:rPr>
          <w:rFonts w:hint="eastAsia" w:ascii="Arial" w:hAnsi="Arial" w:cs="Arial"/>
        </w:rPr>
        <w:t>&lt;</w:t>
      </w:r>
      <w:r>
        <w:rPr>
          <w:rFonts w:ascii="Arial" w:hAnsi="Arial" w:cs="Arial"/>
        </w:rPr>
        <w:t xml:space="preserve"> 0.001, NES=1.77).</w:t>
      </w:r>
    </w:p>
    <w:p w14:paraId="4C366AF4">
      <w:pPr>
        <w:spacing w:line="360" w:lineRule="auto"/>
        <w:rPr>
          <w:rStyle w:val="17"/>
          <w:rFonts w:ascii="Arial" w:hAnsi="Arial" w:cs="Arial"/>
          <w:szCs w:val="21"/>
        </w:rPr>
      </w:pPr>
      <w:r>
        <w:rPr>
          <w:rFonts w:ascii="Arial" w:hAnsi="Arial" w:cs="Arial"/>
          <w:b/>
          <w:bCs/>
        </w:rPr>
        <w:t xml:space="preserve">(H) </w:t>
      </w:r>
      <w:r>
        <w:rPr>
          <w:rFonts w:ascii="Arial" w:hAnsi="Arial" w:cs="Arial"/>
        </w:rPr>
        <w:t>The expression of LYN in BLCA patients based on sample types from TCGA database (http://ualcan.path.uab.edu/analysis.html).</w:t>
      </w:r>
    </w:p>
    <w:p w14:paraId="099F9C34">
      <w:pPr>
        <w:spacing w:line="360" w:lineRule="auto"/>
        <w:rPr>
          <w:rStyle w:val="17"/>
          <w:rFonts w:ascii="Arial" w:hAnsi="Arial" w:cs="Arial"/>
          <w:b/>
          <w:bCs/>
          <w:szCs w:val="21"/>
        </w:rPr>
      </w:pPr>
      <w:r>
        <w:rPr>
          <w:rFonts w:ascii="Arial" w:hAnsi="Arial" w:cs="Arial"/>
          <w:b/>
          <w:bCs/>
        </w:rPr>
        <w:t xml:space="preserve">(I) </w:t>
      </w:r>
      <w:r>
        <w:rPr>
          <w:rFonts w:ascii="Arial" w:hAnsi="Arial" w:cs="Arial"/>
        </w:rPr>
        <w:t>Kaplan–Meier plots of survival in 393 BLCA patients stratified by LYN expression. Log rank analysis was conducted to determine significance.</w:t>
      </w:r>
    </w:p>
    <w:p w14:paraId="4ADFC3AE">
      <w:pPr>
        <w:spacing w:line="360" w:lineRule="auto"/>
        <w:rPr>
          <w:rFonts w:ascii="Arial" w:hAnsi="Arial" w:cs="Arial"/>
        </w:rPr>
      </w:pPr>
    </w:p>
    <w:p w14:paraId="0302AC3C">
      <w:pPr>
        <w:spacing w:line="360" w:lineRule="auto"/>
        <w:rPr>
          <w:rStyle w:val="17"/>
          <w:rFonts w:ascii="Arial" w:hAnsi="Arial" w:cs="Arial"/>
          <w:b/>
          <w:bCs/>
          <w:szCs w:val="21"/>
        </w:rPr>
      </w:pPr>
      <w:r>
        <w:rPr>
          <w:rStyle w:val="17"/>
          <w:rFonts w:ascii="Arial" w:hAnsi="Arial" w:cs="Arial"/>
          <w:b/>
          <w:bCs/>
          <w:szCs w:val="21"/>
        </w:rPr>
        <w:t>Supplementary Figure</w:t>
      </w:r>
      <w:r>
        <w:rPr>
          <w:rFonts w:ascii="Arial" w:hAnsi="Arial" w:cs="Arial"/>
          <w:b/>
          <w:bCs/>
          <w:color w:val="000000"/>
          <w:szCs w:val="21"/>
        </w:rPr>
        <w:t xml:space="preserve"> 7</w:t>
      </w:r>
      <w:r>
        <w:rPr>
          <w:rFonts w:ascii="Arial" w:hAnsi="Arial" w:cs="Arial"/>
          <w:b/>
          <w:bCs/>
        </w:rPr>
        <w:t>. LYN-USP8-TJP1 complex may serve as the potential targets for BLCA.</w:t>
      </w:r>
    </w:p>
    <w:p w14:paraId="40A73ED2">
      <w:pPr>
        <w:spacing w:line="360" w:lineRule="auto"/>
        <w:rPr>
          <w:rStyle w:val="17"/>
          <w:rFonts w:ascii="Arial" w:hAnsi="Arial" w:cs="Arial"/>
          <w:b/>
          <w:bCs/>
          <w:szCs w:val="21"/>
        </w:rPr>
      </w:pPr>
      <w:r>
        <w:drawing>
          <wp:inline distT="0" distB="0" distL="0" distR="0">
            <wp:extent cx="5274310" cy="6426835"/>
            <wp:effectExtent l="0" t="0" r="2540" b="0"/>
            <wp:docPr id="7632977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97780"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6426835"/>
                    </a:xfrm>
                    <a:prstGeom prst="rect">
                      <a:avLst/>
                    </a:prstGeom>
                    <a:noFill/>
                    <a:ln>
                      <a:noFill/>
                    </a:ln>
                  </pic:spPr>
                </pic:pic>
              </a:graphicData>
            </a:graphic>
          </wp:inline>
        </w:drawing>
      </w:r>
    </w:p>
    <w:p w14:paraId="3D223795">
      <w:pPr>
        <w:spacing w:line="360" w:lineRule="auto"/>
        <w:rPr>
          <w:rStyle w:val="17"/>
          <w:rFonts w:ascii="Arial" w:hAnsi="Arial" w:cs="Arial"/>
          <w:b/>
          <w:bCs/>
          <w:szCs w:val="21"/>
        </w:rPr>
      </w:pPr>
    </w:p>
    <w:p w14:paraId="189625DC">
      <w:pPr>
        <w:spacing w:line="360" w:lineRule="auto"/>
        <w:rPr>
          <w:rStyle w:val="17"/>
          <w:rFonts w:ascii="Arial" w:hAnsi="Arial" w:cs="Arial"/>
          <w:b/>
          <w:bCs/>
          <w:szCs w:val="21"/>
        </w:rPr>
      </w:pPr>
      <w:r>
        <w:rPr>
          <w:rStyle w:val="17"/>
          <w:rFonts w:ascii="Arial" w:hAnsi="Arial" w:cs="Arial"/>
          <w:b/>
          <w:bCs/>
          <w:szCs w:val="21"/>
        </w:rPr>
        <w:t xml:space="preserve">(A-B) </w:t>
      </w:r>
      <w:r>
        <w:rPr>
          <w:rFonts w:ascii="Arial" w:hAnsi="Arial" w:cs="Arial"/>
          <w:color w:val="000000"/>
          <w:szCs w:val="21"/>
        </w:rPr>
        <w:t>Colony formation assay was performed to detect the proliferation of T24 and 5637 cells treatment with LYN and USP8 inhibitor. Cells were harvested after 10 days and stained by crystal violet.</w:t>
      </w:r>
    </w:p>
    <w:p w14:paraId="533714E8">
      <w:pPr>
        <w:spacing w:line="360" w:lineRule="auto"/>
        <w:rPr>
          <w:rStyle w:val="17"/>
          <w:rFonts w:ascii="Arial" w:hAnsi="Arial" w:cs="Arial"/>
          <w:b/>
          <w:bCs/>
          <w:szCs w:val="21"/>
        </w:rPr>
      </w:pPr>
      <w:r>
        <w:rPr>
          <w:rStyle w:val="17"/>
          <w:rFonts w:ascii="Arial" w:hAnsi="Arial" w:cs="Arial"/>
          <w:b/>
          <w:bCs/>
          <w:szCs w:val="21"/>
        </w:rPr>
        <w:t xml:space="preserve">(C-D) </w:t>
      </w:r>
      <w:r>
        <w:rPr>
          <w:rFonts w:ascii="Arial" w:hAnsi="Arial" w:cs="Arial"/>
          <w:color w:val="000000"/>
          <w:szCs w:val="21"/>
        </w:rPr>
        <w:t>Colony formation assay was performed to detect the proliferation of T24 and 5637 cells after overexpressed LYN and USP8. Cells were harvested after 10 days and stained by crystal violet.</w:t>
      </w:r>
    </w:p>
    <w:p w14:paraId="0329EAAB">
      <w:pPr>
        <w:spacing w:line="360" w:lineRule="auto"/>
        <w:rPr>
          <w:rFonts w:ascii="Arial" w:hAnsi="Arial" w:cs="Arial"/>
        </w:rPr>
      </w:pPr>
      <w:r>
        <w:rPr>
          <w:rStyle w:val="17"/>
          <w:rFonts w:ascii="Arial" w:hAnsi="Arial" w:cs="Arial"/>
          <w:b/>
          <w:bCs/>
          <w:szCs w:val="21"/>
        </w:rPr>
        <w:t xml:space="preserve">(E) </w:t>
      </w:r>
      <w:r>
        <w:rPr>
          <w:rFonts w:ascii="Arial" w:hAnsi="Arial" w:cs="Arial"/>
        </w:rPr>
        <w:t>Representative images of Ki67 IHC staining by T24 cells injected into the tail veins of SCID mice. Scale bar = 200 μm.</w:t>
      </w:r>
    </w:p>
    <w:p w14:paraId="18220DFE">
      <w:pPr>
        <w:spacing w:line="360" w:lineRule="auto"/>
        <w:rPr>
          <w:rFonts w:ascii="Arial" w:hAnsi="Arial" w:cs="Arial"/>
        </w:rPr>
      </w:pPr>
      <w:r>
        <w:rPr>
          <w:rFonts w:ascii="Arial" w:hAnsi="Arial" w:cs="Arial"/>
          <w:b/>
          <w:bCs/>
        </w:rPr>
        <w:t xml:space="preserve">(F) </w:t>
      </w:r>
      <w:r>
        <w:rPr>
          <w:rFonts w:ascii="Arial" w:hAnsi="Arial" w:cs="Arial"/>
        </w:rPr>
        <w:t>R software was used to download the BLCA expression matrix and clinical data from TCGA. The distribution analysis of clinicopathological parameters in patients with BLCA in samples of three factors all high expression group and three factors all low expression group.</w:t>
      </w:r>
    </w:p>
    <w:p w14:paraId="229972D0">
      <w:pPr>
        <w:spacing w:line="360" w:lineRule="auto"/>
        <w:rPr>
          <w:rFonts w:ascii="Arial" w:hAnsi="Arial" w:cs="Arial"/>
        </w:rPr>
      </w:pPr>
    </w:p>
    <w:p w14:paraId="5FDA1573">
      <w:pPr>
        <w:spacing w:line="360" w:lineRule="auto"/>
        <w:rPr>
          <w:rFonts w:ascii="Arial" w:hAnsi="Arial" w:cs="Arial"/>
        </w:rPr>
      </w:pPr>
      <w:bookmarkStart w:id="1" w:name="OLE_LINK3"/>
      <w:r>
        <w:rPr>
          <w:rFonts w:ascii="Arial" w:hAnsi="Arial" w:cs="Arial"/>
          <w:b/>
          <w:bCs/>
        </w:rPr>
        <w:t xml:space="preserve">Supplementary Table 1. </w:t>
      </w:r>
      <w:bookmarkEnd w:id="1"/>
      <w:r>
        <w:rPr>
          <w:rFonts w:ascii="Arial" w:hAnsi="Arial" w:cs="Arial"/>
          <w:b/>
          <w:bCs/>
        </w:rPr>
        <w:t>The list of E3 ubiquitin ligases precipitated in TJP1 protein-binding mass spectrometry.</w:t>
      </w:r>
    </w:p>
    <w:tbl>
      <w:tblPr>
        <w:tblStyle w:val="5"/>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6095"/>
      </w:tblGrid>
      <w:tr w14:paraId="2BEAAFD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single" w:color="auto" w:sz="12" w:space="0"/>
              <w:bottom w:val="single" w:color="auto" w:sz="12" w:space="0"/>
            </w:tcBorders>
          </w:tcPr>
          <w:p w14:paraId="3B6B296E">
            <w:pPr>
              <w:spacing w:line="360" w:lineRule="auto"/>
              <w:jc w:val="center"/>
              <w:rPr>
                <w:rFonts w:ascii="Arial" w:hAnsi="Arial" w:cs="Arial"/>
                <w:b/>
                <w:bCs/>
                <w:color w:val="000000" w:themeColor="text1"/>
                <w:kern w:val="0"/>
                <w:sz w:val="20"/>
                <w:szCs w:val="20"/>
                <w14:textFill>
                  <w14:solidFill>
                    <w14:schemeClr w14:val="tx1"/>
                  </w14:solidFill>
                </w14:textFill>
              </w:rPr>
            </w:pPr>
            <w:r>
              <w:rPr>
                <w:rFonts w:ascii="Arial" w:hAnsi="Arial" w:cs="Arial"/>
                <w:b/>
                <w:bCs/>
                <w:color w:val="000000" w:themeColor="text1"/>
                <w:kern w:val="0"/>
                <w:sz w:val="20"/>
                <w:szCs w:val="20"/>
                <w14:textFill>
                  <w14:solidFill>
                    <w14:schemeClr w14:val="tx1"/>
                  </w14:solidFill>
                </w14:textFill>
              </w:rPr>
              <w:t>Accession</w:t>
            </w:r>
          </w:p>
        </w:tc>
        <w:tc>
          <w:tcPr>
            <w:tcW w:w="6095" w:type="dxa"/>
            <w:tcBorders>
              <w:top w:val="single" w:color="auto" w:sz="12" w:space="0"/>
              <w:bottom w:val="single" w:color="auto" w:sz="12" w:space="0"/>
            </w:tcBorders>
          </w:tcPr>
          <w:p w14:paraId="192141EC">
            <w:pPr>
              <w:spacing w:line="360" w:lineRule="auto"/>
              <w:jc w:val="center"/>
              <w:rPr>
                <w:rFonts w:ascii="Arial" w:hAnsi="Arial" w:cs="Arial"/>
                <w:b/>
                <w:bCs/>
                <w:color w:val="000000" w:themeColor="text1"/>
                <w:kern w:val="0"/>
                <w:sz w:val="20"/>
                <w:szCs w:val="20"/>
                <w14:textFill>
                  <w14:solidFill>
                    <w14:schemeClr w14:val="tx1"/>
                  </w14:solidFill>
                </w14:textFill>
              </w:rPr>
            </w:pPr>
            <w:r>
              <w:rPr>
                <w:rFonts w:ascii="Arial" w:hAnsi="Arial" w:cs="Arial"/>
                <w:b/>
                <w:bCs/>
                <w:color w:val="000000" w:themeColor="text1"/>
                <w:kern w:val="0"/>
                <w:sz w:val="20"/>
                <w:szCs w:val="20"/>
                <w14:textFill>
                  <w14:solidFill>
                    <w14:schemeClr w14:val="tx1"/>
                  </w14:solidFill>
                </w14:textFill>
              </w:rPr>
              <w:t>Gene name</w:t>
            </w:r>
          </w:p>
        </w:tc>
      </w:tr>
      <w:tr w14:paraId="70EDB71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single" w:color="auto" w:sz="12" w:space="0"/>
            </w:tcBorders>
          </w:tcPr>
          <w:p w14:paraId="65695C71">
            <w:pPr>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NOSIP</w:t>
            </w:r>
          </w:p>
        </w:tc>
        <w:tc>
          <w:tcPr>
            <w:tcW w:w="6095" w:type="dxa"/>
            <w:tcBorders>
              <w:top w:val="single" w:color="auto" w:sz="12" w:space="0"/>
            </w:tcBorders>
          </w:tcPr>
          <w:p w14:paraId="160C4CDF">
            <w:pPr>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Nitric Oxide Synthase Interacting Protein</w:t>
            </w:r>
          </w:p>
        </w:tc>
      </w:tr>
      <w:tr w14:paraId="41234EC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6A96C4E6">
            <w:pPr>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TRIM27</w:t>
            </w:r>
          </w:p>
        </w:tc>
        <w:tc>
          <w:tcPr>
            <w:tcW w:w="6095" w:type="dxa"/>
          </w:tcPr>
          <w:p w14:paraId="350CA504">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Tripartite Motif Containing 27</w:t>
            </w:r>
          </w:p>
        </w:tc>
      </w:tr>
      <w:tr w14:paraId="3D7BDEE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0292680A">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TRIM25</w:t>
            </w:r>
          </w:p>
        </w:tc>
        <w:tc>
          <w:tcPr>
            <w:tcW w:w="6095" w:type="dxa"/>
          </w:tcPr>
          <w:p w14:paraId="45ADF424">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Tripartite Motif Containing 25</w:t>
            </w:r>
          </w:p>
        </w:tc>
      </w:tr>
      <w:tr w14:paraId="6AE953A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54220107">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TRIM32</w:t>
            </w:r>
          </w:p>
        </w:tc>
        <w:tc>
          <w:tcPr>
            <w:tcW w:w="6095" w:type="dxa"/>
          </w:tcPr>
          <w:p w14:paraId="378E5896">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Tripartite Motif Containing 32</w:t>
            </w:r>
          </w:p>
        </w:tc>
      </w:tr>
      <w:tr w14:paraId="59A3D52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143BDDE1">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ZNF598</w:t>
            </w:r>
          </w:p>
        </w:tc>
        <w:tc>
          <w:tcPr>
            <w:tcW w:w="6095" w:type="dxa"/>
          </w:tcPr>
          <w:p w14:paraId="57BBC5E5">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Zinc Finger Protein 598</w:t>
            </w:r>
          </w:p>
        </w:tc>
      </w:tr>
      <w:tr w14:paraId="2CBB1BA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7D344540">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ITCH</w:t>
            </w:r>
          </w:p>
        </w:tc>
        <w:tc>
          <w:tcPr>
            <w:tcW w:w="6095" w:type="dxa"/>
          </w:tcPr>
          <w:p w14:paraId="5951A887">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itchy E3 ubiquitin protein ligase</w:t>
            </w:r>
          </w:p>
        </w:tc>
      </w:tr>
      <w:tr w14:paraId="15E658C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2121DDD8">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UHRF1</w:t>
            </w:r>
          </w:p>
        </w:tc>
        <w:tc>
          <w:tcPr>
            <w:tcW w:w="6095" w:type="dxa"/>
          </w:tcPr>
          <w:p w14:paraId="2B487612">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ubiquitin like with PHD and ring finger domains 1</w:t>
            </w:r>
          </w:p>
        </w:tc>
      </w:tr>
      <w:tr w14:paraId="79AE77D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40E85B4D">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TOPORS</w:t>
            </w:r>
          </w:p>
        </w:tc>
        <w:tc>
          <w:tcPr>
            <w:tcW w:w="6095" w:type="dxa"/>
          </w:tcPr>
          <w:p w14:paraId="2D037BBB">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TOP1 binding arginine/serine rich protein</w:t>
            </w:r>
          </w:p>
        </w:tc>
      </w:tr>
      <w:tr w14:paraId="1A1AD76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35387B2D">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HECTD1</w:t>
            </w:r>
          </w:p>
        </w:tc>
        <w:tc>
          <w:tcPr>
            <w:tcW w:w="6095" w:type="dxa"/>
          </w:tcPr>
          <w:p w14:paraId="52DA41CB">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HECT domain E3 ubiquitin protein ligase 1</w:t>
            </w:r>
          </w:p>
        </w:tc>
      </w:tr>
      <w:tr w14:paraId="37F02A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nil"/>
              <w:bottom w:val="single" w:color="auto" w:sz="12" w:space="0"/>
            </w:tcBorders>
          </w:tcPr>
          <w:p w14:paraId="12C71970">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MYCBP2</w:t>
            </w:r>
          </w:p>
        </w:tc>
        <w:tc>
          <w:tcPr>
            <w:tcW w:w="6095" w:type="dxa"/>
            <w:tcBorders>
              <w:top w:val="nil"/>
              <w:bottom w:val="single" w:color="auto" w:sz="12" w:space="0"/>
            </w:tcBorders>
          </w:tcPr>
          <w:p w14:paraId="7B2790EF">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MYC binding protein 2</w:t>
            </w:r>
          </w:p>
        </w:tc>
      </w:tr>
    </w:tbl>
    <w:p w14:paraId="06C3A155">
      <w:pPr>
        <w:spacing w:line="360" w:lineRule="auto"/>
        <w:rPr>
          <w:rFonts w:ascii="Arial" w:hAnsi="Arial" w:cs="Arial"/>
        </w:rPr>
      </w:pPr>
    </w:p>
    <w:p w14:paraId="1187A80B">
      <w:pPr>
        <w:spacing w:line="360" w:lineRule="auto"/>
        <w:rPr>
          <w:rFonts w:ascii="Arial" w:hAnsi="Arial" w:cs="Arial"/>
          <w:b/>
          <w:bCs/>
        </w:rPr>
      </w:pPr>
      <w:r>
        <w:rPr>
          <w:rFonts w:ascii="Arial" w:hAnsi="Arial" w:cs="Arial"/>
          <w:b/>
          <w:bCs/>
        </w:rPr>
        <w:t>Supplementary Table 2. The list of kinases precipitated in TJP1 protein-binding mass spectrometry.</w:t>
      </w:r>
    </w:p>
    <w:tbl>
      <w:tblPr>
        <w:tblStyle w:val="5"/>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6095"/>
      </w:tblGrid>
      <w:tr w14:paraId="230ED4F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jc w:val="center"/>
        </w:trPr>
        <w:tc>
          <w:tcPr>
            <w:tcW w:w="1560" w:type="dxa"/>
            <w:tcBorders>
              <w:top w:val="single" w:color="auto" w:sz="12" w:space="0"/>
              <w:bottom w:val="single" w:color="auto" w:sz="12" w:space="0"/>
            </w:tcBorders>
          </w:tcPr>
          <w:p w14:paraId="67A57741">
            <w:pPr>
              <w:spacing w:line="360" w:lineRule="auto"/>
              <w:jc w:val="center"/>
              <w:rPr>
                <w:rFonts w:ascii="Arial" w:hAnsi="Arial" w:cs="Arial"/>
                <w:b/>
                <w:bCs/>
                <w:color w:val="000000" w:themeColor="text1"/>
                <w:kern w:val="0"/>
                <w:sz w:val="20"/>
                <w:szCs w:val="20"/>
                <w14:textFill>
                  <w14:solidFill>
                    <w14:schemeClr w14:val="tx1"/>
                  </w14:solidFill>
                </w14:textFill>
              </w:rPr>
            </w:pPr>
            <w:r>
              <w:rPr>
                <w:rFonts w:ascii="Arial" w:hAnsi="Arial" w:cs="Arial"/>
                <w:b/>
                <w:bCs/>
                <w:color w:val="000000" w:themeColor="text1"/>
                <w:kern w:val="0"/>
                <w:sz w:val="20"/>
                <w:szCs w:val="20"/>
                <w14:textFill>
                  <w14:solidFill>
                    <w14:schemeClr w14:val="tx1"/>
                  </w14:solidFill>
                </w14:textFill>
              </w:rPr>
              <w:t>Accession</w:t>
            </w:r>
          </w:p>
        </w:tc>
        <w:tc>
          <w:tcPr>
            <w:tcW w:w="6095" w:type="dxa"/>
            <w:tcBorders>
              <w:top w:val="single" w:color="auto" w:sz="12" w:space="0"/>
              <w:bottom w:val="single" w:color="auto" w:sz="12" w:space="0"/>
            </w:tcBorders>
          </w:tcPr>
          <w:p w14:paraId="51DCEA21">
            <w:pPr>
              <w:spacing w:line="360" w:lineRule="auto"/>
              <w:jc w:val="center"/>
              <w:rPr>
                <w:rFonts w:ascii="Arial" w:hAnsi="Arial" w:cs="Arial"/>
                <w:b/>
                <w:bCs/>
                <w:color w:val="000000" w:themeColor="text1"/>
                <w:kern w:val="0"/>
                <w:sz w:val="20"/>
                <w:szCs w:val="20"/>
                <w14:textFill>
                  <w14:solidFill>
                    <w14:schemeClr w14:val="tx1"/>
                  </w14:solidFill>
                </w14:textFill>
              </w:rPr>
            </w:pPr>
            <w:r>
              <w:rPr>
                <w:rFonts w:ascii="Arial" w:hAnsi="Arial" w:cs="Arial"/>
                <w:b/>
                <w:bCs/>
                <w:color w:val="000000" w:themeColor="text1"/>
                <w:kern w:val="0"/>
                <w:sz w:val="20"/>
                <w:szCs w:val="20"/>
                <w14:textFill>
                  <w14:solidFill>
                    <w14:schemeClr w14:val="tx1"/>
                  </w14:solidFill>
                </w14:textFill>
              </w:rPr>
              <w:t>Gene name</w:t>
            </w:r>
          </w:p>
        </w:tc>
      </w:tr>
      <w:tr w14:paraId="6552A40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single" w:color="auto" w:sz="12" w:space="0"/>
            </w:tcBorders>
          </w:tcPr>
          <w:p w14:paraId="0B0C2368">
            <w:pPr>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LYN</w:t>
            </w:r>
          </w:p>
        </w:tc>
        <w:tc>
          <w:tcPr>
            <w:tcW w:w="6095" w:type="dxa"/>
            <w:tcBorders>
              <w:top w:val="single" w:color="auto" w:sz="12" w:space="0"/>
            </w:tcBorders>
          </w:tcPr>
          <w:p w14:paraId="6BB6F7F0">
            <w:pPr>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LYN proto-oncogene</w:t>
            </w:r>
          </w:p>
        </w:tc>
      </w:tr>
      <w:tr w14:paraId="199F1A8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2E6A90E8">
            <w:pPr>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YES1</w:t>
            </w:r>
          </w:p>
        </w:tc>
        <w:tc>
          <w:tcPr>
            <w:tcW w:w="6095" w:type="dxa"/>
          </w:tcPr>
          <w:p w14:paraId="4945E641">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YES proto-oncogene 1</w:t>
            </w:r>
          </w:p>
        </w:tc>
      </w:tr>
      <w:tr w14:paraId="18A1D94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07C8F7B3">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PKM</w:t>
            </w:r>
          </w:p>
        </w:tc>
        <w:tc>
          <w:tcPr>
            <w:tcW w:w="6095" w:type="dxa"/>
          </w:tcPr>
          <w:p w14:paraId="43D334EA">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pyruvate kinase M1/2</w:t>
            </w:r>
          </w:p>
        </w:tc>
      </w:tr>
      <w:tr w14:paraId="2E3A5A0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1418BA88">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SRC</w:t>
            </w:r>
          </w:p>
        </w:tc>
        <w:tc>
          <w:tcPr>
            <w:tcW w:w="6095" w:type="dxa"/>
          </w:tcPr>
          <w:p w14:paraId="13B8A90F">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SRC proto-oncogene</w:t>
            </w:r>
          </w:p>
        </w:tc>
      </w:tr>
      <w:tr w14:paraId="42B1E0E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0F9C6D27">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ALPK1</w:t>
            </w:r>
          </w:p>
        </w:tc>
        <w:tc>
          <w:tcPr>
            <w:tcW w:w="6095" w:type="dxa"/>
          </w:tcPr>
          <w:p w14:paraId="7F1423E4">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alpha kinase 1</w:t>
            </w:r>
          </w:p>
        </w:tc>
      </w:tr>
      <w:tr w14:paraId="175C32B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3D0E0085">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CDC42BPA</w:t>
            </w:r>
          </w:p>
        </w:tc>
        <w:tc>
          <w:tcPr>
            <w:tcW w:w="6095" w:type="dxa"/>
          </w:tcPr>
          <w:p w14:paraId="5D36B8CB">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CDC42 binding protein kinase alpha</w:t>
            </w:r>
          </w:p>
        </w:tc>
      </w:tr>
      <w:tr w14:paraId="4EC958B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471270B2">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TTBK2</w:t>
            </w:r>
          </w:p>
        </w:tc>
        <w:tc>
          <w:tcPr>
            <w:tcW w:w="6095" w:type="dxa"/>
          </w:tcPr>
          <w:p w14:paraId="297A2AD1">
            <w:pPr>
              <w:widowControl/>
              <w:spacing w:line="360" w:lineRule="auto"/>
              <w:jc w:val="center"/>
              <w:rPr>
                <w:rFonts w:ascii="Arial" w:hAnsi="Arial" w:cs="Arial"/>
                <w:color w:val="000000" w:themeColor="text1"/>
                <w:kern w:val="0"/>
                <w:sz w:val="20"/>
                <w:szCs w:val="20"/>
                <w14:textFill>
                  <w14:solidFill>
                    <w14:schemeClr w14:val="tx1"/>
                  </w14:solidFill>
                </w14:textFill>
              </w:rPr>
            </w:pPr>
            <w:r>
              <w:rPr>
                <w:rFonts w:ascii="Arial" w:hAnsi="Arial" w:cs="Arial"/>
                <w:color w:val="000000" w:themeColor="text1"/>
                <w:kern w:val="0"/>
                <w:sz w:val="20"/>
                <w:szCs w:val="20"/>
                <w14:textFill>
                  <w14:solidFill>
                    <w14:schemeClr w14:val="tx1"/>
                  </w14:solidFill>
                </w14:textFill>
              </w:rPr>
              <w:t>tau tubulin kinase 2</w:t>
            </w:r>
          </w:p>
        </w:tc>
      </w:tr>
      <w:tr w14:paraId="47A5777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1D5D0E38">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PRKCA</w:t>
            </w:r>
          </w:p>
        </w:tc>
        <w:tc>
          <w:tcPr>
            <w:tcW w:w="6095" w:type="dxa"/>
          </w:tcPr>
          <w:p w14:paraId="15F7347E">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protein kinase C alpha</w:t>
            </w:r>
          </w:p>
        </w:tc>
      </w:tr>
      <w:tr w14:paraId="23BB14F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Pr>
          <w:p w14:paraId="31E46107">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ULK1</w:t>
            </w:r>
          </w:p>
        </w:tc>
        <w:tc>
          <w:tcPr>
            <w:tcW w:w="6095" w:type="dxa"/>
          </w:tcPr>
          <w:p w14:paraId="216B12C0">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unc-51 like autophagy activating kinase 1</w:t>
            </w:r>
          </w:p>
        </w:tc>
      </w:tr>
      <w:tr w14:paraId="11CDDBC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nil"/>
              <w:bottom w:val="nil"/>
            </w:tcBorders>
          </w:tcPr>
          <w:p w14:paraId="5B20DB17">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ULK4</w:t>
            </w:r>
          </w:p>
        </w:tc>
        <w:tc>
          <w:tcPr>
            <w:tcW w:w="6095" w:type="dxa"/>
            <w:tcBorders>
              <w:top w:val="nil"/>
              <w:bottom w:val="nil"/>
            </w:tcBorders>
          </w:tcPr>
          <w:p w14:paraId="1681EF81">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unc-51 like kinase 4</w:t>
            </w:r>
          </w:p>
        </w:tc>
      </w:tr>
      <w:tr w14:paraId="730D5D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nil"/>
              <w:bottom w:val="nil"/>
            </w:tcBorders>
          </w:tcPr>
          <w:p w14:paraId="2175A981">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BMP2K</w:t>
            </w:r>
          </w:p>
        </w:tc>
        <w:tc>
          <w:tcPr>
            <w:tcW w:w="6095" w:type="dxa"/>
            <w:tcBorders>
              <w:top w:val="nil"/>
              <w:bottom w:val="nil"/>
            </w:tcBorders>
          </w:tcPr>
          <w:p w14:paraId="39F47A87">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BMP2 inducible kinase</w:t>
            </w:r>
          </w:p>
        </w:tc>
      </w:tr>
      <w:tr w14:paraId="55D6848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nil"/>
              <w:bottom w:val="nil"/>
            </w:tcBorders>
          </w:tcPr>
          <w:p w14:paraId="62C96DF0">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RPS6KA6</w:t>
            </w:r>
          </w:p>
        </w:tc>
        <w:tc>
          <w:tcPr>
            <w:tcW w:w="6095" w:type="dxa"/>
            <w:tcBorders>
              <w:top w:val="nil"/>
              <w:bottom w:val="nil"/>
            </w:tcBorders>
          </w:tcPr>
          <w:p w14:paraId="648B7A0F">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ribosomal protein S6 kinase A6</w:t>
            </w:r>
          </w:p>
        </w:tc>
      </w:tr>
      <w:tr w14:paraId="44A2B8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nil"/>
              <w:bottom w:val="nil"/>
            </w:tcBorders>
          </w:tcPr>
          <w:p w14:paraId="21A77BF9">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PIKFYVE</w:t>
            </w:r>
          </w:p>
        </w:tc>
        <w:tc>
          <w:tcPr>
            <w:tcW w:w="6095" w:type="dxa"/>
            <w:tcBorders>
              <w:top w:val="nil"/>
              <w:bottom w:val="nil"/>
            </w:tcBorders>
          </w:tcPr>
          <w:p w14:paraId="314BD121">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phosphoinositide kinase,</w:t>
            </w:r>
            <w:r>
              <w:rPr>
                <w:kern w:val="0"/>
                <w:sz w:val="20"/>
                <w:szCs w:val="20"/>
              </w:rPr>
              <w:t xml:space="preserve"> </w:t>
            </w:r>
            <w:r>
              <w:rPr>
                <w:rFonts w:ascii="Arial" w:hAnsi="Arial" w:eastAsia="等线" w:cs="Arial"/>
                <w:color w:val="000000" w:themeColor="text1"/>
                <w:kern w:val="0"/>
                <w:sz w:val="22"/>
                <w:szCs w:val="20"/>
                <w14:textFill>
                  <w14:solidFill>
                    <w14:schemeClr w14:val="tx1"/>
                  </w14:solidFill>
                </w14:textFill>
              </w:rPr>
              <w:t>FYVE-type zinc finger containing</w:t>
            </w:r>
          </w:p>
        </w:tc>
      </w:tr>
      <w:tr w14:paraId="00B2968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nil"/>
              <w:bottom w:val="nil"/>
            </w:tcBorders>
          </w:tcPr>
          <w:p w14:paraId="31882F77">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OXSR1</w:t>
            </w:r>
          </w:p>
        </w:tc>
        <w:tc>
          <w:tcPr>
            <w:tcW w:w="6095" w:type="dxa"/>
            <w:tcBorders>
              <w:top w:val="nil"/>
              <w:bottom w:val="nil"/>
            </w:tcBorders>
          </w:tcPr>
          <w:p w14:paraId="5091B3FB">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oxidative stress responsive kinase 1</w:t>
            </w:r>
          </w:p>
        </w:tc>
      </w:tr>
      <w:tr w14:paraId="298ADF7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nil"/>
              <w:bottom w:val="nil"/>
            </w:tcBorders>
          </w:tcPr>
          <w:p w14:paraId="5E45738F">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DYRK2</w:t>
            </w:r>
          </w:p>
        </w:tc>
        <w:tc>
          <w:tcPr>
            <w:tcW w:w="6095" w:type="dxa"/>
            <w:tcBorders>
              <w:top w:val="nil"/>
              <w:bottom w:val="nil"/>
            </w:tcBorders>
          </w:tcPr>
          <w:p w14:paraId="296F2FD6">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dual specificity tyrosine phosphorylation regulated kinase 2</w:t>
            </w:r>
          </w:p>
        </w:tc>
      </w:tr>
      <w:tr w14:paraId="34E1985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nil"/>
              <w:bottom w:val="nil"/>
            </w:tcBorders>
          </w:tcPr>
          <w:p w14:paraId="4FAC8178">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WNK2</w:t>
            </w:r>
          </w:p>
        </w:tc>
        <w:tc>
          <w:tcPr>
            <w:tcW w:w="6095" w:type="dxa"/>
            <w:tcBorders>
              <w:top w:val="nil"/>
              <w:bottom w:val="nil"/>
            </w:tcBorders>
          </w:tcPr>
          <w:p w14:paraId="27EFC83D">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WNK lysine deficient protein kinase 2</w:t>
            </w:r>
          </w:p>
        </w:tc>
      </w:tr>
      <w:tr w14:paraId="220474B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nil"/>
              <w:bottom w:val="nil"/>
            </w:tcBorders>
          </w:tcPr>
          <w:p w14:paraId="4D9EF735">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CDK11A</w:t>
            </w:r>
          </w:p>
        </w:tc>
        <w:tc>
          <w:tcPr>
            <w:tcW w:w="6095" w:type="dxa"/>
            <w:tcBorders>
              <w:top w:val="nil"/>
              <w:bottom w:val="nil"/>
            </w:tcBorders>
          </w:tcPr>
          <w:p w14:paraId="667E9AC5">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cyclin dependent kinase 11A</w:t>
            </w:r>
          </w:p>
        </w:tc>
      </w:tr>
      <w:tr w14:paraId="69FBA22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nil"/>
              <w:bottom w:val="nil"/>
            </w:tcBorders>
          </w:tcPr>
          <w:p w14:paraId="1FFDB78B">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DGKG</w:t>
            </w:r>
          </w:p>
        </w:tc>
        <w:tc>
          <w:tcPr>
            <w:tcW w:w="6095" w:type="dxa"/>
            <w:tcBorders>
              <w:top w:val="nil"/>
              <w:bottom w:val="nil"/>
            </w:tcBorders>
          </w:tcPr>
          <w:p w14:paraId="63771208">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diacylglycerol kinase gamma</w:t>
            </w:r>
          </w:p>
        </w:tc>
      </w:tr>
      <w:tr w14:paraId="1E99043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0" w:type="dxa"/>
            <w:tcBorders>
              <w:top w:val="nil"/>
              <w:bottom w:val="single" w:color="auto" w:sz="12" w:space="0"/>
            </w:tcBorders>
          </w:tcPr>
          <w:p w14:paraId="7587DB66">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HIPK1</w:t>
            </w:r>
          </w:p>
        </w:tc>
        <w:tc>
          <w:tcPr>
            <w:tcW w:w="6095" w:type="dxa"/>
            <w:tcBorders>
              <w:top w:val="nil"/>
              <w:bottom w:val="single" w:color="auto" w:sz="12" w:space="0"/>
            </w:tcBorders>
          </w:tcPr>
          <w:p w14:paraId="77F8CB37">
            <w:pPr>
              <w:widowControl/>
              <w:spacing w:line="360" w:lineRule="auto"/>
              <w:jc w:val="center"/>
              <w:rPr>
                <w:rFonts w:ascii="Arial" w:hAnsi="Arial" w:eastAsia="等线" w:cs="Arial"/>
                <w:color w:val="000000" w:themeColor="text1"/>
                <w:kern w:val="0"/>
                <w:sz w:val="22"/>
                <w:szCs w:val="20"/>
                <w14:textFill>
                  <w14:solidFill>
                    <w14:schemeClr w14:val="tx1"/>
                  </w14:solidFill>
                </w14:textFill>
              </w:rPr>
            </w:pPr>
            <w:r>
              <w:rPr>
                <w:rFonts w:ascii="Arial" w:hAnsi="Arial" w:eastAsia="等线" w:cs="Arial"/>
                <w:color w:val="000000" w:themeColor="text1"/>
                <w:kern w:val="0"/>
                <w:sz w:val="22"/>
                <w:szCs w:val="20"/>
                <w14:textFill>
                  <w14:solidFill>
                    <w14:schemeClr w14:val="tx1"/>
                  </w14:solidFill>
                </w14:textFill>
              </w:rPr>
              <w:t>homeodomain interacting protein kinase 1</w:t>
            </w:r>
          </w:p>
        </w:tc>
      </w:tr>
    </w:tbl>
    <w:p w14:paraId="3429808F">
      <w:pPr>
        <w:spacing w:line="360" w:lineRule="auto"/>
        <w:rPr>
          <w:rFonts w:ascii="Arial" w:hAnsi="Arial" w:cs="Arial"/>
        </w:rPr>
      </w:pPr>
    </w:p>
    <w:p w14:paraId="27498CF3">
      <w:pPr>
        <w:spacing w:line="360" w:lineRule="auto"/>
        <w:rPr>
          <w:rFonts w:ascii="Arial" w:hAnsi="Arial" w:cs="Arial"/>
          <w:b/>
          <w:bCs/>
        </w:rPr>
      </w:pPr>
      <w:r>
        <w:rPr>
          <w:rFonts w:ascii="Arial" w:hAnsi="Arial" w:cs="Arial"/>
          <w:b/>
          <w:bCs/>
        </w:rPr>
        <w:t>Supplementary Table 3. Prediction of potential LYN kinase phosphorylation sites for TJP1 by GSP5.0.</w:t>
      </w:r>
    </w:p>
    <w:tbl>
      <w:tblPr>
        <w:tblStyle w:val="5"/>
        <w:tblW w:w="91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37"/>
        <w:gridCol w:w="1065"/>
        <w:gridCol w:w="1611"/>
        <w:gridCol w:w="1359"/>
        <w:gridCol w:w="1711"/>
        <w:gridCol w:w="1081"/>
      </w:tblGrid>
      <w:tr w14:paraId="69CAE3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tcBorders>
              <w:top w:val="single" w:color="auto" w:sz="12" w:space="0"/>
              <w:left w:val="nil"/>
              <w:bottom w:val="single" w:color="auto" w:sz="12" w:space="0"/>
              <w:right w:val="nil"/>
            </w:tcBorders>
          </w:tcPr>
          <w:p w14:paraId="06957193">
            <w:pPr>
              <w:spacing w:line="360" w:lineRule="auto"/>
              <w:jc w:val="left"/>
              <w:rPr>
                <w:rFonts w:ascii="Arial" w:hAnsi="Arial" w:cs="Arial"/>
                <w:b/>
                <w:bCs/>
                <w:color w:val="000000"/>
                <w:kern w:val="0"/>
                <w:sz w:val="18"/>
                <w:szCs w:val="18"/>
              </w:rPr>
            </w:pPr>
            <w:r>
              <w:rPr>
                <w:rFonts w:ascii="Arial" w:hAnsi="Arial" w:cs="Arial"/>
                <w:b/>
                <w:bCs/>
                <w:color w:val="000000"/>
                <w:kern w:val="0"/>
                <w:sz w:val="18"/>
                <w:szCs w:val="18"/>
              </w:rPr>
              <w:t>Sequence</w:t>
            </w:r>
          </w:p>
        </w:tc>
        <w:tc>
          <w:tcPr>
            <w:tcW w:w="1065" w:type="dxa"/>
            <w:tcBorders>
              <w:top w:val="single" w:color="auto" w:sz="12" w:space="0"/>
              <w:left w:val="nil"/>
              <w:bottom w:val="single" w:color="auto" w:sz="12" w:space="0"/>
              <w:right w:val="nil"/>
            </w:tcBorders>
          </w:tcPr>
          <w:p w14:paraId="2E32B6B9">
            <w:pPr>
              <w:spacing w:line="360" w:lineRule="auto"/>
              <w:jc w:val="left"/>
              <w:rPr>
                <w:rFonts w:ascii="Arial" w:hAnsi="Arial" w:cs="Arial"/>
                <w:b/>
                <w:bCs/>
                <w:color w:val="000000"/>
                <w:kern w:val="0"/>
                <w:sz w:val="18"/>
                <w:szCs w:val="18"/>
              </w:rPr>
            </w:pPr>
            <w:r>
              <w:rPr>
                <w:rFonts w:hint="eastAsia" w:ascii="Arial" w:hAnsi="Arial" w:cs="Arial"/>
                <w:b/>
                <w:bCs/>
                <w:color w:val="000000"/>
                <w:kern w:val="0"/>
                <w:sz w:val="18"/>
                <w:szCs w:val="18"/>
              </w:rPr>
              <w:t>Position</w:t>
            </w:r>
          </w:p>
        </w:tc>
        <w:tc>
          <w:tcPr>
            <w:tcW w:w="1611" w:type="dxa"/>
            <w:tcBorders>
              <w:top w:val="single" w:color="auto" w:sz="12" w:space="0"/>
              <w:left w:val="nil"/>
              <w:bottom w:val="single" w:color="auto" w:sz="12" w:space="0"/>
              <w:right w:val="nil"/>
            </w:tcBorders>
          </w:tcPr>
          <w:p w14:paraId="6A989206">
            <w:pPr>
              <w:spacing w:line="360" w:lineRule="auto"/>
              <w:jc w:val="left"/>
              <w:rPr>
                <w:rFonts w:ascii="Arial" w:hAnsi="Arial" w:cs="Arial"/>
                <w:b/>
                <w:bCs/>
                <w:color w:val="000000"/>
                <w:kern w:val="0"/>
                <w:sz w:val="18"/>
                <w:szCs w:val="18"/>
              </w:rPr>
            </w:pPr>
            <w:r>
              <w:rPr>
                <w:rFonts w:ascii="Arial" w:hAnsi="Arial" w:cs="Arial"/>
                <w:b/>
                <w:bCs/>
                <w:color w:val="000000"/>
                <w:kern w:val="0"/>
                <w:sz w:val="18"/>
                <w:szCs w:val="18"/>
              </w:rPr>
              <w:t xml:space="preserve">Protein Group </w:t>
            </w:r>
          </w:p>
          <w:p w14:paraId="7A26E092">
            <w:pPr>
              <w:spacing w:line="360" w:lineRule="auto"/>
              <w:jc w:val="left"/>
              <w:rPr>
                <w:rFonts w:ascii="Arial" w:hAnsi="Arial" w:cs="Arial"/>
                <w:b/>
                <w:bCs/>
                <w:color w:val="000000"/>
                <w:kern w:val="0"/>
                <w:sz w:val="18"/>
                <w:szCs w:val="18"/>
              </w:rPr>
            </w:pPr>
            <w:r>
              <w:rPr>
                <w:rFonts w:ascii="Arial" w:hAnsi="Arial" w:cs="Arial"/>
                <w:b/>
                <w:bCs/>
                <w:color w:val="000000"/>
                <w:kern w:val="0"/>
                <w:sz w:val="18"/>
                <w:szCs w:val="18"/>
              </w:rPr>
              <w:t>Accessions</w:t>
            </w:r>
          </w:p>
        </w:tc>
        <w:tc>
          <w:tcPr>
            <w:tcW w:w="1359" w:type="dxa"/>
            <w:tcBorders>
              <w:top w:val="single" w:color="auto" w:sz="12" w:space="0"/>
              <w:left w:val="nil"/>
              <w:bottom w:val="single" w:color="auto" w:sz="12" w:space="0"/>
              <w:right w:val="nil"/>
            </w:tcBorders>
          </w:tcPr>
          <w:p w14:paraId="40822C90">
            <w:pPr>
              <w:spacing w:line="360" w:lineRule="auto"/>
              <w:jc w:val="left"/>
              <w:rPr>
                <w:rFonts w:ascii="Arial" w:hAnsi="Arial" w:cs="Arial"/>
                <w:b/>
                <w:bCs/>
                <w:color w:val="000000"/>
                <w:kern w:val="0"/>
                <w:sz w:val="18"/>
                <w:szCs w:val="18"/>
              </w:rPr>
            </w:pPr>
            <w:r>
              <w:rPr>
                <w:rFonts w:hint="eastAsia" w:ascii="Arial" w:hAnsi="Arial" w:cs="Arial"/>
                <w:b/>
                <w:bCs/>
                <w:color w:val="000000"/>
                <w:kern w:val="0"/>
                <w:sz w:val="18"/>
                <w:szCs w:val="18"/>
              </w:rPr>
              <w:t>Kinase name</w:t>
            </w:r>
          </w:p>
        </w:tc>
        <w:tc>
          <w:tcPr>
            <w:tcW w:w="1711" w:type="dxa"/>
            <w:tcBorders>
              <w:top w:val="single" w:color="auto" w:sz="12" w:space="0"/>
              <w:left w:val="nil"/>
              <w:bottom w:val="single" w:color="auto" w:sz="12" w:space="0"/>
              <w:right w:val="nil"/>
            </w:tcBorders>
          </w:tcPr>
          <w:p w14:paraId="5CF45CF6">
            <w:pPr>
              <w:spacing w:line="360" w:lineRule="auto"/>
              <w:jc w:val="left"/>
              <w:rPr>
                <w:rFonts w:ascii="Arial" w:hAnsi="Arial" w:cs="Arial"/>
                <w:b/>
                <w:bCs/>
                <w:color w:val="000000"/>
                <w:kern w:val="0"/>
                <w:sz w:val="18"/>
                <w:szCs w:val="18"/>
              </w:rPr>
            </w:pPr>
            <w:r>
              <w:rPr>
                <w:rFonts w:ascii="Arial" w:hAnsi="Arial" w:cs="Arial"/>
                <w:b/>
                <w:bCs/>
                <w:color w:val="000000"/>
                <w:kern w:val="0"/>
                <w:sz w:val="18"/>
                <w:szCs w:val="18"/>
              </w:rPr>
              <w:t>Modifications</w:t>
            </w:r>
          </w:p>
        </w:tc>
        <w:tc>
          <w:tcPr>
            <w:tcW w:w="1081" w:type="dxa"/>
            <w:tcBorders>
              <w:top w:val="single" w:color="auto" w:sz="12" w:space="0"/>
              <w:left w:val="nil"/>
              <w:bottom w:val="single" w:color="auto" w:sz="12" w:space="0"/>
              <w:right w:val="nil"/>
            </w:tcBorders>
          </w:tcPr>
          <w:p w14:paraId="259F429A">
            <w:pPr>
              <w:spacing w:line="360" w:lineRule="auto"/>
              <w:jc w:val="left"/>
              <w:rPr>
                <w:rFonts w:ascii="Arial" w:hAnsi="Arial" w:cs="Arial"/>
                <w:b/>
                <w:bCs/>
                <w:color w:val="000000"/>
                <w:kern w:val="0"/>
                <w:sz w:val="18"/>
                <w:szCs w:val="18"/>
              </w:rPr>
            </w:pPr>
            <w:r>
              <w:rPr>
                <w:rFonts w:ascii="Arial" w:hAnsi="Arial" w:cs="Arial"/>
                <w:b/>
                <w:bCs/>
                <w:color w:val="000000"/>
                <w:kern w:val="0"/>
                <w:sz w:val="18"/>
                <w:szCs w:val="18"/>
              </w:rPr>
              <w:t>IonScore</w:t>
            </w:r>
          </w:p>
        </w:tc>
      </w:tr>
      <w:tr w14:paraId="654DBE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tcBorders>
              <w:top w:val="nil"/>
              <w:left w:val="nil"/>
              <w:bottom w:val="nil"/>
              <w:right w:val="nil"/>
            </w:tcBorders>
          </w:tcPr>
          <w:p w14:paraId="278FA2AD">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SDNEEDS</w:t>
            </w:r>
            <w:r>
              <w:rPr>
                <w:rFonts w:hint="eastAsia" w:ascii="Arial" w:hAnsi="Arial" w:cs="Arial"/>
                <w:color w:val="FF0000"/>
                <w:kern w:val="0"/>
                <w:sz w:val="18"/>
                <w:szCs w:val="18"/>
              </w:rPr>
              <w:t>Y</w:t>
            </w:r>
            <w:r>
              <w:rPr>
                <w:rFonts w:hint="eastAsia" w:ascii="Arial" w:hAnsi="Arial" w:cs="Arial"/>
                <w:color w:val="000000"/>
                <w:kern w:val="0"/>
                <w:sz w:val="18"/>
                <w:szCs w:val="18"/>
              </w:rPr>
              <w:t>DEEIHDP</w:t>
            </w:r>
          </w:p>
        </w:tc>
        <w:tc>
          <w:tcPr>
            <w:tcW w:w="1065" w:type="dxa"/>
            <w:tcBorders>
              <w:top w:val="nil"/>
              <w:left w:val="nil"/>
              <w:bottom w:val="nil"/>
              <w:right w:val="nil"/>
            </w:tcBorders>
          </w:tcPr>
          <w:p w14:paraId="4C609898">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132</w:t>
            </w:r>
          </w:p>
        </w:tc>
        <w:tc>
          <w:tcPr>
            <w:tcW w:w="1611" w:type="dxa"/>
            <w:tcBorders>
              <w:top w:val="nil"/>
              <w:left w:val="nil"/>
              <w:bottom w:val="nil"/>
              <w:right w:val="nil"/>
            </w:tcBorders>
          </w:tcPr>
          <w:p w14:paraId="30CADF94">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Q07157</w:t>
            </w:r>
            <w:r>
              <w:rPr>
                <w:rFonts w:hint="eastAsia" w:ascii="Arial" w:hAnsi="Arial" w:cs="Arial"/>
                <w:color w:val="000000"/>
                <w:kern w:val="0"/>
                <w:sz w:val="18"/>
                <w:szCs w:val="18"/>
              </w:rPr>
              <w:t>(TJP1)</w:t>
            </w:r>
          </w:p>
        </w:tc>
        <w:tc>
          <w:tcPr>
            <w:tcW w:w="1359" w:type="dxa"/>
            <w:tcBorders>
              <w:top w:val="nil"/>
              <w:left w:val="nil"/>
              <w:bottom w:val="nil"/>
              <w:right w:val="nil"/>
            </w:tcBorders>
          </w:tcPr>
          <w:p w14:paraId="71EFFADE">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LYN</w:t>
            </w:r>
          </w:p>
        </w:tc>
        <w:tc>
          <w:tcPr>
            <w:tcW w:w="1711" w:type="dxa"/>
            <w:tcBorders>
              <w:top w:val="nil"/>
              <w:left w:val="nil"/>
              <w:bottom w:val="nil"/>
              <w:right w:val="nil"/>
            </w:tcBorders>
          </w:tcPr>
          <w:p w14:paraId="1E780924">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Phospho</w:t>
            </w:r>
            <w:r>
              <w:rPr>
                <w:rFonts w:hint="eastAsia" w:ascii="Arial" w:hAnsi="Arial" w:cs="Arial"/>
                <w:color w:val="000000"/>
                <w:kern w:val="0"/>
                <w:sz w:val="18"/>
                <w:szCs w:val="18"/>
              </w:rPr>
              <w:t>rylation</w:t>
            </w:r>
          </w:p>
        </w:tc>
        <w:tc>
          <w:tcPr>
            <w:tcW w:w="1081" w:type="dxa"/>
            <w:tcBorders>
              <w:top w:val="nil"/>
              <w:left w:val="nil"/>
              <w:bottom w:val="nil"/>
              <w:right w:val="nil"/>
            </w:tcBorders>
          </w:tcPr>
          <w:p w14:paraId="7E037288">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3.78</w:t>
            </w:r>
          </w:p>
        </w:tc>
      </w:tr>
      <w:tr w14:paraId="667CF1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tcBorders>
              <w:top w:val="nil"/>
              <w:left w:val="nil"/>
              <w:bottom w:val="nil"/>
              <w:right w:val="nil"/>
            </w:tcBorders>
          </w:tcPr>
          <w:p w14:paraId="7280A8E6">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LPEPKPV</w:t>
            </w:r>
            <w:r>
              <w:rPr>
                <w:rFonts w:hint="eastAsia" w:ascii="Arial" w:hAnsi="Arial" w:cs="Arial"/>
                <w:color w:val="FF0000"/>
                <w:kern w:val="0"/>
                <w:sz w:val="18"/>
                <w:szCs w:val="18"/>
              </w:rPr>
              <w:t>Y</w:t>
            </w:r>
            <w:r>
              <w:rPr>
                <w:rFonts w:hint="eastAsia" w:ascii="Arial" w:hAnsi="Arial" w:cs="Arial"/>
                <w:color w:val="000000"/>
                <w:kern w:val="0"/>
                <w:sz w:val="18"/>
                <w:szCs w:val="18"/>
              </w:rPr>
              <w:t>AQVGQPD</w:t>
            </w:r>
          </w:p>
        </w:tc>
        <w:tc>
          <w:tcPr>
            <w:tcW w:w="1065" w:type="dxa"/>
            <w:tcBorders>
              <w:top w:val="nil"/>
              <w:left w:val="nil"/>
              <w:bottom w:val="nil"/>
              <w:right w:val="nil"/>
            </w:tcBorders>
          </w:tcPr>
          <w:p w14:paraId="4CDC77E4">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389</w:t>
            </w:r>
          </w:p>
        </w:tc>
        <w:tc>
          <w:tcPr>
            <w:tcW w:w="1611" w:type="dxa"/>
            <w:tcBorders>
              <w:top w:val="nil"/>
              <w:left w:val="nil"/>
              <w:bottom w:val="nil"/>
              <w:right w:val="nil"/>
            </w:tcBorders>
          </w:tcPr>
          <w:p w14:paraId="40F034E1">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Q07157</w:t>
            </w:r>
            <w:r>
              <w:rPr>
                <w:rFonts w:hint="eastAsia" w:ascii="Arial" w:hAnsi="Arial" w:cs="Arial"/>
                <w:color w:val="000000"/>
                <w:kern w:val="0"/>
                <w:sz w:val="18"/>
                <w:szCs w:val="18"/>
              </w:rPr>
              <w:t>(TJP1)</w:t>
            </w:r>
          </w:p>
        </w:tc>
        <w:tc>
          <w:tcPr>
            <w:tcW w:w="1359" w:type="dxa"/>
            <w:tcBorders>
              <w:top w:val="nil"/>
              <w:left w:val="nil"/>
              <w:bottom w:val="nil"/>
              <w:right w:val="nil"/>
            </w:tcBorders>
          </w:tcPr>
          <w:p w14:paraId="5A29676A">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LYN</w:t>
            </w:r>
          </w:p>
        </w:tc>
        <w:tc>
          <w:tcPr>
            <w:tcW w:w="1711" w:type="dxa"/>
            <w:tcBorders>
              <w:top w:val="nil"/>
              <w:left w:val="nil"/>
              <w:bottom w:val="nil"/>
              <w:right w:val="nil"/>
            </w:tcBorders>
          </w:tcPr>
          <w:p w14:paraId="017138E2">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Phospho</w:t>
            </w:r>
            <w:r>
              <w:rPr>
                <w:rFonts w:hint="eastAsia" w:ascii="Arial" w:hAnsi="Arial" w:cs="Arial"/>
                <w:color w:val="000000"/>
                <w:kern w:val="0"/>
                <w:sz w:val="18"/>
                <w:szCs w:val="18"/>
              </w:rPr>
              <w:t>rylation</w:t>
            </w:r>
          </w:p>
        </w:tc>
        <w:tc>
          <w:tcPr>
            <w:tcW w:w="1081" w:type="dxa"/>
            <w:tcBorders>
              <w:top w:val="nil"/>
              <w:left w:val="nil"/>
              <w:bottom w:val="nil"/>
              <w:right w:val="nil"/>
            </w:tcBorders>
          </w:tcPr>
          <w:p w14:paraId="6F9FF4BD">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3.44</w:t>
            </w:r>
          </w:p>
        </w:tc>
      </w:tr>
      <w:tr w14:paraId="62C7A2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tcBorders>
              <w:top w:val="nil"/>
              <w:left w:val="nil"/>
              <w:bottom w:val="nil"/>
              <w:right w:val="nil"/>
            </w:tcBorders>
          </w:tcPr>
          <w:p w14:paraId="623CE366">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AQKKKDV</w:t>
            </w:r>
            <w:r>
              <w:rPr>
                <w:rFonts w:hint="eastAsia" w:ascii="Arial" w:hAnsi="Arial" w:cs="Arial"/>
                <w:color w:val="FF0000"/>
                <w:kern w:val="0"/>
                <w:sz w:val="18"/>
                <w:szCs w:val="18"/>
              </w:rPr>
              <w:t>Y</w:t>
            </w:r>
            <w:r>
              <w:rPr>
                <w:rFonts w:hint="eastAsia" w:ascii="Arial" w:hAnsi="Arial" w:cs="Arial"/>
                <w:color w:val="000000"/>
                <w:kern w:val="0"/>
                <w:sz w:val="18"/>
                <w:szCs w:val="18"/>
              </w:rPr>
              <w:t>RRIVESD</w:t>
            </w:r>
          </w:p>
        </w:tc>
        <w:tc>
          <w:tcPr>
            <w:tcW w:w="1065" w:type="dxa"/>
            <w:tcBorders>
              <w:top w:val="nil"/>
              <w:left w:val="nil"/>
              <w:bottom w:val="nil"/>
              <w:right w:val="nil"/>
            </w:tcBorders>
          </w:tcPr>
          <w:p w14:paraId="54ECA5A8">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507</w:t>
            </w:r>
          </w:p>
        </w:tc>
        <w:tc>
          <w:tcPr>
            <w:tcW w:w="1611" w:type="dxa"/>
            <w:tcBorders>
              <w:top w:val="nil"/>
              <w:left w:val="nil"/>
              <w:bottom w:val="nil"/>
              <w:right w:val="nil"/>
            </w:tcBorders>
          </w:tcPr>
          <w:p w14:paraId="159C0390">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Q07157</w:t>
            </w:r>
            <w:r>
              <w:rPr>
                <w:rFonts w:hint="eastAsia" w:ascii="Arial" w:hAnsi="Arial" w:cs="Arial"/>
                <w:color w:val="000000"/>
                <w:kern w:val="0"/>
                <w:sz w:val="18"/>
                <w:szCs w:val="18"/>
              </w:rPr>
              <w:t>(TJP1)</w:t>
            </w:r>
          </w:p>
        </w:tc>
        <w:tc>
          <w:tcPr>
            <w:tcW w:w="1359" w:type="dxa"/>
            <w:tcBorders>
              <w:top w:val="nil"/>
              <w:left w:val="nil"/>
              <w:bottom w:val="nil"/>
              <w:right w:val="nil"/>
            </w:tcBorders>
          </w:tcPr>
          <w:p w14:paraId="1D416383">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LYN</w:t>
            </w:r>
          </w:p>
        </w:tc>
        <w:tc>
          <w:tcPr>
            <w:tcW w:w="1711" w:type="dxa"/>
            <w:tcBorders>
              <w:top w:val="nil"/>
              <w:left w:val="nil"/>
              <w:bottom w:val="nil"/>
              <w:right w:val="nil"/>
            </w:tcBorders>
          </w:tcPr>
          <w:p w14:paraId="709354E8">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Phospho</w:t>
            </w:r>
            <w:r>
              <w:rPr>
                <w:rFonts w:hint="eastAsia" w:ascii="Arial" w:hAnsi="Arial" w:cs="Arial"/>
                <w:color w:val="000000"/>
                <w:kern w:val="0"/>
                <w:sz w:val="18"/>
                <w:szCs w:val="18"/>
              </w:rPr>
              <w:t>rylation</w:t>
            </w:r>
          </w:p>
        </w:tc>
        <w:tc>
          <w:tcPr>
            <w:tcW w:w="1081" w:type="dxa"/>
            <w:tcBorders>
              <w:top w:val="nil"/>
              <w:left w:val="nil"/>
              <w:bottom w:val="nil"/>
              <w:right w:val="nil"/>
            </w:tcBorders>
          </w:tcPr>
          <w:p w14:paraId="5F2D2A96">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3.86</w:t>
            </w:r>
          </w:p>
        </w:tc>
      </w:tr>
      <w:tr w14:paraId="3CFFD1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tcBorders>
              <w:top w:val="nil"/>
              <w:left w:val="nil"/>
              <w:bottom w:val="nil"/>
              <w:right w:val="nil"/>
            </w:tcBorders>
          </w:tcPr>
          <w:p w14:paraId="1FAAF7DC">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AREEPDI</w:t>
            </w:r>
            <w:r>
              <w:rPr>
                <w:rFonts w:hint="eastAsia" w:ascii="Arial" w:hAnsi="Arial" w:cs="Arial"/>
                <w:color w:val="FF0000"/>
                <w:kern w:val="0"/>
                <w:sz w:val="18"/>
                <w:szCs w:val="18"/>
              </w:rPr>
              <w:t>Y</w:t>
            </w:r>
            <w:r>
              <w:rPr>
                <w:rFonts w:hint="eastAsia" w:ascii="Arial" w:hAnsi="Arial" w:cs="Arial"/>
                <w:color w:val="000000"/>
                <w:kern w:val="0"/>
                <w:sz w:val="18"/>
                <w:szCs w:val="18"/>
              </w:rPr>
              <w:t>QIAKSEP</w:t>
            </w:r>
          </w:p>
        </w:tc>
        <w:tc>
          <w:tcPr>
            <w:tcW w:w="1065" w:type="dxa"/>
            <w:tcBorders>
              <w:top w:val="nil"/>
              <w:left w:val="nil"/>
              <w:bottom w:val="nil"/>
              <w:right w:val="nil"/>
            </w:tcBorders>
          </w:tcPr>
          <w:p w14:paraId="7CF3851D">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669</w:t>
            </w:r>
          </w:p>
        </w:tc>
        <w:tc>
          <w:tcPr>
            <w:tcW w:w="1611" w:type="dxa"/>
            <w:tcBorders>
              <w:top w:val="nil"/>
              <w:left w:val="nil"/>
              <w:bottom w:val="nil"/>
              <w:right w:val="nil"/>
            </w:tcBorders>
          </w:tcPr>
          <w:p w14:paraId="2546B3B4">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Q07157</w:t>
            </w:r>
            <w:r>
              <w:rPr>
                <w:rFonts w:hint="eastAsia" w:ascii="Arial" w:hAnsi="Arial" w:cs="Arial"/>
                <w:color w:val="000000"/>
                <w:kern w:val="0"/>
                <w:sz w:val="18"/>
                <w:szCs w:val="18"/>
              </w:rPr>
              <w:t>(TJP1)</w:t>
            </w:r>
          </w:p>
        </w:tc>
        <w:tc>
          <w:tcPr>
            <w:tcW w:w="1359" w:type="dxa"/>
            <w:tcBorders>
              <w:top w:val="nil"/>
              <w:left w:val="nil"/>
              <w:bottom w:val="nil"/>
              <w:right w:val="nil"/>
            </w:tcBorders>
          </w:tcPr>
          <w:p w14:paraId="2468D822">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LYN</w:t>
            </w:r>
          </w:p>
        </w:tc>
        <w:tc>
          <w:tcPr>
            <w:tcW w:w="1711" w:type="dxa"/>
            <w:tcBorders>
              <w:top w:val="nil"/>
              <w:left w:val="nil"/>
              <w:bottom w:val="nil"/>
              <w:right w:val="nil"/>
            </w:tcBorders>
          </w:tcPr>
          <w:p w14:paraId="65385EBA">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Phospho</w:t>
            </w:r>
            <w:r>
              <w:rPr>
                <w:rFonts w:hint="eastAsia" w:ascii="Arial" w:hAnsi="Arial" w:cs="Arial"/>
                <w:color w:val="000000"/>
                <w:kern w:val="0"/>
                <w:sz w:val="18"/>
                <w:szCs w:val="18"/>
              </w:rPr>
              <w:t>rylation</w:t>
            </w:r>
          </w:p>
        </w:tc>
        <w:tc>
          <w:tcPr>
            <w:tcW w:w="1081" w:type="dxa"/>
            <w:tcBorders>
              <w:top w:val="nil"/>
              <w:left w:val="nil"/>
              <w:bottom w:val="nil"/>
              <w:right w:val="nil"/>
            </w:tcBorders>
          </w:tcPr>
          <w:p w14:paraId="3E96DF43">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3.73</w:t>
            </w:r>
          </w:p>
        </w:tc>
      </w:tr>
      <w:tr w14:paraId="4C8162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tcBorders>
              <w:top w:val="nil"/>
              <w:left w:val="nil"/>
              <w:bottom w:val="nil"/>
              <w:right w:val="nil"/>
            </w:tcBorders>
          </w:tcPr>
          <w:p w14:paraId="3D04A789">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DSRHTSD</w:t>
            </w:r>
            <w:r>
              <w:rPr>
                <w:rFonts w:hint="eastAsia" w:ascii="Arial" w:hAnsi="Arial" w:cs="Arial"/>
                <w:color w:val="FF0000"/>
                <w:kern w:val="0"/>
                <w:sz w:val="18"/>
                <w:szCs w:val="18"/>
              </w:rPr>
              <w:t>Y</w:t>
            </w:r>
            <w:r>
              <w:rPr>
                <w:rFonts w:hint="eastAsia" w:ascii="Arial" w:hAnsi="Arial" w:cs="Arial"/>
                <w:color w:val="000000"/>
                <w:kern w:val="0"/>
                <w:sz w:val="18"/>
                <w:szCs w:val="18"/>
              </w:rPr>
              <w:t>EDTDTEG</w:t>
            </w:r>
          </w:p>
        </w:tc>
        <w:tc>
          <w:tcPr>
            <w:tcW w:w="1065" w:type="dxa"/>
            <w:tcBorders>
              <w:top w:val="nil"/>
              <w:left w:val="nil"/>
              <w:bottom w:val="nil"/>
              <w:right w:val="nil"/>
            </w:tcBorders>
          </w:tcPr>
          <w:p w14:paraId="769C003E">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843</w:t>
            </w:r>
          </w:p>
        </w:tc>
        <w:tc>
          <w:tcPr>
            <w:tcW w:w="1611" w:type="dxa"/>
            <w:tcBorders>
              <w:top w:val="nil"/>
              <w:left w:val="nil"/>
              <w:bottom w:val="nil"/>
              <w:right w:val="nil"/>
            </w:tcBorders>
          </w:tcPr>
          <w:p w14:paraId="59C243AE">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Q07157</w:t>
            </w:r>
            <w:r>
              <w:rPr>
                <w:rFonts w:hint="eastAsia" w:ascii="Arial" w:hAnsi="Arial" w:cs="Arial"/>
                <w:color w:val="000000"/>
                <w:kern w:val="0"/>
                <w:sz w:val="18"/>
                <w:szCs w:val="18"/>
              </w:rPr>
              <w:t>(TJP1)</w:t>
            </w:r>
          </w:p>
        </w:tc>
        <w:tc>
          <w:tcPr>
            <w:tcW w:w="1359" w:type="dxa"/>
            <w:tcBorders>
              <w:top w:val="nil"/>
              <w:left w:val="nil"/>
              <w:bottom w:val="nil"/>
              <w:right w:val="nil"/>
            </w:tcBorders>
          </w:tcPr>
          <w:p w14:paraId="0CAB5F7A">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LYN</w:t>
            </w:r>
          </w:p>
        </w:tc>
        <w:tc>
          <w:tcPr>
            <w:tcW w:w="1711" w:type="dxa"/>
            <w:tcBorders>
              <w:top w:val="nil"/>
              <w:left w:val="nil"/>
              <w:bottom w:val="nil"/>
              <w:right w:val="nil"/>
            </w:tcBorders>
          </w:tcPr>
          <w:p w14:paraId="257A8910">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Phospho</w:t>
            </w:r>
            <w:r>
              <w:rPr>
                <w:rFonts w:hint="eastAsia" w:ascii="Arial" w:hAnsi="Arial" w:cs="Arial"/>
                <w:color w:val="000000"/>
                <w:kern w:val="0"/>
                <w:sz w:val="18"/>
                <w:szCs w:val="18"/>
              </w:rPr>
              <w:t>rylation</w:t>
            </w:r>
          </w:p>
        </w:tc>
        <w:tc>
          <w:tcPr>
            <w:tcW w:w="1081" w:type="dxa"/>
            <w:tcBorders>
              <w:top w:val="nil"/>
              <w:left w:val="nil"/>
              <w:bottom w:val="nil"/>
              <w:right w:val="nil"/>
            </w:tcBorders>
          </w:tcPr>
          <w:p w14:paraId="68E8F810">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2.86</w:t>
            </w:r>
          </w:p>
        </w:tc>
      </w:tr>
      <w:tr w14:paraId="61E81B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tcBorders>
              <w:top w:val="nil"/>
              <w:left w:val="nil"/>
              <w:bottom w:val="nil"/>
              <w:right w:val="nil"/>
            </w:tcBorders>
          </w:tcPr>
          <w:p w14:paraId="1A9C015E">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TDTEGGA</w:t>
            </w:r>
            <w:r>
              <w:rPr>
                <w:rFonts w:hint="eastAsia" w:ascii="Arial" w:hAnsi="Arial" w:cs="Arial"/>
                <w:color w:val="FF0000"/>
                <w:kern w:val="0"/>
                <w:sz w:val="18"/>
                <w:szCs w:val="18"/>
              </w:rPr>
              <w:t>Y</w:t>
            </w:r>
            <w:r>
              <w:rPr>
                <w:rFonts w:hint="eastAsia" w:ascii="Arial" w:hAnsi="Arial" w:cs="Arial"/>
                <w:color w:val="000000"/>
                <w:kern w:val="0"/>
                <w:sz w:val="18"/>
                <w:szCs w:val="18"/>
              </w:rPr>
              <w:t>TDQELDE</w:t>
            </w:r>
          </w:p>
        </w:tc>
        <w:tc>
          <w:tcPr>
            <w:tcW w:w="1065" w:type="dxa"/>
            <w:tcBorders>
              <w:top w:val="nil"/>
              <w:left w:val="nil"/>
              <w:bottom w:val="nil"/>
              <w:right w:val="nil"/>
            </w:tcBorders>
          </w:tcPr>
          <w:p w14:paraId="6DED28CB">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853</w:t>
            </w:r>
          </w:p>
        </w:tc>
        <w:tc>
          <w:tcPr>
            <w:tcW w:w="1611" w:type="dxa"/>
            <w:tcBorders>
              <w:top w:val="nil"/>
              <w:left w:val="nil"/>
              <w:bottom w:val="nil"/>
              <w:right w:val="nil"/>
            </w:tcBorders>
          </w:tcPr>
          <w:p w14:paraId="3E42F60C">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Q07157</w:t>
            </w:r>
            <w:r>
              <w:rPr>
                <w:rFonts w:hint="eastAsia" w:ascii="Arial" w:hAnsi="Arial" w:cs="Arial"/>
                <w:color w:val="000000"/>
                <w:kern w:val="0"/>
                <w:sz w:val="18"/>
                <w:szCs w:val="18"/>
              </w:rPr>
              <w:t>(TJP1)</w:t>
            </w:r>
          </w:p>
        </w:tc>
        <w:tc>
          <w:tcPr>
            <w:tcW w:w="1359" w:type="dxa"/>
            <w:tcBorders>
              <w:top w:val="nil"/>
              <w:left w:val="nil"/>
              <w:bottom w:val="nil"/>
              <w:right w:val="nil"/>
            </w:tcBorders>
          </w:tcPr>
          <w:p w14:paraId="29E5FF68">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LYN</w:t>
            </w:r>
          </w:p>
        </w:tc>
        <w:tc>
          <w:tcPr>
            <w:tcW w:w="1711" w:type="dxa"/>
            <w:tcBorders>
              <w:top w:val="nil"/>
              <w:left w:val="nil"/>
              <w:bottom w:val="nil"/>
              <w:right w:val="nil"/>
            </w:tcBorders>
          </w:tcPr>
          <w:p w14:paraId="7783F279">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Phospho</w:t>
            </w:r>
            <w:r>
              <w:rPr>
                <w:rFonts w:hint="eastAsia" w:ascii="Arial" w:hAnsi="Arial" w:cs="Arial"/>
                <w:color w:val="000000"/>
                <w:kern w:val="0"/>
                <w:sz w:val="18"/>
                <w:szCs w:val="18"/>
              </w:rPr>
              <w:t>rylation</w:t>
            </w:r>
          </w:p>
        </w:tc>
        <w:tc>
          <w:tcPr>
            <w:tcW w:w="1081" w:type="dxa"/>
            <w:tcBorders>
              <w:top w:val="nil"/>
              <w:left w:val="nil"/>
              <w:bottom w:val="nil"/>
              <w:right w:val="nil"/>
            </w:tcBorders>
          </w:tcPr>
          <w:p w14:paraId="1BFA06EB">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2.83</w:t>
            </w:r>
          </w:p>
        </w:tc>
      </w:tr>
      <w:tr w14:paraId="5378D9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tcBorders>
              <w:top w:val="nil"/>
              <w:left w:val="nil"/>
              <w:bottom w:val="nil"/>
              <w:right w:val="nil"/>
            </w:tcBorders>
          </w:tcPr>
          <w:p w14:paraId="207B4997">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SEHDKTL</w:t>
            </w:r>
            <w:r>
              <w:rPr>
                <w:rFonts w:hint="eastAsia" w:ascii="Arial" w:hAnsi="Arial" w:cs="Arial"/>
                <w:color w:val="FF0000"/>
                <w:kern w:val="0"/>
                <w:sz w:val="18"/>
                <w:szCs w:val="18"/>
              </w:rPr>
              <w:t>Y</w:t>
            </w:r>
            <w:r>
              <w:rPr>
                <w:rFonts w:hint="eastAsia" w:ascii="Arial" w:hAnsi="Arial" w:cs="Arial"/>
                <w:color w:val="000000"/>
                <w:kern w:val="0"/>
                <w:sz w:val="18"/>
                <w:szCs w:val="18"/>
              </w:rPr>
              <w:t>RIPEPQK</w:t>
            </w:r>
          </w:p>
        </w:tc>
        <w:tc>
          <w:tcPr>
            <w:tcW w:w="1065" w:type="dxa"/>
            <w:tcBorders>
              <w:top w:val="nil"/>
              <w:left w:val="nil"/>
              <w:bottom w:val="nil"/>
              <w:right w:val="nil"/>
            </w:tcBorders>
          </w:tcPr>
          <w:p w14:paraId="34C2FC19">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1324</w:t>
            </w:r>
          </w:p>
        </w:tc>
        <w:tc>
          <w:tcPr>
            <w:tcW w:w="1611" w:type="dxa"/>
            <w:tcBorders>
              <w:top w:val="nil"/>
              <w:left w:val="nil"/>
              <w:bottom w:val="nil"/>
              <w:right w:val="nil"/>
            </w:tcBorders>
          </w:tcPr>
          <w:p w14:paraId="374E278B">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Q07157</w:t>
            </w:r>
            <w:r>
              <w:rPr>
                <w:rFonts w:hint="eastAsia" w:ascii="Arial" w:hAnsi="Arial" w:cs="Arial"/>
                <w:color w:val="000000"/>
                <w:kern w:val="0"/>
                <w:sz w:val="18"/>
                <w:szCs w:val="18"/>
              </w:rPr>
              <w:t>(TJP1)</w:t>
            </w:r>
          </w:p>
        </w:tc>
        <w:tc>
          <w:tcPr>
            <w:tcW w:w="1359" w:type="dxa"/>
            <w:tcBorders>
              <w:top w:val="nil"/>
              <w:left w:val="nil"/>
              <w:bottom w:val="nil"/>
              <w:right w:val="nil"/>
            </w:tcBorders>
          </w:tcPr>
          <w:p w14:paraId="4C4FDEE1">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LYN</w:t>
            </w:r>
          </w:p>
        </w:tc>
        <w:tc>
          <w:tcPr>
            <w:tcW w:w="1711" w:type="dxa"/>
            <w:tcBorders>
              <w:top w:val="nil"/>
              <w:left w:val="nil"/>
              <w:bottom w:val="nil"/>
              <w:right w:val="nil"/>
            </w:tcBorders>
          </w:tcPr>
          <w:p w14:paraId="2F264058">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Phospho</w:t>
            </w:r>
            <w:r>
              <w:rPr>
                <w:rFonts w:hint="eastAsia" w:ascii="Arial" w:hAnsi="Arial" w:cs="Arial"/>
                <w:color w:val="000000"/>
                <w:kern w:val="0"/>
                <w:sz w:val="18"/>
                <w:szCs w:val="18"/>
              </w:rPr>
              <w:t>rylation</w:t>
            </w:r>
          </w:p>
        </w:tc>
        <w:tc>
          <w:tcPr>
            <w:tcW w:w="1081" w:type="dxa"/>
            <w:tcBorders>
              <w:top w:val="nil"/>
              <w:left w:val="nil"/>
              <w:bottom w:val="nil"/>
              <w:right w:val="nil"/>
            </w:tcBorders>
          </w:tcPr>
          <w:p w14:paraId="697F4B4E">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3.05</w:t>
            </w:r>
          </w:p>
        </w:tc>
      </w:tr>
      <w:tr w14:paraId="4E97CB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tcBorders>
              <w:top w:val="nil"/>
              <w:left w:val="nil"/>
              <w:bottom w:val="nil"/>
              <w:right w:val="nil"/>
            </w:tcBorders>
          </w:tcPr>
          <w:p w14:paraId="5E349937">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DPEEDEE</w:t>
            </w:r>
            <w:r>
              <w:rPr>
                <w:rFonts w:hint="eastAsia" w:ascii="Arial" w:hAnsi="Arial" w:cs="Arial"/>
                <w:color w:val="FF0000"/>
                <w:kern w:val="0"/>
                <w:sz w:val="18"/>
                <w:szCs w:val="18"/>
              </w:rPr>
              <w:t>Y</w:t>
            </w:r>
            <w:r>
              <w:rPr>
                <w:rFonts w:hint="eastAsia" w:ascii="Arial" w:hAnsi="Arial" w:cs="Arial"/>
                <w:color w:val="000000"/>
                <w:kern w:val="0"/>
                <w:sz w:val="18"/>
                <w:szCs w:val="18"/>
              </w:rPr>
              <w:t>YRKQLSY</w:t>
            </w:r>
          </w:p>
        </w:tc>
        <w:tc>
          <w:tcPr>
            <w:tcW w:w="1065" w:type="dxa"/>
            <w:tcBorders>
              <w:top w:val="nil"/>
              <w:left w:val="nil"/>
              <w:bottom w:val="nil"/>
              <w:right w:val="nil"/>
            </w:tcBorders>
          </w:tcPr>
          <w:p w14:paraId="22E6A8B3">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1354</w:t>
            </w:r>
          </w:p>
        </w:tc>
        <w:tc>
          <w:tcPr>
            <w:tcW w:w="1611" w:type="dxa"/>
            <w:tcBorders>
              <w:top w:val="nil"/>
              <w:left w:val="nil"/>
              <w:bottom w:val="nil"/>
              <w:right w:val="nil"/>
            </w:tcBorders>
          </w:tcPr>
          <w:p w14:paraId="05E2AD14">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Q07157</w:t>
            </w:r>
            <w:r>
              <w:rPr>
                <w:rFonts w:hint="eastAsia" w:ascii="Arial" w:hAnsi="Arial" w:cs="Arial"/>
                <w:color w:val="000000"/>
                <w:kern w:val="0"/>
                <w:sz w:val="18"/>
                <w:szCs w:val="18"/>
              </w:rPr>
              <w:t>(TJP1)</w:t>
            </w:r>
          </w:p>
        </w:tc>
        <w:tc>
          <w:tcPr>
            <w:tcW w:w="1359" w:type="dxa"/>
            <w:tcBorders>
              <w:top w:val="nil"/>
              <w:left w:val="nil"/>
              <w:bottom w:val="nil"/>
              <w:right w:val="nil"/>
            </w:tcBorders>
          </w:tcPr>
          <w:p w14:paraId="641687C5">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LYN</w:t>
            </w:r>
          </w:p>
        </w:tc>
        <w:tc>
          <w:tcPr>
            <w:tcW w:w="1711" w:type="dxa"/>
            <w:tcBorders>
              <w:top w:val="nil"/>
              <w:left w:val="nil"/>
              <w:bottom w:val="nil"/>
              <w:right w:val="nil"/>
            </w:tcBorders>
          </w:tcPr>
          <w:p w14:paraId="4F63708D">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Phospho</w:t>
            </w:r>
            <w:r>
              <w:rPr>
                <w:rFonts w:hint="eastAsia" w:ascii="Arial" w:hAnsi="Arial" w:cs="Arial"/>
                <w:color w:val="000000"/>
                <w:kern w:val="0"/>
                <w:sz w:val="18"/>
                <w:szCs w:val="18"/>
              </w:rPr>
              <w:t>rylation</w:t>
            </w:r>
          </w:p>
        </w:tc>
        <w:tc>
          <w:tcPr>
            <w:tcW w:w="1081" w:type="dxa"/>
            <w:tcBorders>
              <w:top w:val="nil"/>
              <w:left w:val="nil"/>
              <w:bottom w:val="nil"/>
              <w:right w:val="nil"/>
            </w:tcBorders>
          </w:tcPr>
          <w:p w14:paraId="34E19ED9">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2.73</w:t>
            </w:r>
          </w:p>
        </w:tc>
      </w:tr>
      <w:tr w14:paraId="7DB688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tcBorders>
              <w:top w:val="nil"/>
              <w:left w:val="nil"/>
              <w:bottom w:val="single" w:color="auto" w:sz="12" w:space="0"/>
              <w:right w:val="nil"/>
            </w:tcBorders>
          </w:tcPr>
          <w:p w14:paraId="30694042">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RSFGEKR</w:t>
            </w:r>
            <w:r>
              <w:rPr>
                <w:rFonts w:hint="eastAsia" w:ascii="Arial" w:hAnsi="Arial" w:cs="Arial"/>
                <w:color w:val="FF0000"/>
                <w:kern w:val="0"/>
                <w:sz w:val="18"/>
                <w:szCs w:val="18"/>
              </w:rPr>
              <w:t>Y</w:t>
            </w:r>
            <w:r>
              <w:rPr>
                <w:rFonts w:hint="eastAsia" w:ascii="Arial" w:hAnsi="Arial" w:cs="Arial"/>
                <w:color w:val="000000"/>
                <w:kern w:val="0"/>
                <w:sz w:val="18"/>
                <w:szCs w:val="18"/>
              </w:rPr>
              <w:t>EPIQATP</w:t>
            </w:r>
          </w:p>
        </w:tc>
        <w:tc>
          <w:tcPr>
            <w:tcW w:w="1065" w:type="dxa"/>
            <w:tcBorders>
              <w:top w:val="nil"/>
              <w:left w:val="nil"/>
              <w:bottom w:val="single" w:color="auto" w:sz="12" w:space="0"/>
              <w:right w:val="nil"/>
            </w:tcBorders>
          </w:tcPr>
          <w:p w14:paraId="50D301DC">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1419</w:t>
            </w:r>
          </w:p>
        </w:tc>
        <w:tc>
          <w:tcPr>
            <w:tcW w:w="1611" w:type="dxa"/>
            <w:tcBorders>
              <w:top w:val="nil"/>
              <w:left w:val="nil"/>
              <w:bottom w:val="single" w:color="auto" w:sz="12" w:space="0"/>
              <w:right w:val="nil"/>
            </w:tcBorders>
          </w:tcPr>
          <w:p w14:paraId="49FB459D">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Q07157</w:t>
            </w:r>
            <w:r>
              <w:rPr>
                <w:rFonts w:hint="eastAsia" w:ascii="Arial" w:hAnsi="Arial" w:cs="Arial"/>
                <w:color w:val="000000"/>
                <w:kern w:val="0"/>
                <w:sz w:val="18"/>
                <w:szCs w:val="18"/>
              </w:rPr>
              <w:t>(TJP1)</w:t>
            </w:r>
          </w:p>
        </w:tc>
        <w:tc>
          <w:tcPr>
            <w:tcW w:w="1359" w:type="dxa"/>
            <w:tcBorders>
              <w:top w:val="nil"/>
              <w:left w:val="nil"/>
              <w:bottom w:val="single" w:color="auto" w:sz="12" w:space="0"/>
              <w:right w:val="nil"/>
            </w:tcBorders>
          </w:tcPr>
          <w:p w14:paraId="47AA7911">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LYN</w:t>
            </w:r>
          </w:p>
        </w:tc>
        <w:tc>
          <w:tcPr>
            <w:tcW w:w="1711" w:type="dxa"/>
            <w:tcBorders>
              <w:top w:val="nil"/>
              <w:left w:val="nil"/>
              <w:bottom w:val="single" w:color="auto" w:sz="12" w:space="0"/>
              <w:right w:val="nil"/>
            </w:tcBorders>
          </w:tcPr>
          <w:p w14:paraId="71F363A1">
            <w:pPr>
              <w:widowControl/>
              <w:spacing w:line="360" w:lineRule="auto"/>
              <w:jc w:val="left"/>
              <w:rPr>
                <w:rFonts w:ascii="Arial" w:hAnsi="Arial" w:cs="Arial"/>
                <w:color w:val="000000"/>
                <w:kern w:val="0"/>
                <w:sz w:val="18"/>
                <w:szCs w:val="18"/>
              </w:rPr>
            </w:pPr>
            <w:r>
              <w:rPr>
                <w:rFonts w:ascii="Arial" w:hAnsi="Arial" w:cs="Arial"/>
                <w:color w:val="000000"/>
                <w:kern w:val="0"/>
                <w:sz w:val="18"/>
                <w:szCs w:val="18"/>
              </w:rPr>
              <w:t>Phospho</w:t>
            </w:r>
            <w:r>
              <w:rPr>
                <w:rFonts w:hint="eastAsia" w:ascii="Arial" w:hAnsi="Arial" w:cs="Arial"/>
                <w:color w:val="000000"/>
                <w:kern w:val="0"/>
                <w:sz w:val="18"/>
                <w:szCs w:val="18"/>
              </w:rPr>
              <w:t>rylation</w:t>
            </w:r>
          </w:p>
        </w:tc>
        <w:tc>
          <w:tcPr>
            <w:tcW w:w="1081" w:type="dxa"/>
            <w:tcBorders>
              <w:top w:val="nil"/>
              <w:left w:val="nil"/>
              <w:bottom w:val="single" w:color="auto" w:sz="12" w:space="0"/>
              <w:right w:val="nil"/>
            </w:tcBorders>
          </w:tcPr>
          <w:p w14:paraId="21420B41">
            <w:pPr>
              <w:widowControl/>
              <w:spacing w:line="360" w:lineRule="auto"/>
              <w:jc w:val="left"/>
              <w:rPr>
                <w:rFonts w:ascii="Arial" w:hAnsi="Arial" w:cs="Arial"/>
                <w:color w:val="000000"/>
                <w:kern w:val="0"/>
                <w:sz w:val="18"/>
                <w:szCs w:val="18"/>
              </w:rPr>
            </w:pPr>
            <w:r>
              <w:rPr>
                <w:rFonts w:hint="eastAsia" w:ascii="Arial" w:hAnsi="Arial" w:cs="Arial"/>
                <w:color w:val="000000"/>
                <w:kern w:val="0"/>
                <w:sz w:val="18"/>
                <w:szCs w:val="18"/>
              </w:rPr>
              <w:t>3.13</w:t>
            </w:r>
          </w:p>
        </w:tc>
      </w:tr>
    </w:tbl>
    <w:p w14:paraId="64737F16">
      <w:pPr>
        <w:spacing w:line="360" w:lineRule="auto"/>
        <w:rPr>
          <w:rFonts w:ascii="Arial" w:hAnsi="Arial" w:cs="Arial"/>
        </w:rPr>
      </w:pP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dvOTf9433e2d">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Letter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fwfda999r52tedfdnpdxf6swxf0ptwxww5&quot;&gt;My EndNote Library&lt;record-ids&gt;&lt;item&gt;1&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record-ids&gt;&lt;/item&gt;&lt;/Libraries&gt;"/>
  </w:docVars>
  <w:rsids>
    <w:rsidRoot w:val="003A4FB1"/>
    <w:rsid w:val="00002415"/>
    <w:rsid w:val="0000516C"/>
    <w:rsid w:val="00012352"/>
    <w:rsid w:val="000176AE"/>
    <w:rsid w:val="00023208"/>
    <w:rsid w:val="00023EF2"/>
    <w:rsid w:val="000241E3"/>
    <w:rsid w:val="00027ACF"/>
    <w:rsid w:val="000348B2"/>
    <w:rsid w:val="00035F67"/>
    <w:rsid w:val="000362B2"/>
    <w:rsid w:val="0004412B"/>
    <w:rsid w:val="00044161"/>
    <w:rsid w:val="00046E4E"/>
    <w:rsid w:val="000470FA"/>
    <w:rsid w:val="00051C68"/>
    <w:rsid w:val="00052BE3"/>
    <w:rsid w:val="00056BAA"/>
    <w:rsid w:val="00063452"/>
    <w:rsid w:val="00063E6B"/>
    <w:rsid w:val="00065638"/>
    <w:rsid w:val="00066849"/>
    <w:rsid w:val="00070B19"/>
    <w:rsid w:val="00070B3C"/>
    <w:rsid w:val="000835A1"/>
    <w:rsid w:val="0009106E"/>
    <w:rsid w:val="000932D5"/>
    <w:rsid w:val="00093659"/>
    <w:rsid w:val="00094B3B"/>
    <w:rsid w:val="000954A3"/>
    <w:rsid w:val="00095C09"/>
    <w:rsid w:val="00095E1D"/>
    <w:rsid w:val="00096B9B"/>
    <w:rsid w:val="00096DA6"/>
    <w:rsid w:val="00097969"/>
    <w:rsid w:val="000A138B"/>
    <w:rsid w:val="000A450A"/>
    <w:rsid w:val="000A49E8"/>
    <w:rsid w:val="000A50FA"/>
    <w:rsid w:val="000B03CB"/>
    <w:rsid w:val="000B27CE"/>
    <w:rsid w:val="000B3953"/>
    <w:rsid w:val="000B4259"/>
    <w:rsid w:val="000C244C"/>
    <w:rsid w:val="000C6A48"/>
    <w:rsid w:val="000C71FE"/>
    <w:rsid w:val="000D025C"/>
    <w:rsid w:val="000D151F"/>
    <w:rsid w:val="000D1FB2"/>
    <w:rsid w:val="000D208C"/>
    <w:rsid w:val="000D38D5"/>
    <w:rsid w:val="000E02CE"/>
    <w:rsid w:val="000E0D8E"/>
    <w:rsid w:val="000E19F9"/>
    <w:rsid w:val="000E31A1"/>
    <w:rsid w:val="000F19B4"/>
    <w:rsid w:val="000F2319"/>
    <w:rsid w:val="000F2404"/>
    <w:rsid w:val="000F2998"/>
    <w:rsid w:val="000F7232"/>
    <w:rsid w:val="00106CEA"/>
    <w:rsid w:val="001077B4"/>
    <w:rsid w:val="00107D68"/>
    <w:rsid w:val="001107AA"/>
    <w:rsid w:val="00110EE7"/>
    <w:rsid w:val="00115CA0"/>
    <w:rsid w:val="00117E9D"/>
    <w:rsid w:val="00121466"/>
    <w:rsid w:val="00121FC5"/>
    <w:rsid w:val="00122B3D"/>
    <w:rsid w:val="001230DF"/>
    <w:rsid w:val="00124A48"/>
    <w:rsid w:val="0012565D"/>
    <w:rsid w:val="00125D15"/>
    <w:rsid w:val="00136E9D"/>
    <w:rsid w:val="001375CA"/>
    <w:rsid w:val="001426E9"/>
    <w:rsid w:val="00144487"/>
    <w:rsid w:val="0016415C"/>
    <w:rsid w:val="001662FF"/>
    <w:rsid w:val="001666C9"/>
    <w:rsid w:val="00166D5A"/>
    <w:rsid w:val="00172A6B"/>
    <w:rsid w:val="001737D7"/>
    <w:rsid w:val="00176108"/>
    <w:rsid w:val="00177E31"/>
    <w:rsid w:val="00181D6B"/>
    <w:rsid w:val="00184A77"/>
    <w:rsid w:val="0019070F"/>
    <w:rsid w:val="001934FE"/>
    <w:rsid w:val="00193BC7"/>
    <w:rsid w:val="00196281"/>
    <w:rsid w:val="001A496E"/>
    <w:rsid w:val="001B02BB"/>
    <w:rsid w:val="001B139E"/>
    <w:rsid w:val="001B37D4"/>
    <w:rsid w:val="001B7638"/>
    <w:rsid w:val="001C0BA5"/>
    <w:rsid w:val="001C207F"/>
    <w:rsid w:val="001C3900"/>
    <w:rsid w:val="001C57D2"/>
    <w:rsid w:val="001D101A"/>
    <w:rsid w:val="001D1BF2"/>
    <w:rsid w:val="001D5A90"/>
    <w:rsid w:val="001D6981"/>
    <w:rsid w:val="001D7690"/>
    <w:rsid w:val="001E3DB9"/>
    <w:rsid w:val="001E4CF0"/>
    <w:rsid w:val="001E63D2"/>
    <w:rsid w:val="001F2DAF"/>
    <w:rsid w:val="001F4F36"/>
    <w:rsid w:val="001F6475"/>
    <w:rsid w:val="001F6803"/>
    <w:rsid w:val="00202A3D"/>
    <w:rsid w:val="00202F35"/>
    <w:rsid w:val="0020704F"/>
    <w:rsid w:val="00213503"/>
    <w:rsid w:val="00213CC9"/>
    <w:rsid w:val="00214199"/>
    <w:rsid w:val="00214A58"/>
    <w:rsid w:val="00215378"/>
    <w:rsid w:val="002205E5"/>
    <w:rsid w:val="00225D92"/>
    <w:rsid w:val="00234242"/>
    <w:rsid w:val="0023453C"/>
    <w:rsid w:val="002357FE"/>
    <w:rsid w:val="0023606E"/>
    <w:rsid w:val="00236CC0"/>
    <w:rsid w:val="002373FB"/>
    <w:rsid w:val="00242E3F"/>
    <w:rsid w:val="00243605"/>
    <w:rsid w:val="0025122C"/>
    <w:rsid w:val="002530FC"/>
    <w:rsid w:val="002537B3"/>
    <w:rsid w:val="00253ADD"/>
    <w:rsid w:val="002541DE"/>
    <w:rsid w:val="00255167"/>
    <w:rsid w:val="0025713A"/>
    <w:rsid w:val="00257A08"/>
    <w:rsid w:val="0026049C"/>
    <w:rsid w:val="0026371F"/>
    <w:rsid w:val="00263B3E"/>
    <w:rsid w:val="00264B18"/>
    <w:rsid w:val="00267E0B"/>
    <w:rsid w:val="0027024A"/>
    <w:rsid w:val="002708D2"/>
    <w:rsid w:val="002756A3"/>
    <w:rsid w:val="0027622D"/>
    <w:rsid w:val="0028394A"/>
    <w:rsid w:val="00284598"/>
    <w:rsid w:val="00284965"/>
    <w:rsid w:val="00285376"/>
    <w:rsid w:val="00287575"/>
    <w:rsid w:val="002908C1"/>
    <w:rsid w:val="00290CDC"/>
    <w:rsid w:val="00292D3D"/>
    <w:rsid w:val="00293722"/>
    <w:rsid w:val="00295406"/>
    <w:rsid w:val="002954F0"/>
    <w:rsid w:val="0029690A"/>
    <w:rsid w:val="00297F8F"/>
    <w:rsid w:val="002A2D5F"/>
    <w:rsid w:val="002A3227"/>
    <w:rsid w:val="002A3AE0"/>
    <w:rsid w:val="002A3B91"/>
    <w:rsid w:val="002A530D"/>
    <w:rsid w:val="002A55E2"/>
    <w:rsid w:val="002A595C"/>
    <w:rsid w:val="002B49B0"/>
    <w:rsid w:val="002B5479"/>
    <w:rsid w:val="002B67DC"/>
    <w:rsid w:val="002C00AB"/>
    <w:rsid w:val="002C2707"/>
    <w:rsid w:val="002C5D90"/>
    <w:rsid w:val="002D3EE7"/>
    <w:rsid w:val="002D52C7"/>
    <w:rsid w:val="002D7580"/>
    <w:rsid w:val="002D7CA3"/>
    <w:rsid w:val="002E1A37"/>
    <w:rsid w:val="002E1F9D"/>
    <w:rsid w:val="002E3E59"/>
    <w:rsid w:val="002E5AF6"/>
    <w:rsid w:val="002E763B"/>
    <w:rsid w:val="002F1076"/>
    <w:rsid w:val="002F2EA2"/>
    <w:rsid w:val="002F3EE5"/>
    <w:rsid w:val="002F5724"/>
    <w:rsid w:val="002F72C6"/>
    <w:rsid w:val="002F7A26"/>
    <w:rsid w:val="00300035"/>
    <w:rsid w:val="00304B42"/>
    <w:rsid w:val="0031558F"/>
    <w:rsid w:val="0032001F"/>
    <w:rsid w:val="00321C9D"/>
    <w:rsid w:val="00324603"/>
    <w:rsid w:val="00325243"/>
    <w:rsid w:val="00326493"/>
    <w:rsid w:val="00326A86"/>
    <w:rsid w:val="00331402"/>
    <w:rsid w:val="00331575"/>
    <w:rsid w:val="00333846"/>
    <w:rsid w:val="003449DB"/>
    <w:rsid w:val="00350518"/>
    <w:rsid w:val="00351254"/>
    <w:rsid w:val="003545A6"/>
    <w:rsid w:val="0035497D"/>
    <w:rsid w:val="003579E0"/>
    <w:rsid w:val="00357A3E"/>
    <w:rsid w:val="00363D44"/>
    <w:rsid w:val="00364348"/>
    <w:rsid w:val="0036479F"/>
    <w:rsid w:val="003669CD"/>
    <w:rsid w:val="00374528"/>
    <w:rsid w:val="00384439"/>
    <w:rsid w:val="00386269"/>
    <w:rsid w:val="00386681"/>
    <w:rsid w:val="003873C4"/>
    <w:rsid w:val="00387476"/>
    <w:rsid w:val="003920B6"/>
    <w:rsid w:val="00393E44"/>
    <w:rsid w:val="00394A02"/>
    <w:rsid w:val="003A2FF3"/>
    <w:rsid w:val="003A435E"/>
    <w:rsid w:val="003A4F29"/>
    <w:rsid w:val="003A4FB1"/>
    <w:rsid w:val="003A73EF"/>
    <w:rsid w:val="003B04F9"/>
    <w:rsid w:val="003B261A"/>
    <w:rsid w:val="003B4415"/>
    <w:rsid w:val="003B5CEE"/>
    <w:rsid w:val="003C1CF3"/>
    <w:rsid w:val="003C5ACF"/>
    <w:rsid w:val="003C7BC0"/>
    <w:rsid w:val="003D1BA6"/>
    <w:rsid w:val="003D2FF8"/>
    <w:rsid w:val="003D6DC0"/>
    <w:rsid w:val="003E04CC"/>
    <w:rsid w:val="003E0FD0"/>
    <w:rsid w:val="003E30AB"/>
    <w:rsid w:val="003E368F"/>
    <w:rsid w:val="003E63E4"/>
    <w:rsid w:val="003E699A"/>
    <w:rsid w:val="003F180E"/>
    <w:rsid w:val="003F616B"/>
    <w:rsid w:val="003F698F"/>
    <w:rsid w:val="004007DB"/>
    <w:rsid w:val="0040670D"/>
    <w:rsid w:val="004106CF"/>
    <w:rsid w:val="004117E2"/>
    <w:rsid w:val="00411E3F"/>
    <w:rsid w:val="00411F90"/>
    <w:rsid w:val="004127AB"/>
    <w:rsid w:val="00413231"/>
    <w:rsid w:val="00415A54"/>
    <w:rsid w:val="00415BDA"/>
    <w:rsid w:val="00421C39"/>
    <w:rsid w:val="00422BC1"/>
    <w:rsid w:val="00423796"/>
    <w:rsid w:val="0042764F"/>
    <w:rsid w:val="00430D73"/>
    <w:rsid w:val="00437D6A"/>
    <w:rsid w:val="004437B6"/>
    <w:rsid w:val="00451E62"/>
    <w:rsid w:val="00457027"/>
    <w:rsid w:val="00463159"/>
    <w:rsid w:val="004648A2"/>
    <w:rsid w:val="00466172"/>
    <w:rsid w:val="00471D3C"/>
    <w:rsid w:val="00474088"/>
    <w:rsid w:val="004765FF"/>
    <w:rsid w:val="004822DC"/>
    <w:rsid w:val="004842E0"/>
    <w:rsid w:val="0048716D"/>
    <w:rsid w:val="0049041C"/>
    <w:rsid w:val="00490729"/>
    <w:rsid w:val="0049163E"/>
    <w:rsid w:val="00492BFE"/>
    <w:rsid w:val="00495364"/>
    <w:rsid w:val="004972BA"/>
    <w:rsid w:val="004A467F"/>
    <w:rsid w:val="004A690C"/>
    <w:rsid w:val="004A7DCF"/>
    <w:rsid w:val="004B1319"/>
    <w:rsid w:val="004C00AD"/>
    <w:rsid w:val="004C22B0"/>
    <w:rsid w:val="004C23B6"/>
    <w:rsid w:val="004C5567"/>
    <w:rsid w:val="004D29FA"/>
    <w:rsid w:val="004E17A8"/>
    <w:rsid w:val="004E1B83"/>
    <w:rsid w:val="004E7C4D"/>
    <w:rsid w:val="004F2151"/>
    <w:rsid w:val="004F5122"/>
    <w:rsid w:val="004F7D0D"/>
    <w:rsid w:val="00511591"/>
    <w:rsid w:val="005129CE"/>
    <w:rsid w:val="00513E7D"/>
    <w:rsid w:val="0051526B"/>
    <w:rsid w:val="00516376"/>
    <w:rsid w:val="00516AFF"/>
    <w:rsid w:val="00517091"/>
    <w:rsid w:val="00517C66"/>
    <w:rsid w:val="00523BDD"/>
    <w:rsid w:val="00527B6B"/>
    <w:rsid w:val="00535B1E"/>
    <w:rsid w:val="0053625B"/>
    <w:rsid w:val="00542417"/>
    <w:rsid w:val="0054274A"/>
    <w:rsid w:val="00542EFA"/>
    <w:rsid w:val="00544901"/>
    <w:rsid w:val="00545D2E"/>
    <w:rsid w:val="00552573"/>
    <w:rsid w:val="0055373C"/>
    <w:rsid w:val="005609E4"/>
    <w:rsid w:val="005629D4"/>
    <w:rsid w:val="00564478"/>
    <w:rsid w:val="00566775"/>
    <w:rsid w:val="00573AC1"/>
    <w:rsid w:val="00576F39"/>
    <w:rsid w:val="0057758F"/>
    <w:rsid w:val="00577CFD"/>
    <w:rsid w:val="005812B5"/>
    <w:rsid w:val="00595AA9"/>
    <w:rsid w:val="00597297"/>
    <w:rsid w:val="00597C28"/>
    <w:rsid w:val="005A0115"/>
    <w:rsid w:val="005A159F"/>
    <w:rsid w:val="005A688E"/>
    <w:rsid w:val="005B3693"/>
    <w:rsid w:val="005B6CB8"/>
    <w:rsid w:val="005B78D7"/>
    <w:rsid w:val="005C1472"/>
    <w:rsid w:val="005C347D"/>
    <w:rsid w:val="005D0E79"/>
    <w:rsid w:val="005D2326"/>
    <w:rsid w:val="005D5659"/>
    <w:rsid w:val="005D5FB7"/>
    <w:rsid w:val="005D716A"/>
    <w:rsid w:val="005D7D99"/>
    <w:rsid w:val="005E1820"/>
    <w:rsid w:val="005E19D2"/>
    <w:rsid w:val="005E3A47"/>
    <w:rsid w:val="005F03C3"/>
    <w:rsid w:val="00601CB2"/>
    <w:rsid w:val="00614EF9"/>
    <w:rsid w:val="006156B1"/>
    <w:rsid w:val="0061591A"/>
    <w:rsid w:val="0061608D"/>
    <w:rsid w:val="00617744"/>
    <w:rsid w:val="006217F7"/>
    <w:rsid w:val="00630596"/>
    <w:rsid w:val="006311D6"/>
    <w:rsid w:val="006343D3"/>
    <w:rsid w:val="00635F75"/>
    <w:rsid w:val="0064426E"/>
    <w:rsid w:val="006470D8"/>
    <w:rsid w:val="00650AAC"/>
    <w:rsid w:val="00651AC1"/>
    <w:rsid w:val="00652CF4"/>
    <w:rsid w:val="00654EAA"/>
    <w:rsid w:val="00655D93"/>
    <w:rsid w:val="00660C24"/>
    <w:rsid w:val="006629E3"/>
    <w:rsid w:val="00662DED"/>
    <w:rsid w:val="0066319D"/>
    <w:rsid w:val="0066381F"/>
    <w:rsid w:val="0066599E"/>
    <w:rsid w:val="00671275"/>
    <w:rsid w:val="00674D3B"/>
    <w:rsid w:val="006823CB"/>
    <w:rsid w:val="006849F4"/>
    <w:rsid w:val="00684E09"/>
    <w:rsid w:val="00684E96"/>
    <w:rsid w:val="006870CE"/>
    <w:rsid w:val="0069184B"/>
    <w:rsid w:val="00695368"/>
    <w:rsid w:val="006954DC"/>
    <w:rsid w:val="00695763"/>
    <w:rsid w:val="006A334D"/>
    <w:rsid w:val="006A3F40"/>
    <w:rsid w:val="006A4E48"/>
    <w:rsid w:val="006A7ABA"/>
    <w:rsid w:val="006B12D4"/>
    <w:rsid w:val="006C3372"/>
    <w:rsid w:val="006C3435"/>
    <w:rsid w:val="006C53F7"/>
    <w:rsid w:val="006C736C"/>
    <w:rsid w:val="006D226F"/>
    <w:rsid w:val="006D530B"/>
    <w:rsid w:val="006E08F5"/>
    <w:rsid w:val="006E0F09"/>
    <w:rsid w:val="006E5506"/>
    <w:rsid w:val="006E566F"/>
    <w:rsid w:val="006E6884"/>
    <w:rsid w:val="00702977"/>
    <w:rsid w:val="007032D8"/>
    <w:rsid w:val="00705663"/>
    <w:rsid w:val="00705720"/>
    <w:rsid w:val="0070604B"/>
    <w:rsid w:val="00706B0B"/>
    <w:rsid w:val="00710164"/>
    <w:rsid w:val="00713E29"/>
    <w:rsid w:val="007144A6"/>
    <w:rsid w:val="00714AE3"/>
    <w:rsid w:val="007160A5"/>
    <w:rsid w:val="00716918"/>
    <w:rsid w:val="00717804"/>
    <w:rsid w:val="00717A63"/>
    <w:rsid w:val="00722444"/>
    <w:rsid w:val="00724DC6"/>
    <w:rsid w:val="00731656"/>
    <w:rsid w:val="007372D2"/>
    <w:rsid w:val="007404C0"/>
    <w:rsid w:val="0074130F"/>
    <w:rsid w:val="0074188D"/>
    <w:rsid w:val="00753EEC"/>
    <w:rsid w:val="007554E0"/>
    <w:rsid w:val="00755C5D"/>
    <w:rsid w:val="00762D42"/>
    <w:rsid w:val="00763DD9"/>
    <w:rsid w:val="00765C60"/>
    <w:rsid w:val="0076789F"/>
    <w:rsid w:val="00771E42"/>
    <w:rsid w:val="007727F4"/>
    <w:rsid w:val="00773F11"/>
    <w:rsid w:val="0077643A"/>
    <w:rsid w:val="007764AF"/>
    <w:rsid w:val="007772B5"/>
    <w:rsid w:val="00777D34"/>
    <w:rsid w:val="00780006"/>
    <w:rsid w:val="00780688"/>
    <w:rsid w:val="00780ED6"/>
    <w:rsid w:val="007826C4"/>
    <w:rsid w:val="00782F1C"/>
    <w:rsid w:val="00783789"/>
    <w:rsid w:val="007874F5"/>
    <w:rsid w:val="0079206A"/>
    <w:rsid w:val="007926F1"/>
    <w:rsid w:val="00796E65"/>
    <w:rsid w:val="007A099A"/>
    <w:rsid w:val="007A1750"/>
    <w:rsid w:val="007A2423"/>
    <w:rsid w:val="007B1D1C"/>
    <w:rsid w:val="007B2131"/>
    <w:rsid w:val="007B2DB1"/>
    <w:rsid w:val="007B49E1"/>
    <w:rsid w:val="007B5C57"/>
    <w:rsid w:val="007B6A31"/>
    <w:rsid w:val="007B7703"/>
    <w:rsid w:val="007C65B8"/>
    <w:rsid w:val="007D0A3E"/>
    <w:rsid w:val="007D2DBC"/>
    <w:rsid w:val="007D4DFA"/>
    <w:rsid w:val="007D7283"/>
    <w:rsid w:val="007E64CF"/>
    <w:rsid w:val="007F6332"/>
    <w:rsid w:val="008022DD"/>
    <w:rsid w:val="00805F56"/>
    <w:rsid w:val="00806830"/>
    <w:rsid w:val="00806AC1"/>
    <w:rsid w:val="00810A71"/>
    <w:rsid w:val="00810A77"/>
    <w:rsid w:val="008113A6"/>
    <w:rsid w:val="00813368"/>
    <w:rsid w:val="00813D29"/>
    <w:rsid w:val="00821B1A"/>
    <w:rsid w:val="00821EB6"/>
    <w:rsid w:val="00825026"/>
    <w:rsid w:val="00825147"/>
    <w:rsid w:val="008263A4"/>
    <w:rsid w:val="00826B87"/>
    <w:rsid w:val="008279CA"/>
    <w:rsid w:val="00827E03"/>
    <w:rsid w:val="00830004"/>
    <w:rsid w:val="00842E08"/>
    <w:rsid w:val="008474B0"/>
    <w:rsid w:val="00847D43"/>
    <w:rsid w:val="00851ABB"/>
    <w:rsid w:val="008526AA"/>
    <w:rsid w:val="0085352D"/>
    <w:rsid w:val="00861E5B"/>
    <w:rsid w:val="008654DA"/>
    <w:rsid w:val="0086566F"/>
    <w:rsid w:val="00865D7B"/>
    <w:rsid w:val="00865E7D"/>
    <w:rsid w:val="00866638"/>
    <w:rsid w:val="00866A91"/>
    <w:rsid w:val="00866BD4"/>
    <w:rsid w:val="00866D47"/>
    <w:rsid w:val="008704D0"/>
    <w:rsid w:val="00877143"/>
    <w:rsid w:val="00880F15"/>
    <w:rsid w:val="00882494"/>
    <w:rsid w:val="0089280A"/>
    <w:rsid w:val="0089398D"/>
    <w:rsid w:val="0089560E"/>
    <w:rsid w:val="00896C32"/>
    <w:rsid w:val="008971C4"/>
    <w:rsid w:val="008A009F"/>
    <w:rsid w:val="008A2ED9"/>
    <w:rsid w:val="008A3A86"/>
    <w:rsid w:val="008A65ED"/>
    <w:rsid w:val="008A6912"/>
    <w:rsid w:val="008A734E"/>
    <w:rsid w:val="008A7DF2"/>
    <w:rsid w:val="008B3CC7"/>
    <w:rsid w:val="008B4262"/>
    <w:rsid w:val="008B439B"/>
    <w:rsid w:val="008B4D07"/>
    <w:rsid w:val="008B7E01"/>
    <w:rsid w:val="008B7F48"/>
    <w:rsid w:val="008C1724"/>
    <w:rsid w:val="008C391F"/>
    <w:rsid w:val="008D428D"/>
    <w:rsid w:val="008D61E5"/>
    <w:rsid w:val="008D649C"/>
    <w:rsid w:val="008D65BE"/>
    <w:rsid w:val="008E0B0A"/>
    <w:rsid w:val="008E22D4"/>
    <w:rsid w:val="008E57A0"/>
    <w:rsid w:val="008F1667"/>
    <w:rsid w:val="008F1A2F"/>
    <w:rsid w:val="008F2591"/>
    <w:rsid w:val="008F5D32"/>
    <w:rsid w:val="008F5ED0"/>
    <w:rsid w:val="00905CDE"/>
    <w:rsid w:val="00914F7E"/>
    <w:rsid w:val="00916031"/>
    <w:rsid w:val="009216E5"/>
    <w:rsid w:val="00924180"/>
    <w:rsid w:val="00933047"/>
    <w:rsid w:val="00936158"/>
    <w:rsid w:val="0094168A"/>
    <w:rsid w:val="00943F76"/>
    <w:rsid w:val="00951EEF"/>
    <w:rsid w:val="00953ADD"/>
    <w:rsid w:val="009563C9"/>
    <w:rsid w:val="00957512"/>
    <w:rsid w:val="009600AA"/>
    <w:rsid w:val="009657AC"/>
    <w:rsid w:val="00974BA5"/>
    <w:rsid w:val="00977AB6"/>
    <w:rsid w:val="00981E85"/>
    <w:rsid w:val="00983D49"/>
    <w:rsid w:val="0098412D"/>
    <w:rsid w:val="00986E5E"/>
    <w:rsid w:val="00987584"/>
    <w:rsid w:val="00987D41"/>
    <w:rsid w:val="00993707"/>
    <w:rsid w:val="00996C5B"/>
    <w:rsid w:val="009A01A2"/>
    <w:rsid w:val="009A2B26"/>
    <w:rsid w:val="009A2CF5"/>
    <w:rsid w:val="009A51B7"/>
    <w:rsid w:val="009A68ED"/>
    <w:rsid w:val="009A76CF"/>
    <w:rsid w:val="009B7E1B"/>
    <w:rsid w:val="009C1F72"/>
    <w:rsid w:val="009C2CA1"/>
    <w:rsid w:val="009C5FF1"/>
    <w:rsid w:val="009D2F48"/>
    <w:rsid w:val="009D3784"/>
    <w:rsid w:val="009D4D13"/>
    <w:rsid w:val="009D6E05"/>
    <w:rsid w:val="009D799A"/>
    <w:rsid w:val="009E0B90"/>
    <w:rsid w:val="009E136C"/>
    <w:rsid w:val="009E5AA0"/>
    <w:rsid w:val="009F05F3"/>
    <w:rsid w:val="009F07B3"/>
    <w:rsid w:val="009F3925"/>
    <w:rsid w:val="009F759B"/>
    <w:rsid w:val="00A02C1D"/>
    <w:rsid w:val="00A04AA0"/>
    <w:rsid w:val="00A07132"/>
    <w:rsid w:val="00A0743B"/>
    <w:rsid w:val="00A07A06"/>
    <w:rsid w:val="00A12E3C"/>
    <w:rsid w:val="00A12F90"/>
    <w:rsid w:val="00A1497D"/>
    <w:rsid w:val="00A1782B"/>
    <w:rsid w:val="00A2365C"/>
    <w:rsid w:val="00A23E87"/>
    <w:rsid w:val="00A27412"/>
    <w:rsid w:val="00A3009F"/>
    <w:rsid w:val="00A30256"/>
    <w:rsid w:val="00A3353F"/>
    <w:rsid w:val="00A3482B"/>
    <w:rsid w:val="00A35E7C"/>
    <w:rsid w:val="00A36820"/>
    <w:rsid w:val="00A4056C"/>
    <w:rsid w:val="00A42334"/>
    <w:rsid w:val="00A43D43"/>
    <w:rsid w:val="00A460BE"/>
    <w:rsid w:val="00A50C97"/>
    <w:rsid w:val="00A51B9C"/>
    <w:rsid w:val="00A547B9"/>
    <w:rsid w:val="00A55520"/>
    <w:rsid w:val="00A70B90"/>
    <w:rsid w:val="00A70D2E"/>
    <w:rsid w:val="00A73D45"/>
    <w:rsid w:val="00A77D49"/>
    <w:rsid w:val="00A856F7"/>
    <w:rsid w:val="00A86D2B"/>
    <w:rsid w:val="00A9022A"/>
    <w:rsid w:val="00A945D3"/>
    <w:rsid w:val="00A954D2"/>
    <w:rsid w:val="00A9748D"/>
    <w:rsid w:val="00A97A16"/>
    <w:rsid w:val="00AA0A12"/>
    <w:rsid w:val="00AA1CA2"/>
    <w:rsid w:val="00AB02C8"/>
    <w:rsid w:val="00AB1479"/>
    <w:rsid w:val="00AB1C59"/>
    <w:rsid w:val="00AB71EA"/>
    <w:rsid w:val="00AC0E20"/>
    <w:rsid w:val="00AC3F15"/>
    <w:rsid w:val="00AC4AA2"/>
    <w:rsid w:val="00AC4C5A"/>
    <w:rsid w:val="00AC5D42"/>
    <w:rsid w:val="00AD26EF"/>
    <w:rsid w:val="00AD275D"/>
    <w:rsid w:val="00AE3CB2"/>
    <w:rsid w:val="00AE5210"/>
    <w:rsid w:val="00AF20D2"/>
    <w:rsid w:val="00AF3327"/>
    <w:rsid w:val="00AF69CB"/>
    <w:rsid w:val="00B012DB"/>
    <w:rsid w:val="00B10C5D"/>
    <w:rsid w:val="00B13DD2"/>
    <w:rsid w:val="00B147EE"/>
    <w:rsid w:val="00B163C9"/>
    <w:rsid w:val="00B16839"/>
    <w:rsid w:val="00B25690"/>
    <w:rsid w:val="00B3404F"/>
    <w:rsid w:val="00B36B07"/>
    <w:rsid w:val="00B42EDB"/>
    <w:rsid w:val="00B4336A"/>
    <w:rsid w:val="00B43798"/>
    <w:rsid w:val="00B44756"/>
    <w:rsid w:val="00B4500C"/>
    <w:rsid w:val="00B503AF"/>
    <w:rsid w:val="00B523C6"/>
    <w:rsid w:val="00B52AEB"/>
    <w:rsid w:val="00B532A4"/>
    <w:rsid w:val="00B542F2"/>
    <w:rsid w:val="00B60161"/>
    <w:rsid w:val="00B616C1"/>
    <w:rsid w:val="00B635FA"/>
    <w:rsid w:val="00B638F4"/>
    <w:rsid w:val="00B6477A"/>
    <w:rsid w:val="00B72E31"/>
    <w:rsid w:val="00B74050"/>
    <w:rsid w:val="00B745C8"/>
    <w:rsid w:val="00B745DD"/>
    <w:rsid w:val="00B80477"/>
    <w:rsid w:val="00B8308A"/>
    <w:rsid w:val="00B86353"/>
    <w:rsid w:val="00B876F2"/>
    <w:rsid w:val="00B87D3A"/>
    <w:rsid w:val="00B92BE3"/>
    <w:rsid w:val="00B97249"/>
    <w:rsid w:val="00BA22A1"/>
    <w:rsid w:val="00BA2511"/>
    <w:rsid w:val="00BA266A"/>
    <w:rsid w:val="00BA6FC5"/>
    <w:rsid w:val="00BB03E4"/>
    <w:rsid w:val="00BB1EC4"/>
    <w:rsid w:val="00BB312B"/>
    <w:rsid w:val="00BB38EF"/>
    <w:rsid w:val="00BB7902"/>
    <w:rsid w:val="00BC049F"/>
    <w:rsid w:val="00BC4F26"/>
    <w:rsid w:val="00BC5CF3"/>
    <w:rsid w:val="00BD23EF"/>
    <w:rsid w:val="00BD2CD8"/>
    <w:rsid w:val="00BD4038"/>
    <w:rsid w:val="00BD7CDF"/>
    <w:rsid w:val="00BE05CC"/>
    <w:rsid w:val="00BE2262"/>
    <w:rsid w:val="00BE387B"/>
    <w:rsid w:val="00BE49CE"/>
    <w:rsid w:val="00BE4D25"/>
    <w:rsid w:val="00BE7932"/>
    <w:rsid w:val="00BF0291"/>
    <w:rsid w:val="00BF4226"/>
    <w:rsid w:val="00C040BD"/>
    <w:rsid w:val="00C058A5"/>
    <w:rsid w:val="00C06429"/>
    <w:rsid w:val="00C06734"/>
    <w:rsid w:val="00C11685"/>
    <w:rsid w:val="00C14A3C"/>
    <w:rsid w:val="00C20D3E"/>
    <w:rsid w:val="00C21C86"/>
    <w:rsid w:val="00C26B5F"/>
    <w:rsid w:val="00C33E9A"/>
    <w:rsid w:val="00C443F5"/>
    <w:rsid w:val="00C47262"/>
    <w:rsid w:val="00C575F6"/>
    <w:rsid w:val="00C57837"/>
    <w:rsid w:val="00C60672"/>
    <w:rsid w:val="00C80DF3"/>
    <w:rsid w:val="00C81645"/>
    <w:rsid w:val="00C82C7F"/>
    <w:rsid w:val="00C83696"/>
    <w:rsid w:val="00C85DDF"/>
    <w:rsid w:val="00CA1F6D"/>
    <w:rsid w:val="00CA2F8C"/>
    <w:rsid w:val="00CA3050"/>
    <w:rsid w:val="00CA3375"/>
    <w:rsid w:val="00CB0337"/>
    <w:rsid w:val="00CB52CA"/>
    <w:rsid w:val="00CB5E89"/>
    <w:rsid w:val="00CC0F1C"/>
    <w:rsid w:val="00CC204A"/>
    <w:rsid w:val="00CC22AA"/>
    <w:rsid w:val="00CC27C3"/>
    <w:rsid w:val="00CC3445"/>
    <w:rsid w:val="00CC573E"/>
    <w:rsid w:val="00CC7A7B"/>
    <w:rsid w:val="00CD1593"/>
    <w:rsid w:val="00CD2CBA"/>
    <w:rsid w:val="00CE4EF4"/>
    <w:rsid w:val="00CE677B"/>
    <w:rsid w:val="00CF6C00"/>
    <w:rsid w:val="00D06342"/>
    <w:rsid w:val="00D10FDD"/>
    <w:rsid w:val="00D14355"/>
    <w:rsid w:val="00D144B0"/>
    <w:rsid w:val="00D16E99"/>
    <w:rsid w:val="00D21821"/>
    <w:rsid w:val="00D26573"/>
    <w:rsid w:val="00D31743"/>
    <w:rsid w:val="00D320E4"/>
    <w:rsid w:val="00D33E1C"/>
    <w:rsid w:val="00D34C9C"/>
    <w:rsid w:val="00D36206"/>
    <w:rsid w:val="00D463B6"/>
    <w:rsid w:val="00D506AE"/>
    <w:rsid w:val="00D50FB7"/>
    <w:rsid w:val="00D518FB"/>
    <w:rsid w:val="00D5461B"/>
    <w:rsid w:val="00D6632D"/>
    <w:rsid w:val="00D710A0"/>
    <w:rsid w:val="00D71DB8"/>
    <w:rsid w:val="00D72392"/>
    <w:rsid w:val="00D755EC"/>
    <w:rsid w:val="00D8082C"/>
    <w:rsid w:val="00D81F19"/>
    <w:rsid w:val="00D83498"/>
    <w:rsid w:val="00D86FD6"/>
    <w:rsid w:val="00D90E31"/>
    <w:rsid w:val="00D92AD7"/>
    <w:rsid w:val="00D954BF"/>
    <w:rsid w:val="00D96F07"/>
    <w:rsid w:val="00DA3946"/>
    <w:rsid w:val="00DA4472"/>
    <w:rsid w:val="00DA51EB"/>
    <w:rsid w:val="00DA5796"/>
    <w:rsid w:val="00DA69CF"/>
    <w:rsid w:val="00DB195F"/>
    <w:rsid w:val="00DB2379"/>
    <w:rsid w:val="00DB500D"/>
    <w:rsid w:val="00DB6B53"/>
    <w:rsid w:val="00DC46AC"/>
    <w:rsid w:val="00DC4BD0"/>
    <w:rsid w:val="00DC6113"/>
    <w:rsid w:val="00DC796C"/>
    <w:rsid w:val="00DD2071"/>
    <w:rsid w:val="00DD4217"/>
    <w:rsid w:val="00DD7F37"/>
    <w:rsid w:val="00DE0841"/>
    <w:rsid w:val="00DE09A7"/>
    <w:rsid w:val="00DE3EEA"/>
    <w:rsid w:val="00DE56AB"/>
    <w:rsid w:val="00DF0580"/>
    <w:rsid w:val="00DF1BCE"/>
    <w:rsid w:val="00DF1DE9"/>
    <w:rsid w:val="00DF2742"/>
    <w:rsid w:val="00DF3203"/>
    <w:rsid w:val="00DF3804"/>
    <w:rsid w:val="00DF47C2"/>
    <w:rsid w:val="00DF5CF2"/>
    <w:rsid w:val="00E01062"/>
    <w:rsid w:val="00E01A1B"/>
    <w:rsid w:val="00E02A28"/>
    <w:rsid w:val="00E02DA1"/>
    <w:rsid w:val="00E045CD"/>
    <w:rsid w:val="00E05818"/>
    <w:rsid w:val="00E1073E"/>
    <w:rsid w:val="00E10FCA"/>
    <w:rsid w:val="00E11DF2"/>
    <w:rsid w:val="00E15420"/>
    <w:rsid w:val="00E17BE9"/>
    <w:rsid w:val="00E21540"/>
    <w:rsid w:val="00E24110"/>
    <w:rsid w:val="00E24B5D"/>
    <w:rsid w:val="00E24E34"/>
    <w:rsid w:val="00E3002B"/>
    <w:rsid w:val="00E32DFC"/>
    <w:rsid w:val="00E3305D"/>
    <w:rsid w:val="00E36953"/>
    <w:rsid w:val="00E37C68"/>
    <w:rsid w:val="00E37CDA"/>
    <w:rsid w:val="00E413D4"/>
    <w:rsid w:val="00E45E40"/>
    <w:rsid w:val="00E467E1"/>
    <w:rsid w:val="00E50E53"/>
    <w:rsid w:val="00E53072"/>
    <w:rsid w:val="00E5354F"/>
    <w:rsid w:val="00E53783"/>
    <w:rsid w:val="00E53A97"/>
    <w:rsid w:val="00E571B3"/>
    <w:rsid w:val="00E61401"/>
    <w:rsid w:val="00E6391B"/>
    <w:rsid w:val="00E65BC0"/>
    <w:rsid w:val="00E74A90"/>
    <w:rsid w:val="00E75328"/>
    <w:rsid w:val="00E77AF3"/>
    <w:rsid w:val="00E81395"/>
    <w:rsid w:val="00E819A4"/>
    <w:rsid w:val="00E81EFD"/>
    <w:rsid w:val="00E8563F"/>
    <w:rsid w:val="00E8749D"/>
    <w:rsid w:val="00E90A5F"/>
    <w:rsid w:val="00E918C4"/>
    <w:rsid w:val="00E93D8E"/>
    <w:rsid w:val="00E94B5B"/>
    <w:rsid w:val="00EA1327"/>
    <w:rsid w:val="00EA2012"/>
    <w:rsid w:val="00EA6196"/>
    <w:rsid w:val="00EB0998"/>
    <w:rsid w:val="00EB0E74"/>
    <w:rsid w:val="00EB16AF"/>
    <w:rsid w:val="00EB1A37"/>
    <w:rsid w:val="00EB6833"/>
    <w:rsid w:val="00EC0272"/>
    <w:rsid w:val="00EC0EA1"/>
    <w:rsid w:val="00EC12C3"/>
    <w:rsid w:val="00EC1397"/>
    <w:rsid w:val="00EC23FC"/>
    <w:rsid w:val="00EC5402"/>
    <w:rsid w:val="00EC7782"/>
    <w:rsid w:val="00ED17B2"/>
    <w:rsid w:val="00ED58FD"/>
    <w:rsid w:val="00ED7149"/>
    <w:rsid w:val="00EE28C8"/>
    <w:rsid w:val="00EE6ED6"/>
    <w:rsid w:val="00EF3875"/>
    <w:rsid w:val="00F00B33"/>
    <w:rsid w:val="00F02D66"/>
    <w:rsid w:val="00F06332"/>
    <w:rsid w:val="00F06AF5"/>
    <w:rsid w:val="00F06BE9"/>
    <w:rsid w:val="00F06F61"/>
    <w:rsid w:val="00F074C8"/>
    <w:rsid w:val="00F0751A"/>
    <w:rsid w:val="00F14900"/>
    <w:rsid w:val="00F1789B"/>
    <w:rsid w:val="00F17EC5"/>
    <w:rsid w:val="00F20789"/>
    <w:rsid w:val="00F20BCB"/>
    <w:rsid w:val="00F21013"/>
    <w:rsid w:val="00F2109F"/>
    <w:rsid w:val="00F25B3D"/>
    <w:rsid w:val="00F2626F"/>
    <w:rsid w:val="00F30D58"/>
    <w:rsid w:val="00F31411"/>
    <w:rsid w:val="00F36621"/>
    <w:rsid w:val="00F45277"/>
    <w:rsid w:val="00F46008"/>
    <w:rsid w:val="00F4724E"/>
    <w:rsid w:val="00F5227E"/>
    <w:rsid w:val="00F54C7F"/>
    <w:rsid w:val="00F55767"/>
    <w:rsid w:val="00F56791"/>
    <w:rsid w:val="00F56A1B"/>
    <w:rsid w:val="00F57219"/>
    <w:rsid w:val="00F61735"/>
    <w:rsid w:val="00F65AA7"/>
    <w:rsid w:val="00F70577"/>
    <w:rsid w:val="00F70AD2"/>
    <w:rsid w:val="00F7255B"/>
    <w:rsid w:val="00F72FC2"/>
    <w:rsid w:val="00F752EE"/>
    <w:rsid w:val="00F77731"/>
    <w:rsid w:val="00F81154"/>
    <w:rsid w:val="00F85B4B"/>
    <w:rsid w:val="00F8786E"/>
    <w:rsid w:val="00F87D2E"/>
    <w:rsid w:val="00F925DE"/>
    <w:rsid w:val="00F93289"/>
    <w:rsid w:val="00F95C07"/>
    <w:rsid w:val="00F968AC"/>
    <w:rsid w:val="00F96C5D"/>
    <w:rsid w:val="00FA1C76"/>
    <w:rsid w:val="00FA243C"/>
    <w:rsid w:val="00FA2C32"/>
    <w:rsid w:val="00FA4252"/>
    <w:rsid w:val="00FA65E4"/>
    <w:rsid w:val="00FB250A"/>
    <w:rsid w:val="00FB397B"/>
    <w:rsid w:val="00FB50E9"/>
    <w:rsid w:val="00FC1A59"/>
    <w:rsid w:val="00FC1F33"/>
    <w:rsid w:val="00FC58A7"/>
    <w:rsid w:val="00FD188B"/>
    <w:rsid w:val="00FD2DFA"/>
    <w:rsid w:val="00FD3209"/>
    <w:rsid w:val="00FD5AA9"/>
    <w:rsid w:val="00FE10F4"/>
    <w:rsid w:val="00FF023F"/>
    <w:rsid w:val="00FF3489"/>
    <w:rsid w:val="00FF45C2"/>
    <w:rsid w:val="0ADE5FFC"/>
    <w:rsid w:val="4B7A7919"/>
    <w:rsid w:val="62F64638"/>
    <w:rsid w:val="648A1FA5"/>
    <w:rsid w:val="69642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line number"/>
    <w:basedOn w:val="6"/>
    <w:semiHidden/>
    <w:unhideWhenUsed/>
    <w:qFormat/>
    <w:uiPriority w:val="99"/>
  </w:style>
  <w:style w:type="character" w:styleId="8">
    <w:name w:val="Hyperlink"/>
    <w:basedOn w:val="6"/>
    <w:unhideWhenUsed/>
    <w:qFormat/>
    <w:uiPriority w:val="99"/>
    <w:rPr>
      <w:color w:val="0563C1" w:themeColor="hyperlink"/>
      <w:u w:val="single"/>
      <w14:textFill>
        <w14:solidFill>
          <w14:schemeClr w14:val="hlink"/>
        </w14:solidFill>
      </w14:textFill>
    </w:rPr>
  </w:style>
  <w:style w:type="character" w:customStyle="1" w:styleId="9">
    <w:name w:val="页眉 字符"/>
    <w:basedOn w:val="6"/>
    <w:link w:val="3"/>
    <w:qFormat/>
    <w:uiPriority w:val="99"/>
    <w:rPr>
      <w:sz w:val="18"/>
      <w:szCs w:val="18"/>
    </w:rPr>
  </w:style>
  <w:style w:type="character" w:customStyle="1" w:styleId="10">
    <w:name w:val="页脚 字符"/>
    <w:basedOn w:val="6"/>
    <w:link w:val="2"/>
    <w:qFormat/>
    <w:uiPriority w:val="99"/>
    <w:rPr>
      <w:sz w:val="18"/>
      <w:szCs w:val="18"/>
    </w:rPr>
  </w:style>
  <w:style w:type="paragraph" w:customStyle="1" w:styleId="11">
    <w:name w:val="正文1"/>
    <w:qFormat/>
    <w:uiPriority w:val="0"/>
    <w:pPr>
      <w:jc w:val="both"/>
    </w:pPr>
    <w:rPr>
      <w:rFonts w:ascii="等线" w:hAnsi="等线" w:eastAsia="宋体" w:cs="宋体"/>
      <w:kern w:val="2"/>
      <w:sz w:val="21"/>
      <w:szCs w:val="21"/>
      <w:lang w:val="en-US" w:eastAsia="zh-CN" w:bidi="ar-SA"/>
    </w:rPr>
  </w:style>
  <w:style w:type="paragraph" w:customStyle="1" w:styleId="12">
    <w:name w:val="EndNote Bibliography Title"/>
    <w:basedOn w:val="1"/>
    <w:link w:val="13"/>
    <w:qFormat/>
    <w:uiPriority w:val="0"/>
    <w:pPr>
      <w:jc w:val="center"/>
    </w:pPr>
    <w:rPr>
      <w:rFonts w:ascii="等线" w:hAnsi="等线" w:eastAsia="等线"/>
      <w:sz w:val="20"/>
    </w:rPr>
  </w:style>
  <w:style w:type="character" w:customStyle="1" w:styleId="13">
    <w:name w:val="EndNote Bibliography Title 字符"/>
    <w:basedOn w:val="6"/>
    <w:link w:val="12"/>
    <w:qFormat/>
    <w:uiPriority w:val="0"/>
    <w:rPr>
      <w:rFonts w:ascii="等线" w:hAnsi="等线" w:eastAsia="等线"/>
      <w:sz w:val="20"/>
    </w:rPr>
  </w:style>
  <w:style w:type="paragraph" w:customStyle="1" w:styleId="14">
    <w:name w:val="EndNote Bibliography"/>
    <w:basedOn w:val="1"/>
    <w:link w:val="15"/>
    <w:qFormat/>
    <w:uiPriority w:val="0"/>
    <w:rPr>
      <w:rFonts w:ascii="等线" w:hAnsi="等线" w:eastAsia="等线"/>
      <w:sz w:val="20"/>
    </w:rPr>
  </w:style>
  <w:style w:type="character" w:customStyle="1" w:styleId="15">
    <w:name w:val="EndNote Bibliography 字符"/>
    <w:basedOn w:val="6"/>
    <w:link w:val="14"/>
    <w:qFormat/>
    <w:uiPriority w:val="0"/>
    <w:rPr>
      <w:rFonts w:ascii="等线" w:hAnsi="等线" w:eastAsia="等线"/>
      <w:sz w:val="20"/>
    </w:rPr>
  </w:style>
  <w:style w:type="character" w:customStyle="1" w:styleId="16">
    <w:name w:val="15"/>
    <w:basedOn w:val="6"/>
    <w:qFormat/>
    <w:uiPriority w:val="0"/>
    <w:rPr>
      <w:rFonts w:hint="default" w:ascii="AdvOTf9433e2d" w:hAnsi="AdvOTf9433e2d"/>
      <w:color w:val="000000"/>
      <w:sz w:val="20"/>
      <w:szCs w:val="20"/>
    </w:rPr>
  </w:style>
  <w:style w:type="character" w:customStyle="1" w:styleId="17">
    <w:name w:val="fontstyle01"/>
    <w:basedOn w:val="6"/>
    <w:qFormat/>
    <w:uiPriority w:val="0"/>
    <w:rPr>
      <w:rFonts w:hint="default" w:ascii="AdvOTf9433e2d" w:hAnsi="AdvOTf9433e2d"/>
      <w:color w:val="000000"/>
      <w:sz w:val="20"/>
      <w:szCs w:val="20"/>
    </w:rPr>
  </w:style>
  <w:style w:type="paragraph" w:styleId="18">
    <w:name w:val="List Paragraph"/>
    <w:basedOn w:val="1"/>
    <w:qFormat/>
    <w:uiPriority w:val="34"/>
    <w:pPr>
      <w:ind w:firstLine="420" w:firstLineChars="200"/>
    </w:pPr>
  </w:style>
  <w:style w:type="character" w:customStyle="1" w:styleId="19">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中山大学</Company>
  <Pages>14</Pages>
  <Words>2004</Words>
  <Characters>11081</Characters>
  <Lines>94</Lines>
  <Paragraphs>26</Paragraphs>
  <TotalTime>43</TotalTime>
  <ScaleCrop>false</ScaleCrop>
  <LinksUpToDate>false</LinksUpToDate>
  <CharactersWithSpaces>12910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2023-11-16T07:08:00Z</dcterms:created>
  <dc:creator>雪琦 刘</dc:creator>
  <cp:lastModifiedBy>雪儿</cp:lastModifiedBy>
  <dcterms:modified xsi:type="dcterms:W3CDTF">2025-10-01T02:10:02Z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eyJoZGlkIjoiMTgyY2Y5Y2UxZjkwY2NiYzg1MTM4ZmQzOTFhYWJhY2IiLCJ1c2VySWQiOiIyNjIwMjUyNzgifQ==</vt:lpwstr>
  </property>
  <property fmtid="{D5CDD505-2E9C-101B-9397-08002B2CF9AE}" pid="3" name="KSOProductBuildVer">
    <vt:lpwstr>2052-12.1.0.22529</vt:lpwstr>
  </property>
  <property fmtid="{D5CDD505-2E9C-101B-9397-08002B2CF9AE}" pid="4" name="ICV">
    <vt:lpwstr>7BC6B65AFB4C42B5A2AF2B69891F1A04_12</vt:lpwstr>
  </property>
</Properties>
</file>