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6DCBA" w14:textId="77777777" w:rsidR="009F4E8F" w:rsidRPr="00ED72BE" w:rsidRDefault="009F4E8F" w:rsidP="009F4E8F">
      <w:pPr>
        <w:pStyle w:val="Heading2"/>
        <w:spacing w:after="240" w:line="360" w:lineRule="auto"/>
        <w:jc w:val="both"/>
        <w:rPr>
          <w:rFonts w:asciiTheme="majorBidi" w:hAnsiTheme="majorBidi"/>
          <w:sz w:val="24"/>
          <w:szCs w:val="24"/>
        </w:rPr>
      </w:pPr>
      <w:r w:rsidRPr="00ED72BE">
        <w:rPr>
          <w:rFonts w:asciiTheme="majorBidi" w:hAnsiTheme="majorBidi"/>
          <w:sz w:val="24"/>
          <w:szCs w:val="24"/>
        </w:rPr>
        <w:t>13. Appendices</w:t>
      </w:r>
    </w:p>
    <w:p w14:paraId="399EB991" w14:textId="77777777" w:rsidR="009F4E8F" w:rsidRPr="00ED72BE" w:rsidRDefault="009F4E8F" w:rsidP="009F4E8F">
      <w:pPr>
        <w:pStyle w:val="Heading3"/>
        <w:spacing w:before="0" w:line="360" w:lineRule="auto"/>
        <w:jc w:val="both"/>
        <w:rPr>
          <w:rFonts w:asciiTheme="majorBidi" w:hAnsiTheme="majorBidi"/>
          <w:sz w:val="24"/>
          <w:szCs w:val="24"/>
        </w:rPr>
      </w:pPr>
      <w:r w:rsidRPr="00ED72BE">
        <w:rPr>
          <w:rFonts w:asciiTheme="majorBidi" w:hAnsiTheme="majorBidi"/>
          <w:sz w:val="24"/>
          <w:szCs w:val="24"/>
        </w:rPr>
        <w:t>Appendix A: PRISMA Flow Diagram of Study Selection</w:t>
      </w:r>
    </w:p>
    <w:p w14:paraId="1941BC08" w14:textId="77777777" w:rsidR="009F4E8F" w:rsidRPr="00ED72BE" w:rsidRDefault="009F4E8F" w:rsidP="009F4E8F">
      <w:pPr>
        <w:pBdr>
          <w:top w:val="nil"/>
          <w:left w:val="nil"/>
          <w:bottom w:val="nil"/>
          <w:right w:val="nil"/>
          <w:between w:val="nil"/>
        </w:pBdr>
        <w:spacing w:after="240" w:line="360" w:lineRule="auto"/>
        <w:jc w:val="both"/>
        <w:rPr>
          <w:rFonts w:asciiTheme="majorBidi" w:hAnsiTheme="majorBidi" w:cstheme="majorBidi"/>
          <w:i/>
          <w:sz w:val="24"/>
          <w:szCs w:val="24"/>
        </w:rPr>
      </w:pPr>
      <w:r w:rsidRPr="00ED72BE">
        <w:rPr>
          <w:rFonts w:asciiTheme="majorBidi" w:hAnsiTheme="majorBidi" w:cstheme="majorBidi"/>
          <w:i/>
          <w:sz w:val="24"/>
          <w:szCs w:val="24"/>
        </w:rPr>
        <w:t>Detailed, step-by-step documentation of the screening process, aligned with the PRISMA 2020 checklist, illustrating the number of records identified, screened, assessed for eligibility, and ultimately included in the qualitative synthesis.</w:t>
      </w:r>
    </w:p>
    <w:p w14:paraId="09D735E8" w14:textId="77777777" w:rsidR="009F4E8F" w:rsidRPr="00ED72BE" w:rsidRDefault="009F4E8F" w:rsidP="009F4E8F">
      <w:pPr>
        <w:pStyle w:val="Heading3"/>
        <w:spacing w:before="0" w:line="360" w:lineRule="auto"/>
        <w:jc w:val="both"/>
        <w:rPr>
          <w:rFonts w:asciiTheme="majorBidi" w:hAnsiTheme="majorBidi"/>
          <w:sz w:val="24"/>
          <w:szCs w:val="24"/>
        </w:rPr>
      </w:pPr>
      <w:r w:rsidRPr="00ED72BE">
        <w:rPr>
          <w:rFonts w:asciiTheme="majorBidi" w:hAnsiTheme="majorBidi"/>
          <w:sz w:val="24"/>
          <w:szCs w:val="24"/>
        </w:rPr>
        <w:t>Appendix B: Detailed WHO Health Systems Block Analysis Matrix (NCD Focus)</w:t>
      </w:r>
    </w:p>
    <w:p w14:paraId="203BC533" w14:textId="77777777" w:rsidR="009F4E8F" w:rsidRPr="00ED72BE" w:rsidRDefault="009F4E8F" w:rsidP="009F4E8F">
      <w:pPr>
        <w:pBdr>
          <w:top w:val="nil"/>
          <w:left w:val="nil"/>
          <w:bottom w:val="nil"/>
          <w:right w:val="nil"/>
          <w:between w:val="nil"/>
        </w:pBdr>
        <w:spacing w:after="240" w:line="360" w:lineRule="auto"/>
        <w:jc w:val="both"/>
        <w:rPr>
          <w:rFonts w:asciiTheme="majorBidi" w:hAnsiTheme="majorBidi" w:cstheme="majorBidi"/>
          <w:i/>
          <w:sz w:val="24"/>
          <w:szCs w:val="24"/>
        </w:rPr>
      </w:pPr>
      <w:r w:rsidRPr="00ED72BE">
        <w:rPr>
          <w:rFonts w:asciiTheme="majorBidi" w:hAnsiTheme="majorBidi" w:cstheme="majorBidi"/>
          <w:i/>
          <w:sz w:val="24"/>
          <w:szCs w:val="24"/>
        </w:rPr>
        <w:t>Matrix detailing the specific NCD-related challenges, current status (2024), and targeted interventions required for each of the six WHO Building Blocks (Service Delivery, Health Workforce, Information, Medical Products, Financing, Leadership/Governance) within the Somali context.</w:t>
      </w:r>
    </w:p>
    <w:p w14:paraId="3008E6AE" w14:textId="77777777" w:rsidR="009F4E8F" w:rsidRPr="00ED72BE" w:rsidRDefault="009F4E8F" w:rsidP="009F4E8F">
      <w:pPr>
        <w:pStyle w:val="Heading3"/>
        <w:spacing w:before="0" w:line="360" w:lineRule="auto"/>
        <w:jc w:val="both"/>
        <w:rPr>
          <w:rFonts w:asciiTheme="majorBidi" w:hAnsiTheme="majorBidi"/>
          <w:sz w:val="24"/>
          <w:szCs w:val="24"/>
        </w:rPr>
      </w:pPr>
      <w:r w:rsidRPr="00ED72BE">
        <w:rPr>
          <w:rFonts w:asciiTheme="majorBidi" w:hAnsiTheme="majorBidi"/>
          <w:sz w:val="24"/>
          <w:szCs w:val="24"/>
        </w:rPr>
        <w:t>Appendix C: Annotated Bibliography of Key Somali Health System Reports</w:t>
      </w:r>
    </w:p>
    <w:p w14:paraId="6086810B" w14:textId="77777777" w:rsidR="009F4E8F" w:rsidRPr="00ED72BE" w:rsidRDefault="009F4E8F" w:rsidP="009F4E8F">
      <w:pPr>
        <w:pBdr>
          <w:top w:val="nil"/>
          <w:left w:val="nil"/>
          <w:bottom w:val="nil"/>
          <w:right w:val="nil"/>
          <w:between w:val="nil"/>
        </w:pBdr>
        <w:spacing w:after="240" w:line="360" w:lineRule="auto"/>
        <w:jc w:val="both"/>
        <w:rPr>
          <w:rFonts w:asciiTheme="majorBidi" w:hAnsiTheme="majorBidi" w:cstheme="majorBidi"/>
          <w:i/>
          <w:sz w:val="24"/>
          <w:szCs w:val="24"/>
        </w:rPr>
      </w:pPr>
      <w:r w:rsidRPr="00ED72BE">
        <w:rPr>
          <w:rFonts w:asciiTheme="majorBidi" w:hAnsiTheme="majorBidi" w:cstheme="majorBidi"/>
          <w:i/>
          <w:sz w:val="24"/>
          <w:szCs w:val="24"/>
        </w:rPr>
        <w:t>A curated list providing summaries and critical analysis of the major grey literature sources utilized (e.g., HSSP III, UN reports, World Bank assessments), highlighting their contributions to the understanding of NCD policy gaps.</w:t>
      </w:r>
    </w:p>
    <w:p w14:paraId="2311690D" w14:textId="77777777" w:rsidR="009F4E8F" w:rsidRPr="00ED72BE" w:rsidRDefault="009F4E8F" w:rsidP="009F4E8F">
      <w:pPr>
        <w:pStyle w:val="Heading3"/>
        <w:spacing w:before="0" w:line="360" w:lineRule="auto"/>
        <w:jc w:val="both"/>
        <w:rPr>
          <w:rFonts w:asciiTheme="majorBidi" w:hAnsiTheme="majorBidi"/>
          <w:sz w:val="24"/>
          <w:szCs w:val="24"/>
        </w:rPr>
      </w:pPr>
      <w:r w:rsidRPr="00ED72BE">
        <w:rPr>
          <w:rFonts w:asciiTheme="majorBidi" w:hAnsiTheme="majorBidi"/>
          <w:sz w:val="24"/>
          <w:szCs w:val="24"/>
        </w:rPr>
        <w:t>Appendix D: Proposed NCD-Specific Standard Operating Procedures (SOPs) Checklist</w:t>
      </w:r>
    </w:p>
    <w:p w14:paraId="6DF7DA55" w14:textId="77777777" w:rsidR="009F4E8F" w:rsidRPr="00ED72BE" w:rsidRDefault="009F4E8F" w:rsidP="009F4E8F">
      <w:pPr>
        <w:pBdr>
          <w:top w:val="nil"/>
          <w:left w:val="nil"/>
          <w:bottom w:val="nil"/>
          <w:right w:val="nil"/>
          <w:between w:val="nil"/>
        </w:pBdr>
        <w:spacing w:after="255" w:line="360" w:lineRule="auto"/>
        <w:jc w:val="both"/>
        <w:rPr>
          <w:rFonts w:asciiTheme="majorBidi" w:hAnsiTheme="majorBidi" w:cstheme="majorBidi"/>
          <w:i/>
          <w:sz w:val="24"/>
          <w:szCs w:val="24"/>
        </w:rPr>
      </w:pPr>
      <w:r w:rsidRPr="00ED72BE">
        <w:rPr>
          <w:rFonts w:asciiTheme="majorBidi" w:hAnsiTheme="majorBidi" w:cstheme="majorBidi"/>
          <w:i/>
          <w:sz w:val="24"/>
          <w:szCs w:val="24"/>
        </w:rPr>
        <w:t>A conceptual checklist outlining the essential components of standardized NCD care procedures for Primary Health Care facilities, covering areas such as patient registration, referral pathways, medication storage, NCD risk factor counseling, and minimum essential equipment based on WHO PEN guidelines.</w:t>
      </w:r>
    </w:p>
    <w:p w14:paraId="587FDB13" w14:textId="77777777" w:rsidR="009F4E8F" w:rsidRPr="00B4581A" w:rsidRDefault="009F4E8F" w:rsidP="009F4E8F">
      <w:pPr>
        <w:rPr>
          <w:rFonts w:asciiTheme="majorBidi" w:hAnsiTheme="majorBidi" w:cstheme="majorBidi"/>
          <w:b/>
          <w:sz w:val="24"/>
          <w:szCs w:val="24"/>
        </w:rPr>
      </w:pPr>
    </w:p>
    <w:p w14:paraId="7EDCE72C" w14:textId="77777777" w:rsidR="00DE6AE2" w:rsidRDefault="00DE6AE2"/>
    <w:sectPr w:rsidR="00DE6AE2" w:rsidSect="009F4E8F">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E8F"/>
    <w:rsid w:val="00195413"/>
    <w:rsid w:val="003D0186"/>
    <w:rsid w:val="00630464"/>
    <w:rsid w:val="007278E4"/>
    <w:rsid w:val="009F4E8F"/>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91204"/>
  <w15:chartTrackingRefBased/>
  <w15:docId w15:val="{4659DEA7-8EEA-4B73-8A94-C0428871D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F4E8F"/>
    <w:pPr>
      <w:widowControl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9F4E8F"/>
    <w:pPr>
      <w:keepNext/>
      <w:keepLines/>
      <w:widowControl/>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nhideWhenUsed/>
    <w:qFormat/>
    <w:rsid w:val="009F4E8F"/>
    <w:pPr>
      <w:keepNext/>
      <w:keepLines/>
      <w:widowControl/>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nhideWhenUsed/>
    <w:qFormat/>
    <w:rsid w:val="009F4E8F"/>
    <w:pPr>
      <w:keepNext/>
      <w:keepLines/>
      <w:widowControl/>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F4E8F"/>
    <w:pPr>
      <w:keepNext/>
      <w:keepLines/>
      <w:widowControl/>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F4E8F"/>
    <w:pPr>
      <w:keepNext/>
      <w:keepLines/>
      <w:widowControl/>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F4E8F"/>
    <w:pPr>
      <w:keepNext/>
      <w:keepLines/>
      <w:widowControl/>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F4E8F"/>
    <w:pPr>
      <w:keepNext/>
      <w:keepLines/>
      <w:widowControl/>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F4E8F"/>
    <w:pPr>
      <w:keepNext/>
      <w:keepLines/>
      <w:widowControl/>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F4E8F"/>
    <w:pPr>
      <w:keepNext/>
      <w:keepLines/>
      <w:widowControl/>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4E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4E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4E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4E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4E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4E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4E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4E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4E8F"/>
    <w:rPr>
      <w:rFonts w:eastAsiaTheme="majorEastAsia" w:cstheme="majorBidi"/>
      <w:color w:val="272727" w:themeColor="text1" w:themeTint="D8"/>
    </w:rPr>
  </w:style>
  <w:style w:type="paragraph" w:styleId="Title">
    <w:name w:val="Title"/>
    <w:basedOn w:val="Normal"/>
    <w:next w:val="Normal"/>
    <w:link w:val="TitleChar"/>
    <w:uiPriority w:val="10"/>
    <w:qFormat/>
    <w:rsid w:val="009F4E8F"/>
    <w:pPr>
      <w:widowControl/>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F4E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4E8F"/>
    <w:pPr>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F4E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4E8F"/>
    <w:pPr>
      <w:widowControl/>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F4E8F"/>
    <w:rPr>
      <w:i/>
      <w:iCs/>
      <w:color w:val="404040" w:themeColor="text1" w:themeTint="BF"/>
    </w:rPr>
  </w:style>
  <w:style w:type="paragraph" w:styleId="ListParagraph">
    <w:name w:val="List Paragraph"/>
    <w:basedOn w:val="Normal"/>
    <w:uiPriority w:val="34"/>
    <w:qFormat/>
    <w:rsid w:val="009F4E8F"/>
    <w:pPr>
      <w:widowControl/>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9F4E8F"/>
    <w:rPr>
      <w:i/>
      <w:iCs/>
      <w:color w:val="0F4761" w:themeColor="accent1" w:themeShade="BF"/>
    </w:rPr>
  </w:style>
  <w:style w:type="paragraph" w:styleId="IntenseQuote">
    <w:name w:val="Intense Quote"/>
    <w:basedOn w:val="Normal"/>
    <w:next w:val="Normal"/>
    <w:link w:val="IntenseQuoteChar"/>
    <w:uiPriority w:val="30"/>
    <w:qFormat/>
    <w:rsid w:val="009F4E8F"/>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F4E8F"/>
    <w:rPr>
      <w:i/>
      <w:iCs/>
      <w:color w:val="0F4761" w:themeColor="accent1" w:themeShade="BF"/>
    </w:rPr>
  </w:style>
  <w:style w:type="character" w:styleId="IntenseReference">
    <w:name w:val="Intense Reference"/>
    <w:basedOn w:val="DefaultParagraphFont"/>
    <w:uiPriority w:val="32"/>
    <w:qFormat/>
    <w:rsid w:val="009F4E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1170</Characters>
  <Application>Microsoft Office Word</Application>
  <DocSecurity>0</DocSecurity>
  <Lines>21</Lines>
  <Paragraphs>8</Paragraphs>
  <ScaleCrop>false</ScaleCrop>
  <Company>Springer Nature</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2025-10-24T06:56:00Z</dcterms:created>
  <dcterms:modified xsi:type="dcterms:W3CDTF">2025-10-24T06:56:00Z</dcterms:modified>
</cp:coreProperties>
</file>