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66B1F" w14:textId="0C177B31" w:rsidR="00303C88" w:rsidRPr="000D606E" w:rsidRDefault="00416947" w:rsidP="00416947">
      <w:pPr>
        <w:spacing w:after="0" w:line="480" w:lineRule="auto"/>
        <w:jc w:val="center"/>
        <w:rPr>
          <w:rFonts w:ascii="Times New Roman" w:hAnsi="Times New Roman" w:cs="Times New Roman"/>
          <w:b/>
          <w:bCs/>
          <w:sz w:val="22"/>
          <w:szCs w:val="22"/>
          <w:u w:val="single"/>
        </w:rPr>
      </w:pPr>
      <w:r w:rsidRPr="000D606E">
        <w:rPr>
          <w:rFonts w:ascii="Times New Roman" w:hAnsi="Times New Roman" w:cs="Times New Roman"/>
          <w:b/>
          <w:bCs/>
          <w:sz w:val="22"/>
          <w:szCs w:val="22"/>
          <w:u w:val="single"/>
        </w:rPr>
        <w:t xml:space="preserve">SUPPLEMENTARY </w:t>
      </w:r>
      <w:r w:rsidR="000D606E" w:rsidRPr="000D606E">
        <w:rPr>
          <w:rFonts w:ascii="Times New Roman" w:hAnsi="Times New Roman" w:cs="Times New Roman"/>
          <w:b/>
          <w:bCs/>
          <w:sz w:val="22"/>
          <w:szCs w:val="22"/>
          <w:u w:val="single"/>
        </w:rPr>
        <w:t>INFORMATION</w:t>
      </w:r>
    </w:p>
    <w:p w14:paraId="0650EFAC" w14:textId="6E4E575B" w:rsidR="000D606E" w:rsidRDefault="000D606E" w:rsidP="000D606E">
      <w:pPr>
        <w:spacing w:after="0" w:line="480" w:lineRule="auto"/>
        <w:rPr>
          <w:rFonts w:ascii="Times New Roman" w:hAnsi="Times New Roman" w:cs="Times New Roman"/>
          <w:b/>
          <w:bCs/>
          <w:sz w:val="22"/>
          <w:szCs w:val="22"/>
        </w:rPr>
      </w:pPr>
      <w:r>
        <w:rPr>
          <w:rFonts w:ascii="Times New Roman" w:hAnsi="Times New Roman" w:cs="Times New Roman"/>
          <w:b/>
          <w:bCs/>
          <w:sz w:val="22"/>
          <w:szCs w:val="22"/>
        </w:rPr>
        <w:t>SUPPLEMENTARY FIGURES</w:t>
      </w:r>
    </w:p>
    <w:p w14:paraId="29D11458" w14:textId="3BCE6305" w:rsidR="00E933D7" w:rsidRPr="00502723" w:rsidRDefault="00E933D7" w:rsidP="000D606E">
      <w:pPr>
        <w:spacing w:after="0" w:line="480" w:lineRule="auto"/>
        <w:rPr>
          <w:rFonts w:ascii="Times New Roman" w:hAnsi="Times New Roman" w:cs="Times New Roman"/>
          <w:b/>
          <w:bCs/>
          <w:sz w:val="22"/>
          <w:szCs w:val="22"/>
        </w:rPr>
      </w:pPr>
      <w:r>
        <w:rPr>
          <w:noProof/>
        </w:rPr>
        <w:drawing>
          <wp:inline distT="0" distB="0" distL="0" distR="0" wp14:anchorId="77B988B6" wp14:editId="4D52A5E1">
            <wp:extent cx="5943600" cy="6716874"/>
            <wp:effectExtent l="0" t="0" r="0" b="1905"/>
            <wp:docPr id="110708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2707"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16874"/>
                    </a:xfrm>
                    <a:prstGeom prst="rect">
                      <a:avLst/>
                    </a:prstGeom>
                  </pic:spPr>
                </pic:pic>
              </a:graphicData>
            </a:graphic>
          </wp:inline>
        </w:drawing>
      </w:r>
    </w:p>
    <w:p w14:paraId="6C3A7EA6" w14:textId="25DCE5F5" w:rsidR="00454A9E"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Pr>
          <w:rFonts w:ascii="Times New Roman" w:hAnsi="Times New Roman" w:cs="Times New Roman"/>
          <w:b/>
          <w:bCs/>
          <w:sz w:val="22"/>
          <w:szCs w:val="22"/>
        </w:rPr>
        <w:t>1</w:t>
      </w:r>
      <w:r w:rsidRPr="00502723">
        <w:rPr>
          <w:rFonts w:ascii="Times New Roman" w:hAnsi="Times New Roman" w:cs="Times New Roman"/>
          <w:b/>
          <w:bCs/>
          <w:sz w:val="22"/>
          <w:szCs w:val="22"/>
        </w:rPr>
        <w:t xml:space="preserve">: Comparison of tubule quantification with </w:t>
      </w:r>
      <w:r>
        <w:rPr>
          <w:rFonts w:ascii="Times New Roman" w:hAnsi="Times New Roman" w:cs="Times New Roman"/>
          <w:b/>
          <w:bCs/>
          <w:sz w:val="22"/>
          <w:szCs w:val="22"/>
        </w:rPr>
        <w:t xml:space="preserve">machine-learning-based </w:t>
      </w:r>
      <w:r w:rsidRPr="00502723">
        <w:rPr>
          <w:rFonts w:ascii="Times New Roman" w:hAnsi="Times New Roman" w:cs="Times New Roman"/>
          <w:b/>
          <w:bCs/>
          <w:sz w:val="22"/>
          <w:szCs w:val="22"/>
        </w:rPr>
        <w:t xml:space="preserve">image analysis tool vs. cell quantification via flow cytometry. </w:t>
      </w:r>
      <w:proofErr w:type="spellStart"/>
      <w:r w:rsidRPr="00502723">
        <w:rPr>
          <w:rFonts w:ascii="Times New Roman" w:hAnsi="Times New Roman" w:cs="Times New Roman"/>
          <w:b/>
          <w:bCs/>
          <w:sz w:val="22"/>
          <w:szCs w:val="22"/>
        </w:rPr>
        <w:t>a,b</w:t>
      </w:r>
      <w:proofErr w:type="spellEnd"/>
      <w:r w:rsidRPr="00502723">
        <w:rPr>
          <w:rFonts w:ascii="Times New Roman" w:hAnsi="Times New Roman" w:cs="Times New Roman"/>
          <w:b/>
          <w:bCs/>
          <w:sz w:val="22"/>
          <w:szCs w:val="22"/>
        </w:rPr>
        <w:t>,</w:t>
      </w:r>
      <w:r w:rsidRPr="00502723">
        <w:rPr>
          <w:rFonts w:ascii="Times New Roman" w:hAnsi="Times New Roman" w:cs="Times New Roman"/>
          <w:sz w:val="22"/>
          <w:szCs w:val="22"/>
        </w:rPr>
        <w:t xml:space="preserve"> Top: Representative images of </w:t>
      </w:r>
      <w:proofErr w:type="spellStart"/>
      <w:r w:rsidRPr="00502723">
        <w:rPr>
          <w:rFonts w:ascii="Times New Roman" w:hAnsi="Times New Roman" w:cs="Times New Roman"/>
          <w:sz w:val="22"/>
          <w:szCs w:val="22"/>
        </w:rPr>
        <w:t>mCherry</w:t>
      </w:r>
      <w:proofErr w:type="spellEnd"/>
      <w:r w:rsidR="00CF5A51">
        <w:rPr>
          <w:rFonts w:ascii="Times New Roman" w:hAnsi="Times New Roman" w:cs="Times New Roman"/>
          <w:sz w:val="22"/>
          <w:szCs w:val="22"/>
        </w:rPr>
        <w:t xml:space="preserve"> </w:t>
      </w:r>
      <w:r w:rsidRPr="00502723">
        <w:rPr>
          <w:rFonts w:ascii="Times New Roman" w:hAnsi="Times New Roman" w:cs="Times New Roman"/>
          <w:sz w:val="22"/>
          <w:szCs w:val="22"/>
        </w:rPr>
        <w:lastRenderedPageBreak/>
        <w:t>fluorescence, merged images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 bright field), and </w:t>
      </w:r>
      <w:proofErr w:type="spellStart"/>
      <w:r w:rsidRPr="00502723">
        <w:rPr>
          <w:rFonts w:ascii="Times New Roman" w:hAnsi="Times New Roman" w:cs="Times New Roman"/>
          <w:sz w:val="22"/>
          <w:szCs w:val="22"/>
        </w:rPr>
        <w:t>Roboflow</w:t>
      </w:r>
      <w:proofErr w:type="spellEnd"/>
      <w:r w:rsidRPr="00502723">
        <w:rPr>
          <w:rFonts w:ascii="Times New Roman" w:hAnsi="Times New Roman" w:cs="Times New Roman"/>
          <w:sz w:val="22"/>
          <w:szCs w:val="22"/>
        </w:rPr>
        <w:t xml:space="preserve"> tubule output in kidneys from AAV-treated and untreated mice. The average percentage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tubules, quantified using </w:t>
      </w:r>
      <w:r w:rsidR="00B04210">
        <w:rPr>
          <w:rFonts w:ascii="Times New Roman" w:hAnsi="Times New Roman" w:cs="Times New Roman"/>
          <w:sz w:val="22"/>
          <w:szCs w:val="22"/>
        </w:rPr>
        <w:t>a machine learning-guided image analysis tool</w:t>
      </w:r>
      <w:r w:rsidR="00B04210" w:rsidRPr="00502723">
        <w:rPr>
          <w:rFonts w:ascii="Times New Roman" w:hAnsi="Times New Roman" w:cs="Times New Roman"/>
          <w:sz w:val="22"/>
          <w:szCs w:val="22"/>
        </w:rPr>
        <w:t xml:space="preserve"> </w:t>
      </w:r>
      <w:r w:rsidR="00B04210">
        <w:rPr>
          <w:rFonts w:ascii="Times New Roman" w:hAnsi="Times New Roman" w:cs="Times New Roman"/>
          <w:sz w:val="22"/>
          <w:szCs w:val="22"/>
        </w:rPr>
        <w:t xml:space="preserve">developed in </w:t>
      </w:r>
      <w:proofErr w:type="spellStart"/>
      <w:r w:rsidRPr="00502723">
        <w:rPr>
          <w:rFonts w:ascii="Times New Roman" w:hAnsi="Times New Roman" w:cs="Times New Roman"/>
          <w:sz w:val="22"/>
          <w:szCs w:val="22"/>
        </w:rPr>
        <w:t>Robo</w:t>
      </w:r>
      <w:r w:rsidR="00B04210">
        <w:rPr>
          <w:rFonts w:ascii="Times New Roman" w:hAnsi="Times New Roman" w:cs="Times New Roman"/>
          <w:sz w:val="22"/>
          <w:szCs w:val="22"/>
        </w:rPr>
        <w:t>fl</w:t>
      </w:r>
      <w:r w:rsidRPr="00502723">
        <w:rPr>
          <w:rFonts w:ascii="Times New Roman" w:hAnsi="Times New Roman" w:cs="Times New Roman"/>
          <w:sz w:val="22"/>
          <w:szCs w:val="22"/>
        </w:rPr>
        <w:t>ow</w:t>
      </w:r>
      <w:proofErr w:type="spellEnd"/>
      <w:r w:rsidRPr="00502723">
        <w:rPr>
          <w:rFonts w:ascii="Times New Roman" w:hAnsi="Times New Roman" w:cs="Times New Roman"/>
          <w:sz w:val="22"/>
          <w:szCs w:val="22"/>
        </w:rPr>
        <w:t xml:space="preserve">, is shown. Bottom: Representative dot plots showing the percentage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cells as assessed by flow cytometry. </w:t>
      </w:r>
      <w:r w:rsidRPr="00502723">
        <w:rPr>
          <w:rFonts w:ascii="Times New Roman" w:hAnsi="Times New Roman" w:cs="Times New Roman"/>
          <w:b/>
          <w:bCs/>
          <w:sz w:val="22"/>
          <w:szCs w:val="22"/>
        </w:rPr>
        <w:t>c,</w:t>
      </w:r>
      <w:r w:rsidRPr="00502723">
        <w:rPr>
          <w:rFonts w:ascii="Times New Roman" w:hAnsi="Times New Roman" w:cs="Times New Roman"/>
          <w:sz w:val="22"/>
          <w:szCs w:val="22"/>
        </w:rPr>
        <w:t xml:space="preserve"> Scatter plot showing the correlation between the number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-positive tubules per kidney, quantified using </w:t>
      </w:r>
      <w:proofErr w:type="spellStart"/>
      <w:r w:rsidRPr="00502723">
        <w:rPr>
          <w:rFonts w:ascii="Times New Roman" w:hAnsi="Times New Roman" w:cs="Times New Roman"/>
          <w:sz w:val="22"/>
          <w:szCs w:val="22"/>
        </w:rPr>
        <w:t>Roboflow</w:t>
      </w:r>
      <w:proofErr w:type="spellEnd"/>
      <w:r w:rsidRPr="00502723">
        <w:rPr>
          <w:rFonts w:ascii="Times New Roman" w:hAnsi="Times New Roman" w:cs="Times New Roman"/>
          <w:sz w:val="22"/>
          <w:szCs w:val="22"/>
        </w:rPr>
        <w:t xml:space="preserve"> image analysis, and the percentage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-positive cells, determined by flow cytometry, for each individual mouse treated with AAV9-</w:t>
      </w:r>
      <w:r>
        <w:rPr>
          <w:rFonts w:ascii="Times New Roman" w:hAnsi="Times New Roman" w:cs="Times New Roman"/>
          <w:sz w:val="22"/>
          <w:szCs w:val="22"/>
        </w:rPr>
        <w:t>CBH</w:t>
      </w:r>
      <w:r w:rsidRPr="00502723">
        <w:rPr>
          <w:rFonts w:ascii="Times New Roman" w:hAnsi="Times New Roman" w:cs="Times New Roman"/>
          <w:sz w:val="22"/>
          <w:szCs w:val="22"/>
        </w:rPr>
        <w:t>-mCherry-WPRE.</w:t>
      </w:r>
    </w:p>
    <w:p w14:paraId="46F4358E" w14:textId="77777777" w:rsidR="00A5017C" w:rsidRDefault="00A5017C" w:rsidP="00183452">
      <w:pPr>
        <w:spacing w:after="0" w:line="480" w:lineRule="auto"/>
        <w:rPr>
          <w:rFonts w:ascii="Times New Roman" w:hAnsi="Times New Roman" w:cs="Times New Roman"/>
          <w:b/>
          <w:bCs/>
          <w:sz w:val="22"/>
          <w:szCs w:val="22"/>
        </w:rPr>
      </w:pPr>
    </w:p>
    <w:p w14:paraId="257AFCF1" w14:textId="77777777" w:rsidR="00E933D7" w:rsidRDefault="00E933D7" w:rsidP="00183452">
      <w:pPr>
        <w:spacing w:after="0" w:line="480" w:lineRule="auto"/>
        <w:rPr>
          <w:rFonts w:ascii="Times New Roman" w:hAnsi="Times New Roman" w:cs="Times New Roman"/>
          <w:b/>
          <w:bCs/>
          <w:sz w:val="22"/>
          <w:szCs w:val="22"/>
        </w:rPr>
      </w:pPr>
    </w:p>
    <w:p w14:paraId="3ED74E1D" w14:textId="1776FC90" w:rsidR="00E933D7" w:rsidRDefault="00E933D7" w:rsidP="00183452">
      <w:pPr>
        <w:spacing w:after="0" w:line="480" w:lineRule="auto"/>
        <w:rPr>
          <w:rFonts w:ascii="Times New Roman" w:hAnsi="Times New Roman" w:cs="Times New Roman"/>
          <w:b/>
          <w:bCs/>
          <w:sz w:val="22"/>
          <w:szCs w:val="22"/>
        </w:rPr>
      </w:pPr>
      <w:r>
        <w:rPr>
          <w:noProof/>
        </w:rPr>
        <w:lastRenderedPageBreak/>
        <w:drawing>
          <wp:inline distT="0" distB="0" distL="0" distR="0" wp14:anchorId="4AC3D9C8" wp14:editId="3EDA24AE">
            <wp:extent cx="5943600" cy="5867072"/>
            <wp:effectExtent l="0" t="0" r="0" b="635"/>
            <wp:docPr id="628340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0702"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867072"/>
                    </a:xfrm>
                    <a:prstGeom prst="rect">
                      <a:avLst/>
                    </a:prstGeom>
                  </pic:spPr>
                </pic:pic>
              </a:graphicData>
            </a:graphic>
          </wp:inline>
        </w:drawing>
      </w:r>
    </w:p>
    <w:p w14:paraId="47C387BA" w14:textId="56F8DF25" w:rsidR="00111D86" w:rsidRPr="00502723" w:rsidRDefault="00E436A1"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sidR="00454A9E">
        <w:rPr>
          <w:rFonts w:ascii="Times New Roman" w:hAnsi="Times New Roman" w:cs="Times New Roman"/>
          <w:b/>
          <w:bCs/>
          <w:sz w:val="22"/>
          <w:szCs w:val="22"/>
        </w:rPr>
        <w:t>2</w:t>
      </w:r>
      <w:r w:rsidRPr="00502723">
        <w:rPr>
          <w:rFonts w:ascii="Times New Roman" w:hAnsi="Times New Roman" w:cs="Times New Roman"/>
          <w:b/>
          <w:bCs/>
          <w:sz w:val="22"/>
          <w:szCs w:val="22"/>
        </w:rPr>
        <w:t xml:space="preserve">: Representative flow cytometry gating for quantifying percentage of </w:t>
      </w:r>
      <w:proofErr w:type="spellStart"/>
      <w:r w:rsidRPr="00502723">
        <w:rPr>
          <w:rFonts w:ascii="Times New Roman" w:hAnsi="Times New Roman" w:cs="Times New Roman"/>
          <w:b/>
          <w:bCs/>
          <w:sz w:val="22"/>
          <w:szCs w:val="22"/>
        </w:rPr>
        <w:t>mCherry</w:t>
      </w:r>
      <w:proofErr w:type="spellEnd"/>
      <w:r w:rsidRPr="00502723">
        <w:rPr>
          <w:rFonts w:ascii="Times New Roman" w:hAnsi="Times New Roman" w:cs="Times New Roman"/>
          <w:b/>
          <w:bCs/>
          <w:sz w:val="22"/>
          <w:szCs w:val="22"/>
        </w:rPr>
        <w:t xml:space="preserve"> positive cells. </w:t>
      </w:r>
      <w:proofErr w:type="gramStart"/>
      <w:r w:rsidRPr="00502723">
        <w:rPr>
          <w:rFonts w:ascii="Times New Roman" w:hAnsi="Times New Roman" w:cs="Times New Roman"/>
          <w:b/>
          <w:bCs/>
          <w:sz w:val="22"/>
          <w:szCs w:val="22"/>
        </w:rPr>
        <w:t>a,</w:t>
      </w:r>
      <w:proofErr w:type="gramEnd"/>
      <w:r w:rsidRPr="00502723">
        <w:rPr>
          <w:rFonts w:ascii="Times New Roman" w:hAnsi="Times New Roman" w:cs="Times New Roman"/>
          <w:b/>
          <w:bCs/>
          <w:sz w:val="22"/>
          <w:szCs w:val="22"/>
        </w:rPr>
        <w:t xml:space="preserve"> </w:t>
      </w:r>
      <w:r w:rsidR="00111D86" w:rsidRPr="00502723">
        <w:rPr>
          <w:rFonts w:ascii="Times New Roman" w:hAnsi="Times New Roman" w:cs="Times New Roman"/>
          <w:sz w:val="22"/>
          <w:szCs w:val="22"/>
        </w:rPr>
        <w:t xml:space="preserve">Representative dot plots showing the sequential gating strategy applied to analyze </w:t>
      </w:r>
      <w:proofErr w:type="spellStart"/>
      <w:r w:rsidR="00111D86" w:rsidRPr="00502723">
        <w:rPr>
          <w:rFonts w:ascii="Times New Roman" w:hAnsi="Times New Roman" w:cs="Times New Roman"/>
          <w:sz w:val="22"/>
          <w:szCs w:val="22"/>
        </w:rPr>
        <w:t>mCherry</w:t>
      </w:r>
      <w:proofErr w:type="spellEnd"/>
      <w:r w:rsidR="00111D86" w:rsidRPr="00502723">
        <w:rPr>
          <w:rFonts w:ascii="Times New Roman" w:hAnsi="Times New Roman" w:cs="Times New Roman"/>
          <w:sz w:val="22"/>
          <w:szCs w:val="22"/>
        </w:rPr>
        <w:t xml:space="preserve"> expression in kidney cells from untreated mice and mice injected with AAV9 encoding </w:t>
      </w:r>
      <w:proofErr w:type="spellStart"/>
      <w:r w:rsidR="00111D86" w:rsidRPr="00502723">
        <w:rPr>
          <w:rFonts w:ascii="Times New Roman" w:hAnsi="Times New Roman" w:cs="Times New Roman"/>
          <w:sz w:val="22"/>
          <w:szCs w:val="22"/>
        </w:rPr>
        <w:t>mCherry</w:t>
      </w:r>
      <w:proofErr w:type="spellEnd"/>
      <w:r w:rsidR="00111D86" w:rsidRPr="00502723">
        <w:rPr>
          <w:rFonts w:ascii="Times New Roman" w:hAnsi="Times New Roman" w:cs="Times New Roman"/>
          <w:sz w:val="22"/>
          <w:szCs w:val="22"/>
        </w:rPr>
        <w:t xml:space="preserve"> under the control of various promoters (</w:t>
      </w:r>
      <w:r w:rsidR="00367F4E">
        <w:rPr>
          <w:rFonts w:ascii="Times New Roman" w:hAnsi="Times New Roman" w:cs="Times New Roman"/>
          <w:sz w:val="22"/>
          <w:szCs w:val="22"/>
        </w:rPr>
        <w:t>CBH</w:t>
      </w:r>
      <w:r w:rsidR="00111D86" w:rsidRPr="00502723">
        <w:rPr>
          <w:rFonts w:ascii="Times New Roman" w:hAnsi="Times New Roman" w:cs="Times New Roman"/>
          <w:sz w:val="22"/>
          <w:szCs w:val="22"/>
        </w:rPr>
        <w:t xml:space="preserve">, CMV, EF1α, CAG). Samples were analyzed using two different laser configurations to confirm </w:t>
      </w:r>
      <w:proofErr w:type="spellStart"/>
      <w:r w:rsidR="00111D86" w:rsidRPr="00502723">
        <w:rPr>
          <w:rFonts w:ascii="Times New Roman" w:hAnsi="Times New Roman" w:cs="Times New Roman"/>
          <w:sz w:val="22"/>
          <w:szCs w:val="22"/>
        </w:rPr>
        <w:t>mCherry</w:t>
      </w:r>
      <w:proofErr w:type="spellEnd"/>
      <w:r w:rsidR="00111D86" w:rsidRPr="00502723">
        <w:rPr>
          <w:rFonts w:ascii="Times New Roman" w:hAnsi="Times New Roman" w:cs="Times New Roman"/>
          <w:sz w:val="22"/>
          <w:szCs w:val="22"/>
        </w:rPr>
        <w:t xml:space="preserve"> expression and DAPI staining. </w:t>
      </w:r>
      <w:r w:rsidR="00861A21">
        <w:rPr>
          <w:rFonts w:ascii="Times New Roman" w:hAnsi="Times New Roman" w:cs="Times New Roman"/>
          <w:sz w:val="22"/>
          <w:szCs w:val="22"/>
        </w:rPr>
        <w:t>SSC-H vs. FSC-A:</w:t>
      </w:r>
      <w:r w:rsidR="00111D86" w:rsidRPr="00502723">
        <w:rPr>
          <w:rFonts w:ascii="Times New Roman" w:hAnsi="Times New Roman" w:cs="Times New Roman"/>
          <w:sz w:val="22"/>
          <w:szCs w:val="22"/>
        </w:rPr>
        <w:t xml:space="preserve"> Initial gating on total cell population based on forward and side scatter</w:t>
      </w:r>
      <w:r w:rsidR="00861A21">
        <w:rPr>
          <w:rFonts w:ascii="Times New Roman" w:hAnsi="Times New Roman" w:cs="Times New Roman"/>
          <w:sz w:val="22"/>
          <w:szCs w:val="22"/>
        </w:rPr>
        <w:t xml:space="preserve">. FSC-H vs. FSC-A: </w:t>
      </w:r>
      <w:r w:rsidR="00111D86" w:rsidRPr="00502723">
        <w:rPr>
          <w:rFonts w:ascii="Times New Roman" w:hAnsi="Times New Roman" w:cs="Times New Roman"/>
          <w:sz w:val="22"/>
          <w:szCs w:val="22"/>
        </w:rPr>
        <w:t>Selection of single cells using forward scatter height vs area</w:t>
      </w:r>
      <w:r w:rsidR="00861A21">
        <w:rPr>
          <w:rFonts w:ascii="Times New Roman" w:hAnsi="Times New Roman" w:cs="Times New Roman"/>
          <w:sz w:val="22"/>
          <w:szCs w:val="22"/>
        </w:rPr>
        <w:t>. FSC-H vs. FSC-W</w:t>
      </w:r>
      <w:r w:rsidR="00111D86" w:rsidRPr="00502723">
        <w:rPr>
          <w:rFonts w:ascii="Times New Roman" w:hAnsi="Times New Roman" w:cs="Times New Roman"/>
          <w:sz w:val="22"/>
          <w:szCs w:val="22"/>
        </w:rPr>
        <w:t xml:space="preserve">: Confirmation of singlets by width vs </w:t>
      </w:r>
      <w:r w:rsidR="00111D86" w:rsidRPr="00502723">
        <w:rPr>
          <w:rFonts w:ascii="Times New Roman" w:hAnsi="Times New Roman" w:cs="Times New Roman"/>
          <w:sz w:val="22"/>
          <w:szCs w:val="22"/>
        </w:rPr>
        <w:lastRenderedPageBreak/>
        <w:t>area gating</w:t>
      </w:r>
      <w:r w:rsidR="00861A21">
        <w:rPr>
          <w:rFonts w:ascii="Times New Roman" w:hAnsi="Times New Roman" w:cs="Times New Roman"/>
          <w:sz w:val="22"/>
          <w:szCs w:val="22"/>
        </w:rPr>
        <w:t>. FSC-H vs. DAPI</w:t>
      </w:r>
      <w:r w:rsidR="00111D86" w:rsidRPr="00502723">
        <w:rPr>
          <w:rFonts w:ascii="Times New Roman" w:hAnsi="Times New Roman" w:cs="Times New Roman"/>
          <w:sz w:val="22"/>
          <w:szCs w:val="22"/>
        </w:rPr>
        <w:t xml:space="preserve">: Live single-cell population selected based on viability dye exclusion. </w:t>
      </w:r>
      <w:proofErr w:type="spellStart"/>
      <w:r w:rsidR="00744CDD">
        <w:rPr>
          <w:rFonts w:ascii="Times New Roman" w:hAnsi="Times New Roman" w:cs="Times New Roman"/>
          <w:sz w:val="22"/>
          <w:szCs w:val="22"/>
        </w:rPr>
        <w:t>mCherry</w:t>
      </w:r>
      <w:proofErr w:type="spellEnd"/>
      <w:r w:rsidR="00744CDD">
        <w:rPr>
          <w:rFonts w:ascii="Times New Roman" w:hAnsi="Times New Roman" w:cs="Times New Roman"/>
          <w:sz w:val="22"/>
          <w:szCs w:val="22"/>
        </w:rPr>
        <w:t xml:space="preserve"> vs. FSC-H</w:t>
      </w:r>
      <w:r w:rsidR="00111D86" w:rsidRPr="00502723">
        <w:rPr>
          <w:rFonts w:ascii="Times New Roman" w:hAnsi="Times New Roman" w:cs="Times New Roman"/>
          <w:sz w:val="22"/>
          <w:szCs w:val="22"/>
        </w:rPr>
        <w:t xml:space="preserve">: Quantification of </w:t>
      </w:r>
      <w:proofErr w:type="spellStart"/>
      <w:r w:rsidR="00111D86" w:rsidRPr="00502723">
        <w:rPr>
          <w:rFonts w:ascii="Times New Roman" w:hAnsi="Times New Roman" w:cs="Times New Roman"/>
          <w:sz w:val="22"/>
          <w:szCs w:val="22"/>
        </w:rPr>
        <w:t>mCherry</w:t>
      </w:r>
      <w:proofErr w:type="spellEnd"/>
      <w:r w:rsidR="00111D86" w:rsidRPr="00502723">
        <w:rPr>
          <w:rFonts w:ascii="Times New Roman" w:hAnsi="Times New Roman" w:cs="Times New Roman"/>
          <w:sz w:val="22"/>
          <w:szCs w:val="22"/>
        </w:rPr>
        <w:t>-positive cells using fluorescence intensity (FL3 channel; 561–614 nm). Numbers indicate the percentage of cells falling within each gate. Data illustrate differences in transduction efficiency and promoter strength across tested constructs.</w:t>
      </w:r>
    </w:p>
    <w:p w14:paraId="4846C2D9" w14:textId="77777777" w:rsidR="00454A9E" w:rsidRDefault="00454A9E" w:rsidP="00183452">
      <w:pPr>
        <w:spacing w:after="0" w:line="480" w:lineRule="auto"/>
        <w:rPr>
          <w:rFonts w:ascii="Times New Roman" w:hAnsi="Times New Roman" w:cs="Times New Roman"/>
          <w:sz w:val="22"/>
          <w:szCs w:val="22"/>
        </w:rPr>
      </w:pPr>
    </w:p>
    <w:p w14:paraId="699A1B37" w14:textId="58130790" w:rsidR="00E933D7" w:rsidRDefault="00E933D7" w:rsidP="00183452">
      <w:pPr>
        <w:spacing w:after="0" w:line="480" w:lineRule="auto"/>
        <w:rPr>
          <w:rFonts w:ascii="Times New Roman" w:hAnsi="Times New Roman" w:cs="Times New Roman"/>
          <w:sz w:val="22"/>
          <w:szCs w:val="22"/>
        </w:rPr>
      </w:pPr>
      <w:r>
        <w:rPr>
          <w:noProof/>
        </w:rPr>
        <w:lastRenderedPageBreak/>
        <w:drawing>
          <wp:inline distT="0" distB="0" distL="0" distR="0" wp14:anchorId="6D15FF71" wp14:editId="7FF593F9">
            <wp:extent cx="5601226" cy="7899009"/>
            <wp:effectExtent l="0" t="0" r="0" b="635"/>
            <wp:docPr id="850001394" name="Picture 7" descr="A collecti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1394" name="Picture 7" descr="A collection of graphs and diagram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1699" cy="7984289"/>
                    </a:xfrm>
                    <a:prstGeom prst="rect">
                      <a:avLst/>
                    </a:prstGeom>
                  </pic:spPr>
                </pic:pic>
              </a:graphicData>
            </a:graphic>
          </wp:inline>
        </w:drawing>
      </w:r>
    </w:p>
    <w:p w14:paraId="0D77E6C4" w14:textId="77777777" w:rsidR="00454A9E"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lastRenderedPageBreak/>
        <w:t xml:space="preserve">Supplementary Figure </w:t>
      </w:r>
      <w:r>
        <w:rPr>
          <w:rFonts w:ascii="Times New Roman" w:hAnsi="Times New Roman" w:cs="Times New Roman"/>
          <w:b/>
          <w:bCs/>
          <w:sz w:val="22"/>
          <w:szCs w:val="22"/>
        </w:rPr>
        <w:t>3</w:t>
      </w:r>
      <w:r w:rsidRPr="00502723">
        <w:rPr>
          <w:rFonts w:ascii="Times New Roman" w:hAnsi="Times New Roman" w:cs="Times New Roman"/>
          <w:b/>
          <w:bCs/>
          <w:sz w:val="22"/>
          <w:szCs w:val="22"/>
        </w:rPr>
        <w:t xml:space="preserve">: Representative flow cytometry gating strategy for LTL and </w:t>
      </w:r>
      <w:proofErr w:type="spellStart"/>
      <w:r w:rsidRPr="00502723">
        <w:rPr>
          <w:rFonts w:ascii="Times New Roman" w:hAnsi="Times New Roman" w:cs="Times New Roman"/>
          <w:b/>
          <w:bCs/>
          <w:sz w:val="22"/>
          <w:szCs w:val="22"/>
        </w:rPr>
        <w:t>mCherry</w:t>
      </w:r>
      <w:proofErr w:type="spellEnd"/>
      <w:r w:rsidRPr="00502723">
        <w:rPr>
          <w:rFonts w:ascii="Times New Roman" w:hAnsi="Times New Roman" w:cs="Times New Roman"/>
          <w:b/>
          <w:bCs/>
          <w:sz w:val="22"/>
          <w:szCs w:val="22"/>
        </w:rPr>
        <w:t xml:space="preserve"> signal quantification in kidney cells. </w:t>
      </w:r>
      <w:proofErr w:type="gramStart"/>
      <w:r w:rsidRPr="00502723">
        <w:rPr>
          <w:rFonts w:ascii="Times New Roman" w:hAnsi="Times New Roman" w:cs="Times New Roman"/>
          <w:b/>
          <w:bCs/>
          <w:sz w:val="22"/>
          <w:szCs w:val="22"/>
        </w:rPr>
        <w:t>a,</w:t>
      </w:r>
      <w:proofErr w:type="gramEnd"/>
      <w:r w:rsidRPr="00502723">
        <w:rPr>
          <w:rFonts w:ascii="Times New Roman" w:hAnsi="Times New Roman" w:cs="Times New Roman"/>
          <w:sz w:val="22"/>
          <w:szCs w:val="22"/>
        </w:rPr>
        <w:t xml:space="preserve"> Representative gating for untreated control mouse. </w:t>
      </w:r>
      <w:r w:rsidRPr="00502723">
        <w:rPr>
          <w:rFonts w:ascii="Times New Roman" w:hAnsi="Times New Roman" w:cs="Times New Roman"/>
          <w:b/>
          <w:bCs/>
          <w:sz w:val="22"/>
          <w:szCs w:val="22"/>
        </w:rPr>
        <w:t xml:space="preserve">b, </w:t>
      </w:r>
      <w:r w:rsidRPr="00502723">
        <w:rPr>
          <w:rFonts w:ascii="Times New Roman" w:hAnsi="Times New Roman" w:cs="Times New Roman"/>
          <w:sz w:val="22"/>
          <w:szCs w:val="22"/>
        </w:rPr>
        <w:t xml:space="preserve">Representative gating for ssAAV9-CBh-mCherry-WPRE treated mouse and stained with LTL-FITC. For each sample, GFP and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channels were analyzed in parallel to identify cell populations. Sequential gates were applied to exclude debris (first row), select single cells (second and third rows), and gate for viable cells (fourth row). Final dot plots (fifth row) represent two-dimensional analysis of GFP (LTL) and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with quadrants defined as follows: Q1 (LTL+/</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green), Q2 (LTL=/</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yellow), Q3 (LTL-/</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red), Q4 (LTL-/</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grey). This gating strategy allows for the quantification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expression specifically within the proximal tubule population (Q2) and across other renal cell types.</w:t>
      </w:r>
    </w:p>
    <w:p w14:paraId="7F8ED611" w14:textId="77777777" w:rsidR="00454A9E" w:rsidRDefault="00454A9E" w:rsidP="00183452">
      <w:pPr>
        <w:spacing w:after="0" w:line="480" w:lineRule="auto"/>
        <w:rPr>
          <w:rFonts w:ascii="Times New Roman" w:hAnsi="Times New Roman" w:cs="Times New Roman"/>
          <w:sz w:val="22"/>
          <w:szCs w:val="22"/>
        </w:rPr>
      </w:pPr>
    </w:p>
    <w:p w14:paraId="638A823D" w14:textId="53B35884" w:rsidR="00E933D7" w:rsidRDefault="00E933D7" w:rsidP="00183452">
      <w:pPr>
        <w:spacing w:after="0" w:line="480" w:lineRule="auto"/>
        <w:rPr>
          <w:rFonts w:ascii="Times New Roman" w:hAnsi="Times New Roman" w:cs="Times New Roman"/>
          <w:sz w:val="22"/>
          <w:szCs w:val="22"/>
        </w:rPr>
      </w:pPr>
      <w:r>
        <w:rPr>
          <w:noProof/>
        </w:rPr>
        <w:lastRenderedPageBreak/>
        <w:drawing>
          <wp:inline distT="0" distB="0" distL="0" distR="0" wp14:anchorId="2257B18C" wp14:editId="559E29E3">
            <wp:extent cx="5943600" cy="4936490"/>
            <wp:effectExtent l="0" t="0" r="0" b="3810"/>
            <wp:docPr id="149925213" name="Picture 16" descr="A close-up of several different colore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213" name="Picture 16" descr="A close-up of several different colored imag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36490"/>
                    </a:xfrm>
                    <a:prstGeom prst="rect">
                      <a:avLst/>
                    </a:prstGeom>
                  </pic:spPr>
                </pic:pic>
              </a:graphicData>
            </a:graphic>
          </wp:inline>
        </w:drawing>
      </w:r>
    </w:p>
    <w:p w14:paraId="02F82510" w14:textId="7EFC4BB4" w:rsidR="00454A9E"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Pr>
          <w:rFonts w:ascii="Times New Roman" w:hAnsi="Times New Roman" w:cs="Times New Roman"/>
          <w:b/>
          <w:bCs/>
          <w:sz w:val="22"/>
          <w:szCs w:val="22"/>
        </w:rPr>
        <w:t>4</w:t>
      </w:r>
      <w:r w:rsidRPr="00502723">
        <w:rPr>
          <w:rFonts w:ascii="Times New Roman" w:hAnsi="Times New Roman" w:cs="Times New Roman"/>
          <w:b/>
          <w:bCs/>
          <w:sz w:val="22"/>
          <w:szCs w:val="22"/>
        </w:rPr>
        <w:t xml:space="preserve">: FDA-approved LNPs (ALC-0315, SM-102, DLin-MC3) do not transduce kidney efficiently </w:t>
      </w:r>
      <w:r w:rsidRPr="000C0214">
        <w:rPr>
          <w:rFonts w:ascii="Times New Roman" w:hAnsi="Times New Roman" w:cs="Times New Roman"/>
          <w:b/>
          <w:bCs/>
          <w:i/>
          <w:iCs/>
          <w:sz w:val="22"/>
          <w:szCs w:val="22"/>
        </w:rPr>
        <w:t>in vivo</w:t>
      </w:r>
      <w:r w:rsidRPr="00502723">
        <w:rPr>
          <w:rFonts w:ascii="Times New Roman" w:hAnsi="Times New Roman" w:cs="Times New Roman"/>
          <w:b/>
          <w:bCs/>
          <w:sz w:val="22"/>
          <w:szCs w:val="22"/>
        </w:rPr>
        <w:t xml:space="preserve">. </w:t>
      </w:r>
      <w:proofErr w:type="gramStart"/>
      <w:r w:rsidRPr="00502723">
        <w:rPr>
          <w:rFonts w:ascii="Times New Roman" w:hAnsi="Times New Roman" w:cs="Times New Roman"/>
          <w:b/>
          <w:bCs/>
          <w:sz w:val="22"/>
          <w:szCs w:val="22"/>
        </w:rPr>
        <w:t>a,</w:t>
      </w:r>
      <w:proofErr w:type="gramEnd"/>
      <w:r w:rsidRPr="00502723">
        <w:rPr>
          <w:rFonts w:ascii="Times New Roman" w:hAnsi="Times New Roman" w:cs="Times New Roman"/>
          <w:sz w:val="22"/>
          <w:szCs w:val="22"/>
        </w:rPr>
        <w:t xml:space="preserve"> Representative images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and flow cytometry (FACS) analysis of HEK293T cells incubated in vitro with LNPs, ALC-0315, SM-102, or DLin-MC3, formulated with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-encoding mRNA. </w:t>
      </w:r>
      <w:r w:rsidRPr="00502723">
        <w:rPr>
          <w:rFonts w:ascii="Times New Roman" w:hAnsi="Times New Roman" w:cs="Times New Roman"/>
          <w:b/>
          <w:bCs/>
          <w:sz w:val="22"/>
          <w:szCs w:val="22"/>
        </w:rPr>
        <w:t>b</w:t>
      </w:r>
      <w:r w:rsidRPr="00502723">
        <w:rPr>
          <w:rFonts w:ascii="Times New Roman" w:hAnsi="Times New Roman" w:cs="Times New Roman"/>
          <w:sz w:val="22"/>
          <w:szCs w:val="22"/>
        </w:rPr>
        <w:t xml:space="preserve">, </w:t>
      </w:r>
      <w:r w:rsidR="006A489F" w:rsidRPr="00502723">
        <w:rPr>
          <w:rFonts w:ascii="Times New Roman" w:hAnsi="Times New Roman" w:cs="Times New Roman"/>
          <w:sz w:val="22"/>
          <w:szCs w:val="22"/>
        </w:rPr>
        <w:t xml:space="preserve">Representative images of </w:t>
      </w:r>
      <w:proofErr w:type="spellStart"/>
      <w:r w:rsidR="006A489F" w:rsidRPr="00502723">
        <w:rPr>
          <w:rFonts w:ascii="Times New Roman" w:hAnsi="Times New Roman" w:cs="Times New Roman"/>
          <w:sz w:val="22"/>
          <w:szCs w:val="22"/>
        </w:rPr>
        <w:t>mCherry</w:t>
      </w:r>
      <w:proofErr w:type="spellEnd"/>
      <w:r w:rsidR="006A489F" w:rsidRPr="00502723">
        <w:rPr>
          <w:rFonts w:ascii="Times New Roman" w:hAnsi="Times New Roman" w:cs="Times New Roman"/>
          <w:sz w:val="22"/>
          <w:szCs w:val="22"/>
        </w:rPr>
        <w:t xml:space="preserve"> fluorescence in the kidney and liver </w:t>
      </w:r>
      <w:r w:rsidRPr="00502723">
        <w:rPr>
          <w:rFonts w:ascii="Times New Roman" w:hAnsi="Times New Roman" w:cs="Times New Roman"/>
          <w:sz w:val="22"/>
          <w:szCs w:val="22"/>
        </w:rPr>
        <w:t xml:space="preserve">of LNP-treated vs. untreated mice. </w:t>
      </w:r>
      <w:r w:rsidR="008857F6" w:rsidRPr="00502723">
        <w:rPr>
          <w:rFonts w:ascii="Times New Roman" w:hAnsi="Times New Roman" w:cs="Times New Roman"/>
          <w:b/>
          <w:bCs/>
          <w:sz w:val="22"/>
          <w:szCs w:val="22"/>
        </w:rPr>
        <w:t>c</w:t>
      </w:r>
      <w:r w:rsidR="008857F6" w:rsidRPr="00502723">
        <w:rPr>
          <w:rFonts w:ascii="Times New Roman" w:hAnsi="Times New Roman" w:cs="Times New Roman"/>
          <w:sz w:val="22"/>
          <w:szCs w:val="22"/>
        </w:rPr>
        <w:t xml:space="preserve">, </w:t>
      </w:r>
      <w:r w:rsidR="008857F6">
        <w:rPr>
          <w:rFonts w:ascii="Times New Roman" w:hAnsi="Times New Roman" w:cs="Times New Roman"/>
          <w:sz w:val="22"/>
          <w:szCs w:val="22"/>
        </w:rPr>
        <w:t>Transfection</w:t>
      </w:r>
      <w:r w:rsidR="008857F6" w:rsidRPr="00502723">
        <w:rPr>
          <w:rFonts w:ascii="Times New Roman" w:hAnsi="Times New Roman" w:cs="Times New Roman"/>
          <w:sz w:val="22"/>
          <w:szCs w:val="22"/>
        </w:rPr>
        <w:t xml:space="preserve"> efficiencies in </w:t>
      </w:r>
      <w:r w:rsidR="008857F6">
        <w:rPr>
          <w:rFonts w:ascii="Times New Roman" w:hAnsi="Times New Roman" w:cs="Times New Roman"/>
          <w:sz w:val="22"/>
          <w:szCs w:val="22"/>
        </w:rPr>
        <w:t>LNP</w:t>
      </w:r>
      <w:r w:rsidR="008857F6" w:rsidRPr="00502723">
        <w:rPr>
          <w:rFonts w:ascii="Times New Roman" w:hAnsi="Times New Roman" w:cs="Times New Roman"/>
          <w:sz w:val="22"/>
          <w:szCs w:val="22"/>
        </w:rPr>
        <w:t xml:space="preserve">-treated </w:t>
      </w:r>
      <w:r w:rsidR="000133FF">
        <w:rPr>
          <w:rFonts w:ascii="Times New Roman" w:hAnsi="Times New Roman" w:cs="Times New Roman"/>
          <w:sz w:val="22"/>
          <w:szCs w:val="22"/>
        </w:rPr>
        <w:t xml:space="preserve">and untreated </w:t>
      </w:r>
      <w:r w:rsidR="008857F6" w:rsidRPr="00502723">
        <w:rPr>
          <w:rFonts w:ascii="Times New Roman" w:hAnsi="Times New Roman" w:cs="Times New Roman"/>
          <w:sz w:val="22"/>
          <w:szCs w:val="22"/>
        </w:rPr>
        <w:t xml:space="preserve">renal tubules were quantified using </w:t>
      </w:r>
      <w:proofErr w:type="spellStart"/>
      <w:r w:rsidR="008857F6" w:rsidRPr="00502723">
        <w:rPr>
          <w:rFonts w:ascii="Times New Roman" w:hAnsi="Times New Roman" w:cs="Times New Roman"/>
          <w:sz w:val="22"/>
          <w:szCs w:val="22"/>
        </w:rPr>
        <w:t>Roboflow</w:t>
      </w:r>
      <w:proofErr w:type="spellEnd"/>
      <w:r w:rsidR="00F26148">
        <w:rPr>
          <w:rFonts w:ascii="Times New Roman" w:hAnsi="Times New Roman" w:cs="Times New Roman"/>
          <w:sz w:val="22"/>
          <w:szCs w:val="22"/>
        </w:rPr>
        <w:t xml:space="preserve"> machine learning-guided image analysis tool</w:t>
      </w:r>
      <w:r w:rsidR="008857F6" w:rsidRPr="00502723">
        <w:rPr>
          <w:rFonts w:ascii="Times New Roman" w:hAnsi="Times New Roman" w:cs="Times New Roman"/>
          <w:sz w:val="22"/>
          <w:szCs w:val="22"/>
        </w:rPr>
        <w:t>.</w:t>
      </w:r>
      <w:r w:rsidR="008857F6" w:rsidRPr="00502723">
        <w:rPr>
          <w:rFonts w:ascii="Times New Roman" w:hAnsi="Times New Roman" w:cs="Times New Roman"/>
          <w:b/>
          <w:bCs/>
          <w:sz w:val="22"/>
          <w:szCs w:val="22"/>
        </w:rPr>
        <w:t xml:space="preserve"> d</w:t>
      </w:r>
      <w:r w:rsidR="008857F6" w:rsidRPr="00502723">
        <w:rPr>
          <w:rFonts w:ascii="Times New Roman" w:hAnsi="Times New Roman" w:cs="Times New Roman"/>
          <w:sz w:val="22"/>
          <w:szCs w:val="22"/>
        </w:rPr>
        <w:t xml:space="preserve">, </w:t>
      </w:r>
      <w:proofErr w:type="spellStart"/>
      <w:r w:rsidR="008857F6" w:rsidRPr="00502723">
        <w:rPr>
          <w:rFonts w:ascii="Times New Roman" w:hAnsi="Times New Roman" w:cs="Times New Roman"/>
          <w:sz w:val="22"/>
          <w:szCs w:val="22"/>
        </w:rPr>
        <w:t>mCherry</w:t>
      </w:r>
      <w:proofErr w:type="spellEnd"/>
      <w:r w:rsidR="008857F6" w:rsidRPr="00502723">
        <w:rPr>
          <w:rFonts w:ascii="Times New Roman" w:hAnsi="Times New Roman" w:cs="Times New Roman"/>
          <w:sz w:val="22"/>
          <w:szCs w:val="22"/>
        </w:rPr>
        <w:t xml:space="preserve"> fluorescence intensity in </w:t>
      </w:r>
      <w:r w:rsidR="008857F6">
        <w:rPr>
          <w:rFonts w:ascii="Times New Roman" w:hAnsi="Times New Roman" w:cs="Times New Roman"/>
          <w:sz w:val="22"/>
          <w:szCs w:val="22"/>
        </w:rPr>
        <w:t>LNP</w:t>
      </w:r>
      <w:r w:rsidR="008857F6" w:rsidRPr="00502723">
        <w:rPr>
          <w:rFonts w:ascii="Times New Roman" w:hAnsi="Times New Roman" w:cs="Times New Roman"/>
          <w:sz w:val="22"/>
          <w:szCs w:val="22"/>
        </w:rPr>
        <w:t xml:space="preserve">-treated </w:t>
      </w:r>
      <w:r w:rsidR="000133FF">
        <w:rPr>
          <w:rFonts w:ascii="Times New Roman" w:hAnsi="Times New Roman" w:cs="Times New Roman"/>
          <w:sz w:val="22"/>
          <w:szCs w:val="22"/>
        </w:rPr>
        <w:t>and untreated</w:t>
      </w:r>
      <w:r w:rsidR="000133FF" w:rsidRPr="00502723">
        <w:rPr>
          <w:rFonts w:ascii="Times New Roman" w:hAnsi="Times New Roman" w:cs="Times New Roman"/>
          <w:sz w:val="22"/>
          <w:szCs w:val="22"/>
        </w:rPr>
        <w:t xml:space="preserve"> </w:t>
      </w:r>
      <w:r w:rsidR="008857F6" w:rsidRPr="00502723">
        <w:rPr>
          <w:rFonts w:ascii="Times New Roman" w:hAnsi="Times New Roman" w:cs="Times New Roman"/>
          <w:sz w:val="22"/>
          <w:szCs w:val="22"/>
        </w:rPr>
        <w:t xml:space="preserve">renal tubules was quantified using ImageJ. </w:t>
      </w:r>
      <w:r w:rsidR="008857F6" w:rsidRPr="00502723">
        <w:rPr>
          <w:rFonts w:ascii="Times New Roman" w:hAnsi="Times New Roman" w:cs="Times New Roman"/>
          <w:color w:val="EE0000"/>
          <w:sz w:val="22"/>
          <w:szCs w:val="22"/>
        </w:rPr>
        <w:t>Red</w:t>
      </w:r>
      <w:r w:rsidR="008857F6" w:rsidRPr="00502723">
        <w:rPr>
          <w:rFonts w:ascii="Times New Roman" w:hAnsi="Times New Roman" w:cs="Times New Roman"/>
          <w:sz w:val="22"/>
          <w:szCs w:val="22"/>
        </w:rPr>
        <w:t xml:space="preserve">, </w:t>
      </w:r>
      <w:proofErr w:type="spellStart"/>
      <w:r w:rsidR="008857F6" w:rsidRPr="00502723">
        <w:rPr>
          <w:rFonts w:ascii="Times New Roman" w:hAnsi="Times New Roman" w:cs="Times New Roman"/>
          <w:sz w:val="22"/>
          <w:szCs w:val="22"/>
        </w:rPr>
        <w:t>mCherry</w:t>
      </w:r>
      <w:proofErr w:type="spellEnd"/>
      <w:r w:rsidR="008857F6" w:rsidRPr="00502723">
        <w:rPr>
          <w:rFonts w:ascii="Times New Roman" w:hAnsi="Times New Roman" w:cs="Times New Roman"/>
          <w:sz w:val="22"/>
          <w:szCs w:val="22"/>
        </w:rPr>
        <w:t xml:space="preserve"> fluorescence.</w:t>
      </w:r>
      <w:r w:rsidR="008857F6" w:rsidRPr="00502723">
        <w:rPr>
          <w:rFonts w:ascii="Times New Roman" w:hAnsi="Times New Roman" w:cs="Times New Roman"/>
          <w:b/>
          <w:bCs/>
          <w:sz w:val="22"/>
          <w:szCs w:val="22"/>
        </w:rPr>
        <w:t xml:space="preserve"> </w:t>
      </w:r>
      <w:r w:rsidR="008857F6" w:rsidRPr="00502723">
        <w:rPr>
          <w:rFonts w:ascii="Times New Roman" w:hAnsi="Times New Roman" w:cs="Times New Roman"/>
          <w:sz w:val="22"/>
          <w:szCs w:val="22"/>
        </w:rPr>
        <w:t xml:space="preserve">Data are presented as mean ± </w:t>
      </w:r>
      <w:proofErr w:type="spellStart"/>
      <w:r w:rsidR="008857F6" w:rsidRPr="00502723">
        <w:rPr>
          <w:rFonts w:ascii="Times New Roman" w:hAnsi="Times New Roman" w:cs="Times New Roman"/>
          <w:sz w:val="22"/>
          <w:szCs w:val="22"/>
        </w:rPr>
        <w:t>s.e.m.</w:t>
      </w:r>
      <w:proofErr w:type="spellEnd"/>
      <w:r w:rsidR="008857F6" w:rsidRPr="00502723">
        <w:rPr>
          <w:rFonts w:ascii="Times New Roman" w:hAnsi="Times New Roman" w:cs="Times New Roman"/>
          <w:sz w:val="22"/>
          <w:szCs w:val="22"/>
        </w:rPr>
        <w:t xml:space="preserve"> </w:t>
      </w:r>
      <w:r w:rsidR="000133FF" w:rsidRPr="00502723">
        <w:rPr>
          <w:rFonts w:ascii="Times New Roman" w:hAnsi="Times New Roman" w:cs="Times New Roman"/>
          <w:sz w:val="22"/>
          <w:szCs w:val="22"/>
        </w:rPr>
        <w:t xml:space="preserve">Statistical analysis was performed using one-way ANOVA. Only statistically significant </w:t>
      </w:r>
      <w:r w:rsidR="000133FF" w:rsidRPr="00502723">
        <w:rPr>
          <w:rFonts w:ascii="Times New Roman" w:hAnsi="Times New Roman" w:cs="Times New Roman"/>
          <w:i/>
          <w:iCs/>
          <w:sz w:val="22"/>
          <w:szCs w:val="22"/>
        </w:rPr>
        <w:t>P</w:t>
      </w:r>
      <w:r w:rsidR="000133FF" w:rsidRPr="00502723">
        <w:rPr>
          <w:rFonts w:ascii="Times New Roman" w:hAnsi="Times New Roman" w:cs="Times New Roman"/>
          <w:sz w:val="22"/>
          <w:szCs w:val="22"/>
        </w:rPr>
        <w:t xml:space="preserve"> values are reported. </w:t>
      </w:r>
      <w:r w:rsidR="000133FF" w:rsidRPr="00502723">
        <w:rPr>
          <w:rFonts w:ascii="Times New Roman" w:hAnsi="Times New Roman" w:cs="Times New Roman"/>
          <w:i/>
          <w:iCs/>
          <w:sz w:val="22"/>
          <w:szCs w:val="22"/>
        </w:rPr>
        <w:t>P</w:t>
      </w:r>
      <w:r w:rsidR="000133FF" w:rsidRPr="00502723">
        <w:rPr>
          <w:rFonts w:ascii="Times New Roman" w:hAnsi="Times New Roman" w:cs="Times New Roman"/>
          <w:sz w:val="22"/>
          <w:szCs w:val="22"/>
        </w:rPr>
        <w:t xml:space="preserve"> &lt; 0.05 was considered statistically significant. Source data and exact </w:t>
      </w:r>
      <w:r w:rsidR="000133FF" w:rsidRPr="00502723">
        <w:rPr>
          <w:rFonts w:ascii="Times New Roman" w:hAnsi="Times New Roman" w:cs="Times New Roman"/>
          <w:i/>
          <w:iCs/>
          <w:sz w:val="22"/>
          <w:szCs w:val="22"/>
        </w:rPr>
        <w:t>P</w:t>
      </w:r>
      <w:r w:rsidR="000133FF" w:rsidRPr="00502723">
        <w:rPr>
          <w:rFonts w:ascii="Times New Roman" w:hAnsi="Times New Roman" w:cs="Times New Roman"/>
          <w:sz w:val="22"/>
          <w:szCs w:val="22"/>
        </w:rPr>
        <w:t xml:space="preserve"> values are provided in the Source Data file.</w:t>
      </w:r>
    </w:p>
    <w:p w14:paraId="3B30C676" w14:textId="77777777" w:rsidR="00E933D7" w:rsidRDefault="00E933D7" w:rsidP="00183452">
      <w:pPr>
        <w:spacing w:after="0" w:line="480" w:lineRule="auto"/>
        <w:rPr>
          <w:rFonts w:ascii="Times New Roman" w:hAnsi="Times New Roman" w:cs="Times New Roman"/>
          <w:sz w:val="22"/>
          <w:szCs w:val="22"/>
        </w:rPr>
      </w:pPr>
    </w:p>
    <w:p w14:paraId="32FA0EA7" w14:textId="3E10DD55" w:rsidR="00E933D7" w:rsidRDefault="00E933D7" w:rsidP="00183452">
      <w:pPr>
        <w:spacing w:after="0" w:line="480" w:lineRule="auto"/>
        <w:rPr>
          <w:rFonts w:ascii="Times New Roman" w:hAnsi="Times New Roman" w:cs="Times New Roman"/>
          <w:sz w:val="22"/>
          <w:szCs w:val="22"/>
        </w:rPr>
      </w:pPr>
      <w:r>
        <w:rPr>
          <w:noProof/>
        </w:rPr>
        <w:drawing>
          <wp:inline distT="0" distB="0" distL="0" distR="0" wp14:anchorId="2807D65B" wp14:editId="223EDFFD">
            <wp:extent cx="5943600" cy="2529551"/>
            <wp:effectExtent l="0" t="0" r="0" b="0"/>
            <wp:docPr id="124705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5237"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29551"/>
                    </a:xfrm>
                    <a:prstGeom prst="rect">
                      <a:avLst/>
                    </a:prstGeom>
                  </pic:spPr>
                </pic:pic>
              </a:graphicData>
            </a:graphic>
          </wp:inline>
        </w:drawing>
      </w:r>
    </w:p>
    <w:p w14:paraId="24FDDDD4" w14:textId="6AC4FD86" w:rsidR="00454A9E" w:rsidRPr="00502723"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Pr>
          <w:rFonts w:ascii="Times New Roman" w:hAnsi="Times New Roman" w:cs="Times New Roman"/>
          <w:b/>
          <w:bCs/>
          <w:sz w:val="22"/>
          <w:szCs w:val="22"/>
        </w:rPr>
        <w:t>5</w:t>
      </w:r>
      <w:r w:rsidRPr="00502723">
        <w:rPr>
          <w:rFonts w:ascii="Times New Roman" w:hAnsi="Times New Roman" w:cs="Times New Roman"/>
          <w:b/>
          <w:bCs/>
          <w:sz w:val="22"/>
          <w:szCs w:val="22"/>
        </w:rPr>
        <w:t>: Size of promoter and post-transcriptional elements used in this study. a,</w:t>
      </w:r>
      <w:r w:rsidRPr="00502723">
        <w:rPr>
          <w:rFonts w:ascii="Times New Roman" w:hAnsi="Times New Roman" w:cs="Times New Roman"/>
          <w:sz w:val="22"/>
          <w:szCs w:val="22"/>
        </w:rPr>
        <w:t xml:space="preserve"> Estimated size in base pairs (bp) of common (</w:t>
      </w:r>
      <w:r>
        <w:rPr>
          <w:rFonts w:ascii="Times New Roman" w:hAnsi="Times New Roman" w:cs="Times New Roman"/>
          <w:sz w:val="22"/>
          <w:szCs w:val="22"/>
        </w:rPr>
        <w:t>CBH</w:t>
      </w:r>
      <w:r w:rsidRPr="00502723">
        <w:rPr>
          <w:rFonts w:ascii="Times New Roman" w:hAnsi="Times New Roman" w:cs="Times New Roman"/>
          <w:sz w:val="22"/>
          <w:szCs w:val="22"/>
        </w:rPr>
        <w:t>, CMV, EF1α</w:t>
      </w:r>
      <w:r w:rsidR="00140E64">
        <w:rPr>
          <w:rFonts w:ascii="Times New Roman" w:hAnsi="Times New Roman" w:cs="Times New Roman"/>
          <w:sz w:val="22"/>
          <w:szCs w:val="22"/>
        </w:rPr>
        <w:t>,</w:t>
      </w:r>
      <w:r w:rsidR="00140E64" w:rsidRPr="00140E64">
        <w:rPr>
          <w:rFonts w:ascii="Times New Roman" w:hAnsi="Times New Roman" w:cs="Times New Roman"/>
          <w:sz w:val="22"/>
          <w:szCs w:val="22"/>
        </w:rPr>
        <w:t xml:space="preserve"> </w:t>
      </w:r>
      <w:r w:rsidR="00140E64" w:rsidRPr="00502723">
        <w:rPr>
          <w:rFonts w:ascii="Times New Roman" w:hAnsi="Times New Roman" w:cs="Times New Roman"/>
          <w:sz w:val="22"/>
          <w:szCs w:val="22"/>
        </w:rPr>
        <w:t>CAG</w:t>
      </w:r>
      <w:r w:rsidRPr="00502723">
        <w:rPr>
          <w:rFonts w:ascii="Times New Roman" w:hAnsi="Times New Roman" w:cs="Times New Roman"/>
          <w:sz w:val="22"/>
          <w:szCs w:val="22"/>
        </w:rPr>
        <w:t xml:space="preserve">) and kidney-specific (NPT2a, NKCC2, AQP2) promoters. For kidney-specific promoters, size is given as a range to account for different promoter constructs reported in the literature. </w:t>
      </w:r>
      <w:r w:rsidRPr="00502723">
        <w:rPr>
          <w:rFonts w:ascii="Times New Roman" w:hAnsi="Times New Roman" w:cs="Times New Roman"/>
          <w:b/>
          <w:bCs/>
          <w:sz w:val="22"/>
          <w:szCs w:val="22"/>
        </w:rPr>
        <w:t>b,</w:t>
      </w:r>
      <w:r w:rsidRPr="00502723">
        <w:rPr>
          <w:rFonts w:ascii="Times New Roman" w:hAnsi="Times New Roman" w:cs="Times New Roman"/>
          <w:sz w:val="22"/>
          <w:szCs w:val="22"/>
        </w:rPr>
        <w:t xml:space="preserve"> Approximate size of the post-transcriptional regulatory elements WPRE and W3, which are frequently included in AAV expression cassettes to enhance transcript stability and nuclear export.</w:t>
      </w:r>
    </w:p>
    <w:p w14:paraId="43E0DFFE" w14:textId="77777777" w:rsidR="00454A9E" w:rsidRDefault="00454A9E" w:rsidP="00183452">
      <w:pPr>
        <w:spacing w:after="0" w:line="480" w:lineRule="auto"/>
        <w:rPr>
          <w:rFonts w:ascii="Times New Roman" w:hAnsi="Times New Roman" w:cs="Times New Roman"/>
          <w:sz w:val="22"/>
          <w:szCs w:val="22"/>
        </w:rPr>
      </w:pPr>
    </w:p>
    <w:p w14:paraId="4159CCB1" w14:textId="2D0E8BCD" w:rsidR="00E933D7" w:rsidRDefault="00E933D7" w:rsidP="00183452">
      <w:pPr>
        <w:spacing w:after="0" w:line="480" w:lineRule="auto"/>
        <w:rPr>
          <w:rFonts w:ascii="Times New Roman" w:hAnsi="Times New Roman" w:cs="Times New Roman"/>
          <w:sz w:val="22"/>
          <w:szCs w:val="22"/>
        </w:rPr>
      </w:pPr>
      <w:r>
        <w:rPr>
          <w:noProof/>
        </w:rPr>
        <w:lastRenderedPageBreak/>
        <w:drawing>
          <wp:inline distT="0" distB="0" distL="0" distR="0" wp14:anchorId="221607B9" wp14:editId="42330C4A">
            <wp:extent cx="4779061" cy="7879977"/>
            <wp:effectExtent l="0" t="0" r="0" b="0"/>
            <wp:docPr id="1109981040" name="Picture 14" descr="A diagram of a kidney inj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81040" name="Picture 14" descr="A diagram of a kidney injecti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811530" cy="7933514"/>
                    </a:xfrm>
                    <a:prstGeom prst="rect">
                      <a:avLst/>
                    </a:prstGeom>
                  </pic:spPr>
                </pic:pic>
              </a:graphicData>
            </a:graphic>
          </wp:inline>
        </w:drawing>
      </w:r>
    </w:p>
    <w:p w14:paraId="1FFDEF1A" w14:textId="4A170D09" w:rsidR="00454A9E" w:rsidRPr="00502723"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lastRenderedPageBreak/>
        <w:t xml:space="preserve">Supplementary Figure </w:t>
      </w:r>
      <w:r>
        <w:rPr>
          <w:rFonts w:ascii="Times New Roman" w:hAnsi="Times New Roman" w:cs="Times New Roman"/>
          <w:b/>
          <w:bCs/>
          <w:sz w:val="22"/>
          <w:szCs w:val="22"/>
        </w:rPr>
        <w:t>6</w:t>
      </w:r>
      <w:r w:rsidRPr="00502723">
        <w:rPr>
          <w:rFonts w:ascii="Times New Roman" w:hAnsi="Times New Roman" w:cs="Times New Roman"/>
          <w:b/>
          <w:bCs/>
          <w:sz w:val="22"/>
          <w:szCs w:val="22"/>
        </w:rPr>
        <w:t xml:space="preserve">: </w:t>
      </w:r>
      <w:r w:rsidRPr="00B26F98">
        <w:rPr>
          <w:rFonts w:ascii="Times New Roman" w:hAnsi="Times New Roman" w:cs="Times New Roman"/>
          <w:b/>
          <w:bCs/>
          <w:sz w:val="22"/>
          <w:szCs w:val="22"/>
        </w:rPr>
        <w:t>Intra-renal artery injection of trypan blue enables targeted delivery to a single kidney</w:t>
      </w:r>
      <w:r>
        <w:rPr>
          <w:rFonts w:ascii="Times New Roman" w:hAnsi="Times New Roman" w:cs="Times New Roman"/>
          <w:b/>
          <w:bCs/>
          <w:sz w:val="22"/>
          <w:szCs w:val="22"/>
        </w:rPr>
        <w:t xml:space="preserve"> </w:t>
      </w:r>
      <w:r w:rsidRPr="00502723">
        <w:rPr>
          <w:rFonts w:ascii="Times New Roman" w:hAnsi="Times New Roman" w:cs="Times New Roman"/>
          <w:b/>
          <w:bCs/>
          <w:sz w:val="22"/>
          <w:szCs w:val="22"/>
        </w:rPr>
        <w:t>a,</w:t>
      </w:r>
      <w:r w:rsidRPr="00502723">
        <w:rPr>
          <w:rFonts w:ascii="Times New Roman" w:hAnsi="Times New Roman" w:cs="Times New Roman"/>
          <w:sz w:val="22"/>
          <w:szCs w:val="22"/>
        </w:rPr>
        <w:t xml:space="preserve"> Diagram showing the procedure for intra artery</w:t>
      </w:r>
      <w:r>
        <w:rPr>
          <w:rFonts w:ascii="Times New Roman" w:hAnsi="Times New Roman" w:cs="Times New Roman"/>
          <w:sz w:val="22"/>
          <w:szCs w:val="22"/>
        </w:rPr>
        <w:t xml:space="preserve"> </w:t>
      </w:r>
      <w:r w:rsidRPr="00502723">
        <w:rPr>
          <w:rFonts w:ascii="Times New Roman" w:hAnsi="Times New Roman" w:cs="Times New Roman"/>
          <w:sz w:val="22"/>
          <w:szCs w:val="22"/>
        </w:rPr>
        <w:t>injection.</w:t>
      </w:r>
      <w:r>
        <w:rPr>
          <w:rFonts w:ascii="Times New Roman" w:hAnsi="Times New Roman" w:cs="Times New Roman"/>
          <w:sz w:val="22"/>
          <w:szCs w:val="22"/>
        </w:rPr>
        <w:t xml:space="preserve"> T</w:t>
      </w:r>
      <w:r w:rsidRPr="00502723">
        <w:rPr>
          <w:rFonts w:ascii="Times New Roman" w:hAnsi="Times New Roman" w:cs="Times New Roman"/>
          <w:sz w:val="22"/>
          <w:szCs w:val="22"/>
        </w:rPr>
        <w:t xml:space="preserve">he aorta and inferior vena cava are ligated below the renal arteries to restrict systemic circulation during injection, allowing targeted delivery to one kidney (green circle). </w:t>
      </w:r>
      <w:r w:rsidRPr="00502723">
        <w:rPr>
          <w:rFonts w:ascii="Times New Roman" w:hAnsi="Times New Roman" w:cs="Times New Roman"/>
          <w:b/>
          <w:bCs/>
          <w:sz w:val="22"/>
          <w:szCs w:val="22"/>
        </w:rPr>
        <w:t xml:space="preserve">b, </w:t>
      </w:r>
      <w:r w:rsidRPr="00502723">
        <w:rPr>
          <w:rFonts w:ascii="Times New Roman" w:hAnsi="Times New Roman" w:cs="Times New Roman"/>
          <w:sz w:val="22"/>
          <w:szCs w:val="22"/>
        </w:rPr>
        <w:t xml:space="preserve">Representative images before and after injection of trypan blue. </w:t>
      </w:r>
      <w:r>
        <w:rPr>
          <w:rFonts w:ascii="Times New Roman" w:hAnsi="Times New Roman" w:cs="Times New Roman"/>
          <w:sz w:val="22"/>
          <w:szCs w:val="22"/>
        </w:rPr>
        <w:t>T</w:t>
      </w:r>
      <w:r w:rsidRPr="00502723">
        <w:rPr>
          <w:rFonts w:ascii="Times New Roman" w:hAnsi="Times New Roman" w:cs="Times New Roman"/>
          <w:sz w:val="22"/>
          <w:szCs w:val="22"/>
        </w:rPr>
        <w:t xml:space="preserve">rypan blue accumulates in the perfused kidney (green circle), confirming successful targeting. </w:t>
      </w:r>
    </w:p>
    <w:p w14:paraId="1A789BCE" w14:textId="77777777" w:rsidR="00454A9E" w:rsidRDefault="00454A9E" w:rsidP="00183452">
      <w:pPr>
        <w:spacing w:after="0" w:line="480" w:lineRule="auto"/>
        <w:rPr>
          <w:rFonts w:ascii="Times New Roman" w:hAnsi="Times New Roman" w:cs="Times New Roman"/>
          <w:sz w:val="22"/>
          <w:szCs w:val="22"/>
        </w:rPr>
      </w:pPr>
    </w:p>
    <w:p w14:paraId="3E097462" w14:textId="77777777" w:rsidR="00E933D7" w:rsidRDefault="00E933D7" w:rsidP="00183452">
      <w:pPr>
        <w:spacing w:after="0" w:line="480" w:lineRule="auto"/>
        <w:rPr>
          <w:rFonts w:ascii="Times New Roman" w:hAnsi="Times New Roman" w:cs="Times New Roman"/>
          <w:sz w:val="22"/>
          <w:szCs w:val="22"/>
        </w:rPr>
      </w:pPr>
    </w:p>
    <w:p w14:paraId="44CCCD82" w14:textId="77777777" w:rsidR="00E933D7" w:rsidRDefault="00E933D7" w:rsidP="00183452">
      <w:pPr>
        <w:spacing w:after="0" w:line="480" w:lineRule="auto"/>
        <w:rPr>
          <w:rFonts w:ascii="Times New Roman" w:hAnsi="Times New Roman" w:cs="Times New Roman"/>
          <w:sz w:val="22"/>
          <w:szCs w:val="22"/>
        </w:rPr>
      </w:pPr>
    </w:p>
    <w:p w14:paraId="7001F7C8" w14:textId="77777777" w:rsidR="00E933D7" w:rsidRDefault="00E933D7" w:rsidP="00183452">
      <w:pPr>
        <w:spacing w:after="0" w:line="480" w:lineRule="auto"/>
        <w:rPr>
          <w:rFonts w:ascii="Times New Roman" w:hAnsi="Times New Roman" w:cs="Times New Roman"/>
          <w:sz w:val="22"/>
          <w:szCs w:val="22"/>
        </w:rPr>
      </w:pPr>
    </w:p>
    <w:p w14:paraId="06A865E2" w14:textId="77777777" w:rsidR="00E933D7" w:rsidRDefault="00E933D7" w:rsidP="00183452">
      <w:pPr>
        <w:spacing w:after="0" w:line="480" w:lineRule="auto"/>
        <w:rPr>
          <w:rFonts w:ascii="Times New Roman" w:hAnsi="Times New Roman" w:cs="Times New Roman"/>
          <w:sz w:val="22"/>
          <w:szCs w:val="22"/>
        </w:rPr>
      </w:pPr>
    </w:p>
    <w:p w14:paraId="156D0264" w14:textId="77777777" w:rsidR="00E933D7" w:rsidRDefault="00E933D7" w:rsidP="00183452">
      <w:pPr>
        <w:spacing w:after="0" w:line="480" w:lineRule="auto"/>
        <w:rPr>
          <w:rFonts w:ascii="Times New Roman" w:hAnsi="Times New Roman" w:cs="Times New Roman"/>
          <w:sz w:val="22"/>
          <w:szCs w:val="22"/>
        </w:rPr>
      </w:pPr>
    </w:p>
    <w:p w14:paraId="5EF0CB37" w14:textId="77777777" w:rsidR="00E933D7" w:rsidRDefault="00E933D7" w:rsidP="00183452">
      <w:pPr>
        <w:spacing w:after="0" w:line="480" w:lineRule="auto"/>
        <w:rPr>
          <w:rFonts w:ascii="Times New Roman" w:hAnsi="Times New Roman" w:cs="Times New Roman"/>
          <w:sz w:val="22"/>
          <w:szCs w:val="22"/>
        </w:rPr>
      </w:pPr>
    </w:p>
    <w:p w14:paraId="02A5FA26" w14:textId="347A2779" w:rsidR="00E933D7" w:rsidRPr="00502723" w:rsidRDefault="00E933D7" w:rsidP="00183452">
      <w:pPr>
        <w:spacing w:after="0" w:line="480" w:lineRule="auto"/>
        <w:rPr>
          <w:rFonts w:ascii="Times New Roman" w:hAnsi="Times New Roman" w:cs="Times New Roman"/>
          <w:sz w:val="22"/>
          <w:szCs w:val="22"/>
        </w:rPr>
      </w:pPr>
      <w:r>
        <w:rPr>
          <w:noProof/>
        </w:rPr>
        <w:lastRenderedPageBreak/>
        <w:drawing>
          <wp:inline distT="0" distB="0" distL="0" distR="0" wp14:anchorId="4D49291D" wp14:editId="48685F5E">
            <wp:extent cx="5943600" cy="4411345"/>
            <wp:effectExtent l="0" t="0" r="0" b="0"/>
            <wp:docPr id="1358145863" name="Picture 6" descr="A table with a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45863" name="Picture 6" descr="A table with a graph and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p>
    <w:p w14:paraId="50CEA091" w14:textId="77777777" w:rsidR="00454A9E" w:rsidRPr="00502723" w:rsidRDefault="00454A9E"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Pr>
          <w:rFonts w:ascii="Times New Roman" w:hAnsi="Times New Roman" w:cs="Times New Roman"/>
          <w:b/>
          <w:bCs/>
          <w:sz w:val="22"/>
          <w:szCs w:val="22"/>
        </w:rPr>
        <w:t>7</w:t>
      </w:r>
      <w:r w:rsidRPr="00502723">
        <w:rPr>
          <w:rFonts w:ascii="Times New Roman" w:hAnsi="Times New Roman" w:cs="Times New Roman"/>
          <w:b/>
          <w:bCs/>
          <w:sz w:val="22"/>
          <w:szCs w:val="22"/>
        </w:rPr>
        <w:t xml:space="preserve">: The perfusates of the human </w:t>
      </w:r>
      <w:r w:rsidRPr="000C0214">
        <w:rPr>
          <w:rFonts w:ascii="Times New Roman" w:hAnsi="Times New Roman" w:cs="Times New Roman"/>
          <w:b/>
          <w:bCs/>
          <w:i/>
          <w:iCs/>
          <w:sz w:val="22"/>
          <w:szCs w:val="22"/>
        </w:rPr>
        <w:t>ex vivo</w:t>
      </w:r>
      <w:r w:rsidRPr="00502723">
        <w:rPr>
          <w:rFonts w:ascii="Times New Roman" w:hAnsi="Times New Roman" w:cs="Times New Roman"/>
          <w:b/>
          <w:bCs/>
          <w:sz w:val="22"/>
          <w:szCs w:val="22"/>
        </w:rPr>
        <w:t xml:space="preserve"> perfusion systems show no detectable anti-AAV9 antibodies. </w:t>
      </w:r>
      <w:proofErr w:type="gramStart"/>
      <w:r w:rsidRPr="00502723">
        <w:rPr>
          <w:rFonts w:ascii="Times New Roman" w:hAnsi="Times New Roman" w:cs="Times New Roman"/>
          <w:b/>
          <w:bCs/>
          <w:sz w:val="22"/>
          <w:szCs w:val="22"/>
        </w:rPr>
        <w:t>a,</w:t>
      </w:r>
      <w:proofErr w:type="gramEnd"/>
      <w:r w:rsidRPr="00502723">
        <w:rPr>
          <w:rFonts w:ascii="Times New Roman" w:hAnsi="Times New Roman" w:cs="Times New Roman"/>
          <w:sz w:val="22"/>
          <w:szCs w:val="22"/>
        </w:rPr>
        <w:t xml:space="preserve"> Standard curve generated using known concentrations of anti-AAV9 antibodies, showing absorbance values used to calculate sample concentrations.</w:t>
      </w:r>
      <w:r>
        <w:rPr>
          <w:rFonts w:ascii="Times New Roman" w:hAnsi="Times New Roman" w:cs="Times New Roman"/>
          <w:sz w:val="22"/>
          <w:szCs w:val="22"/>
        </w:rPr>
        <w:t xml:space="preserve"> A four-parameter logistic model was used to fit the data.</w:t>
      </w:r>
      <w:r w:rsidRPr="00502723">
        <w:rPr>
          <w:rFonts w:ascii="Times New Roman" w:hAnsi="Times New Roman" w:cs="Times New Roman"/>
          <w:sz w:val="22"/>
          <w:szCs w:val="22"/>
        </w:rPr>
        <w:t xml:space="preserve"> </w:t>
      </w:r>
      <w:r w:rsidRPr="00502723">
        <w:rPr>
          <w:rFonts w:ascii="Times New Roman" w:hAnsi="Times New Roman" w:cs="Times New Roman"/>
          <w:b/>
          <w:bCs/>
          <w:sz w:val="22"/>
          <w:szCs w:val="22"/>
        </w:rPr>
        <w:t>b,</w:t>
      </w:r>
      <w:r w:rsidRPr="00502723">
        <w:rPr>
          <w:rFonts w:ascii="Times New Roman" w:hAnsi="Times New Roman" w:cs="Times New Roman"/>
          <w:sz w:val="22"/>
          <w:szCs w:val="22"/>
        </w:rPr>
        <w:t xml:space="preserve"> Table summarizing average absorbance values and corresponding anti-AAV9 antibody concentrations in various samples. Perfusates and urine, collected at different time points and after AAV9 or AAV.cc47 administration, show absorbance values below the detection limit (&lt;0.5 ng/mL)</w:t>
      </w:r>
      <w:r>
        <w:rPr>
          <w:rFonts w:ascii="Times New Roman" w:hAnsi="Times New Roman" w:cs="Times New Roman"/>
          <w:sz w:val="22"/>
          <w:szCs w:val="22"/>
        </w:rPr>
        <w:t xml:space="preserve"> of the assay</w:t>
      </w:r>
      <w:r w:rsidRPr="00502723">
        <w:rPr>
          <w:rFonts w:ascii="Times New Roman" w:hAnsi="Times New Roman" w:cs="Times New Roman"/>
          <w:sz w:val="22"/>
          <w:szCs w:val="22"/>
        </w:rPr>
        <w:t>, indicating the absence of detectable anti-AAV9 antibodies. In contrast, positive controls and human serum with known anti-AAV9 content fall within the expected detection</w:t>
      </w:r>
      <w:r>
        <w:rPr>
          <w:rFonts w:ascii="Times New Roman" w:hAnsi="Times New Roman" w:cs="Times New Roman"/>
          <w:sz w:val="22"/>
          <w:szCs w:val="22"/>
        </w:rPr>
        <w:t xml:space="preserve"> range.</w:t>
      </w:r>
    </w:p>
    <w:p w14:paraId="3DAE9C00" w14:textId="77777777" w:rsidR="00E436A1" w:rsidRDefault="00E436A1" w:rsidP="00183452">
      <w:pPr>
        <w:spacing w:after="0" w:line="480" w:lineRule="auto"/>
        <w:rPr>
          <w:rFonts w:ascii="Times New Roman" w:hAnsi="Times New Roman" w:cs="Times New Roman"/>
          <w:sz w:val="22"/>
          <w:szCs w:val="22"/>
        </w:rPr>
      </w:pPr>
    </w:p>
    <w:p w14:paraId="5E21AEED" w14:textId="77777777" w:rsidR="00E933D7" w:rsidRDefault="00E933D7" w:rsidP="00183452">
      <w:pPr>
        <w:spacing w:after="0" w:line="480" w:lineRule="auto"/>
        <w:rPr>
          <w:rFonts w:ascii="Times New Roman" w:hAnsi="Times New Roman" w:cs="Times New Roman"/>
          <w:sz w:val="22"/>
          <w:szCs w:val="22"/>
        </w:rPr>
      </w:pPr>
    </w:p>
    <w:p w14:paraId="61C05D97" w14:textId="77777777" w:rsidR="00E933D7" w:rsidRDefault="00E933D7" w:rsidP="00183452">
      <w:pPr>
        <w:spacing w:after="0" w:line="480" w:lineRule="auto"/>
        <w:rPr>
          <w:rFonts w:ascii="Times New Roman" w:hAnsi="Times New Roman" w:cs="Times New Roman"/>
          <w:sz w:val="22"/>
          <w:szCs w:val="22"/>
        </w:rPr>
      </w:pPr>
    </w:p>
    <w:p w14:paraId="65797712" w14:textId="7FD9E80B" w:rsidR="00E933D7" w:rsidRPr="00502723" w:rsidRDefault="00E933D7" w:rsidP="00183452">
      <w:pPr>
        <w:spacing w:after="0" w:line="480" w:lineRule="auto"/>
        <w:rPr>
          <w:rFonts w:ascii="Times New Roman" w:hAnsi="Times New Roman" w:cs="Times New Roman"/>
          <w:sz w:val="22"/>
          <w:szCs w:val="22"/>
        </w:rPr>
      </w:pPr>
      <w:r>
        <w:rPr>
          <w:noProof/>
        </w:rPr>
        <w:lastRenderedPageBreak/>
        <w:drawing>
          <wp:inline distT="0" distB="0" distL="0" distR="0" wp14:anchorId="65A7ED86" wp14:editId="13370E2B">
            <wp:extent cx="5943600" cy="4910667"/>
            <wp:effectExtent l="0" t="0" r="0" b="4445"/>
            <wp:docPr id="1717215224" name="Picture 13" descr="A graph of blood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5224" name="Picture 13" descr="A graph of blood cells&#10;&#10;AI-generated content may be incorrect."/>
                    <pic:cNvPicPr/>
                  </pic:nvPicPr>
                  <pic:blipFill rotWithShape="1">
                    <a:blip r:embed="rId15" cstate="print">
                      <a:extLst>
                        <a:ext uri="{28A0092B-C50C-407E-A947-70E740481C1C}">
                          <a14:useLocalDpi xmlns:a14="http://schemas.microsoft.com/office/drawing/2010/main" val="0"/>
                        </a:ext>
                      </a:extLst>
                    </a:blip>
                    <a:srcRect t="1" b="26166"/>
                    <a:stretch>
                      <a:fillRect/>
                    </a:stretch>
                  </pic:blipFill>
                  <pic:spPr bwMode="auto">
                    <a:xfrm>
                      <a:off x="0" y="0"/>
                      <a:ext cx="5943600" cy="4910667"/>
                    </a:xfrm>
                    <a:prstGeom prst="rect">
                      <a:avLst/>
                    </a:prstGeom>
                    <a:ln>
                      <a:noFill/>
                    </a:ln>
                    <a:extLst>
                      <a:ext uri="{53640926-AAD7-44D8-BBD7-CCE9431645EC}">
                        <a14:shadowObscured xmlns:a14="http://schemas.microsoft.com/office/drawing/2010/main"/>
                      </a:ext>
                    </a:extLst>
                  </pic:spPr>
                </pic:pic>
              </a:graphicData>
            </a:graphic>
          </wp:inline>
        </w:drawing>
      </w:r>
    </w:p>
    <w:p w14:paraId="6EA38B88" w14:textId="25C2C043" w:rsidR="00E436A1" w:rsidRPr="00502723" w:rsidRDefault="00E436A1" w:rsidP="00183452">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sidR="00454A9E">
        <w:rPr>
          <w:rFonts w:ascii="Times New Roman" w:hAnsi="Times New Roman" w:cs="Times New Roman"/>
          <w:b/>
          <w:bCs/>
          <w:sz w:val="22"/>
          <w:szCs w:val="22"/>
        </w:rPr>
        <w:t>8</w:t>
      </w:r>
      <w:r w:rsidRPr="00502723">
        <w:rPr>
          <w:rFonts w:ascii="Times New Roman" w:hAnsi="Times New Roman" w:cs="Times New Roman"/>
          <w:b/>
          <w:bCs/>
          <w:sz w:val="22"/>
          <w:szCs w:val="22"/>
        </w:rPr>
        <w:t>: Kidney transduction with AAV9-</w:t>
      </w:r>
      <w:r w:rsidR="00367F4E">
        <w:rPr>
          <w:rFonts w:ascii="Times New Roman" w:hAnsi="Times New Roman" w:cs="Times New Roman"/>
          <w:b/>
          <w:bCs/>
          <w:sz w:val="22"/>
          <w:szCs w:val="22"/>
        </w:rPr>
        <w:t>CBH</w:t>
      </w:r>
      <w:r w:rsidRPr="00502723">
        <w:rPr>
          <w:rFonts w:ascii="Times New Roman" w:hAnsi="Times New Roman" w:cs="Times New Roman"/>
          <w:b/>
          <w:bCs/>
          <w:sz w:val="22"/>
          <w:szCs w:val="22"/>
        </w:rPr>
        <w:t xml:space="preserve">-mCherry via intravenous injection was validated by two different laboratories using C57BL/6J </w:t>
      </w:r>
      <w:proofErr w:type="spellStart"/>
      <w:r w:rsidRPr="00502723">
        <w:rPr>
          <w:rFonts w:ascii="Times New Roman" w:hAnsi="Times New Roman" w:cs="Times New Roman"/>
          <w:b/>
          <w:bCs/>
          <w:sz w:val="22"/>
          <w:szCs w:val="22"/>
        </w:rPr>
        <w:t>substrains</w:t>
      </w:r>
      <w:proofErr w:type="spellEnd"/>
      <w:r w:rsidRPr="00502723">
        <w:rPr>
          <w:rFonts w:ascii="Times New Roman" w:hAnsi="Times New Roman" w:cs="Times New Roman"/>
          <w:b/>
          <w:bCs/>
          <w:sz w:val="22"/>
          <w:szCs w:val="22"/>
        </w:rPr>
        <w:t xml:space="preserve"> from the east and west coast of the United States. </w:t>
      </w:r>
      <w:proofErr w:type="gramStart"/>
      <w:r w:rsidRPr="00502723">
        <w:rPr>
          <w:rFonts w:ascii="Times New Roman" w:hAnsi="Times New Roman" w:cs="Times New Roman"/>
          <w:b/>
          <w:bCs/>
          <w:sz w:val="22"/>
          <w:szCs w:val="22"/>
        </w:rPr>
        <w:t>a</w:t>
      </w:r>
      <w:r w:rsidRPr="00502723">
        <w:rPr>
          <w:rFonts w:ascii="Times New Roman" w:hAnsi="Times New Roman" w:cs="Times New Roman"/>
          <w:sz w:val="22"/>
          <w:szCs w:val="22"/>
        </w:rPr>
        <w:t>,</w:t>
      </w:r>
      <w:proofErr w:type="gramEnd"/>
      <w:r w:rsidRPr="00502723">
        <w:rPr>
          <w:rFonts w:ascii="Times New Roman" w:hAnsi="Times New Roman" w:cs="Times New Roman"/>
          <w:sz w:val="22"/>
          <w:szCs w:val="22"/>
        </w:rPr>
        <w:t xml:space="preserve"> Representative images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in the kidney and liver of AAV-treated.</w:t>
      </w:r>
      <w:r w:rsidRPr="00502723">
        <w:rPr>
          <w:rFonts w:ascii="Times New Roman" w:hAnsi="Times New Roman" w:cs="Times New Roman"/>
          <w:b/>
          <w:bCs/>
          <w:sz w:val="22"/>
          <w:szCs w:val="22"/>
        </w:rPr>
        <w:t xml:space="preserve"> </w:t>
      </w:r>
      <w:r w:rsidR="009D2CE1">
        <w:rPr>
          <w:rFonts w:ascii="Times New Roman" w:hAnsi="Times New Roman" w:cs="Times New Roman"/>
          <w:b/>
          <w:bCs/>
          <w:sz w:val="22"/>
          <w:szCs w:val="22"/>
        </w:rPr>
        <w:t>b</w:t>
      </w:r>
      <w:r w:rsidRPr="00502723">
        <w:rPr>
          <w:rFonts w:ascii="Times New Roman" w:hAnsi="Times New Roman" w:cs="Times New Roman"/>
          <w:sz w:val="22"/>
          <w:szCs w:val="22"/>
        </w:rPr>
        <w:t xml:space="preserve">, Transduction efficiencies in AAV-treated renal tubules were quantified using </w:t>
      </w:r>
      <w:proofErr w:type="spellStart"/>
      <w:r w:rsidRPr="00502723">
        <w:rPr>
          <w:rFonts w:ascii="Times New Roman" w:hAnsi="Times New Roman" w:cs="Times New Roman"/>
          <w:sz w:val="22"/>
          <w:szCs w:val="22"/>
        </w:rPr>
        <w:t>Roboflow</w:t>
      </w:r>
      <w:proofErr w:type="spellEnd"/>
      <w:r w:rsidR="00F26148">
        <w:rPr>
          <w:rFonts w:ascii="Times New Roman" w:hAnsi="Times New Roman" w:cs="Times New Roman"/>
          <w:sz w:val="22"/>
          <w:szCs w:val="22"/>
        </w:rPr>
        <w:t xml:space="preserve"> machine learning-guided image analysis tool</w:t>
      </w:r>
      <w:r w:rsidRPr="00502723">
        <w:rPr>
          <w:rFonts w:ascii="Times New Roman" w:hAnsi="Times New Roman" w:cs="Times New Roman"/>
          <w:sz w:val="22"/>
          <w:szCs w:val="22"/>
        </w:rPr>
        <w:t>.</w:t>
      </w:r>
      <w:r w:rsidRPr="00502723">
        <w:rPr>
          <w:rFonts w:ascii="Times New Roman" w:hAnsi="Times New Roman" w:cs="Times New Roman"/>
          <w:b/>
          <w:bCs/>
          <w:sz w:val="22"/>
          <w:szCs w:val="22"/>
        </w:rPr>
        <w:t xml:space="preserve"> </w:t>
      </w:r>
      <w:r w:rsidR="009D2CE1">
        <w:rPr>
          <w:rFonts w:ascii="Times New Roman" w:hAnsi="Times New Roman" w:cs="Times New Roman"/>
          <w:b/>
          <w:bCs/>
          <w:sz w:val="22"/>
          <w:szCs w:val="22"/>
        </w:rPr>
        <w:t>c</w:t>
      </w:r>
      <w:r w:rsidRPr="00502723">
        <w:rPr>
          <w:rFonts w:ascii="Times New Roman" w:hAnsi="Times New Roman" w:cs="Times New Roman"/>
          <w:sz w:val="22"/>
          <w:szCs w:val="22"/>
        </w:rPr>
        <w:t xml:space="preserve">,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intensity in AAV-treated renal tubules was quantified using ImageJ. </w:t>
      </w:r>
      <w:r w:rsidRPr="00502723">
        <w:rPr>
          <w:rFonts w:ascii="Times New Roman" w:hAnsi="Times New Roman" w:cs="Times New Roman"/>
          <w:color w:val="EE0000"/>
          <w:sz w:val="22"/>
          <w:szCs w:val="22"/>
        </w:rPr>
        <w:t>Red</w:t>
      </w:r>
      <w:r w:rsidRPr="00502723">
        <w:rPr>
          <w:rFonts w:ascii="Times New Roman" w:hAnsi="Times New Roman" w:cs="Times New Roman"/>
          <w:sz w:val="22"/>
          <w:szCs w:val="22"/>
        </w:rPr>
        <w:t xml:space="preserve">,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w:t>
      </w:r>
      <w:r w:rsidRPr="00502723">
        <w:rPr>
          <w:rFonts w:ascii="Times New Roman" w:hAnsi="Times New Roman" w:cs="Times New Roman"/>
          <w:b/>
          <w:bCs/>
          <w:sz w:val="22"/>
          <w:szCs w:val="22"/>
        </w:rPr>
        <w:t xml:space="preserve"> </w:t>
      </w:r>
      <w:r w:rsidRPr="00502723">
        <w:rPr>
          <w:rFonts w:ascii="Times New Roman" w:hAnsi="Times New Roman" w:cs="Times New Roman"/>
          <w:sz w:val="22"/>
          <w:szCs w:val="22"/>
        </w:rPr>
        <w:t xml:space="preserve">Data are presented as mean ± </w:t>
      </w:r>
      <w:proofErr w:type="spellStart"/>
      <w:r w:rsidRPr="00502723">
        <w:rPr>
          <w:rFonts w:ascii="Times New Roman" w:hAnsi="Times New Roman" w:cs="Times New Roman"/>
          <w:sz w:val="22"/>
          <w:szCs w:val="22"/>
        </w:rPr>
        <w:t>s.e.m.</w:t>
      </w:r>
      <w:proofErr w:type="spellEnd"/>
      <w:r w:rsidRPr="00502723">
        <w:rPr>
          <w:rFonts w:ascii="Times New Roman" w:hAnsi="Times New Roman" w:cs="Times New Roman"/>
          <w:sz w:val="22"/>
          <w:szCs w:val="22"/>
        </w:rPr>
        <w:t xml:space="preserve"> Statistical analysis was performed using unpaired t test. Only statistically significant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values are reported.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&lt; 0.05 was considered statistically significant. Source data and exact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values are provided in the Source Data file.</w:t>
      </w:r>
    </w:p>
    <w:p w14:paraId="50E901EA" w14:textId="0C0F2A38" w:rsidR="00111D86" w:rsidRDefault="00111D86" w:rsidP="00183452">
      <w:pPr>
        <w:spacing w:after="0" w:line="480" w:lineRule="auto"/>
        <w:rPr>
          <w:rFonts w:ascii="Times New Roman" w:hAnsi="Times New Roman" w:cs="Times New Roman"/>
          <w:b/>
          <w:bCs/>
          <w:sz w:val="22"/>
          <w:szCs w:val="22"/>
        </w:rPr>
      </w:pPr>
    </w:p>
    <w:p w14:paraId="4A026776" w14:textId="77777777" w:rsidR="00E933D7" w:rsidRDefault="00E933D7" w:rsidP="00897E33">
      <w:pPr>
        <w:spacing w:after="0" w:line="480" w:lineRule="auto"/>
        <w:rPr>
          <w:rFonts w:ascii="Times New Roman" w:hAnsi="Times New Roman" w:cs="Times New Roman"/>
          <w:b/>
          <w:bCs/>
          <w:sz w:val="22"/>
          <w:szCs w:val="22"/>
        </w:rPr>
      </w:pPr>
    </w:p>
    <w:p w14:paraId="3A79A01D" w14:textId="67004A6E" w:rsidR="00E933D7" w:rsidRDefault="00E933D7" w:rsidP="00897E33">
      <w:pPr>
        <w:spacing w:after="0" w:line="480" w:lineRule="auto"/>
        <w:rPr>
          <w:rFonts w:ascii="Times New Roman" w:hAnsi="Times New Roman" w:cs="Times New Roman"/>
          <w:b/>
          <w:bCs/>
          <w:sz w:val="22"/>
          <w:szCs w:val="22"/>
        </w:rPr>
      </w:pPr>
      <w:r>
        <w:rPr>
          <w:noProof/>
        </w:rPr>
        <w:drawing>
          <wp:inline distT="0" distB="0" distL="0" distR="0" wp14:anchorId="11344C42" wp14:editId="27A66758">
            <wp:extent cx="5943600" cy="6058535"/>
            <wp:effectExtent l="0" t="0" r="0" b="0"/>
            <wp:docPr id="1629451642" name="Picture 1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1642" name="Picture 12" descr="A close-up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58535"/>
                    </a:xfrm>
                    <a:prstGeom prst="rect">
                      <a:avLst/>
                    </a:prstGeom>
                  </pic:spPr>
                </pic:pic>
              </a:graphicData>
            </a:graphic>
          </wp:inline>
        </w:drawing>
      </w:r>
    </w:p>
    <w:p w14:paraId="7B323B47" w14:textId="511D67DB" w:rsidR="006F1F91" w:rsidRPr="00502723" w:rsidRDefault="00454A9E" w:rsidP="00897E33">
      <w:pPr>
        <w:spacing w:after="0" w:line="480" w:lineRule="auto"/>
        <w:rPr>
          <w:rFonts w:ascii="Times New Roman" w:hAnsi="Times New Roman" w:cs="Times New Roman"/>
          <w:sz w:val="22"/>
          <w:szCs w:val="22"/>
        </w:rPr>
      </w:pPr>
      <w:r w:rsidRPr="00502723">
        <w:rPr>
          <w:rFonts w:ascii="Times New Roman" w:hAnsi="Times New Roman" w:cs="Times New Roman"/>
          <w:b/>
          <w:bCs/>
          <w:sz w:val="22"/>
          <w:szCs w:val="22"/>
        </w:rPr>
        <w:t xml:space="preserve">Supplementary Figure </w:t>
      </w:r>
      <w:r>
        <w:rPr>
          <w:rFonts w:ascii="Times New Roman" w:hAnsi="Times New Roman" w:cs="Times New Roman"/>
          <w:b/>
          <w:bCs/>
          <w:sz w:val="22"/>
          <w:szCs w:val="22"/>
        </w:rPr>
        <w:t>9</w:t>
      </w:r>
      <w:r w:rsidRPr="00502723">
        <w:rPr>
          <w:rFonts w:ascii="Times New Roman" w:hAnsi="Times New Roman" w:cs="Times New Roman"/>
          <w:b/>
          <w:bCs/>
          <w:sz w:val="22"/>
          <w:szCs w:val="22"/>
        </w:rPr>
        <w:t>: WPRE and W3 sequences show comparable kidney transduction with AAV.cc47 capsid in mice. a</w:t>
      </w:r>
      <w:r w:rsidRPr="00502723">
        <w:rPr>
          <w:rFonts w:ascii="Times New Roman" w:hAnsi="Times New Roman" w:cs="Times New Roman"/>
          <w:sz w:val="22"/>
          <w:szCs w:val="22"/>
        </w:rPr>
        <w:t>, Experimental design. Ten-week-old male C57BL/6J mice were injected intravenously with ssAAV.cc47-</w:t>
      </w:r>
      <w:r>
        <w:rPr>
          <w:rFonts w:ascii="Times New Roman" w:hAnsi="Times New Roman" w:cs="Times New Roman"/>
          <w:sz w:val="22"/>
          <w:szCs w:val="22"/>
        </w:rPr>
        <w:t>CBH</w:t>
      </w:r>
      <w:r w:rsidRPr="00502723">
        <w:rPr>
          <w:rFonts w:ascii="Times New Roman" w:hAnsi="Times New Roman" w:cs="Times New Roman"/>
          <w:sz w:val="22"/>
          <w:szCs w:val="22"/>
        </w:rPr>
        <w:t>-mCherry-WPRE or scAAV.cc47-</w:t>
      </w:r>
      <w:r>
        <w:rPr>
          <w:rFonts w:ascii="Times New Roman" w:hAnsi="Times New Roman" w:cs="Times New Roman"/>
          <w:sz w:val="22"/>
          <w:szCs w:val="22"/>
        </w:rPr>
        <w:t>CBH</w:t>
      </w:r>
      <w:r w:rsidRPr="00502723">
        <w:rPr>
          <w:rFonts w:ascii="Times New Roman" w:hAnsi="Times New Roman" w:cs="Times New Roman"/>
          <w:sz w:val="22"/>
          <w:szCs w:val="22"/>
        </w:rPr>
        <w:t>-mCherry-W3 at a dose of 1.0 × 10¹¹ vg/mouse (n = 7 and 5 per group, respectively). Kidneys and liver were harvested three weeks post-injection for downstream analyses.</w:t>
      </w:r>
      <w:r w:rsidRPr="00502723">
        <w:rPr>
          <w:rFonts w:ascii="Times New Roman" w:hAnsi="Times New Roman" w:cs="Times New Roman"/>
          <w:b/>
          <w:bCs/>
          <w:sz w:val="22"/>
          <w:szCs w:val="22"/>
        </w:rPr>
        <w:t xml:space="preserve"> b</w:t>
      </w:r>
      <w:r w:rsidRPr="00502723">
        <w:rPr>
          <w:rFonts w:ascii="Times New Roman" w:hAnsi="Times New Roman" w:cs="Times New Roman"/>
          <w:sz w:val="22"/>
          <w:szCs w:val="22"/>
        </w:rPr>
        <w:t xml:space="preserve">, Representative images of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in the kidney </w:t>
      </w:r>
      <w:r w:rsidRPr="00502723">
        <w:rPr>
          <w:rFonts w:ascii="Times New Roman" w:hAnsi="Times New Roman" w:cs="Times New Roman"/>
          <w:sz w:val="22"/>
          <w:szCs w:val="22"/>
        </w:rPr>
        <w:lastRenderedPageBreak/>
        <w:t>and liver of AAV-treated.</w:t>
      </w:r>
      <w:r w:rsidRPr="00502723">
        <w:rPr>
          <w:rFonts w:ascii="Times New Roman" w:hAnsi="Times New Roman" w:cs="Times New Roman"/>
          <w:b/>
          <w:bCs/>
          <w:sz w:val="22"/>
          <w:szCs w:val="22"/>
        </w:rPr>
        <w:t xml:space="preserve"> c</w:t>
      </w:r>
      <w:r w:rsidRPr="00502723">
        <w:rPr>
          <w:rFonts w:ascii="Times New Roman" w:hAnsi="Times New Roman" w:cs="Times New Roman"/>
          <w:sz w:val="22"/>
          <w:szCs w:val="22"/>
        </w:rPr>
        <w:t xml:space="preserve">, Transduction efficiencies in AAV-treated renal tubules were quantified using </w:t>
      </w:r>
      <w:proofErr w:type="spellStart"/>
      <w:r w:rsidRPr="00502723">
        <w:rPr>
          <w:rFonts w:ascii="Times New Roman" w:hAnsi="Times New Roman" w:cs="Times New Roman"/>
          <w:sz w:val="22"/>
          <w:szCs w:val="22"/>
        </w:rPr>
        <w:t>Roboflow</w:t>
      </w:r>
      <w:proofErr w:type="spellEnd"/>
      <w:r w:rsidR="00F26148">
        <w:rPr>
          <w:rFonts w:ascii="Times New Roman" w:hAnsi="Times New Roman" w:cs="Times New Roman"/>
          <w:sz w:val="22"/>
          <w:szCs w:val="22"/>
        </w:rPr>
        <w:t xml:space="preserve"> machine learning-guided image analysis tool</w:t>
      </w:r>
      <w:r w:rsidRPr="00502723">
        <w:rPr>
          <w:rFonts w:ascii="Times New Roman" w:hAnsi="Times New Roman" w:cs="Times New Roman"/>
          <w:sz w:val="22"/>
          <w:szCs w:val="22"/>
        </w:rPr>
        <w:t>.</w:t>
      </w:r>
      <w:r w:rsidRPr="00502723">
        <w:rPr>
          <w:rFonts w:ascii="Times New Roman" w:hAnsi="Times New Roman" w:cs="Times New Roman"/>
          <w:b/>
          <w:bCs/>
          <w:sz w:val="22"/>
          <w:szCs w:val="22"/>
        </w:rPr>
        <w:t xml:space="preserve"> d</w:t>
      </w:r>
      <w:r w:rsidRPr="00502723">
        <w:rPr>
          <w:rFonts w:ascii="Times New Roman" w:hAnsi="Times New Roman" w:cs="Times New Roman"/>
          <w:sz w:val="22"/>
          <w:szCs w:val="22"/>
        </w:rPr>
        <w:t xml:space="preserve">,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 intensity in AAV-treated renal tubules was quantified using ImageJ,. </w:t>
      </w:r>
      <w:r w:rsidRPr="00502723">
        <w:rPr>
          <w:rFonts w:ascii="Times New Roman" w:hAnsi="Times New Roman" w:cs="Times New Roman"/>
          <w:b/>
          <w:bCs/>
          <w:sz w:val="22"/>
          <w:szCs w:val="22"/>
        </w:rPr>
        <w:t>e</w:t>
      </w:r>
      <w:r w:rsidRPr="00502723">
        <w:rPr>
          <w:rFonts w:ascii="Times New Roman" w:hAnsi="Times New Roman" w:cs="Times New Roman"/>
          <w:sz w:val="22"/>
          <w:szCs w:val="22"/>
        </w:rPr>
        <w:t xml:space="preserve">,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transduction efficiency in kidney cells from AAV-treated mice was quantified by flow cytometry. </w:t>
      </w:r>
      <w:r w:rsidRPr="00502723">
        <w:rPr>
          <w:rFonts w:ascii="Times New Roman" w:hAnsi="Times New Roman" w:cs="Times New Roman"/>
          <w:color w:val="EE0000"/>
          <w:sz w:val="22"/>
          <w:szCs w:val="22"/>
        </w:rPr>
        <w:t>Red</w:t>
      </w:r>
      <w:r w:rsidRPr="00502723">
        <w:rPr>
          <w:rFonts w:ascii="Times New Roman" w:hAnsi="Times New Roman" w:cs="Times New Roman"/>
          <w:sz w:val="22"/>
          <w:szCs w:val="22"/>
        </w:rPr>
        <w:t xml:space="preserve">, </w:t>
      </w:r>
      <w:proofErr w:type="spellStart"/>
      <w:r w:rsidRPr="00502723">
        <w:rPr>
          <w:rFonts w:ascii="Times New Roman" w:hAnsi="Times New Roman" w:cs="Times New Roman"/>
          <w:sz w:val="22"/>
          <w:szCs w:val="22"/>
        </w:rPr>
        <w:t>mCherry</w:t>
      </w:r>
      <w:proofErr w:type="spellEnd"/>
      <w:r w:rsidRPr="00502723">
        <w:rPr>
          <w:rFonts w:ascii="Times New Roman" w:hAnsi="Times New Roman" w:cs="Times New Roman"/>
          <w:sz w:val="22"/>
          <w:szCs w:val="22"/>
        </w:rPr>
        <w:t xml:space="preserve"> fluorescence.</w:t>
      </w:r>
      <w:r w:rsidRPr="00502723">
        <w:rPr>
          <w:rFonts w:ascii="Times New Roman" w:hAnsi="Times New Roman" w:cs="Times New Roman"/>
          <w:b/>
          <w:bCs/>
          <w:sz w:val="22"/>
          <w:szCs w:val="22"/>
        </w:rPr>
        <w:t xml:space="preserve"> </w:t>
      </w:r>
      <w:r w:rsidRPr="00502723">
        <w:rPr>
          <w:rFonts w:ascii="Times New Roman" w:hAnsi="Times New Roman" w:cs="Times New Roman"/>
          <w:sz w:val="22"/>
          <w:szCs w:val="22"/>
        </w:rPr>
        <w:t xml:space="preserve">Data are presented as mean ± </w:t>
      </w:r>
      <w:proofErr w:type="spellStart"/>
      <w:r w:rsidRPr="00502723">
        <w:rPr>
          <w:rFonts w:ascii="Times New Roman" w:hAnsi="Times New Roman" w:cs="Times New Roman"/>
          <w:sz w:val="22"/>
          <w:szCs w:val="22"/>
        </w:rPr>
        <w:t>s.e.m.</w:t>
      </w:r>
      <w:proofErr w:type="spellEnd"/>
      <w:r w:rsidRPr="00502723">
        <w:rPr>
          <w:rFonts w:ascii="Times New Roman" w:hAnsi="Times New Roman" w:cs="Times New Roman"/>
          <w:sz w:val="22"/>
          <w:szCs w:val="22"/>
        </w:rPr>
        <w:t xml:space="preserve"> Statistical analysis was performed using unpaired t test. Only statistically significant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values are reported.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&lt; 0.05 was considered statistically significant. Source data and exact </w:t>
      </w:r>
      <w:r w:rsidRPr="00502723">
        <w:rPr>
          <w:rFonts w:ascii="Times New Roman" w:hAnsi="Times New Roman" w:cs="Times New Roman"/>
          <w:i/>
          <w:iCs/>
          <w:sz w:val="22"/>
          <w:szCs w:val="22"/>
        </w:rPr>
        <w:t>P</w:t>
      </w:r>
      <w:r w:rsidRPr="00502723">
        <w:rPr>
          <w:rFonts w:ascii="Times New Roman" w:hAnsi="Times New Roman" w:cs="Times New Roman"/>
          <w:sz w:val="22"/>
          <w:szCs w:val="22"/>
        </w:rPr>
        <w:t xml:space="preserve"> values are provided in the Source Data file.</w:t>
      </w:r>
    </w:p>
    <w:sectPr w:rsidR="006F1F91" w:rsidRPr="00502723">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3264E" w14:textId="77777777" w:rsidR="00E60357" w:rsidRDefault="00E60357" w:rsidP="00A249D1">
      <w:pPr>
        <w:spacing w:after="0" w:line="240" w:lineRule="auto"/>
      </w:pPr>
      <w:r>
        <w:separator/>
      </w:r>
    </w:p>
  </w:endnote>
  <w:endnote w:type="continuationSeparator" w:id="0">
    <w:p w14:paraId="579FB49F" w14:textId="77777777" w:rsidR="00E60357" w:rsidRDefault="00E60357" w:rsidP="00A2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2690043"/>
      <w:docPartObj>
        <w:docPartGallery w:val="Page Numbers (Bottom of Page)"/>
        <w:docPartUnique/>
      </w:docPartObj>
    </w:sdtPr>
    <w:sdtContent>
      <w:p w14:paraId="4602FF50" w14:textId="12DCD176" w:rsidR="009D7614" w:rsidRDefault="009D7614" w:rsidP="001128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814785B" w14:textId="77777777" w:rsidR="009D7614" w:rsidRDefault="009D7614" w:rsidP="009D76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94636396"/>
      <w:docPartObj>
        <w:docPartGallery w:val="Page Numbers (Bottom of Page)"/>
        <w:docPartUnique/>
      </w:docPartObj>
    </w:sdtPr>
    <w:sdtContent>
      <w:p w14:paraId="7955DE2C" w14:textId="7D6F0F53" w:rsidR="009D7614" w:rsidRPr="009D7614" w:rsidRDefault="009D7614" w:rsidP="0011282F">
        <w:pPr>
          <w:pStyle w:val="Footer"/>
          <w:framePr w:wrap="none" w:vAnchor="text" w:hAnchor="margin" w:xAlign="right" w:y="1"/>
          <w:rPr>
            <w:rStyle w:val="PageNumber"/>
            <w:rFonts w:ascii="Times New Roman" w:hAnsi="Times New Roman" w:cs="Times New Roman"/>
          </w:rPr>
        </w:pPr>
        <w:r w:rsidRPr="009D7614">
          <w:rPr>
            <w:rStyle w:val="PageNumber"/>
            <w:rFonts w:ascii="Times New Roman" w:hAnsi="Times New Roman" w:cs="Times New Roman"/>
          </w:rPr>
          <w:fldChar w:fldCharType="begin"/>
        </w:r>
        <w:r w:rsidRPr="009D7614">
          <w:rPr>
            <w:rStyle w:val="PageNumber"/>
            <w:rFonts w:ascii="Times New Roman" w:hAnsi="Times New Roman" w:cs="Times New Roman"/>
          </w:rPr>
          <w:instrText xml:space="preserve"> PAGE </w:instrText>
        </w:r>
        <w:r w:rsidRPr="009D7614">
          <w:rPr>
            <w:rStyle w:val="PageNumber"/>
            <w:rFonts w:ascii="Times New Roman" w:hAnsi="Times New Roman" w:cs="Times New Roman"/>
          </w:rPr>
          <w:fldChar w:fldCharType="separate"/>
        </w:r>
        <w:r w:rsidRPr="009D7614">
          <w:rPr>
            <w:rStyle w:val="PageNumber"/>
            <w:rFonts w:ascii="Times New Roman" w:hAnsi="Times New Roman" w:cs="Times New Roman"/>
            <w:noProof/>
          </w:rPr>
          <w:t>21</w:t>
        </w:r>
        <w:r w:rsidRPr="009D7614">
          <w:rPr>
            <w:rStyle w:val="PageNumber"/>
            <w:rFonts w:ascii="Times New Roman" w:hAnsi="Times New Roman" w:cs="Times New Roman"/>
          </w:rPr>
          <w:fldChar w:fldCharType="end"/>
        </w:r>
      </w:p>
    </w:sdtContent>
  </w:sdt>
  <w:p w14:paraId="0C59CA54" w14:textId="77777777" w:rsidR="009D7614" w:rsidRPr="009D7614" w:rsidRDefault="009D7614" w:rsidP="009D7614">
    <w:pPr>
      <w:pStyle w:val="Footer"/>
      <w:ind w:right="360"/>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502D3" w14:textId="77777777" w:rsidR="00E60357" w:rsidRDefault="00E60357" w:rsidP="00A249D1">
      <w:pPr>
        <w:spacing w:after="0" w:line="240" w:lineRule="auto"/>
      </w:pPr>
      <w:r>
        <w:separator/>
      </w:r>
    </w:p>
  </w:footnote>
  <w:footnote w:type="continuationSeparator" w:id="0">
    <w:p w14:paraId="572F76DC" w14:textId="77777777" w:rsidR="00E60357" w:rsidRDefault="00E60357" w:rsidP="00A24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16CE4"/>
    <w:multiLevelType w:val="hybridMultilevel"/>
    <w:tmpl w:val="9CC0E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F6F4C92"/>
    <w:multiLevelType w:val="hybridMultilevel"/>
    <w:tmpl w:val="9CC0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8576C6"/>
    <w:multiLevelType w:val="hybridMultilevel"/>
    <w:tmpl w:val="9982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32193F"/>
    <w:multiLevelType w:val="hybridMultilevel"/>
    <w:tmpl w:val="79900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731483">
    <w:abstractNumId w:val="3"/>
  </w:num>
  <w:num w:numId="2" w16cid:durableId="1484927451">
    <w:abstractNumId w:val="1"/>
  </w:num>
  <w:num w:numId="3" w16cid:durableId="876040200">
    <w:abstractNumId w:val="0"/>
  </w:num>
  <w:num w:numId="4" w16cid:durableId="1852068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A4"/>
    <w:rsid w:val="000002A9"/>
    <w:rsid w:val="00003248"/>
    <w:rsid w:val="0000614B"/>
    <w:rsid w:val="000133FF"/>
    <w:rsid w:val="000230EC"/>
    <w:rsid w:val="0002321C"/>
    <w:rsid w:val="00027337"/>
    <w:rsid w:val="00032982"/>
    <w:rsid w:val="0003320A"/>
    <w:rsid w:val="0003535C"/>
    <w:rsid w:val="000359C7"/>
    <w:rsid w:val="00036044"/>
    <w:rsid w:val="00037D0C"/>
    <w:rsid w:val="00042741"/>
    <w:rsid w:val="000451DD"/>
    <w:rsid w:val="000452A2"/>
    <w:rsid w:val="00050641"/>
    <w:rsid w:val="00053AF4"/>
    <w:rsid w:val="00054C69"/>
    <w:rsid w:val="00054F41"/>
    <w:rsid w:val="00055F5F"/>
    <w:rsid w:val="0005768A"/>
    <w:rsid w:val="00062EBC"/>
    <w:rsid w:val="00065FEC"/>
    <w:rsid w:val="00066615"/>
    <w:rsid w:val="00066D91"/>
    <w:rsid w:val="0007549C"/>
    <w:rsid w:val="000809DA"/>
    <w:rsid w:val="0008218A"/>
    <w:rsid w:val="00083446"/>
    <w:rsid w:val="000840B1"/>
    <w:rsid w:val="00084B78"/>
    <w:rsid w:val="0008627F"/>
    <w:rsid w:val="000869AF"/>
    <w:rsid w:val="00090E1D"/>
    <w:rsid w:val="0009129A"/>
    <w:rsid w:val="0009689F"/>
    <w:rsid w:val="000A1E0E"/>
    <w:rsid w:val="000A351A"/>
    <w:rsid w:val="000A6351"/>
    <w:rsid w:val="000A6C82"/>
    <w:rsid w:val="000A6D35"/>
    <w:rsid w:val="000B064D"/>
    <w:rsid w:val="000B21D0"/>
    <w:rsid w:val="000B3CC3"/>
    <w:rsid w:val="000B7128"/>
    <w:rsid w:val="000B7589"/>
    <w:rsid w:val="000C0214"/>
    <w:rsid w:val="000C162C"/>
    <w:rsid w:val="000C4FFB"/>
    <w:rsid w:val="000C6C31"/>
    <w:rsid w:val="000D045F"/>
    <w:rsid w:val="000D2146"/>
    <w:rsid w:val="000D42DE"/>
    <w:rsid w:val="000D542C"/>
    <w:rsid w:val="000D5D9B"/>
    <w:rsid w:val="000D606E"/>
    <w:rsid w:val="000D6956"/>
    <w:rsid w:val="000D75B9"/>
    <w:rsid w:val="000E3C6F"/>
    <w:rsid w:val="000E485A"/>
    <w:rsid w:val="000E5DF4"/>
    <w:rsid w:val="000E696F"/>
    <w:rsid w:val="000F052E"/>
    <w:rsid w:val="000F1D5B"/>
    <w:rsid w:val="000F1E74"/>
    <w:rsid w:val="000F7010"/>
    <w:rsid w:val="00102056"/>
    <w:rsid w:val="001023C0"/>
    <w:rsid w:val="00102EF9"/>
    <w:rsid w:val="00103A28"/>
    <w:rsid w:val="00104CE6"/>
    <w:rsid w:val="0011095A"/>
    <w:rsid w:val="00110A61"/>
    <w:rsid w:val="00111D86"/>
    <w:rsid w:val="00112AE0"/>
    <w:rsid w:val="0011765B"/>
    <w:rsid w:val="00120D59"/>
    <w:rsid w:val="00122570"/>
    <w:rsid w:val="00122942"/>
    <w:rsid w:val="00124FB0"/>
    <w:rsid w:val="00130D42"/>
    <w:rsid w:val="0013236B"/>
    <w:rsid w:val="0013297E"/>
    <w:rsid w:val="00133459"/>
    <w:rsid w:val="00134A6F"/>
    <w:rsid w:val="00137515"/>
    <w:rsid w:val="0013785E"/>
    <w:rsid w:val="00140E64"/>
    <w:rsid w:val="00141D48"/>
    <w:rsid w:val="00142B90"/>
    <w:rsid w:val="00144672"/>
    <w:rsid w:val="00146A50"/>
    <w:rsid w:val="00153929"/>
    <w:rsid w:val="00156215"/>
    <w:rsid w:val="00156572"/>
    <w:rsid w:val="001644C5"/>
    <w:rsid w:val="00165DC3"/>
    <w:rsid w:val="001672F1"/>
    <w:rsid w:val="00173C48"/>
    <w:rsid w:val="00174314"/>
    <w:rsid w:val="00174B24"/>
    <w:rsid w:val="00175403"/>
    <w:rsid w:val="001768CE"/>
    <w:rsid w:val="00177155"/>
    <w:rsid w:val="00182BDF"/>
    <w:rsid w:val="00182E82"/>
    <w:rsid w:val="00183452"/>
    <w:rsid w:val="0018348B"/>
    <w:rsid w:val="001842F3"/>
    <w:rsid w:val="00185599"/>
    <w:rsid w:val="00185BC8"/>
    <w:rsid w:val="001868A6"/>
    <w:rsid w:val="00186D65"/>
    <w:rsid w:val="001876E7"/>
    <w:rsid w:val="0019069E"/>
    <w:rsid w:val="001909AE"/>
    <w:rsid w:val="00192664"/>
    <w:rsid w:val="00192DAB"/>
    <w:rsid w:val="00194639"/>
    <w:rsid w:val="001972E4"/>
    <w:rsid w:val="001A0DB3"/>
    <w:rsid w:val="001A25C2"/>
    <w:rsid w:val="001A6041"/>
    <w:rsid w:val="001B23D9"/>
    <w:rsid w:val="001B6793"/>
    <w:rsid w:val="001C189E"/>
    <w:rsid w:val="001C4511"/>
    <w:rsid w:val="001C6B42"/>
    <w:rsid w:val="001C7744"/>
    <w:rsid w:val="001C7B01"/>
    <w:rsid w:val="001D0E3E"/>
    <w:rsid w:val="001D2EA7"/>
    <w:rsid w:val="001D4628"/>
    <w:rsid w:val="001D5506"/>
    <w:rsid w:val="001E6410"/>
    <w:rsid w:val="001E79BC"/>
    <w:rsid w:val="001F0043"/>
    <w:rsid w:val="001F12BD"/>
    <w:rsid w:val="001F5C2D"/>
    <w:rsid w:val="00202834"/>
    <w:rsid w:val="00204798"/>
    <w:rsid w:val="00212C2B"/>
    <w:rsid w:val="00212F66"/>
    <w:rsid w:val="0021389C"/>
    <w:rsid w:val="00214080"/>
    <w:rsid w:val="00214B1D"/>
    <w:rsid w:val="00222CE1"/>
    <w:rsid w:val="002232AE"/>
    <w:rsid w:val="00224C06"/>
    <w:rsid w:val="002270B8"/>
    <w:rsid w:val="00230D0E"/>
    <w:rsid w:val="00231040"/>
    <w:rsid w:val="002321A5"/>
    <w:rsid w:val="00234DCC"/>
    <w:rsid w:val="002374CA"/>
    <w:rsid w:val="00237737"/>
    <w:rsid w:val="00240E91"/>
    <w:rsid w:val="0024191C"/>
    <w:rsid w:val="00241FBA"/>
    <w:rsid w:val="00243C62"/>
    <w:rsid w:val="00243F8B"/>
    <w:rsid w:val="002469E9"/>
    <w:rsid w:val="0025005A"/>
    <w:rsid w:val="00253852"/>
    <w:rsid w:val="00254CEF"/>
    <w:rsid w:val="00255125"/>
    <w:rsid w:val="002554A6"/>
    <w:rsid w:val="00260C84"/>
    <w:rsid w:val="0026108C"/>
    <w:rsid w:val="002659F9"/>
    <w:rsid w:val="00265FB7"/>
    <w:rsid w:val="00266D51"/>
    <w:rsid w:val="00273D4D"/>
    <w:rsid w:val="00284265"/>
    <w:rsid w:val="002916E5"/>
    <w:rsid w:val="002935A3"/>
    <w:rsid w:val="002944AC"/>
    <w:rsid w:val="00296213"/>
    <w:rsid w:val="002A0C43"/>
    <w:rsid w:val="002A3BE5"/>
    <w:rsid w:val="002A78CE"/>
    <w:rsid w:val="002B059A"/>
    <w:rsid w:val="002B3376"/>
    <w:rsid w:val="002B7BCA"/>
    <w:rsid w:val="002C1FF1"/>
    <w:rsid w:val="002C4F4F"/>
    <w:rsid w:val="002C524A"/>
    <w:rsid w:val="002D0600"/>
    <w:rsid w:val="002D158A"/>
    <w:rsid w:val="002D3B27"/>
    <w:rsid w:val="002D4991"/>
    <w:rsid w:val="002D63F2"/>
    <w:rsid w:val="002E1348"/>
    <w:rsid w:val="002E5330"/>
    <w:rsid w:val="002E61DB"/>
    <w:rsid w:val="002F276D"/>
    <w:rsid w:val="002F31EA"/>
    <w:rsid w:val="002F4BAF"/>
    <w:rsid w:val="002F5109"/>
    <w:rsid w:val="002F5B0C"/>
    <w:rsid w:val="00301BB9"/>
    <w:rsid w:val="00303C88"/>
    <w:rsid w:val="00304780"/>
    <w:rsid w:val="00305876"/>
    <w:rsid w:val="00310511"/>
    <w:rsid w:val="00312CA2"/>
    <w:rsid w:val="00317410"/>
    <w:rsid w:val="0032360A"/>
    <w:rsid w:val="00324483"/>
    <w:rsid w:val="00325128"/>
    <w:rsid w:val="00325605"/>
    <w:rsid w:val="003269C7"/>
    <w:rsid w:val="00327417"/>
    <w:rsid w:val="00327FA1"/>
    <w:rsid w:val="00330795"/>
    <w:rsid w:val="00331BAB"/>
    <w:rsid w:val="00341553"/>
    <w:rsid w:val="0034304E"/>
    <w:rsid w:val="003433D4"/>
    <w:rsid w:val="00344354"/>
    <w:rsid w:val="00353D8A"/>
    <w:rsid w:val="00354ED2"/>
    <w:rsid w:val="00355F6A"/>
    <w:rsid w:val="003563D9"/>
    <w:rsid w:val="00356536"/>
    <w:rsid w:val="003624D1"/>
    <w:rsid w:val="00362548"/>
    <w:rsid w:val="00363795"/>
    <w:rsid w:val="00367F4E"/>
    <w:rsid w:val="0037196E"/>
    <w:rsid w:val="00371BFD"/>
    <w:rsid w:val="00372DD9"/>
    <w:rsid w:val="0037332B"/>
    <w:rsid w:val="00374679"/>
    <w:rsid w:val="00376AA5"/>
    <w:rsid w:val="00385AC9"/>
    <w:rsid w:val="003863C0"/>
    <w:rsid w:val="00392AB1"/>
    <w:rsid w:val="003946FE"/>
    <w:rsid w:val="003A1CE5"/>
    <w:rsid w:val="003B06BE"/>
    <w:rsid w:val="003B13D0"/>
    <w:rsid w:val="003B2391"/>
    <w:rsid w:val="003B2417"/>
    <w:rsid w:val="003B3588"/>
    <w:rsid w:val="003B5263"/>
    <w:rsid w:val="003C0084"/>
    <w:rsid w:val="003C015F"/>
    <w:rsid w:val="003C3B1C"/>
    <w:rsid w:val="003C5601"/>
    <w:rsid w:val="003C67F6"/>
    <w:rsid w:val="003D03F5"/>
    <w:rsid w:val="003D3187"/>
    <w:rsid w:val="003D3A88"/>
    <w:rsid w:val="003D5E11"/>
    <w:rsid w:val="003D7C76"/>
    <w:rsid w:val="003F04F8"/>
    <w:rsid w:val="003F6465"/>
    <w:rsid w:val="003F6BFA"/>
    <w:rsid w:val="003F710F"/>
    <w:rsid w:val="0040070F"/>
    <w:rsid w:val="0040279E"/>
    <w:rsid w:val="004068C4"/>
    <w:rsid w:val="0040745D"/>
    <w:rsid w:val="0041098A"/>
    <w:rsid w:val="00411383"/>
    <w:rsid w:val="00411890"/>
    <w:rsid w:val="004145B6"/>
    <w:rsid w:val="00414838"/>
    <w:rsid w:val="00414B2E"/>
    <w:rsid w:val="00416947"/>
    <w:rsid w:val="0042089A"/>
    <w:rsid w:val="00421586"/>
    <w:rsid w:val="0042192D"/>
    <w:rsid w:val="00421FA3"/>
    <w:rsid w:val="00423B1A"/>
    <w:rsid w:val="00425B13"/>
    <w:rsid w:val="00432B42"/>
    <w:rsid w:val="00442991"/>
    <w:rsid w:val="00444ACB"/>
    <w:rsid w:val="00446E21"/>
    <w:rsid w:val="00447D8A"/>
    <w:rsid w:val="004513BD"/>
    <w:rsid w:val="00452830"/>
    <w:rsid w:val="0045357E"/>
    <w:rsid w:val="00454A9E"/>
    <w:rsid w:val="004551B5"/>
    <w:rsid w:val="004602BC"/>
    <w:rsid w:val="00460ACB"/>
    <w:rsid w:val="004633E8"/>
    <w:rsid w:val="00463914"/>
    <w:rsid w:val="004656CA"/>
    <w:rsid w:val="00466804"/>
    <w:rsid w:val="00467325"/>
    <w:rsid w:val="004753A8"/>
    <w:rsid w:val="004756F7"/>
    <w:rsid w:val="00480491"/>
    <w:rsid w:val="004827D0"/>
    <w:rsid w:val="00483307"/>
    <w:rsid w:val="00483993"/>
    <w:rsid w:val="004845DB"/>
    <w:rsid w:val="0048512A"/>
    <w:rsid w:val="00485612"/>
    <w:rsid w:val="0048631C"/>
    <w:rsid w:val="0048638C"/>
    <w:rsid w:val="00487C43"/>
    <w:rsid w:val="0049147E"/>
    <w:rsid w:val="0049301C"/>
    <w:rsid w:val="004943DB"/>
    <w:rsid w:val="004A1124"/>
    <w:rsid w:val="004A33E0"/>
    <w:rsid w:val="004A4A10"/>
    <w:rsid w:val="004A4E03"/>
    <w:rsid w:val="004A5232"/>
    <w:rsid w:val="004A52BD"/>
    <w:rsid w:val="004A6AE3"/>
    <w:rsid w:val="004B532C"/>
    <w:rsid w:val="004B5F91"/>
    <w:rsid w:val="004C06E3"/>
    <w:rsid w:val="004C3054"/>
    <w:rsid w:val="004C3D5C"/>
    <w:rsid w:val="004C4817"/>
    <w:rsid w:val="004C7528"/>
    <w:rsid w:val="004D0102"/>
    <w:rsid w:val="004D0CC7"/>
    <w:rsid w:val="004D1256"/>
    <w:rsid w:val="004D43BC"/>
    <w:rsid w:val="004D6076"/>
    <w:rsid w:val="004E09AA"/>
    <w:rsid w:val="004E1F7C"/>
    <w:rsid w:val="004E4677"/>
    <w:rsid w:val="004F1C81"/>
    <w:rsid w:val="004F2A75"/>
    <w:rsid w:val="004F4B6E"/>
    <w:rsid w:val="004F5218"/>
    <w:rsid w:val="0050022F"/>
    <w:rsid w:val="00501B34"/>
    <w:rsid w:val="00502723"/>
    <w:rsid w:val="00502E68"/>
    <w:rsid w:val="005031FC"/>
    <w:rsid w:val="00504005"/>
    <w:rsid w:val="005079DE"/>
    <w:rsid w:val="0051147D"/>
    <w:rsid w:val="005130C8"/>
    <w:rsid w:val="00514891"/>
    <w:rsid w:val="00515F99"/>
    <w:rsid w:val="005160AE"/>
    <w:rsid w:val="00516382"/>
    <w:rsid w:val="005220BE"/>
    <w:rsid w:val="00523813"/>
    <w:rsid w:val="00525906"/>
    <w:rsid w:val="00526DB1"/>
    <w:rsid w:val="005302ED"/>
    <w:rsid w:val="0053397C"/>
    <w:rsid w:val="0053424A"/>
    <w:rsid w:val="00534A31"/>
    <w:rsid w:val="005358EF"/>
    <w:rsid w:val="00536733"/>
    <w:rsid w:val="00544D38"/>
    <w:rsid w:val="0054752D"/>
    <w:rsid w:val="00547ED0"/>
    <w:rsid w:val="005501AF"/>
    <w:rsid w:val="0055095F"/>
    <w:rsid w:val="00550F5A"/>
    <w:rsid w:val="00556562"/>
    <w:rsid w:val="0055688C"/>
    <w:rsid w:val="005578BC"/>
    <w:rsid w:val="00557C03"/>
    <w:rsid w:val="00562C2C"/>
    <w:rsid w:val="00564EA4"/>
    <w:rsid w:val="0056628E"/>
    <w:rsid w:val="005713AB"/>
    <w:rsid w:val="00574D60"/>
    <w:rsid w:val="00575741"/>
    <w:rsid w:val="005900A9"/>
    <w:rsid w:val="00592982"/>
    <w:rsid w:val="00593333"/>
    <w:rsid w:val="005A1D5D"/>
    <w:rsid w:val="005A735B"/>
    <w:rsid w:val="005B30F7"/>
    <w:rsid w:val="005B4650"/>
    <w:rsid w:val="005B4B66"/>
    <w:rsid w:val="005B6FC5"/>
    <w:rsid w:val="005C2FB5"/>
    <w:rsid w:val="005C7E7D"/>
    <w:rsid w:val="005D5B8E"/>
    <w:rsid w:val="005D769A"/>
    <w:rsid w:val="005E1387"/>
    <w:rsid w:val="005F1963"/>
    <w:rsid w:val="005F31EF"/>
    <w:rsid w:val="005F5092"/>
    <w:rsid w:val="005F55C7"/>
    <w:rsid w:val="005F624A"/>
    <w:rsid w:val="005F754D"/>
    <w:rsid w:val="006009E3"/>
    <w:rsid w:val="00601862"/>
    <w:rsid w:val="00601C1E"/>
    <w:rsid w:val="00603D1B"/>
    <w:rsid w:val="0061049B"/>
    <w:rsid w:val="006112BB"/>
    <w:rsid w:val="00612AD8"/>
    <w:rsid w:val="00612FA1"/>
    <w:rsid w:val="00614191"/>
    <w:rsid w:val="006155DC"/>
    <w:rsid w:val="00622FB6"/>
    <w:rsid w:val="00623F8D"/>
    <w:rsid w:val="00625C20"/>
    <w:rsid w:val="006272D7"/>
    <w:rsid w:val="00630B5C"/>
    <w:rsid w:val="006325E1"/>
    <w:rsid w:val="006334FE"/>
    <w:rsid w:val="00637505"/>
    <w:rsid w:val="006426F8"/>
    <w:rsid w:val="00644BED"/>
    <w:rsid w:val="00650819"/>
    <w:rsid w:val="00650A5C"/>
    <w:rsid w:val="0065164E"/>
    <w:rsid w:val="00652025"/>
    <w:rsid w:val="00657954"/>
    <w:rsid w:val="006611C4"/>
    <w:rsid w:val="00663CAE"/>
    <w:rsid w:val="00664BF0"/>
    <w:rsid w:val="006651D8"/>
    <w:rsid w:val="00672844"/>
    <w:rsid w:val="006738B6"/>
    <w:rsid w:val="00673CD9"/>
    <w:rsid w:val="006773E1"/>
    <w:rsid w:val="00681309"/>
    <w:rsid w:val="00682220"/>
    <w:rsid w:val="00682A05"/>
    <w:rsid w:val="006835FD"/>
    <w:rsid w:val="00686142"/>
    <w:rsid w:val="00694EC3"/>
    <w:rsid w:val="0069526E"/>
    <w:rsid w:val="006A028D"/>
    <w:rsid w:val="006A07DB"/>
    <w:rsid w:val="006A3F74"/>
    <w:rsid w:val="006A489F"/>
    <w:rsid w:val="006A557D"/>
    <w:rsid w:val="006A6ABA"/>
    <w:rsid w:val="006B37C3"/>
    <w:rsid w:val="006B51F4"/>
    <w:rsid w:val="006B55E7"/>
    <w:rsid w:val="006B5CA7"/>
    <w:rsid w:val="006B6894"/>
    <w:rsid w:val="006C3091"/>
    <w:rsid w:val="006C387A"/>
    <w:rsid w:val="006C3E23"/>
    <w:rsid w:val="006C66A3"/>
    <w:rsid w:val="006D2E03"/>
    <w:rsid w:val="006D4FA0"/>
    <w:rsid w:val="006D5C37"/>
    <w:rsid w:val="006D62F0"/>
    <w:rsid w:val="006D68B3"/>
    <w:rsid w:val="006E240C"/>
    <w:rsid w:val="006E2465"/>
    <w:rsid w:val="006E3997"/>
    <w:rsid w:val="006F1F91"/>
    <w:rsid w:val="006F4382"/>
    <w:rsid w:val="006F4832"/>
    <w:rsid w:val="006F6CE7"/>
    <w:rsid w:val="007015FA"/>
    <w:rsid w:val="00701EE7"/>
    <w:rsid w:val="007029F5"/>
    <w:rsid w:val="00702ED4"/>
    <w:rsid w:val="0070310E"/>
    <w:rsid w:val="00703BDD"/>
    <w:rsid w:val="0070498B"/>
    <w:rsid w:val="0070697C"/>
    <w:rsid w:val="007110F7"/>
    <w:rsid w:val="00713FCE"/>
    <w:rsid w:val="0071509A"/>
    <w:rsid w:val="00716998"/>
    <w:rsid w:val="00730271"/>
    <w:rsid w:val="007303E8"/>
    <w:rsid w:val="00731C04"/>
    <w:rsid w:val="00732285"/>
    <w:rsid w:val="00733C66"/>
    <w:rsid w:val="00735639"/>
    <w:rsid w:val="00736D65"/>
    <w:rsid w:val="0073749D"/>
    <w:rsid w:val="00740757"/>
    <w:rsid w:val="007407D4"/>
    <w:rsid w:val="00744CB2"/>
    <w:rsid w:val="00744CDD"/>
    <w:rsid w:val="00746857"/>
    <w:rsid w:val="0074759F"/>
    <w:rsid w:val="00753EC7"/>
    <w:rsid w:val="00754979"/>
    <w:rsid w:val="007553F6"/>
    <w:rsid w:val="00766631"/>
    <w:rsid w:val="0077024B"/>
    <w:rsid w:val="00771F7D"/>
    <w:rsid w:val="007773FF"/>
    <w:rsid w:val="00781C49"/>
    <w:rsid w:val="007824E2"/>
    <w:rsid w:val="00783A34"/>
    <w:rsid w:val="00791A5E"/>
    <w:rsid w:val="00794E4C"/>
    <w:rsid w:val="0079655D"/>
    <w:rsid w:val="00796EA7"/>
    <w:rsid w:val="007A3104"/>
    <w:rsid w:val="007A6DBB"/>
    <w:rsid w:val="007B0A21"/>
    <w:rsid w:val="007B2B6F"/>
    <w:rsid w:val="007B3413"/>
    <w:rsid w:val="007C133D"/>
    <w:rsid w:val="007C477D"/>
    <w:rsid w:val="007C5CCB"/>
    <w:rsid w:val="007D066C"/>
    <w:rsid w:val="007D2C77"/>
    <w:rsid w:val="007D3403"/>
    <w:rsid w:val="007D3DE9"/>
    <w:rsid w:val="007D4077"/>
    <w:rsid w:val="007D6BB4"/>
    <w:rsid w:val="007D7B8F"/>
    <w:rsid w:val="007E0D68"/>
    <w:rsid w:val="007E4784"/>
    <w:rsid w:val="007E563E"/>
    <w:rsid w:val="007F08CC"/>
    <w:rsid w:val="007F2B58"/>
    <w:rsid w:val="007F5BF5"/>
    <w:rsid w:val="007F6297"/>
    <w:rsid w:val="007F73DC"/>
    <w:rsid w:val="007F763E"/>
    <w:rsid w:val="00802B66"/>
    <w:rsid w:val="00802DB7"/>
    <w:rsid w:val="008046A2"/>
    <w:rsid w:val="0080637C"/>
    <w:rsid w:val="00807B60"/>
    <w:rsid w:val="00811AB9"/>
    <w:rsid w:val="00813ECD"/>
    <w:rsid w:val="008158D5"/>
    <w:rsid w:val="00816744"/>
    <w:rsid w:val="008202C1"/>
    <w:rsid w:val="00825EDB"/>
    <w:rsid w:val="008270A7"/>
    <w:rsid w:val="00831C58"/>
    <w:rsid w:val="00833229"/>
    <w:rsid w:val="00834263"/>
    <w:rsid w:val="00836A69"/>
    <w:rsid w:val="00840147"/>
    <w:rsid w:val="008461CC"/>
    <w:rsid w:val="00847BF0"/>
    <w:rsid w:val="008512FE"/>
    <w:rsid w:val="008521AB"/>
    <w:rsid w:val="00852CC1"/>
    <w:rsid w:val="00853D6B"/>
    <w:rsid w:val="00854C5E"/>
    <w:rsid w:val="00861A21"/>
    <w:rsid w:val="008656D5"/>
    <w:rsid w:val="00866296"/>
    <w:rsid w:val="00866C9F"/>
    <w:rsid w:val="00871CCD"/>
    <w:rsid w:val="00873563"/>
    <w:rsid w:val="00875ACE"/>
    <w:rsid w:val="00876400"/>
    <w:rsid w:val="00876449"/>
    <w:rsid w:val="0088163D"/>
    <w:rsid w:val="008857F6"/>
    <w:rsid w:val="0088587C"/>
    <w:rsid w:val="0089043C"/>
    <w:rsid w:val="00896525"/>
    <w:rsid w:val="0089720A"/>
    <w:rsid w:val="008975E5"/>
    <w:rsid w:val="00897E33"/>
    <w:rsid w:val="008A0FD4"/>
    <w:rsid w:val="008A2BFE"/>
    <w:rsid w:val="008A6D6D"/>
    <w:rsid w:val="008A7B12"/>
    <w:rsid w:val="008B2C85"/>
    <w:rsid w:val="008B4C8E"/>
    <w:rsid w:val="008B5961"/>
    <w:rsid w:val="008B73AB"/>
    <w:rsid w:val="008B744E"/>
    <w:rsid w:val="008C433C"/>
    <w:rsid w:val="008C4EA3"/>
    <w:rsid w:val="008C69E1"/>
    <w:rsid w:val="008D02C6"/>
    <w:rsid w:val="008D092F"/>
    <w:rsid w:val="008D3C28"/>
    <w:rsid w:val="008D3FF9"/>
    <w:rsid w:val="008D4737"/>
    <w:rsid w:val="008D6268"/>
    <w:rsid w:val="008D6EEB"/>
    <w:rsid w:val="008D7D69"/>
    <w:rsid w:val="008E02D3"/>
    <w:rsid w:val="008E5C4F"/>
    <w:rsid w:val="008E78EF"/>
    <w:rsid w:val="008E792A"/>
    <w:rsid w:val="008F7A18"/>
    <w:rsid w:val="00900F6E"/>
    <w:rsid w:val="00903438"/>
    <w:rsid w:val="009039E1"/>
    <w:rsid w:val="00913AB1"/>
    <w:rsid w:val="00916E65"/>
    <w:rsid w:val="00920458"/>
    <w:rsid w:val="00920524"/>
    <w:rsid w:val="00920BA9"/>
    <w:rsid w:val="00921794"/>
    <w:rsid w:val="009243A9"/>
    <w:rsid w:val="009253BD"/>
    <w:rsid w:val="00926C98"/>
    <w:rsid w:val="00926E84"/>
    <w:rsid w:val="00930A5C"/>
    <w:rsid w:val="0093190C"/>
    <w:rsid w:val="00931986"/>
    <w:rsid w:val="0094140D"/>
    <w:rsid w:val="00944E94"/>
    <w:rsid w:val="0094703B"/>
    <w:rsid w:val="0094787D"/>
    <w:rsid w:val="00950BD7"/>
    <w:rsid w:val="00951B0D"/>
    <w:rsid w:val="00952047"/>
    <w:rsid w:val="00956140"/>
    <w:rsid w:val="009566DC"/>
    <w:rsid w:val="00957648"/>
    <w:rsid w:val="00957C83"/>
    <w:rsid w:val="009616E6"/>
    <w:rsid w:val="00966125"/>
    <w:rsid w:val="00967973"/>
    <w:rsid w:val="00971990"/>
    <w:rsid w:val="00971EFB"/>
    <w:rsid w:val="009737D3"/>
    <w:rsid w:val="00974C18"/>
    <w:rsid w:val="00976129"/>
    <w:rsid w:val="00977BA4"/>
    <w:rsid w:val="00981314"/>
    <w:rsid w:val="00983B41"/>
    <w:rsid w:val="00986D18"/>
    <w:rsid w:val="00987C16"/>
    <w:rsid w:val="0099171C"/>
    <w:rsid w:val="00991CA1"/>
    <w:rsid w:val="0099384B"/>
    <w:rsid w:val="00996791"/>
    <w:rsid w:val="009977B6"/>
    <w:rsid w:val="009B1F37"/>
    <w:rsid w:val="009B235A"/>
    <w:rsid w:val="009B6DF8"/>
    <w:rsid w:val="009B7E27"/>
    <w:rsid w:val="009C329F"/>
    <w:rsid w:val="009C5ECF"/>
    <w:rsid w:val="009D0C0A"/>
    <w:rsid w:val="009D13D6"/>
    <w:rsid w:val="009D2CE1"/>
    <w:rsid w:val="009D7614"/>
    <w:rsid w:val="009D7E03"/>
    <w:rsid w:val="009E26FF"/>
    <w:rsid w:val="009E2FEB"/>
    <w:rsid w:val="009E4310"/>
    <w:rsid w:val="009E52AF"/>
    <w:rsid w:val="009E6CE9"/>
    <w:rsid w:val="009F165B"/>
    <w:rsid w:val="009F271B"/>
    <w:rsid w:val="009F4170"/>
    <w:rsid w:val="009F7DC8"/>
    <w:rsid w:val="00A003CC"/>
    <w:rsid w:val="00A03CC1"/>
    <w:rsid w:val="00A04287"/>
    <w:rsid w:val="00A04517"/>
    <w:rsid w:val="00A1138B"/>
    <w:rsid w:val="00A14989"/>
    <w:rsid w:val="00A15B05"/>
    <w:rsid w:val="00A160AF"/>
    <w:rsid w:val="00A160E9"/>
    <w:rsid w:val="00A21FC1"/>
    <w:rsid w:val="00A249D1"/>
    <w:rsid w:val="00A3165C"/>
    <w:rsid w:val="00A3446E"/>
    <w:rsid w:val="00A42A8B"/>
    <w:rsid w:val="00A46EDF"/>
    <w:rsid w:val="00A473F6"/>
    <w:rsid w:val="00A5017C"/>
    <w:rsid w:val="00A53DE3"/>
    <w:rsid w:val="00A54BD5"/>
    <w:rsid w:val="00A5600F"/>
    <w:rsid w:val="00A56DA8"/>
    <w:rsid w:val="00A6013B"/>
    <w:rsid w:val="00A609A4"/>
    <w:rsid w:val="00A61FCE"/>
    <w:rsid w:val="00A63A56"/>
    <w:rsid w:val="00A651FC"/>
    <w:rsid w:val="00A71DE3"/>
    <w:rsid w:val="00A747C3"/>
    <w:rsid w:val="00A76DEB"/>
    <w:rsid w:val="00A82DFE"/>
    <w:rsid w:val="00A82F86"/>
    <w:rsid w:val="00A83124"/>
    <w:rsid w:val="00A83790"/>
    <w:rsid w:val="00A83F2A"/>
    <w:rsid w:val="00A86000"/>
    <w:rsid w:val="00A87284"/>
    <w:rsid w:val="00A90F8A"/>
    <w:rsid w:val="00A91E16"/>
    <w:rsid w:val="00A94340"/>
    <w:rsid w:val="00A95D0E"/>
    <w:rsid w:val="00A961E8"/>
    <w:rsid w:val="00AA02C7"/>
    <w:rsid w:val="00AA2EF1"/>
    <w:rsid w:val="00AB23AE"/>
    <w:rsid w:val="00AB30F9"/>
    <w:rsid w:val="00AC01C9"/>
    <w:rsid w:val="00AC091D"/>
    <w:rsid w:val="00AC3CC8"/>
    <w:rsid w:val="00AC4064"/>
    <w:rsid w:val="00AD34A6"/>
    <w:rsid w:val="00AD49C1"/>
    <w:rsid w:val="00AD5F59"/>
    <w:rsid w:val="00AE0561"/>
    <w:rsid w:val="00AE539C"/>
    <w:rsid w:val="00AE56BD"/>
    <w:rsid w:val="00AE6015"/>
    <w:rsid w:val="00AE71D1"/>
    <w:rsid w:val="00AF34AC"/>
    <w:rsid w:val="00AF5745"/>
    <w:rsid w:val="00AF589F"/>
    <w:rsid w:val="00AF599A"/>
    <w:rsid w:val="00AF6183"/>
    <w:rsid w:val="00B04210"/>
    <w:rsid w:val="00B0567C"/>
    <w:rsid w:val="00B06510"/>
    <w:rsid w:val="00B11426"/>
    <w:rsid w:val="00B11C40"/>
    <w:rsid w:val="00B13A5C"/>
    <w:rsid w:val="00B20178"/>
    <w:rsid w:val="00B20E53"/>
    <w:rsid w:val="00B210F1"/>
    <w:rsid w:val="00B213A7"/>
    <w:rsid w:val="00B26F98"/>
    <w:rsid w:val="00B311DA"/>
    <w:rsid w:val="00B34000"/>
    <w:rsid w:val="00B3719A"/>
    <w:rsid w:val="00B37ADB"/>
    <w:rsid w:val="00B4125F"/>
    <w:rsid w:val="00B418F1"/>
    <w:rsid w:val="00B43B18"/>
    <w:rsid w:val="00B5003B"/>
    <w:rsid w:val="00B509F2"/>
    <w:rsid w:val="00B50D98"/>
    <w:rsid w:val="00B5277C"/>
    <w:rsid w:val="00B53548"/>
    <w:rsid w:val="00B53662"/>
    <w:rsid w:val="00B54DB2"/>
    <w:rsid w:val="00B54DE6"/>
    <w:rsid w:val="00B551C8"/>
    <w:rsid w:val="00B616FE"/>
    <w:rsid w:val="00B61A07"/>
    <w:rsid w:val="00B63CBF"/>
    <w:rsid w:val="00B64CFE"/>
    <w:rsid w:val="00B64F4B"/>
    <w:rsid w:val="00B64F8D"/>
    <w:rsid w:val="00B66169"/>
    <w:rsid w:val="00B67F8D"/>
    <w:rsid w:val="00B70956"/>
    <w:rsid w:val="00B712E9"/>
    <w:rsid w:val="00B714F0"/>
    <w:rsid w:val="00B7416A"/>
    <w:rsid w:val="00B758E2"/>
    <w:rsid w:val="00B80353"/>
    <w:rsid w:val="00B80FBB"/>
    <w:rsid w:val="00B81A0D"/>
    <w:rsid w:val="00B87828"/>
    <w:rsid w:val="00B94336"/>
    <w:rsid w:val="00B95EA3"/>
    <w:rsid w:val="00B97D6B"/>
    <w:rsid w:val="00B97F25"/>
    <w:rsid w:val="00BA1EA4"/>
    <w:rsid w:val="00BA5AC0"/>
    <w:rsid w:val="00BB38D0"/>
    <w:rsid w:val="00BB5309"/>
    <w:rsid w:val="00BC2AA6"/>
    <w:rsid w:val="00BC2CCA"/>
    <w:rsid w:val="00BC53FB"/>
    <w:rsid w:val="00BC6051"/>
    <w:rsid w:val="00BD00F6"/>
    <w:rsid w:val="00BD47F3"/>
    <w:rsid w:val="00BD4A1B"/>
    <w:rsid w:val="00BD5BC8"/>
    <w:rsid w:val="00BD6140"/>
    <w:rsid w:val="00BD6A99"/>
    <w:rsid w:val="00BD6F41"/>
    <w:rsid w:val="00BE1FD1"/>
    <w:rsid w:val="00BE3649"/>
    <w:rsid w:val="00BE3E37"/>
    <w:rsid w:val="00BE6198"/>
    <w:rsid w:val="00BE7D03"/>
    <w:rsid w:val="00BF1C10"/>
    <w:rsid w:val="00BF269F"/>
    <w:rsid w:val="00BF7FB8"/>
    <w:rsid w:val="00C01473"/>
    <w:rsid w:val="00C01BAE"/>
    <w:rsid w:val="00C04184"/>
    <w:rsid w:val="00C25C51"/>
    <w:rsid w:val="00C309AC"/>
    <w:rsid w:val="00C37757"/>
    <w:rsid w:val="00C37D58"/>
    <w:rsid w:val="00C408F5"/>
    <w:rsid w:val="00C43ABB"/>
    <w:rsid w:val="00C43B8B"/>
    <w:rsid w:val="00C4559C"/>
    <w:rsid w:val="00C5038F"/>
    <w:rsid w:val="00C50E62"/>
    <w:rsid w:val="00C53BF8"/>
    <w:rsid w:val="00C53C58"/>
    <w:rsid w:val="00C53D4F"/>
    <w:rsid w:val="00C561F2"/>
    <w:rsid w:val="00C56B00"/>
    <w:rsid w:val="00C57EBF"/>
    <w:rsid w:val="00C60E0D"/>
    <w:rsid w:val="00C60F29"/>
    <w:rsid w:val="00C632FB"/>
    <w:rsid w:val="00C70A5A"/>
    <w:rsid w:val="00C71D44"/>
    <w:rsid w:val="00C72DC2"/>
    <w:rsid w:val="00C76F06"/>
    <w:rsid w:val="00C77EC5"/>
    <w:rsid w:val="00C8034E"/>
    <w:rsid w:val="00C81A66"/>
    <w:rsid w:val="00C87F5B"/>
    <w:rsid w:val="00C911F6"/>
    <w:rsid w:val="00C927BE"/>
    <w:rsid w:val="00C9313D"/>
    <w:rsid w:val="00C93708"/>
    <w:rsid w:val="00C94FAF"/>
    <w:rsid w:val="00CA4B95"/>
    <w:rsid w:val="00CA4BD3"/>
    <w:rsid w:val="00CB18FA"/>
    <w:rsid w:val="00CB236A"/>
    <w:rsid w:val="00CB384A"/>
    <w:rsid w:val="00CB47E5"/>
    <w:rsid w:val="00CB6F52"/>
    <w:rsid w:val="00CC0652"/>
    <w:rsid w:val="00CC3460"/>
    <w:rsid w:val="00CC49FA"/>
    <w:rsid w:val="00CC71B0"/>
    <w:rsid w:val="00CC7CA0"/>
    <w:rsid w:val="00CC7FE5"/>
    <w:rsid w:val="00CD0E3F"/>
    <w:rsid w:val="00CD44C5"/>
    <w:rsid w:val="00CD48E0"/>
    <w:rsid w:val="00CD7176"/>
    <w:rsid w:val="00CE0BE2"/>
    <w:rsid w:val="00CE2D65"/>
    <w:rsid w:val="00CE752D"/>
    <w:rsid w:val="00CF144A"/>
    <w:rsid w:val="00CF40CB"/>
    <w:rsid w:val="00CF40D4"/>
    <w:rsid w:val="00CF470E"/>
    <w:rsid w:val="00CF5A51"/>
    <w:rsid w:val="00CF607F"/>
    <w:rsid w:val="00D00183"/>
    <w:rsid w:val="00D02993"/>
    <w:rsid w:val="00D05C8F"/>
    <w:rsid w:val="00D07A09"/>
    <w:rsid w:val="00D10F80"/>
    <w:rsid w:val="00D115A0"/>
    <w:rsid w:val="00D11D2E"/>
    <w:rsid w:val="00D1275D"/>
    <w:rsid w:val="00D130AB"/>
    <w:rsid w:val="00D2058B"/>
    <w:rsid w:val="00D2077C"/>
    <w:rsid w:val="00D23FF4"/>
    <w:rsid w:val="00D260AF"/>
    <w:rsid w:val="00D2677B"/>
    <w:rsid w:val="00D311EE"/>
    <w:rsid w:val="00D329E1"/>
    <w:rsid w:val="00D32C58"/>
    <w:rsid w:val="00D3317B"/>
    <w:rsid w:val="00D3396A"/>
    <w:rsid w:val="00D34294"/>
    <w:rsid w:val="00D404AB"/>
    <w:rsid w:val="00D430FB"/>
    <w:rsid w:val="00D43524"/>
    <w:rsid w:val="00D47109"/>
    <w:rsid w:val="00D50CBD"/>
    <w:rsid w:val="00D5411F"/>
    <w:rsid w:val="00D546F4"/>
    <w:rsid w:val="00D55A95"/>
    <w:rsid w:val="00D56665"/>
    <w:rsid w:val="00D56C52"/>
    <w:rsid w:val="00D57EC7"/>
    <w:rsid w:val="00D64634"/>
    <w:rsid w:val="00D65961"/>
    <w:rsid w:val="00D66CEC"/>
    <w:rsid w:val="00D72F5A"/>
    <w:rsid w:val="00D7334B"/>
    <w:rsid w:val="00D7594D"/>
    <w:rsid w:val="00D83924"/>
    <w:rsid w:val="00D863A1"/>
    <w:rsid w:val="00D8687C"/>
    <w:rsid w:val="00D87F68"/>
    <w:rsid w:val="00D904C9"/>
    <w:rsid w:val="00D930F1"/>
    <w:rsid w:val="00D958C3"/>
    <w:rsid w:val="00D97C82"/>
    <w:rsid w:val="00DA1133"/>
    <w:rsid w:val="00DA6182"/>
    <w:rsid w:val="00DA6761"/>
    <w:rsid w:val="00DA6B1B"/>
    <w:rsid w:val="00DB0CF0"/>
    <w:rsid w:val="00DB2B01"/>
    <w:rsid w:val="00DB2C45"/>
    <w:rsid w:val="00DC047F"/>
    <w:rsid w:val="00DD3796"/>
    <w:rsid w:val="00DE0FFF"/>
    <w:rsid w:val="00DE3FEE"/>
    <w:rsid w:val="00DE6D3F"/>
    <w:rsid w:val="00DE72C0"/>
    <w:rsid w:val="00DE7F9B"/>
    <w:rsid w:val="00DF45CF"/>
    <w:rsid w:val="00DF4DF7"/>
    <w:rsid w:val="00DF7343"/>
    <w:rsid w:val="00E001E5"/>
    <w:rsid w:val="00E016E1"/>
    <w:rsid w:val="00E02008"/>
    <w:rsid w:val="00E0271E"/>
    <w:rsid w:val="00E02E81"/>
    <w:rsid w:val="00E03240"/>
    <w:rsid w:val="00E0579C"/>
    <w:rsid w:val="00E10B0D"/>
    <w:rsid w:val="00E11D9F"/>
    <w:rsid w:val="00E12498"/>
    <w:rsid w:val="00E12C4A"/>
    <w:rsid w:val="00E15310"/>
    <w:rsid w:val="00E1545D"/>
    <w:rsid w:val="00E201C1"/>
    <w:rsid w:val="00E20B79"/>
    <w:rsid w:val="00E20CF1"/>
    <w:rsid w:val="00E244DC"/>
    <w:rsid w:val="00E24578"/>
    <w:rsid w:val="00E2545D"/>
    <w:rsid w:val="00E25495"/>
    <w:rsid w:val="00E27322"/>
    <w:rsid w:val="00E27BD8"/>
    <w:rsid w:val="00E31F47"/>
    <w:rsid w:val="00E32F54"/>
    <w:rsid w:val="00E40934"/>
    <w:rsid w:val="00E40CE3"/>
    <w:rsid w:val="00E40F85"/>
    <w:rsid w:val="00E436A1"/>
    <w:rsid w:val="00E45592"/>
    <w:rsid w:val="00E46A94"/>
    <w:rsid w:val="00E50C3A"/>
    <w:rsid w:val="00E50C9B"/>
    <w:rsid w:val="00E52002"/>
    <w:rsid w:val="00E52230"/>
    <w:rsid w:val="00E53E6E"/>
    <w:rsid w:val="00E574E1"/>
    <w:rsid w:val="00E60357"/>
    <w:rsid w:val="00E62DBC"/>
    <w:rsid w:val="00E63D81"/>
    <w:rsid w:val="00E659BE"/>
    <w:rsid w:val="00E707AE"/>
    <w:rsid w:val="00E77991"/>
    <w:rsid w:val="00E81531"/>
    <w:rsid w:val="00E853F2"/>
    <w:rsid w:val="00E87B17"/>
    <w:rsid w:val="00E90D46"/>
    <w:rsid w:val="00E933D7"/>
    <w:rsid w:val="00E95132"/>
    <w:rsid w:val="00E96537"/>
    <w:rsid w:val="00EA2F55"/>
    <w:rsid w:val="00EA7889"/>
    <w:rsid w:val="00EB2FA4"/>
    <w:rsid w:val="00EB3957"/>
    <w:rsid w:val="00EB4FDC"/>
    <w:rsid w:val="00EB577A"/>
    <w:rsid w:val="00EB617C"/>
    <w:rsid w:val="00EC0438"/>
    <w:rsid w:val="00EC2238"/>
    <w:rsid w:val="00EC2F11"/>
    <w:rsid w:val="00EC4C0A"/>
    <w:rsid w:val="00ED0D3A"/>
    <w:rsid w:val="00ED296F"/>
    <w:rsid w:val="00ED7D17"/>
    <w:rsid w:val="00EE0AB1"/>
    <w:rsid w:val="00EE2BE7"/>
    <w:rsid w:val="00EE30DD"/>
    <w:rsid w:val="00EE332B"/>
    <w:rsid w:val="00EE3EA6"/>
    <w:rsid w:val="00EE51D4"/>
    <w:rsid w:val="00EE52EE"/>
    <w:rsid w:val="00EE5C2B"/>
    <w:rsid w:val="00EF0FF1"/>
    <w:rsid w:val="00EF3160"/>
    <w:rsid w:val="00EF3E38"/>
    <w:rsid w:val="00EF4246"/>
    <w:rsid w:val="00EF5DCD"/>
    <w:rsid w:val="00F025CA"/>
    <w:rsid w:val="00F02EC0"/>
    <w:rsid w:val="00F07691"/>
    <w:rsid w:val="00F11EF7"/>
    <w:rsid w:val="00F12F80"/>
    <w:rsid w:val="00F13D5F"/>
    <w:rsid w:val="00F15AD4"/>
    <w:rsid w:val="00F15D3B"/>
    <w:rsid w:val="00F16419"/>
    <w:rsid w:val="00F165E1"/>
    <w:rsid w:val="00F205E2"/>
    <w:rsid w:val="00F21646"/>
    <w:rsid w:val="00F225BF"/>
    <w:rsid w:val="00F25441"/>
    <w:rsid w:val="00F26148"/>
    <w:rsid w:val="00F26AE8"/>
    <w:rsid w:val="00F277DB"/>
    <w:rsid w:val="00F338EF"/>
    <w:rsid w:val="00F3434B"/>
    <w:rsid w:val="00F35428"/>
    <w:rsid w:val="00F36C50"/>
    <w:rsid w:val="00F37D14"/>
    <w:rsid w:val="00F41875"/>
    <w:rsid w:val="00F455E7"/>
    <w:rsid w:val="00F45812"/>
    <w:rsid w:val="00F53BDD"/>
    <w:rsid w:val="00F5659E"/>
    <w:rsid w:val="00F56EE5"/>
    <w:rsid w:val="00F57CFA"/>
    <w:rsid w:val="00F6414F"/>
    <w:rsid w:val="00F6457D"/>
    <w:rsid w:val="00F6477F"/>
    <w:rsid w:val="00F67382"/>
    <w:rsid w:val="00F70570"/>
    <w:rsid w:val="00F71C6E"/>
    <w:rsid w:val="00F72B49"/>
    <w:rsid w:val="00F73DC4"/>
    <w:rsid w:val="00F756BC"/>
    <w:rsid w:val="00F82F83"/>
    <w:rsid w:val="00F8442B"/>
    <w:rsid w:val="00F8744E"/>
    <w:rsid w:val="00F9414C"/>
    <w:rsid w:val="00FA3375"/>
    <w:rsid w:val="00FA6487"/>
    <w:rsid w:val="00FB04AF"/>
    <w:rsid w:val="00FB2868"/>
    <w:rsid w:val="00FB50A9"/>
    <w:rsid w:val="00FC1256"/>
    <w:rsid w:val="00FC261C"/>
    <w:rsid w:val="00FC305B"/>
    <w:rsid w:val="00FC31B6"/>
    <w:rsid w:val="00FD345A"/>
    <w:rsid w:val="00FD47AA"/>
    <w:rsid w:val="00FD5FA7"/>
    <w:rsid w:val="00FE652D"/>
    <w:rsid w:val="00FE690C"/>
    <w:rsid w:val="00FF0083"/>
    <w:rsid w:val="00FF1D8A"/>
    <w:rsid w:val="00FF2512"/>
    <w:rsid w:val="00FF2EA6"/>
    <w:rsid w:val="00FF4431"/>
    <w:rsid w:val="00FF5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03F70"/>
  <w15:chartTrackingRefBased/>
  <w15:docId w15:val="{91C98B9F-2089-47CA-80F2-0B5EE144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B9"/>
  </w:style>
  <w:style w:type="paragraph" w:styleId="Heading1">
    <w:name w:val="heading 1"/>
    <w:basedOn w:val="Normal"/>
    <w:next w:val="Normal"/>
    <w:link w:val="Heading1Char"/>
    <w:uiPriority w:val="9"/>
    <w:qFormat/>
    <w:rsid w:val="00977B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7B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7B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7B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7B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7B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7B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7B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7B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B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7B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7B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7B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7B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7B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7B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7B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7BA4"/>
    <w:rPr>
      <w:rFonts w:eastAsiaTheme="majorEastAsia" w:cstheme="majorBidi"/>
      <w:color w:val="272727" w:themeColor="text1" w:themeTint="D8"/>
    </w:rPr>
  </w:style>
  <w:style w:type="paragraph" w:styleId="Title">
    <w:name w:val="Title"/>
    <w:basedOn w:val="Normal"/>
    <w:next w:val="Normal"/>
    <w:link w:val="TitleChar"/>
    <w:uiPriority w:val="10"/>
    <w:qFormat/>
    <w:rsid w:val="00977B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B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7B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7B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7BA4"/>
    <w:pPr>
      <w:spacing w:before="160"/>
      <w:jc w:val="center"/>
    </w:pPr>
    <w:rPr>
      <w:i/>
      <w:iCs/>
      <w:color w:val="404040" w:themeColor="text1" w:themeTint="BF"/>
    </w:rPr>
  </w:style>
  <w:style w:type="character" w:customStyle="1" w:styleId="QuoteChar">
    <w:name w:val="Quote Char"/>
    <w:basedOn w:val="DefaultParagraphFont"/>
    <w:link w:val="Quote"/>
    <w:uiPriority w:val="29"/>
    <w:rsid w:val="00977BA4"/>
    <w:rPr>
      <w:i/>
      <w:iCs/>
      <w:color w:val="404040" w:themeColor="text1" w:themeTint="BF"/>
    </w:rPr>
  </w:style>
  <w:style w:type="paragraph" w:styleId="ListParagraph">
    <w:name w:val="List Paragraph"/>
    <w:basedOn w:val="Normal"/>
    <w:uiPriority w:val="34"/>
    <w:qFormat/>
    <w:rsid w:val="00977BA4"/>
    <w:pPr>
      <w:ind w:left="720"/>
      <w:contextualSpacing/>
    </w:pPr>
  </w:style>
  <w:style w:type="character" w:styleId="IntenseEmphasis">
    <w:name w:val="Intense Emphasis"/>
    <w:basedOn w:val="DefaultParagraphFont"/>
    <w:uiPriority w:val="21"/>
    <w:qFormat/>
    <w:rsid w:val="00977BA4"/>
    <w:rPr>
      <w:i/>
      <w:iCs/>
      <w:color w:val="0F4761" w:themeColor="accent1" w:themeShade="BF"/>
    </w:rPr>
  </w:style>
  <w:style w:type="paragraph" w:styleId="IntenseQuote">
    <w:name w:val="Intense Quote"/>
    <w:basedOn w:val="Normal"/>
    <w:next w:val="Normal"/>
    <w:link w:val="IntenseQuoteChar"/>
    <w:uiPriority w:val="30"/>
    <w:qFormat/>
    <w:rsid w:val="00977B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7BA4"/>
    <w:rPr>
      <w:i/>
      <w:iCs/>
      <w:color w:val="0F4761" w:themeColor="accent1" w:themeShade="BF"/>
    </w:rPr>
  </w:style>
  <w:style w:type="character" w:styleId="IntenseReference">
    <w:name w:val="Intense Reference"/>
    <w:basedOn w:val="DefaultParagraphFont"/>
    <w:uiPriority w:val="32"/>
    <w:qFormat/>
    <w:rsid w:val="00977BA4"/>
    <w:rPr>
      <w:b/>
      <w:bCs/>
      <w:smallCaps/>
      <w:color w:val="0F4761" w:themeColor="accent1" w:themeShade="BF"/>
      <w:spacing w:val="5"/>
    </w:rPr>
  </w:style>
  <w:style w:type="paragraph" w:styleId="Header">
    <w:name w:val="header"/>
    <w:basedOn w:val="Normal"/>
    <w:link w:val="HeaderChar"/>
    <w:uiPriority w:val="99"/>
    <w:unhideWhenUsed/>
    <w:rsid w:val="00A24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9D1"/>
  </w:style>
  <w:style w:type="paragraph" w:styleId="Footer">
    <w:name w:val="footer"/>
    <w:basedOn w:val="Normal"/>
    <w:link w:val="FooterChar"/>
    <w:uiPriority w:val="99"/>
    <w:unhideWhenUsed/>
    <w:rsid w:val="00A24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9D1"/>
  </w:style>
  <w:style w:type="paragraph" w:styleId="Revision">
    <w:name w:val="Revision"/>
    <w:hidden/>
    <w:uiPriority w:val="99"/>
    <w:semiHidden/>
    <w:rsid w:val="00DE0FFF"/>
    <w:pPr>
      <w:spacing w:after="0" w:line="240" w:lineRule="auto"/>
    </w:pPr>
  </w:style>
  <w:style w:type="character" w:styleId="CommentReference">
    <w:name w:val="annotation reference"/>
    <w:basedOn w:val="DefaultParagraphFont"/>
    <w:uiPriority w:val="99"/>
    <w:semiHidden/>
    <w:unhideWhenUsed/>
    <w:rsid w:val="00DE0FFF"/>
    <w:rPr>
      <w:sz w:val="16"/>
      <w:szCs w:val="16"/>
    </w:rPr>
  </w:style>
  <w:style w:type="paragraph" w:styleId="CommentText">
    <w:name w:val="annotation text"/>
    <w:basedOn w:val="Normal"/>
    <w:link w:val="CommentTextChar"/>
    <w:uiPriority w:val="99"/>
    <w:unhideWhenUsed/>
    <w:rsid w:val="00DE0FFF"/>
    <w:pPr>
      <w:spacing w:line="240" w:lineRule="auto"/>
    </w:pPr>
    <w:rPr>
      <w:sz w:val="20"/>
      <w:szCs w:val="20"/>
    </w:rPr>
  </w:style>
  <w:style w:type="character" w:customStyle="1" w:styleId="CommentTextChar">
    <w:name w:val="Comment Text Char"/>
    <w:basedOn w:val="DefaultParagraphFont"/>
    <w:link w:val="CommentText"/>
    <w:uiPriority w:val="99"/>
    <w:rsid w:val="00DE0FFF"/>
    <w:rPr>
      <w:sz w:val="20"/>
      <w:szCs w:val="20"/>
    </w:rPr>
  </w:style>
  <w:style w:type="paragraph" w:styleId="CommentSubject">
    <w:name w:val="annotation subject"/>
    <w:basedOn w:val="CommentText"/>
    <w:next w:val="CommentText"/>
    <w:link w:val="CommentSubjectChar"/>
    <w:uiPriority w:val="99"/>
    <w:semiHidden/>
    <w:unhideWhenUsed/>
    <w:rsid w:val="00DE0FFF"/>
    <w:rPr>
      <w:b/>
      <w:bCs/>
    </w:rPr>
  </w:style>
  <w:style w:type="character" w:customStyle="1" w:styleId="CommentSubjectChar">
    <w:name w:val="Comment Subject Char"/>
    <w:basedOn w:val="CommentTextChar"/>
    <w:link w:val="CommentSubject"/>
    <w:uiPriority w:val="99"/>
    <w:semiHidden/>
    <w:rsid w:val="00DE0FFF"/>
    <w:rPr>
      <w:b/>
      <w:bCs/>
      <w:sz w:val="20"/>
      <w:szCs w:val="20"/>
    </w:rPr>
  </w:style>
  <w:style w:type="character" w:styleId="Hyperlink">
    <w:name w:val="Hyperlink"/>
    <w:basedOn w:val="DefaultParagraphFont"/>
    <w:uiPriority w:val="99"/>
    <w:unhideWhenUsed/>
    <w:rsid w:val="00E436A1"/>
    <w:rPr>
      <w:color w:val="467886" w:themeColor="hyperlink"/>
      <w:u w:val="single"/>
    </w:rPr>
  </w:style>
  <w:style w:type="paragraph" w:styleId="Bibliography">
    <w:name w:val="Bibliography"/>
    <w:basedOn w:val="Normal"/>
    <w:next w:val="Normal"/>
    <w:uiPriority w:val="37"/>
    <w:unhideWhenUsed/>
    <w:rsid w:val="006F1F91"/>
    <w:pPr>
      <w:tabs>
        <w:tab w:val="left" w:pos="380"/>
      </w:tabs>
      <w:spacing w:after="0" w:line="480" w:lineRule="auto"/>
      <w:ind w:left="384" w:hanging="384"/>
    </w:pPr>
  </w:style>
  <w:style w:type="character" w:styleId="UnresolvedMention">
    <w:name w:val="Unresolved Mention"/>
    <w:basedOn w:val="DefaultParagraphFont"/>
    <w:uiPriority w:val="99"/>
    <w:semiHidden/>
    <w:unhideWhenUsed/>
    <w:rsid w:val="00622FB6"/>
    <w:rPr>
      <w:color w:val="605E5C"/>
      <w:shd w:val="clear" w:color="auto" w:fill="E1DFDD"/>
    </w:rPr>
  </w:style>
  <w:style w:type="character" w:styleId="FollowedHyperlink">
    <w:name w:val="FollowedHyperlink"/>
    <w:basedOn w:val="DefaultParagraphFont"/>
    <w:uiPriority w:val="99"/>
    <w:semiHidden/>
    <w:unhideWhenUsed/>
    <w:rsid w:val="00284265"/>
    <w:rPr>
      <w:color w:val="96607D" w:themeColor="followedHyperlink"/>
      <w:u w:val="single"/>
    </w:rPr>
  </w:style>
  <w:style w:type="character" w:styleId="PageNumber">
    <w:name w:val="page number"/>
    <w:basedOn w:val="DefaultParagraphFont"/>
    <w:uiPriority w:val="99"/>
    <w:semiHidden/>
    <w:unhideWhenUsed/>
    <w:rsid w:val="009D7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81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6E942-34BE-DE4E-9447-200A638F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Gomez Garcia</dc:creator>
  <cp:keywords/>
  <dc:description/>
  <cp:lastModifiedBy>Demetri Maxim</cp:lastModifiedBy>
  <cp:revision>3</cp:revision>
  <dcterms:created xsi:type="dcterms:W3CDTF">2025-10-22T12:53:00Z</dcterms:created>
  <dcterms:modified xsi:type="dcterms:W3CDTF">2025-10-22T12:56:00Z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id="VpsrTWWK"/&gt;&lt;style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