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54F1" w14:textId="1680FEDE" w:rsidR="00EF0DC3" w:rsidRPr="00EF0DC3" w:rsidRDefault="00EF0DC3" w:rsidP="00EF0DC3">
      <w:pPr>
        <w:spacing w:line="240" w:lineRule="auto"/>
        <w:rPr>
          <w:b/>
          <w:bCs/>
        </w:rPr>
      </w:pPr>
      <w:r w:rsidRPr="00EF0DC3">
        <w:rPr>
          <w:b/>
          <w:bCs/>
        </w:rPr>
        <w:t>#Appendix 1: R</w:t>
      </w:r>
      <w:r w:rsidR="00485A06">
        <w:rPr>
          <w:b/>
          <w:bCs/>
        </w:rPr>
        <w:fldChar w:fldCharType="begin"/>
      </w:r>
      <w:r w:rsidR="00485A06">
        <w:rPr>
          <w:b/>
          <w:bCs/>
        </w:rPr>
        <w:instrText xml:space="preserve"> ADDIN EN.CITE &lt;EndNote&gt;&lt;Cite&gt;&lt;Author&gt;Team&lt;/Author&gt;&lt;Year&gt;2006&lt;/Year&gt;&lt;RecNum&gt;1168&lt;/RecNum&gt;&lt;DisplayText&gt;(1)&lt;/DisplayText&gt;&lt;record&gt;&lt;rec-number&gt;1168&lt;/rec-number&gt;&lt;foreign-keys&gt;&lt;key app="EN" db-id="09f59f5sdvwvwmez2wp5xz5vdv0f2ptzv2a9" timestamp="1477599433"&gt;1168&lt;/key&gt;&lt;/foreign-keys&gt;&lt;ref-type name="Book"&gt;6&lt;/ref-type&gt;&lt;contributors&gt;&lt;authors&gt;&lt;author&gt;R Development Core Team&lt;/author&gt;&lt;/authors&gt;&lt;/contributors&gt;&lt;titles&gt;&lt;title&gt;R: A language and environment for statistical computing. ISBN 3-900051-07-0&lt;/title&gt;&lt;/titles&gt;&lt;reprint-edition&gt;In File&lt;/reprint-edition&gt;&lt;keywords&gt;&lt;keyword&gt;ENVIRONMENT&lt;/keyword&gt;&lt;/keywords&gt;&lt;dates&gt;&lt;year&gt;2006&lt;/year&gt;&lt;pub-dates&gt;&lt;date&gt;2006&lt;/date&gt;&lt;/pub-dates&gt;&lt;/dates&gt;&lt;pub-location&gt;Vienna, Austria&lt;/pub-location&gt;&lt;publisher&gt;R Foundation for Statistical Computing&lt;/publisher&gt;&lt;label&gt;1187&lt;/label&gt;&lt;urls&gt;&lt;related-urls&gt;&lt;url&gt;&lt;style face="underline" font="default" size="100%"&gt; http://www.R-project.org&lt;/style&gt;&lt;/url&gt;&lt;/related-urls&gt;&lt;/urls&gt;&lt;/record&gt;&lt;/Cite&gt;&lt;/EndNote&gt;</w:instrText>
      </w:r>
      <w:r w:rsidR="00485A06">
        <w:rPr>
          <w:b/>
          <w:bCs/>
        </w:rPr>
        <w:fldChar w:fldCharType="separate"/>
      </w:r>
      <w:r w:rsidR="00485A06">
        <w:rPr>
          <w:b/>
          <w:bCs/>
          <w:noProof/>
        </w:rPr>
        <w:t>(1)</w:t>
      </w:r>
      <w:r w:rsidR="00485A06">
        <w:rPr>
          <w:b/>
          <w:bCs/>
        </w:rPr>
        <w:fldChar w:fldCharType="end"/>
      </w:r>
      <w:r w:rsidRPr="00EF0DC3">
        <w:rPr>
          <w:b/>
          <w:bCs/>
        </w:rPr>
        <w:t xml:space="preserve"> code for derivation of priors from expert guesses documented in the IARC monograph</w:t>
      </w:r>
    </w:p>
    <w:p w14:paraId="3A5E5973" w14:textId="096C76A8" w:rsidR="00EF0DC3" w:rsidRDefault="00EF0DC3" w:rsidP="00EF0DC3">
      <w:pPr>
        <w:spacing w:line="240" w:lineRule="auto"/>
      </w:pPr>
      <w:r>
        <w:t xml:space="preserve">#IARC. Talc and Acrylonitrile. IARC </w:t>
      </w:r>
      <w:proofErr w:type="spellStart"/>
      <w:r>
        <w:t>Monogr</w:t>
      </w:r>
      <w:proofErr w:type="spellEnd"/>
      <w:r>
        <w:t xml:space="preserve"> </w:t>
      </w:r>
      <w:proofErr w:type="spellStart"/>
      <w:r>
        <w:t>Identif</w:t>
      </w:r>
      <w:proofErr w:type="spellEnd"/>
      <w:r>
        <w:t xml:space="preserve"> </w:t>
      </w:r>
      <w:proofErr w:type="spellStart"/>
      <w:r>
        <w:t>Carcinog</w:t>
      </w:r>
      <w:proofErr w:type="spellEnd"/>
      <w:r>
        <w:t xml:space="preserve"> Hazards Hum. 136:1–488. 2025. #https://publications.iarc.who.int/646.</w:t>
      </w:r>
      <w:r w:rsidR="00485A06">
        <w:fldChar w:fldCharType="begin"/>
      </w:r>
      <w:r w:rsidR="00485A06">
        <w:instrText xml:space="preserve"> ADDIN EN.CITE &lt;EndNote&gt;&lt;Cite&gt;&lt;Author&gt;IARC&lt;/Author&gt;&lt;Year&gt;2025&lt;/Year&gt;&lt;RecNum&gt;2411&lt;/RecNum&gt;&lt;DisplayText&gt;(2)&lt;/DisplayText&gt;&lt;record&gt;&lt;rec-number&gt;2411&lt;/rec-number&gt;&lt;foreign-keys&gt;&lt;key app="EN" db-id="09f59f5sdvwvwmez2wp5xz5vdv0f2ptzv2a9" timestamp="1755788685"&gt;2411&lt;/key&gt;&lt;/foreign-keys&gt;&lt;ref-type name="Book Section"&gt;5&lt;/ref-type&gt;&lt;contributors&gt;&lt;authors&gt;&lt;author&gt;IARC&lt;/author&gt;&lt;/authors&gt;&lt;/contributors&gt;&lt;titles&gt;&lt;title&gt;Annex 2. Quantitative bias analysis for exposure misclassification for the effects of ever versus never use of talc on ovarian cancer&lt;/title&gt;&lt;secondary-title&gt;Talc and Acrylonitrile. IARC Monographs on the Identification of Carcinogenic Hazards to Humans&lt;/secondary-title&gt;&lt;/titles&gt;&lt;volume&gt;136&lt;/volume&gt;&lt;dates&gt;&lt;year&gt;2025&lt;/year&gt;&lt;/dates&gt;&lt;pub-location&gt;Lyon, France&lt;/pub-location&gt;&lt;publisher&gt;IARC&lt;/publisher&gt;&lt;isbn&gt;978-92-832-0293-6&lt;/isbn&gt;&lt;urls&gt;&lt;/urls&gt;&lt;/record&gt;&lt;/Cite&gt;&lt;/EndNote&gt;</w:instrText>
      </w:r>
      <w:r w:rsidR="00485A06">
        <w:fldChar w:fldCharType="separate"/>
      </w:r>
      <w:r w:rsidR="00485A06">
        <w:rPr>
          <w:noProof/>
        </w:rPr>
        <w:t>(2)</w:t>
      </w:r>
      <w:r w:rsidR="00485A06">
        <w:fldChar w:fldCharType="end"/>
      </w:r>
    </w:p>
    <w:p w14:paraId="509A5795" w14:textId="77777777" w:rsidR="00EF0DC3" w:rsidRDefault="00EF0DC3" w:rsidP="00EF0DC3">
      <w:pPr>
        <w:spacing w:line="240" w:lineRule="auto"/>
      </w:pPr>
      <w:r>
        <w:t xml:space="preserve">#table below </w:t>
      </w:r>
      <w:proofErr w:type="gramStart"/>
      <w:r>
        <w:t>refer</w:t>
      </w:r>
      <w:proofErr w:type="gramEnd"/>
      <w:r>
        <w:t xml:space="preserve"> to Annex 2 of IARC (2025)</w:t>
      </w:r>
    </w:p>
    <w:p w14:paraId="4C1EE1EB" w14:textId="77777777" w:rsidR="00EF0DC3" w:rsidRDefault="00EF0DC3" w:rsidP="00EF0DC3">
      <w:pPr>
        <w:spacing w:line="240" w:lineRule="auto"/>
      </w:pPr>
      <w:r>
        <w:t>#</w:t>
      </w:r>
      <w:proofErr w:type="gramStart"/>
      <w:r>
        <w:t>see</w:t>
      </w:r>
      <w:proofErr w:type="gramEnd"/>
      <w:r>
        <w:t xml:space="preserve"> main text for details</w:t>
      </w:r>
    </w:p>
    <w:p w14:paraId="57CDD8B3" w14:textId="77777777" w:rsidR="00EF0DC3" w:rsidRDefault="00EF0DC3" w:rsidP="00EF0DC3">
      <w:pPr>
        <w:spacing w:line="240" w:lineRule="auto"/>
      </w:pPr>
    </w:p>
    <w:p w14:paraId="158A6678" w14:textId="671580CC" w:rsidR="00485A06" w:rsidRPr="00485A06" w:rsidRDefault="00485A06" w:rsidP="00EF0DC3">
      <w:pPr>
        <w:spacing w:line="240" w:lineRule="auto"/>
        <w:rPr>
          <w:b/>
          <w:bCs/>
        </w:rPr>
      </w:pPr>
      <w:r w:rsidRPr="00485A06">
        <w:rPr>
          <w:b/>
          <w:bCs/>
        </w:rPr>
        <w:t>#START OF R CODE</w:t>
      </w:r>
    </w:p>
    <w:p w14:paraId="5D271C68" w14:textId="77777777" w:rsidR="00485A06" w:rsidRDefault="00485A06" w:rsidP="00EF0DC3">
      <w:pPr>
        <w:spacing w:line="240" w:lineRule="auto"/>
      </w:pPr>
    </w:p>
    <w:p w14:paraId="0EFF2D30" w14:textId="77777777" w:rsidR="00EF0DC3" w:rsidRDefault="00EF0DC3" w:rsidP="00EF0DC3">
      <w:pPr>
        <w:spacing w:line="240" w:lineRule="auto"/>
      </w:pPr>
      <w:r>
        <w:t>#Format for each row = expert</w:t>
      </w:r>
    </w:p>
    <w:p w14:paraId="6E753BF6" w14:textId="77777777" w:rsidR="00EF0DC3" w:rsidRDefault="00EF0DC3" w:rsidP="00EF0DC3">
      <w:pPr>
        <w:spacing w:line="240" w:lineRule="auto"/>
      </w:pPr>
      <w:r>
        <w:t>#</w:t>
      </w:r>
      <w:proofErr w:type="gramStart"/>
      <w:r>
        <w:t>best</w:t>
      </w:r>
      <w:proofErr w:type="gramEnd"/>
      <w:r>
        <w:t xml:space="preserve"> 2.5%ile 97.5%ile</w:t>
      </w:r>
    </w:p>
    <w:p w14:paraId="228A4F0B" w14:textId="77777777" w:rsidR="00EF0DC3" w:rsidRDefault="00EF0DC3" w:rsidP="00EF0DC3">
      <w:pPr>
        <w:spacing w:line="240" w:lineRule="auto"/>
      </w:pPr>
      <w:r>
        <w:t>#from table A2.1</w:t>
      </w:r>
    </w:p>
    <w:p w14:paraId="2F072A72" w14:textId="77777777" w:rsidR="00EF0DC3" w:rsidRDefault="00EF0DC3" w:rsidP="00EF0DC3">
      <w:pPr>
        <w:spacing w:line="240" w:lineRule="auto"/>
      </w:pPr>
    </w:p>
    <w:p w14:paraId="40F41BE6" w14:textId="77777777" w:rsidR="00EF0DC3" w:rsidRDefault="00EF0DC3" w:rsidP="00EF0DC3">
      <w:pPr>
        <w:spacing w:line="240" w:lineRule="auto"/>
      </w:pPr>
      <w:r>
        <w:t>#expert 1</w:t>
      </w:r>
    </w:p>
    <w:p w14:paraId="6FDF2124" w14:textId="77777777" w:rsidR="00EF0DC3" w:rsidRDefault="00EF0DC3" w:rsidP="00EF0DC3">
      <w:pPr>
        <w:spacing w:line="240" w:lineRule="auto"/>
      </w:pPr>
      <w:r>
        <w:t>SN_case1=</w:t>
      </w:r>
      <w:proofErr w:type="gramStart"/>
      <w:r>
        <w:t>c(</w:t>
      </w:r>
      <w:proofErr w:type="gramEnd"/>
      <w:r>
        <w:t>0.96, 0.94, 0.98)</w:t>
      </w:r>
    </w:p>
    <w:p w14:paraId="5E075312" w14:textId="77777777" w:rsidR="00EF0DC3" w:rsidRDefault="00EF0DC3" w:rsidP="00EF0DC3">
      <w:pPr>
        <w:spacing w:line="240" w:lineRule="auto"/>
      </w:pPr>
      <w:r>
        <w:t>SP_case1=</w:t>
      </w:r>
      <w:proofErr w:type="gramStart"/>
      <w:r>
        <w:t>c(</w:t>
      </w:r>
      <w:proofErr w:type="gramEnd"/>
      <w:r>
        <w:t xml:space="preserve">0.85, 0.80, 0.90) </w:t>
      </w:r>
    </w:p>
    <w:p w14:paraId="5A0AB014" w14:textId="77777777" w:rsidR="00EF0DC3" w:rsidRDefault="00EF0DC3" w:rsidP="00EF0DC3">
      <w:pPr>
        <w:spacing w:line="240" w:lineRule="auto"/>
      </w:pPr>
      <w:r>
        <w:t>SN_control1=</w:t>
      </w:r>
      <w:proofErr w:type="gramStart"/>
      <w:r>
        <w:t>c(</w:t>
      </w:r>
      <w:proofErr w:type="gramEnd"/>
      <w:r>
        <w:t xml:space="preserve">.9, .85, .95) </w:t>
      </w:r>
    </w:p>
    <w:p w14:paraId="6711E799" w14:textId="77777777" w:rsidR="00EF0DC3" w:rsidRDefault="00EF0DC3" w:rsidP="00EF0DC3">
      <w:pPr>
        <w:spacing w:line="240" w:lineRule="auto"/>
      </w:pPr>
      <w:r>
        <w:t>SP_control1=</w:t>
      </w:r>
      <w:proofErr w:type="gramStart"/>
      <w:r>
        <w:t>c(</w:t>
      </w:r>
      <w:proofErr w:type="gramEnd"/>
      <w:r>
        <w:t>.9, .85, .95)</w:t>
      </w:r>
    </w:p>
    <w:p w14:paraId="34EECDD9" w14:textId="77777777" w:rsidR="00EF0DC3" w:rsidRDefault="00EF0DC3" w:rsidP="00EF0DC3">
      <w:pPr>
        <w:spacing w:line="240" w:lineRule="auto"/>
      </w:pPr>
    </w:p>
    <w:p w14:paraId="485BBB93" w14:textId="77777777" w:rsidR="00EF0DC3" w:rsidRDefault="00EF0DC3" w:rsidP="00EF0DC3">
      <w:pPr>
        <w:spacing w:line="240" w:lineRule="auto"/>
      </w:pPr>
      <w:r>
        <w:t>#expert 2</w:t>
      </w:r>
    </w:p>
    <w:p w14:paraId="0237C3A8" w14:textId="77777777" w:rsidR="00EF0DC3" w:rsidRDefault="00EF0DC3" w:rsidP="00EF0DC3">
      <w:pPr>
        <w:spacing w:line="240" w:lineRule="auto"/>
      </w:pPr>
      <w:r>
        <w:t>SN_case2=</w:t>
      </w:r>
      <w:proofErr w:type="gramStart"/>
      <w:r>
        <w:t>c(</w:t>
      </w:r>
      <w:proofErr w:type="gramEnd"/>
      <w:r>
        <w:t>0.75, 0.65, 0.85)</w:t>
      </w:r>
    </w:p>
    <w:p w14:paraId="3059C1EC" w14:textId="77777777" w:rsidR="00EF0DC3" w:rsidRDefault="00EF0DC3" w:rsidP="00EF0DC3">
      <w:pPr>
        <w:spacing w:line="240" w:lineRule="auto"/>
      </w:pPr>
      <w:r>
        <w:t>SP_case2=</w:t>
      </w:r>
      <w:proofErr w:type="gramStart"/>
      <w:r>
        <w:t>c(</w:t>
      </w:r>
      <w:proofErr w:type="gramEnd"/>
      <w:r>
        <w:t xml:space="preserve">0.90, 0.85, 0.95) </w:t>
      </w:r>
    </w:p>
    <w:p w14:paraId="7E7155EC" w14:textId="77777777" w:rsidR="00EF0DC3" w:rsidRDefault="00EF0DC3" w:rsidP="00EF0DC3">
      <w:pPr>
        <w:spacing w:line="240" w:lineRule="auto"/>
      </w:pPr>
      <w:r>
        <w:t>SN_control2=</w:t>
      </w:r>
      <w:proofErr w:type="gramStart"/>
      <w:r>
        <w:t>c(</w:t>
      </w:r>
      <w:proofErr w:type="gramEnd"/>
      <w:r>
        <w:t xml:space="preserve">.65, .6, .7) </w:t>
      </w:r>
    </w:p>
    <w:p w14:paraId="5CFA31BF" w14:textId="77777777" w:rsidR="00EF0DC3" w:rsidRDefault="00EF0DC3" w:rsidP="00EF0DC3">
      <w:pPr>
        <w:spacing w:line="240" w:lineRule="auto"/>
      </w:pPr>
      <w:r>
        <w:t>SP_control2=</w:t>
      </w:r>
      <w:proofErr w:type="gramStart"/>
      <w:r>
        <w:t>c(</w:t>
      </w:r>
      <w:proofErr w:type="gramEnd"/>
      <w:r>
        <w:t>.9, .85, .95)</w:t>
      </w:r>
    </w:p>
    <w:p w14:paraId="055365B3" w14:textId="77777777" w:rsidR="00EF0DC3" w:rsidRDefault="00EF0DC3" w:rsidP="00EF0DC3">
      <w:pPr>
        <w:spacing w:line="240" w:lineRule="auto"/>
      </w:pPr>
    </w:p>
    <w:p w14:paraId="6B713A6C" w14:textId="77777777" w:rsidR="00EF0DC3" w:rsidRDefault="00EF0DC3" w:rsidP="00EF0DC3">
      <w:pPr>
        <w:spacing w:line="240" w:lineRule="auto"/>
      </w:pPr>
      <w:r>
        <w:t>#expert 3</w:t>
      </w:r>
    </w:p>
    <w:p w14:paraId="71DB3C7D" w14:textId="77777777" w:rsidR="00EF0DC3" w:rsidRDefault="00EF0DC3" w:rsidP="00EF0DC3">
      <w:pPr>
        <w:spacing w:line="240" w:lineRule="auto"/>
      </w:pPr>
      <w:r>
        <w:t>SN_case3=</w:t>
      </w:r>
      <w:proofErr w:type="gramStart"/>
      <w:r>
        <w:t>c(</w:t>
      </w:r>
      <w:proofErr w:type="gramEnd"/>
      <w:r>
        <w:t>0.90, 0.85, 0.95)</w:t>
      </w:r>
    </w:p>
    <w:p w14:paraId="02AC7FF9" w14:textId="77777777" w:rsidR="00EF0DC3" w:rsidRDefault="00EF0DC3" w:rsidP="00EF0DC3">
      <w:pPr>
        <w:spacing w:line="240" w:lineRule="auto"/>
      </w:pPr>
      <w:r>
        <w:t>SP_case3=</w:t>
      </w:r>
      <w:proofErr w:type="gramStart"/>
      <w:r>
        <w:t>c(</w:t>
      </w:r>
      <w:proofErr w:type="gramEnd"/>
      <w:r>
        <w:t xml:space="preserve">0.85, 0.8, 0.9) </w:t>
      </w:r>
    </w:p>
    <w:p w14:paraId="2EB630F9" w14:textId="77777777" w:rsidR="00EF0DC3" w:rsidRDefault="00EF0DC3" w:rsidP="00EF0DC3">
      <w:pPr>
        <w:spacing w:line="240" w:lineRule="auto"/>
      </w:pPr>
      <w:r>
        <w:t>SN_control3=</w:t>
      </w:r>
      <w:proofErr w:type="gramStart"/>
      <w:r>
        <w:t>c(</w:t>
      </w:r>
      <w:proofErr w:type="gramEnd"/>
      <w:r>
        <w:t xml:space="preserve">.8, .75, .85) </w:t>
      </w:r>
    </w:p>
    <w:p w14:paraId="1E819F2C" w14:textId="77777777" w:rsidR="00EF0DC3" w:rsidRDefault="00EF0DC3" w:rsidP="00EF0DC3">
      <w:pPr>
        <w:spacing w:line="240" w:lineRule="auto"/>
      </w:pPr>
      <w:r>
        <w:lastRenderedPageBreak/>
        <w:t>SP_control3=</w:t>
      </w:r>
      <w:proofErr w:type="gramStart"/>
      <w:r>
        <w:t>c(</w:t>
      </w:r>
      <w:proofErr w:type="gramEnd"/>
      <w:r>
        <w:t>.9, .85, .95)</w:t>
      </w:r>
    </w:p>
    <w:p w14:paraId="6DC415E0" w14:textId="77777777" w:rsidR="00EF0DC3" w:rsidRDefault="00EF0DC3" w:rsidP="00EF0DC3">
      <w:pPr>
        <w:spacing w:line="240" w:lineRule="auto"/>
      </w:pPr>
    </w:p>
    <w:p w14:paraId="168829BD" w14:textId="77777777" w:rsidR="00EF0DC3" w:rsidRDefault="00EF0DC3" w:rsidP="00EF0DC3">
      <w:pPr>
        <w:spacing w:line="240" w:lineRule="auto"/>
      </w:pPr>
      <w:r>
        <w:t>#</w:t>
      </w:r>
      <w:proofErr w:type="gramStart"/>
      <w:r>
        <w:t>combine</w:t>
      </w:r>
      <w:proofErr w:type="gramEnd"/>
    </w:p>
    <w:p w14:paraId="00B5F8C7" w14:textId="77777777" w:rsidR="00EF0DC3" w:rsidRDefault="00EF0DC3" w:rsidP="00EF0DC3">
      <w:pPr>
        <w:spacing w:line="240" w:lineRule="auto"/>
      </w:pPr>
      <w:r>
        <w:t xml:space="preserve">#average best, lowest and highest of expert </w:t>
      </w:r>
      <w:proofErr w:type="gramStart"/>
      <w:r>
        <w:t>guesses  for</w:t>
      </w:r>
      <w:proofErr w:type="gramEnd"/>
      <w:r>
        <w:t xml:space="preserve"> sensitivity in cases</w:t>
      </w:r>
    </w:p>
    <w:p w14:paraId="601597D9" w14:textId="77777777" w:rsidR="00EF0DC3" w:rsidRDefault="00EF0DC3" w:rsidP="00EF0DC3">
      <w:pPr>
        <w:spacing w:line="240" w:lineRule="auto"/>
      </w:pPr>
      <w:proofErr w:type="spellStart"/>
      <w:r>
        <w:t>SN_case</w:t>
      </w:r>
      <w:proofErr w:type="spellEnd"/>
      <w:r>
        <w:t>=</w:t>
      </w:r>
      <w:proofErr w:type="spellStart"/>
      <w:proofErr w:type="gramStart"/>
      <w:r>
        <w:t>rbind</w:t>
      </w:r>
      <w:proofErr w:type="spellEnd"/>
      <w:r>
        <w:t>(</w:t>
      </w:r>
      <w:proofErr w:type="gramEnd"/>
      <w:r>
        <w:t>SN_case1, SN_case2, SN_case3)</w:t>
      </w:r>
    </w:p>
    <w:p w14:paraId="376F4A75" w14:textId="77777777" w:rsidR="00EF0DC3" w:rsidRDefault="00EF0DC3" w:rsidP="00EF0DC3">
      <w:pPr>
        <w:spacing w:line="240" w:lineRule="auto"/>
      </w:pPr>
      <w:proofErr w:type="spellStart"/>
      <w:r>
        <w:t>SN_case_mean</w:t>
      </w:r>
      <w:proofErr w:type="spellEnd"/>
      <w:r>
        <w:t>=</w:t>
      </w:r>
      <w:proofErr w:type="gramStart"/>
      <w:r>
        <w:t>mean(</w:t>
      </w:r>
      <w:proofErr w:type="spellStart"/>
      <w:proofErr w:type="gramEnd"/>
      <w:r>
        <w:t>SN_</w:t>
      </w:r>
      <w:proofErr w:type="gramStart"/>
      <w:r>
        <w:t>case</w:t>
      </w:r>
      <w:proofErr w:type="spellEnd"/>
      <w:r>
        <w:t>[</w:t>
      </w:r>
      <w:proofErr w:type="gramEnd"/>
      <w:r>
        <w:t>,1])</w:t>
      </w:r>
    </w:p>
    <w:p w14:paraId="43883BA7" w14:textId="77777777" w:rsidR="00EF0DC3" w:rsidRDefault="00EF0DC3" w:rsidP="00EF0DC3">
      <w:pPr>
        <w:spacing w:line="240" w:lineRule="auto"/>
      </w:pPr>
      <w:proofErr w:type="spellStart"/>
      <w:r>
        <w:t>SN_case_low</w:t>
      </w:r>
      <w:proofErr w:type="spellEnd"/>
      <w:r>
        <w:t>=</w:t>
      </w:r>
      <w:proofErr w:type="gramStart"/>
      <w:r>
        <w:t>mean(</w:t>
      </w:r>
      <w:proofErr w:type="spellStart"/>
      <w:proofErr w:type="gramEnd"/>
      <w:r>
        <w:t>SN_</w:t>
      </w:r>
      <w:proofErr w:type="gramStart"/>
      <w:r>
        <w:t>case</w:t>
      </w:r>
      <w:proofErr w:type="spellEnd"/>
      <w:r>
        <w:t>[</w:t>
      </w:r>
      <w:proofErr w:type="gramEnd"/>
      <w:r>
        <w:t>,2])</w:t>
      </w:r>
    </w:p>
    <w:p w14:paraId="5C6544A4" w14:textId="77777777" w:rsidR="00EF0DC3" w:rsidRDefault="00EF0DC3" w:rsidP="00EF0DC3">
      <w:pPr>
        <w:spacing w:line="240" w:lineRule="auto"/>
      </w:pPr>
      <w:proofErr w:type="spellStart"/>
      <w:r>
        <w:t>SN_case_high</w:t>
      </w:r>
      <w:proofErr w:type="spellEnd"/>
      <w:r>
        <w:t>=</w:t>
      </w:r>
      <w:proofErr w:type="gramStart"/>
      <w:r>
        <w:t>mean(</w:t>
      </w:r>
      <w:proofErr w:type="spellStart"/>
      <w:proofErr w:type="gramEnd"/>
      <w:r>
        <w:t>SN_</w:t>
      </w:r>
      <w:proofErr w:type="gramStart"/>
      <w:r>
        <w:t>case</w:t>
      </w:r>
      <w:proofErr w:type="spellEnd"/>
      <w:r>
        <w:t>[</w:t>
      </w:r>
      <w:proofErr w:type="gramEnd"/>
      <w:r>
        <w:t>,3])</w:t>
      </w:r>
    </w:p>
    <w:p w14:paraId="340732A7" w14:textId="77777777" w:rsidR="00EF0DC3" w:rsidRDefault="00EF0DC3" w:rsidP="00EF0DC3">
      <w:pPr>
        <w:spacing w:line="240" w:lineRule="auto"/>
      </w:pPr>
      <w:proofErr w:type="gramStart"/>
      <w:r>
        <w:t>c(</w:t>
      </w:r>
      <w:proofErr w:type="spellStart"/>
      <w:proofErr w:type="gramEnd"/>
      <w:r>
        <w:t>SN_case_mean</w:t>
      </w:r>
      <w:proofErr w:type="spellEnd"/>
      <w:r>
        <w:t xml:space="preserve">, </w:t>
      </w:r>
      <w:proofErr w:type="spellStart"/>
      <w:r>
        <w:t>SN_case_low</w:t>
      </w:r>
      <w:proofErr w:type="spellEnd"/>
      <w:r>
        <w:t xml:space="preserve">, </w:t>
      </w:r>
      <w:proofErr w:type="spellStart"/>
      <w:r>
        <w:t>SN_case_high</w:t>
      </w:r>
      <w:proofErr w:type="spellEnd"/>
      <w:r>
        <w:t>)</w:t>
      </w:r>
    </w:p>
    <w:p w14:paraId="132EF9CD" w14:textId="77777777" w:rsidR="00EF0DC3" w:rsidRDefault="00EF0DC3" w:rsidP="00EF0DC3">
      <w:pPr>
        <w:spacing w:line="240" w:lineRule="auto"/>
      </w:pPr>
    </w:p>
    <w:p w14:paraId="0C31EBBE" w14:textId="77777777" w:rsidR="00EF0DC3" w:rsidRDefault="00EF0DC3" w:rsidP="00EF0DC3">
      <w:pPr>
        <w:spacing w:line="240" w:lineRule="auto"/>
      </w:pPr>
      <w:r>
        <w:t>#</w:t>
      </w:r>
      <w:proofErr w:type="gramStart"/>
      <w:r>
        <w:t>get</w:t>
      </w:r>
      <w:proofErr w:type="gramEnd"/>
      <w:r>
        <w:t xml:space="preserve"> parameters of beta distribution of SN cases</w:t>
      </w:r>
    </w:p>
    <w:p w14:paraId="722D8953" w14:textId="77777777" w:rsidR="00EF0DC3" w:rsidRDefault="00EF0DC3" w:rsidP="00EF0DC3">
      <w:pPr>
        <w:spacing w:line="240" w:lineRule="auto"/>
      </w:pPr>
      <w:proofErr w:type="spellStart"/>
      <w:proofErr w:type="gramStart"/>
      <w:r>
        <w:t>install.packages</w:t>
      </w:r>
      <w:proofErr w:type="spellEnd"/>
      <w:proofErr w:type="gramEnd"/>
      <w:r>
        <w:t>("</w:t>
      </w:r>
      <w:proofErr w:type="spellStart"/>
      <w:r>
        <w:t>epiR</w:t>
      </w:r>
      <w:proofErr w:type="spellEnd"/>
      <w:proofErr w:type="gramStart"/>
      <w:r>
        <w:t>") #</w:t>
      </w:r>
      <w:proofErr w:type="gramEnd"/>
      <w:r>
        <w:t>do only once</w:t>
      </w:r>
    </w:p>
    <w:p w14:paraId="57FA22EC" w14:textId="77777777" w:rsidR="00EF0DC3" w:rsidRDefault="00EF0DC3" w:rsidP="00EF0DC3">
      <w:pPr>
        <w:spacing w:line="240" w:lineRule="auto"/>
      </w:pPr>
      <w:r>
        <w:t>library("</w:t>
      </w:r>
      <w:proofErr w:type="spellStart"/>
      <w:r>
        <w:t>epiR</w:t>
      </w:r>
      <w:proofErr w:type="spellEnd"/>
      <w:r>
        <w:t>")</w:t>
      </w:r>
    </w:p>
    <w:p w14:paraId="321A959F" w14:textId="77777777" w:rsidR="00EF0DC3" w:rsidRDefault="00EF0DC3" w:rsidP="00EF0DC3">
      <w:pPr>
        <w:spacing w:line="240" w:lineRule="auto"/>
      </w:pPr>
      <w:r>
        <w:t>SN1=</w:t>
      </w:r>
      <w:proofErr w:type="spellStart"/>
      <w:r>
        <w:t>epi.betabuster</w:t>
      </w:r>
      <w:proofErr w:type="spellEnd"/>
      <w:r>
        <w:t>(mode=</w:t>
      </w:r>
      <w:proofErr w:type="spellStart"/>
      <w:r>
        <w:t>SN_case_mean</w:t>
      </w:r>
      <w:proofErr w:type="spellEnd"/>
      <w:r>
        <w:t xml:space="preserve">, conf=0.975, </w:t>
      </w:r>
      <w:proofErr w:type="spellStart"/>
      <w:r>
        <w:t>imsure</w:t>
      </w:r>
      <w:proofErr w:type="spellEnd"/>
      <w:r>
        <w:t>="greater than", x=</w:t>
      </w:r>
      <w:proofErr w:type="spellStart"/>
      <w:r>
        <w:t>SN_case_low</w:t>
      </w:r>
      <w:proofErr w:type="spellEnd"/>
      <w:r>
        <w:t xml:space="preserve">, </w:t>
      </w:r>
      <w:proofErr w:type="spellStart"/>
      <w:proofErr w:type="gramStart"/>
      <w:r>
        <w:t>conf.level</w:t>
      </w:r>
      <w:proofErr w:type="spellEnd"/>
      <w:proofErr w:type="gramEnd"/>
      <w:r>
        <w:t xml:space="preserve"> = 0.95, </w:t>
      </w:r>
      <w:proofErr w:type="gramStart"/>
      <w:r>
        <w:t>max.shape</w:t>
      </w:r>
      <w:proofErr w:type="gramEnd"/>
      <w:r>
        <w:t>1 = 1000, step = 0.001)</w:t>
      </w:r>
    </w:p>
    <w:p w14:paraId="40EABF17" w14:textId="77777777" w:rsidR="00EF0DC3" w:rsidRDefault="00EF0DC3" w:rsidP="00EF0DC3">
      <w:pPr>
        <w:spacing w:line="240" w:lineRule="auto"/>
      </w:pPr>
      <w:r>
        <w:t>SN1$shape1</w:t>
      </w:r>
    </w:p>
    <w:p w14:paraId="08B1B664" w14:textId="77777777" w:rsidR="00EF0DC3" w:rsidRDefault="00EF0DC3" w:rsidP="00EF0DC3">
      <w:pPr>
        <w:spacing w:line="240" w:lineRule="auto"/>
      </w:pPr>
      <w:r>
        <w:t>SN1$shape2</w:t>
      </w:r>
    </w:p>
    <w:p w14:paraId="24AED66C" w14:textId="77777777" w:rsidR="00EF0DC3" w:rsidRDefault="00EF0DC3" w:rsidP="00EF0DC3">
      <w:pPr>
        <w:spacing w:line="240" w:lineRule="auto"/>
      </w:pPr>
    </w:p>
    <w:p w14:paraId="6264BAA2" w14:textId="77777777" w:rsidR="00EF0DC3" w:rsidRDefault="00EF0DC3" w:rsidP="00EF0DC3">
      <w:pPr>
        <w:spacing w:line="240" w:lineRule="auto"/>
      </w:pPr>
      <w:r>
        <w:t>#average best, lowest and highest of expert guesses for specificity in cases</w:t>
      </w:r>
    </w:p>
    <w:p w14:paraId="4D58CB0B" w14:textId="77777777" w:rsidR="00EF0DC3" w:rsidRDefault="00EF0DC3" w:rsidP="00EF0DC3">
      <w:pPr>
        <w:spacing w:line="240" w:lineRule="auto"/>
      </w:pPr>
      <w:proofErr w:type="spellStart"/>
      <w:r>
        <w:t>SP_case</w:t>
      </w:r>
      <w:proofErr w:type="spellEnd"/>
      <w:r>
        <w:t>=</w:t>
      </w:r>
      <w:proofErr w:type="spellStart"/>
      <w:proofErr w:type="gramStart"/>
      <w:r>
        <w:t>rbind</w:t>
      </w:r>
      <w:proofErr w:type="spellEnd"/>
      <w:r>
        <w:t>(</w:t>
      </w:r>
      <w:proofErr w:type="gramEnd"/>
      <w:r>
        <w:t>SP_case1, SP_case2, SP_case3)</w:t>
      </w:r>
    </w:p>
    <w:p w14:paraId="627237F1" w14:textId="77777777" w:rsidR="00EF0DC3" w:rsidRDefault="00EF0DC3" w:rsidP="00EF0DC3">
      <w:pPr>
        <w:spacing w:line="240" w:lineRule="auto"/>
      </w:pPr>
      <w:proofErr w:type="spellStart"/>
      <w:r>
        <w:t>SP_case_mean</w:t>
      </w:r>
      <w:proofErr w:type="spellEnd"/>
      <w:r>
        <w:t>=</w:t>
      </w:r>
      <w:proofErr w:type="gramStart"/>
      <w:r>
        <w:t>mean(</w:t>
      </w:r>
      <w:proofErr w:type="spellStart"/>
      <w:proofErr w:type="gramEnd"/>
      <w:r>
        <w:t>SP_</w:t>
      </w:r>
      <w:proofErr w:type="gramStart"/>
      <w:r>
        <w:t>case</w:t>
      </w:r>
      <w:proofErr w:type="spellEnd"/>
      <w:r>
        <w:t>[</w:t>
      </w:r>
      <w:proofErr w:type="gramEnd"/>
      <w:r>
        <w:t>,1])</w:t>
      </w:r>
    </w:p>
    <w:p w14:paraId="52D8F550" w14:textId="77777777" w:rsidR="00EF0DC3" w:rsidRDefault="00EF0DC3" w:rsidP="00EF0DC3">
      <w:pPr>
        <w:spacing w:line="240" w:lineRule="auto"/>
      </w:pPr>
      <w:proofErr w:type="spellStart"/>
      <w:r>
        <w:t>SP_case_low</w:t>
      </w:r>
      <w:proofErr w:type="spellEnd"/>
      <w:r>
        <w:t>=</w:t>
      </w:r>
      <w:proofErr w:type="gramStart"/>
      <w:r>
        <w:t>mean(</w:t>
      </w:r>
      <w:proofErr w:type="spellStart"/>
      <w:proofErr w:type="gramEnd"/>
      <w:r>
        <w:t>SP_</w:t>
      </w:r>
      <w:proofErr w:type="gramStart"/>
      <w:r>
        <w:t>case</w:t>
      </w:r>
      <w:proofErr w:type="spellEnd"/>
      <w:r>
        <w:t>[</w:t>
      </w:r>
      <w:proofErr w:type="gramEnd"/>
      <w:r>
        <w:t>,2])</w:t>
      </w:r>
    </w:p>
    <w:p w14:paraId="6847D2F4" w14:textId="77777777" w:rsidR="00EF0DC3" w:rsidRDefault="00EF0DC3" w:rsidP="00EF0DC3">
      <w:pPr>
        <w:spacing w:line="240" w:lineRule="auto"/>
      </w:pPr>
      <w:proofErr w:type="spellStart"/>
      <w:r>
        <w:t>SP_case_high</w:t>
      </w:r>
      <w:proofErr w:type="spellEnd"/>
      <w:r>
        <w:t>=</w:t>
      </w:r>
      <w:proofErr w:type="gramStart"/>
      <w:r>
        <w:t>mean(</w:t>
      </w:r>
      <w:proofErr w:type="spellStart"/>
      <w:proofErr w:type="gramEnd"/>
      <w:r>
        <w:t>SP_</w:t>
      </w:r>
      <w:proofErr w:type="gramStart"/>
      <w:r>
        <w:t>case</w:t>
      </w:r>
      <w:proofErr w:type="spellEnd"/>
      <w:r>
        <w:t>[</w:t>
      </w:r>
      <w:proofErr w:type="gramEnd"/>
      <w:r>
        <w:t>,3])</w:t>
      </w:r>
    </w:p>
    <w:p w14:paraId="2674D321" w14:textId="77777777" w:rsidR="00EF0DC3" w:rsidRDefault="00EF0DC3" w:rsidP="00EF0DC3">
      <w:pPr>
        <w:spacing w:line="240" w:lineRule="auto"/>
      </w:pPr>
      <w:proofErr w:type="gramStart"/>
      <w:r>
        <w:t>c(</w:t>
      </w:r>
      <w:proofErr w:type="spellStart"/>
      <w:proofErr w:type="gramEnd"/>
      <w:r>
        <w:t>SP_case_mean</w:t>
      </w:r>
      <w:proofErr w:type="spellEnd"/>
      <w:r>
        <w:t xml:space="preserve">, </w:t>
      </w:r>
      <w:proofErr w:type="spellStart"/>
      <w:r>
        <w:t>SP_case_low</w:t>
      </w:r>
      <w:proofErr w:type="spellEnd"/>
      <w:r>
        <w:t xml:space="preserve">, </w:t>
      </w:r>
      <w:proofErr w:type="spellStart"/>
      <w:r>
        <w:t>SP_case_high</w:t>
      </w:r>
      <w:proofErr w:type="spellEnd"/>
      <w:r>
        <w:t>)</w:t>
      </w:r>
    </w:p>
    <w:p w14:paraId="6AD44F75" w14:textId="77777777" w:rsidR="00EF0DC3" w:rsidRDefault="00EF0DC3" w:rsidP="00EF0DC3">
      <w:pPr>
        <w:spacing w:line="240" w:lineRule="auto"/>
      </w:pPr>
      <w:r>
        <w:t>SP1=</w:t>
      </w:r>
      <w:proofErr w:type="spellStart"/>
      <w:r>
        <w:t>epi.betabuster</w:t>
      </w:r>
      <w:proofErr w:type="spellEnd"/>
      <w:r>
        <w:t>(mode=</w:t>
      </w:r>
      <w:proofErr w:type="spellStart"/>
      <w:r>
        <w:t>SP_case_mean</w:t>
      </w:r>
      <w:proofErr w:type="spellEnd"/>
      <w:r>
        <w:t xml:space="preserve">, conf=0.975, </w:t>
      </w:r>
      <w:proofErr w:type="spellStart"/>
      <w:r>
        <w:t>imsure</w:t>
      </w:r>
      <w:proofErr w:type="spellEnd"/>
      <w:r>
        <w:t>="greater than", x=</w:t>
      </w:r>
      <w:proofErr w:type="spellStart"/>
      <w:r>
        <w:t>SP_case_low</w:t>
      </w:r>
      <w:proofErr w:type="spellEnd"/>
      <w:r>
        <w:t xml:space="preserve">, </w:t>
      </w:r>
      <w:proofErr w:type="spellStart"/>
      <w:proofErr w:type="gramStart"/>
      <w:r>
        <w:t>conf.level</w:t>
      </w:r>
      <w:proofErr w:type="spellEnd"/>
      <w:proofErr w:type="gramEnd"/>
      <w:r>
        <w:t xml:space="preserve"> = 0.95, </w:t>
      </w:r>
      <w:proofErr w:type="gramStart"/>
      <w:r>
        <w:t>max.shape</w:t>
      </w:r>
      <w:proofErr w:type="gramEnd"/>
      <w:r>
        <w:t>1 = 1000, step = 0.001)</w:t>
      </w:r>
    </w:p>
    <w:p w14:paraId="6DF93DBA" w14:textId="77777777" w:rsidR="00EF0DC3" w:rsidRDefault="00EF0DC3" w:rsidP="00EF0DC3">
      <w:pPr>
        <w:spacing w:line="240" w:lineRule="auto"/>
      </w:pPr>
      <w:r>
        <w:t>SP1$shape1</w:t>
      </w:r>
    </w:p>
    <w:p w14:paraId="0DC1FD16" w14:textId="77777777" w:rsidR="00EF0DC3" w:rsidRDefault="00EF0DC3" w:rsidP="00EF0DC3">
      <w:pPr>
        <w:spacing w:line="240" w:lineRule="auto"/>
      </w:pPr>
      <w:r>
        <w:t>SP1$shape2</w:t>
      </w:r>
    </w:p>
    <w:p w14:paraId="6616F9D9" w14:textId="77777777" w:rsidR="00EF0DC3" w:rsidRDefault="00EF0DC3" w:rsidP="00EF0DC3">
      <w:pPr>
        <w:spacing w:line="240" w:lineRule="auto"/>
      </w:pPr>
    </w:p>
    <w:p w14:paraId="1A7BF744" w14:textId="77777777" w:rsidR="00EF0DC3" w:rsidRDefault="00EF0DC3" w:rsidP="00EF0DC3">
      <w:pPr>
        <w:spacing w:line="240" w:lineRule="auto"/>
      </w:pPr>
      <w:r>
        <w:lastRenderedPageBreak/>
        <w:t xml:space="preserve">#average best, lowest and highest of expert </w:t>
      </w:r>
      <w:proofErr w:type="gramStart"/>
      <w:r>
        <w:t>guesses  for</w:t>
      </w:r>
      <w:proofErr w:type="gramEnd"/>
      <w:r>
        <w:t xml:space="preserve"> sensitivity in controls</w:t>
      </w:r>
    </w:p>
    <w:p w14:paraId="20C9A1BB" w14:textId="77777777" w:rsidR="00EF0DC3" w:rsidRDefault="00EF0DC3" w:rsidP="00EF0DC3">
      <w:pPr>
        <w:spacing w:line="240" w:lineRule="auto"/>
      </w:pPr>
      <w:proofErr w:type="spellStart"/>
      <w:r>
        <w:t>SN_control</w:t>
      </w:r>
      <w:proofErr w:type="spellEnd"/>
      <w:r>
        <w:t>=</w:t>
      </w:r>
      <w:proofErr w:type="spellStart"/>
      <w:proofErr w:type="gramStart"/>
      <w:r>
        <w:t>rbind</w:t>
      </w:r>
      <w:proofErr w:type="spellEnd"/>
      <w:r>
        <w:t>(</w:t>
      </w:r>
      <w:proofErr w:type="gramEnd"/>
      <w:r>
        <w:t>SN_control1, SN_control2, SN_control3)</w:t>
      </w:r>
    </w:p>
    <w:p w14:paraId="724E34FC" w14:textId="77777777" w:rsidR="00EF0DC3" w:rsidRDefault="00EF0DC3" w:rsidP="00EF0DC3">
      <w:pPr>
        <w:spacing w:line="240" w:lineRule="auto"/>
      </w:pPr>
      <w:proofErr w:type="spellStart"/>
      <w:r>
        <w:t>SN_control_mean</w:t>
      </w:r>
      <w:proofErr w:type="spellEnd"/>
      <w:r>
        <w:t>=</w:t>
      </w:r>
      <w:proofErr w:type="gramStart"/>
      <w:r>
        <w:t>mean(</w:t>
      </w:r>
      <w:proofErr w:type="spellStart"/>
      <w:proofErr w:type="gramEnd"/>
      <w:r>
        <w:t>SN_</w:t>
      </w:r>
      <w:proofErr w:type="gramStart"/>
      <w:r>
        <w:t>control</w:t>
      </w:r>
      <w:proofErr w:type="spellEnd"/>
      <w:r>
        <w:t>[</w:t>
      </w:r>
      <w:proofErr w:type="gramEnd"/>
      <w:r>
        <w:t>,1])</w:t>
      </w:r>
    </w:p>
    <w:p w14:paraId="3D538E46" w14:textId="77777777" w:rsidR="00EF0DC3" w:rsidRDefault="00EF0DC3" w:rsidP="00EF0DC3">
      <w:pPr>
        <w:spacing w:line="240" w:lineRule="auto"/>
      </w:pPr>
      <w:proofErr w:type="spellStart"/>
      <w:r>
        <w:t>SN_control_low</w:t>
      </w:r>
      <w:proofErr w:type="spellEnd"/>
      <w:r>
        <w:t>=</w:t>
      </w:r>
      <w:proofErr w:type="gramStart"/>
      <w:r>
        <w:t>mean(</w:t>
      </w:r>
      <w:proofErr w:type="spellStart"/>
      <w:proofErr w:type="gramEnd"/>
      <w:r>
        <w:t>SN_</w:t>
      </w:r>
      <w:proofErr w:type="gramStart"/>
      <w:r>
        <w:t>control</w:t>
      </w:r>
      <w:proofErr w:type="spellEnd"/>
      <w:r>
        <w:t>[</w:t>
      </w:r>
      <w:proofErr w:type="gramEnd"/>
      <w:r>
        <w:t>,2])</w:t>
      </w:r>
    </w:p>
    <w:p w14:paraId="4985EE78" w14:textId="77777777" w:rsidR="00EF0DC3" w:rsidRDefault="00EF0DC3" w:rsidP="00EF0DC3">
      <w:pPr>
        <w:spacing w:line="240" w:lineRule="auto"/>
      </w:pPr>
      <w:proofErr w:type="spellStart"/>
      <w:r>
        <w:t>SN_control_high</w:t>
      </w:r>
      <w:proofErr w:type="spellEnd"/>
      <w:r>
        <w:t>=</w:t>
      </w:r>
      <w:proofErr w:type="gramStart"/>
      <w:r>
        <w:t>mean(</w:t>
      </w:r>
      <w:proofErr w:type="spellStart"/>
      <w:proofErr w:type="gramEnd"/>
      <w:r>
        <w:t>SN_</w:t>
      </w:r>
      <w:proofErr w:type="gramStart"/>
      <w:r>
        <w:t>control</w:t>
      </w:r>
      <w:proofErr w:type="spellEnd"/>
      <w:r>
        <w:t>[</w:t>
      </w:r>
      <w:proofErr w:type="gramEnd"/>
      <w:r>
        <w:t>,3])</w:t>
      </w:r>
    </w:p>
    <w:p w14:paraId="321A3FAC" w14:textId="77777777" w:rsidR="00EF0DC3" w:rsidRDefault="00EF0DC3" w:rsidP="00EF0DC3">
      <w:pPr>
        <w:spacing w:line="240" w:lineRule="auto"/>
      </w:pPr>
      <w:proofErr w:type="gramStart"/>
      <w:r>
        <w:t>c(</w:t>
      </w:r>
      <w:proofErr w:type="spellStart"/>
      <w:proofErr w:type="gramEnd"/>
      <w:r>
        <w:t>SN_control_mean</w:t>
      </w:r>
      <w:proofErr w:type="spellEnd"/>
      <w:r>
        <w:t xml:space="preserve">, </w:t>
      </w:r>
      <w:proofErr w:type="spellStart"/>
      <w:r>
        <w:t>SN_control_low</w:t>
      </w:r>
      <w:proofErr w:type="spellEnd"/>
      <w:r>
        <w:t xml:space="preserve">, </w:t>
      </w:r>
      <w:proofErr w:type="spellStart"/>
      <w:r>
        <w:t>SN_control_high</w:t>
      </w:r>
      <w:proofErr w:type="spellEnd"/>
      <w:r>
        <w:t>)</w:t>
      </w:r>
    </w:p>
    <w:p w14:paraId="3409674D" w14:textId="77777777" w:rsidR="00EF0DC3" w:rsidRDefault="00EF0DC3" w:rsidP="00EF0DC3">
      <w:pPr>
        <w:spacing w:line="240" w:lineRule="auto"/>
      </w:pPr>
      <w:r>
        <w:t>SN0=</w:t>
      </w:r>
      <w:proofErr w:type="spellStart"/>
      <w:r>
        <w:t>epi.betabuster</w:t>
      </w:r>
      <w:proofErr w:type="spellEnd"/>
      <w:r>
        <w:t>(mode=</w:t>
      </w:r>
      <w:proofErr w:type="spellStart"/>
      <w:r>
        <w:t>SN_control_mean</w:t>
      </w:r>
      <w:proofErr w:type="spellEnd"/>
      <w:r>
        <w:t xml:space="preserve">, conf=0.975, </w:t>
      </w:r>
      <w:proofErr w:type="spellStart"/>
      <w:r>
        <w:t>imsure</w:t>
      </w:r>
      <w:proofErr w:type="spellEnd"/>
      <w:r>
        <w:t>="greater than", x=</w:t>
      </w:r>
      <w:proofErr w:type="spellStart"/>
      <w:r>
        <w:t>SN_control_low</w:t>
      </w:r>
      <w:proofErr w:type="spellEnd"/>
      <w:r>
        <w:t xml:space="preserve">, </w:t>
      </w:r>
      <w:proofErr w:type="spellStart"/>
      <w:proofErr w:type="gramStart"/>
      <w:r>
        <w:t>conf.level</w:t>
      </w:r>
      <w:proofErr w:type="spellEnd"/>
      <w:proofErr w:type="gramEnd"/>
      <w:r>
        <w:t xml:space="preserve"> = 0.95, </w:t>
      </w:r>
      <w:proofErr w:type="gramStart"/>
      <w:r>
        <w:t>max.shape</w:t>
      </w:r>
      <w:proofErr w:type="gramEnd"/>
      <w:r>
        <w:t>1 = 1000, step = 0.001)</w:t>
      </w:r>
    </w:p>
    <w:p w14:paraId="67CCC931" w14:textId="77777777" w:rsidR="00EF0DC3" w:rsidRDefault="00EF0DC3" w:rsidP="00EF0DC3">
      <w:pPr>
        <w:spacing w:line="240" w:lineRule="auto"/>
      </w:pPr>
      <w:r>
        <w:t>SN0$shape1</w:t>
      </w:r>
    </w:p>
    <w:p w14:paraId="364F3CEF" w14:textId="77777777" w:rsidR="00EF0DC3" w:rsidRDefault="00EF0DC3" w:rsidP="00EF0DC3">
      <w:pPr>
        <w:spacing w:line="240" w:lineRule="auto"/>
      </w:pPr>
      <w:r>
        <w:t>SN0$shape2</w:t>
      </w:r>
    </w:p>
    <w:p w14:paraId="18E17864" w14:textId="77777777" w:rsidR="00EF0DC3" w:rsidRDefault="00EF0DC3" w:rsidP="00EF0DC3">
      <w:pPr>
        <w:spacing w:line="240" w:lineRule="auto"/>
      </w:pPr>
    </w:p>
    <w:p w14:paraId="1CD44675" w14:textId="77777777" w:rsidR="00EF0DC3" w:rsidRDefault="00EF0DC3" w:rsidP="00EF0DC3">
      <w:pPr>
        <w:spacing w:line="240" w:lineRule="auto"/>
      </w:pPr>
      <w:r>
        <w:t xml:space="preserve">#average best, lowest and highest of expert </w:t>
      </w:r>
      <w:proofErr w:type="gramStart"/>
      <w:r>
        <w:t>guesses  for</w:t>
      </w:r>
      <w:proofErr w:type="gramEnd"/>
      <w:r>
        <w:t xml:space="preserve"> specificity in controls</w:t>
      </w:r>
    </w:p>
    <w:p w14:paraId="169FBDD7" w14:textId="77777777" w:rsidR="00EF0DC3" w:rsidRDefault="00EF0DC3" w:rsidP="00EF0DC3">
      <w:pPr>
        <w:spacing w:line="240" w:lineRule="auto"/>
      </w:pPr>
      <w:proofErr w:type="spellStart"/>
      <w:r>
        <w:t>SP_control</w:t>
      </w:r>
      <w:proofErr w:type="spellEnd"/>
      <w:r>
        <w:t>=</w:t>
      </w:r>
      <w:proofErr w:type="spellStart"/>
      <w:proofErr w:type="gramStart"/>
      <w:r>
        <w:t>rbind</w:t>
      </w:r>
      <w:proofErr w:type="spellEnd"/>
      <w:r>
        <w:t>(</w:t>
      </w:r>
      <w:proofErr w:type="gramEnd"/>
      <w:r>
        <w:t>SP_control1, SP_control2, SP_control3)</w:t>
      </w:r>
    </w:p>
    <w:p w14:paraId="09429196" w14:textId="77777777" w:rsidR="00EF0DC3" w:rsidRDefault="00EF0DC3" w:rsidP="00EF0DC3">
      <w:pPr>
        <w:spacing w:line="240" w:lineRule="auto"/>
      </w:pPr>
      <w:proofErr w:type="spellStart"/>
      <w:r>
        <w:t>SP_control_mean</w:t>
      </w:r>
      <w:proofErr w:type="spellEnd"/>
      <w:r>
        <w:t>=</w:t>
      </w:r>
      <w:proofErr w:type="gramStart"/>
      <w:r>
        <w:t>mean(</w:t>
      </w:r>
      <w:proofErr w:type="spellStart"/>
      <w:proofErr w:type="gramEnd"/>
      <w:r>
        <w:t>SP_</w:t>
      </w:r>
      <w:proofErr w:type="gramStart"/>
      <w:r>
        <w:t>control</w:t>
      </w:r>
      <w:proofErr w:type="spellEnd"/>
      <w:r>
        <w:t>[</w:t>
      </w:r>
      <w:proofErr w:type="gramEnd"/>
      <w:r>
        <w:t>,1])</w:t>
      </w:r>
    </w:p>
    <w:p w14:paraId="59D7EEF9" w14:textId="77777777" w:rsidR="00EF0DC3" w:rsidRDefault="00EF0DC3" w:rsidP="00EF0DC3">
      <w:pPr>
        <w:spacing w:line="240" w:lineRule="auto"/>
      </w:pPr>
      <w:proofErr w:type="spellStart"/>
      <w:r>
        <w:t>SP_control_low</w:t>
      </w:r>
      <w:proofErr w:type="spellEnd"/>
      <w:r>
        <w:t>=</w:t>
      </w:r>
      <w:proofErr w:type="gramStart"/>
      <w:r>
        <w:t>mean(</w:t>
      </w:r>
      <w:proofErr w:type="spellStart"/>
      <w:proofErr w:type="gramEnd"/>
      <w:r>
        <w:t>SP_</w:t>
      </w:r>
      <w:proofErr w:type="gramStart"/>
      <w:r>
        <w:t>control</w:t>
      </w:r>
      <w:proofErr w:type="spellEnd"/>
      <w:r>
        <w:t>[</w:t>
      </w:r>
      <w:proofErr w:type="gramEnd"/>
      <w:r>
        <w:t>,2])</w:t>
      </w:r>
    </w:p>
    <w:p w14:paraId="4BF7AB3C" w14:textId="77777777" w:rsidR="00EF0DC3" w:rsidRDefault="00EF0DC3" w:rsidP="00EF0DC3">
      <w:pPr>
        <w:spacing w:line="240" w:lineRule="auto"/>
      </w:pPr>
      <w:proofErr w:type="spellStart"/>
      <w:r>
        <w:t>SP_control_high</w:t>
      </w:r>
      <w:proofErr w:type="spellEnd"/>
      <w:r>
        <w:t>=</w:t>
      </w:r>
      <w:proofErr w:type="gramStart"/>
      <w:r>
        <w:t>mean(</w:t>
      </w:r>
      <w:proofErr w:type="spellStart"/>
      <w:proofErr w:type="gramEnd"/>
      <w:r>
        <w:t>SP_</w:t>
      </w:r>
      <w:proofErr w:type="gramStart"/>
      <w:r>
        <w:t>control</w:t>
      </w:r>
      <w:proofErr w:type="spellEnd"/>
      <w:r>
        <w:t>[</w:t>
      </w:r>
      <w:proofErr w:type="gramEnd"/>
      <w:r>
        <w:t>,3])</w:t>
      </w:r>
    </w:p>
    <w:p w14:paraId="77710266" w14:textId="77777777" w:rsidR="00EF0DC3" w:rsidRDefault="00EF0DC3" w:rsidP="00EF0DC3">
      <w:pPr>
        <w:spacing w:line="240" w:lineRule="auto"/>
      </w:pPr>
      <w:proofErr w:type="gramStart"/>
      <w:r>
        <w:t>c(</w:t>
      </w:r>
      <w:proofErr w:type="spellStart"/>
      <w:proofErr w:type="gramEnd"/>
      <w:r>
        <w:t>SP_control_mean</w:t>
      </w:r>
      <w:proofErr w:type="spellEnd"/>
      <w:r>
        <w:t xml:space="preserve">, </w:t>
      </w:r>
      <w:proofErr w:type="spellStart"/>
      <w:r>
        <w:t>SP_control_low</w:t>
      </w:r>
      <w:proofErr w:type="spellEnd"/>
      <w:r>
        <w:t xml:space="preserve">, </w:t>
      </w:r>
      <w:proofErr w:type="spellStart"/>
      <w:r>
        <w:t>SP_control_high</w:t>
      </w:r>
      <w:proofErr w:type="spellEnd"/>
      <w:r>
        <w:t>)</w:t>
      </w:r>
    </w:p>
    <w:p w14:paraId="4575E895" w14:textId="77777777" w:rsidR="00EF0DC3" w:rsidRDefault="00EF0DC3" w:rsidP="00EF0DC3">
      <w:pPr>
        <w:spacing w:line="240" w:lineRule="auto"/>
      </w:pPr>
      <w:r>
        <w:t>SP0=</w:t>
      </w:r>
      <w:proofErr w:type="spellStart"/>
      <w:r>
        <w:t>epi.betabuster</w:t>
      </w:r>
      <w:proofErr w:type="spellEnd"/>
      <w:r>
        <w:t>(mode=</w:t>
      </w:r>
      <w:proofErr w:type="spellStart"/>
      <w:r>
        <w:t>SP_control_mean</w:t>
      </w:r>
      <w:proofErr w:type="spellEnd"/>
      <w:r>
        <w:t xml:space="preserve">, conf=0.975, </w:t>
      </w:r>
      <w:proofErr w:type="spellStart"/>
      <w:r>
        <w:t>imsure</w:t>
      </w:r>
      <w:proofErr w:type="spellEnd"/>
      <w:r>
        <w:t>="greater than", x=</w:t>
      </w:r>
      <w:proofErr w:type="spellStart"/>
      <w:r>
        <w:t>SP_control_low</w:t>
      </w:r>
      <w:proofErr w:type="spellEnd"/>
      <w:r>
        <w:t xml:space="preserve">, </w:t>
      </w:r>
      <w:proofErr w:type="spellStart"/>
      <w:proofErr w:type="gramStart"/>
      <w:r>
        <w:t>conf.level</w:t>
      </w:r>
      <w:proofErr w:type="spellEnd"/>
      <w:proofErr w:type="gramEnd"/>
      <w:r>
        <w:t xml:space="preserve"> = 0.95, </w:t>
      </w:r>
      <w:proofErr w:type="gramStart"/>
      <w:r>
        <w:t>max.shape</w:t>
      </w:r>
      <w:proofErr w:type="gramEnd"/>
      <w:r>
        <w:t>1 = 1000, step = 0.001)</w:t>
      </w:r>
    </w:p>
    <w:p w14:paraId="57687AC3" w14:textId="77777777" w:rsidR="00EF0DC3" w:rsidRDefault="00EF0DC3" w:rsidP="00EF0DC3">
      <w:pPr>
        <w:spacing w:line="240" w:lineRule="auto"/>
      </w:pPr>
      <w:r>
        <w:t>SP0$shape1</w:t>
      </w:r>
    </w:p>
    <w:p w14:paraId="5E3A747D" w14:textId="77777777" w:rsidR="00EF0DC3" w:rsidRDefault="00EF0DC3" w:rsidP="00EF0DC3">
      <w:pPr>
        <w:spacing w:line="240" w:lineRule="auto"/>
      </w:pPr>
      <w:r>
        <w:t>SP0$shape2</w:t>
      </w:r>
    </w:p>
    <w:p w14:paraId="0393BD99" w14:textId="77777777" w:rsidR="00EF0DC3" w:rsidRDefault="00EF0DC3" w:rsidP="00EF0DC3">
      <w:pPr>
        <w:spacing w:line="240" w:lineRule="auto"/>
      </w:pPr>
    </w:p>
    <w:p w14:paraId="55DD566C" w14:textId="77777777" w:rsidR="00EF0DC3" w:rsidRDefault="00EF0DC3" w:rsidP="00EF0DC3">
      <w:pPr>
        <w:spacing w:line="240" w:lineRule="auto"/>
      </w:pPr>
      <w:r>
        <w:t>#</w:t>
      </w:r>
      <w:proofErr w:type="gramStart"/>
      <w:r>
        <w:t>illustrate</w:t>
      </w:r>
      <w:proofErr w:type="gramEnd"/>
    </w:p>
    <w:p w14:paraId="27493DC9" w14:textId="77777777" w:rsidR="00EF0DC3" w:rsidRDefault="00EF0DC3" w:rsidP="00EF0DC3">
      <w:pPr>
        <w:spacing w:line="240" w:lineRule="auto"/>
      </w:pPr>
      <w:r>
        <w:t>par(</w:t>
      </w:r>
      <w:proofErr w:type="spellStart"/>
      <w:r>
        <w:t>mfrow</w:t>
      </w:r>
      <w:proofErr w:type="spellEnd"/>
      <w:r>
        <w:t>=</w:t>
      </w:r>
      <w:proofErr w:type="gramStart"/>
      <w:r>
        <w:t>c(</w:t>
      </w:r>
      <w:proofErr w:type="gramEnd"/>
      <w:r>
        <w:t>1,2))</w:t>
      </w:r>
    </w:p>
    <w:p w14:paraId="3FD4059C" w14:textId="77777777" w:rsidR="00EF0DC3" w:rsidRDefault="00EF0DC3" w:rsidP="00EF0DC3">
      <w:pPr>
        <w:spacing w:line="240" w:lineRule="auto"/>
      </w:pPr>
      <w:r>
        <w:t>n=1000000</w:t>
      </w:r>
    </w:p>
    <w:p w14:paraId="43E8175A" w14:textId="77777777" w:rsidR="00EF0DC3" w:rsidRDefault="00EF0DC3" w:rsidP="00EF0DC3">
      <w:pPr>
        <w:spacing w:line="240" w:lineRule="auto"/>
      </w:pPr>
      <w:r>
        <w:t>sim_SN1=</w:t>
      </w:r>
      <w:proofErr w:type="spellStart"/>
      <w:proofErr w:type="gramStart"/>
      <w:r>
        <w:t>rbeta</w:t>
      </w:r>
      <w:proofErr w:type="spellEnd"/>
      <w:r>
        <w:t>(</w:t>
      </w:r>
      <w:proofErr w:type="gramEnd"/>
      <w:r>
        <w:t>n, SN1$shape1, SN1$shape2)</w:t>
      </w:r>
    </w:p>
    <w:p w14:paraId="39D49DD4" w14:textId="77777777" w:rsidR="00EF0DC3" w:rsidRDefault="00EF0DC3" w:rsidP="00EF0DC3">
      <w:pPr>
        <w:spacing w:line="240" w:lineRule="auto"/>
      </w:pPr>
      <w:r>
        <w:t xml:space="preserve">plot(density(sim_SN1), col="red", main="SN in cases (red) and controls (blue)", </w:t>
      </w:r>
      <w:proofErr w:type="spellStart"/>
      <w:r>
        <w:t>ylim</w:t>
      </w:r>
      <w:proofErr w:type="spellEnd"/>
      <w:r>
        <w:t>=</w:t>
      </w:r>
      <w:proofErr w:type="gramStart"/>
      <w:r>
        <w:t>c(</w:t>
      </w:r>
      <w:proofErr w:type="gramEnd"/>
      <w:r>
        <w:t xml:space="preserve">0,20), </w:t>
      </w:r>
      <w:proofErr w:type="spellStart"/>
      <w:r>
        <w:t>xlim</w:t>
      </w:r>
      <w:proofErr w:type="spellEnd"/>
      <w:r>
        <w:t>=</w:t>
      </w:r>
      <w:proofErr w:type="gramStart"/>
      <w:r>
        <w:t>c(</w:t>
      </w:r>
      <w:proofErr w:type="gramEnd"/>
      <w:r>
        <w:t xml:space="preserve">0.6, 1), </w:t>
      </w:r>
      <w:proofErr w:type="spellStart"/>
      <w:r>
        <w:t>xlab</w:t>
      </w:r>
      <w:proofErr w:type="spellEnd"/>
      <w:r>
        <w:t>="sensitivity (SN)")</w:t>
      </w:r>
    </w:p>
    <w:p w14:paraId="2CB7A875" w14:textId="77777777" w:rsidR="00EF0DC3" w:rsidRDefault="00EF0DC3" w:rsidP="00EF0DC3">
      <w:pPr>
        <w:spacing w:line="240" w:lineRule="auto"/>
      </w:pPr>
      <w:r>
        <w:t>sim_SN0=</w:t>
      </w:r>
      <w:proofErr w:type="spellStart"/>
      <w:proofErr w:type="gramStart"/>
      <w:r>
        <w:t>rbeta</w:t>
      </w:r>
      <w:proofErr w:type="spellEnd"/>
      <w:r>
        <w:t>(</w:t>
      </w:r>
      <w:proofErr w:type="gramEnd"/>
      <w:r>
        <w:t>n, SN0$shape1, SN0$shape2)</w:t>
      </w:r>
    </w:p>
    <w:p w14:paraId="1CC64D33" w14:textId="77777777" w:rsidR="00EF0DC3" w:rsidRDefault="00EF0DC3" w:rsidP="00EF0DC3">
      <w:pPr>
        <w:spacing w:line="240" w:lineRule="auto"/>
      </w:pPr>
      <w:r>
        <w:t>lines(density(sim_SN0), col="blue")</w:t>
      </w:r>
    </w:p>
    <w:p w14:paraId="7E8C55F2" w14:textId="77777777" w:rsidR="00EF0DC3" w:rsidRDefault="00EF0DC3" w:rsidP="00EF0DC3">
      <w:pPr>
        <w:spacing w:line="240" w:lineRule="auto"/>
      </w:pPr>
    </w:p>
    <w:p w14:paraId="68CA1C7F" w14:textId="77777777" w:rsidR="00EF0DC3" w:rsidRDefault="00EF0DC3" w:rsidP="00EF0DC3">
      <w:pPr>
        <w:spacing w:line="240" w:lineRule="auto"/>
      </w:pPr>
      <w:r>
        <w:t>sim_SP1=</w:t>
      </w:r>
      <w:proofErr w:type="spellStart"/>
      <w:proofErr w:type="gramStart"/>
      <w:r>
        <w:t>rbeta</w:t>
      </w:r>
      <w:proofErr w:type="spellEnd"/>
      <w:r>
        <w:t>(</w:t>
      </w:r>
      <w:proofErr w:type="gramEnd"/>
      <w:r>
        <w:t>n, SP1$shape1, SP1$shape2)</w:t>
      </w:r>
    </w:p>
    <w:p w14:paraId="2CB43072" w14:textId="77777777" w:rsidR="00EF0DC3" w:rsidRDefault="00EF0DC3" w:rsidP="00EF0DC3">
      <w:pPr>
        <w:spacing w:line="240" w:lineRule="auto"/>
      </w:pPr>
      <w:r>
        <w:t xml:space="preserve">plot(density(sim_SP1), col="red", main="SP in cases (red) and controls (blue)", </w:t>
      </w:r>
      <w:proofErr w:type="spellStart"/>
      <w:r>
        <w:t>ylim</w:t>
      </w:r>
      <w:proofErr w:type="spellEnd"/>
      <w:r>
        <w:t>=</w:t>
      </w:r>
      <w:proofErr w:type="gramStart"/>
      <w:r>
        <w:t>c(</w:t>
      </w:r>
      <w:proofErr w:type="gramEnd"/>
      <w:r>
        <w:t xml:space="preserve">0,20), </w:t>
      </w:r>
      <w:proofErr w:type="spellStart"/>
      <w:r>
        <w:t>xlim</w:t>
      </w:r>
      <w:proofErr w:type="spellEnd"/>
      <w:r>
        <w:t>=</w:t>
      </w:r>
      <w:proofErr w:type="gramStart"/>
      <w:r>
        <w:t>c(</w:t>
      </w:r>
      <w:proofErr w:type="gramEnd"/>
      <w:r>
        <w:t xml:space="preserve">0.6, 1), </w:t>
      </w:r>
      <w:proofErr w:type="spellStart"/>
      <w:r>
        <w:t>xlab</w:t>
      </w:r>
      <w:proofErr w:type="spellEnd"/>
      <w:r>
        <w:t>="specificity (SP)")</w:t>
      </w:r>
    </w:p>
    <w:p w14:paraId="17B34601" w14:textId="77777777" w:rsidR="00EF0DC3" w:rsidRDefault="00EF0DC3" w:rsidP="00EF0DC3">
      <w:pPr>
        <w:spacing w:line="240" w:lineRule="auto"/>
      </w:pPr>
      <w:r>
        <w:t>sim_SP0=</w:t>
      </w:r>
      <w:proofErr w:type="spellStart"/>
      <w:proofErr w:type="gramStart"/>
      <w:r>
        <w:t>rbeta</w:t>
      </w:r>
      <w:proofErr w:type="spellEnd"/>
      <w:r>
        <w:t>(</w:t>
      </w:r>
      <w:proofErr w:type="gramEnd"/>
      <w:r>
        <w:t>n, SP0$shape1, SP0$shape2)</w:t>
      </w:r>
    </w:p>
    <w:p w14:paraId="53915DDE" w14:textId="77777777" w:rsidR="00EF0DC3" w:rsidRDefault="00EF0DC3" w:rsidP="00EF0DC3">
      <w:pPr>
        <w:spacing w:line="240" w:lineRule="auto"/>
      </w:pPr>
      <w:r>
        <w:t>lines(density(sim_SP0), col="blue")</w:t>
      </w:r>
    </w:p>
    <w:p w14:paraId="369E8095" w14:textId="77777777" w:rsidR="00485A06" w:rsidRDefault="00485A06" w:rsidP="00EF0DC3">
      <w:pPr>
        <w:spacing w:line="240" w:lineRule="auto"/>
      </w:pPr>
    </w:p>
    <w:p w14:paraId="574D2387" w14:textId="1D25BCAD" w:rsidR="00485A06" w:rsidRPr="00485A06" w:rsidRDefault="00485A06" w:rsidP="00485A06">
      <w:pPr>
        <w:spacing w:line="240" w:lineRule="auto"/>
        <w:rPr>
          <w:b/>
          <w:bCs/>
        </w:rPr>
      </w:pPr>
      <w:r w:rsidRPr="00485A06">
        <w:rPr>
          <w:b/>
          <w:bCs/>
        </w:rPr>
        <w:t>#</w:t>
      </w:r>
      <w:r>
        <w:rPr>
          <w:b/>
          <w:bCs/>
        </w:rPr>
        <w:t>END</w:t>
      </w:r>
      <w:r w:rsidRPr="00485A06">
        <w:rPr>
          <w:b/>
          <w:bCs/>
        </w:rPr>
        <w:t xml:space="preserve"> OF R CODE</w:t>
      </w:r>
    </w:p>
    <w:p w14:paraId="740DFA6D" w14:textId="77777777" w:rsidR="00485A06" w:rsidRDefault="00485A06" w:rsidP="00EF0DC3">
      <w:pPr>
        <w:spacing w:line="240" w:lineRule="auto"/>
      </w:pPr>
    </w:p>
    <w:p w14:paraId="12ABD762" w14:textId="77777777" w:rsidR="00485A06" w:rsidRDefault="00485A06" w:rsidP="00EF0DC3">
      <w:pPr>
        <w:spacing w:line="240" w:lineRule="auto"/>
      </w:pPr>
    </w:p>
    <w:p w14:paraId="58A05E7A" w14:textId="195262B3" w:rsidR="00CD6E6F" w:rsidRDefault="00CD6E6F" w:rsidP="00CD6E6F">
      <w:pPr>
        <w:pStyle w:val="Caption"/>
        <w:keepNext/>
        <w:jc w:val="center"/>
      </w:pPr>
      <w:r>
        <w:t xml:space="preserve">Figure </w:t>
      </w:r>
      <w:fldSimple w:instr=" SEQ Figure \* ARABIC ">
        <w:r>
          <w:rPr>
            <w:noProof/>
          </w:rPr>
          <w:t>1</w:t>
        </w:r>
      </w:fldSimple>
      <w:r>
        <w:t xml:space="preserve">S: Illustration of prior densities of </w:t>
      </w:r>
      <w:r w:rsidR="00232D00">
        <w:t xml:space="preserve">misclassification parameters for ever-use of talc in </w:t>
      </w:r>
      <w:r w:rsidR="000917C3">
        <w:t>population</w:t>
      </w:r>
      <w:r w:rsidR="00232D00">
        <w:t>-based case-control studies of ovarian cancer risk</w:t>
      </w:r>
    </w:p>
    <w:p w14:paraId="1E103EBA" w14:textId="14A45F3A" w:rsidR="00485A06" w:rsidRDefault="00485A06" w:rsidP="00EF0DC3">
      <w:pPr>
        <w:spacing w:line="240" w:lineRule="auto"/>
      </w:pPr>
      <w:r>
        <w:rPr>
          <w:noProof/>
        </w:rPr>
        <w:drawing>
          <wp:inline distT="0" distB="0" distL="0" distR="0" wp14:anchorId="00E5F69C" wp14:editId="3BA670D4">
            <wp:extent cx="6400800" cy="3639185"/>
            <wp:effectExtent l="0" t="0" r="0" b="0"/>
            <wp:docPr id="179209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97612" name=""/>
                    <pic:cNvPicPr/>
                  </pic:nvPicPr>
                  <pic:blipFill>
                    <a:blip r:embed="rId4"/>
                    <a:stretch>
                      <a:fillRect/>
                    </a:stretch>
                  </pic:blipFill>
                  <pic:spPr>
                    <a:xfrm>
                      <a:off x="0" y="0"/>
                      <a:ext cx="6400800" cy="3639185"/>
                    </a:xfrm>
                    <a:prstGeom prst="rect">
                      <a:avLst/>
                    </a:prstGeom>
                  </pic:spPr>
                </pic:pic>
              </a:graphicData>
            </a:graphic>
          </wp:inline>
        </w:drawing>
      </w:r>
    </w:p>
    <w:p w14:paraId="1512E65B" w14:textId="77777777" w:rsidR="00485A06" w:rsidRDefault="00485A06" w:rsidP="00EF0DC3">
      <w:pPr>
        <w:spacing w:line="240" w:lineRule="auto"/>
      </w:pPr>
    </w:p>
    <w:p w14:paraId="61077353" w14:textId="77777777" w:rsidR="00485A06" w:rsidRPr="00485A06" w:rsidRDefault="00485A06" w:rsidP="00485A06">
      <w:pPr>
        <w:pStyle w:val="EndNoteBibliography"/>
        <w:spacing w:after="0"/>
      </w:pPr>
      <w:r>
        <w:fldChar w:fldCharType="begin"/>
      </w:r>
      <w:r>
        <w:instrText xml:space="preserve"> ADDIN EN.REFLIST </w:instrText>
      </w:r>
      <w:r>
        <w:fldChar w:fldCharType="separate"/>
      </w:r>
      <w:r w:rsidRPr="00485A06">
        <w:t>1.</w:t>
      </w:r>
      <w:r w:rsidRPr="00485A06">
        <w:tab/>
        <w:t>Team RDC. R: A language and environment for statistical computing. ISBN 3-900051-07-0. Vienna, Austria: R Foundation for Statistical Computing; 2006 2006.</w:t>
      </w:r>
    </w:p>
    <w:p w14:paraId="5A683F39" w14:textId="77777777" w:rsidR="00485A06" w:rsidRPr="00485A06" w:rsidRDefault="00485A06" w:rsidP="00485A06">
      <w:pPr>
        <w:pStyle w:val="EndNoteBibliography"/>
      </w:pPr>
      <w:r w:rsidRPr="00485A06">
        <w:t>2.</w:t>
      </w:r>
      <w:r w:rsidRPr="00485A06">
        <w:tab/>
        <w:t>IARC. Annex 2. Quantitative bias analysis for exposure misclassification for the effects of ever versus never use of talc on ovarian cancer.  Talc and Acrylonitrile IARC Monographs on the Identification of Carcinogenic Hazards to Humans. 136. Lyon, France: IARC; 2025.</w:t>
      </w:r>
    </w:p>
    <w:p w14:paraId="3C58FE13" w14:textId="349BDC89" w:rsidR="00550C6C" w:rsidRDefault="00485A06" w:rsidP="00EF0DC3">
      <w:pPr>
        <w:spacing w:line="240" w:lineRule="auto"/>
      </w:pPr>
      <w:r>
        <w:lastRenderedPageBreak/>
        <w:fldChar w:fldCharType="end"/>
      </w:r>
    </w:p>
    <w:sectPr w:rsidR="00550C6C" w:rsidSect="00485A0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f59f5sdvwvwmez2wp5xz5vdv0f2ptzv2a9&quot;&gt;Kamer124v13&lt;record-ids&gt;&lt;item&gt;1168&lt;/item&gt;&lt;item&gt;2411&lt;/item&gt;&lt;/record-ids&gt;&lt;/item&gt;&lt;/Libraries&gt;"/>
  </w:docVars>
  <w:rsids>
    <w:rsidRoot w:val="00175963"/>
    <w:rsid w:val="00007472"/>
    <w:rsid w:val="000917C3"/>
    <w:rsid w:val="00175963"/>
    <w:rsid w:val="00232D00"/>
    <w:rsid w:val="00376737"/>
    <w:rsid w:val="00432845"/>
    <w:rsid w:val="00485A06"/>
    <w:rsid w:val="00550C6C"/>
    <w:rsid w:val="00936674"/>
    <w:rsid w:val="00BF4BAF"/>
    <w:rsid w:val="00CD6E6F"/>
    <w:rsid w:val="00D822BD"/>
    <w:rsid w:val="00EF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D555"/>
  <w15:chartTrackingRefBased/>
  <w15:docId w15:val="{34CE8EE1-3AF8-455C-8511-FC17BF03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A06"/>
  </w:style>
  <w:style w:type="paragraph" w:styleId="Heading1">
    <w:name w:val="heading 1"/>
    <w:basedOn w:val="Normal"/>
    <w:next w:val="Normal"/>
    <w:link w:val="Heading1Char"/>
    <w:uiPriority w:val="9"/>
    <w:qFormat/>
    <w:rsid w:val="00175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963"/>
    <w:rPr>
      <w:rFonts w:eastAsiaTheme="majorEastAsia" w:cstheme="majorBidi"/>
      <w:color w:val="272727" w:themeColor="text1" w:themeTint="D8"/>
    </w:rPr>
  </w:style>
  <w:style w:type="paragraph" w:styleId="Title">
    <w:name w:val="Title"/>
    <w:basedOn w:val="Normal"/>
    <w:next w:val="Normal"/>
    <w:link w:val="TitleChar"/>
    <w:uiPriority w:val="10"/>
    <w:qFormat/>
    <w:rsid w:val="00175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963"/>
    <w:pPr>
      <w:spacing w:before="160"/>
      <w:jc w:val="center"/>
    </w:pPr>
    <w:rPr>
      <w:i/>
      <w:iCs/>
      <w:color w:val="404040" w:themeColor="text1" w:themeTint="BF"/>
    </w:rPr>
  </w:style>
  <w:style w:type="character" w:customStyle="1" w:styleId="QuoteChar">
    <w:name w:val="Quote Char"/>
    <w:basedOn w:val="DefaultParagraphFont"/>
    <w:link w:val="Quote"/>
    <w:uiPriority w:val="29"/>
    <w:rsid w:val="00175963"/>
    <w:rPr>
      <w:i/>
      <w:iCs/>
      <w:color w:val="404040" w:themeColor="text1" w:themeTint="BF"/>
    </w:rPr>
  </w:style>
  <w:style w:type="paragraph" w:styleId="ListParagraph">
    <w:name w:val="List Paragraph"/>
    <w:basedOn w:val="Normal"/>
    <w:uiPriority w:val="34"/>
    <w:qFormat/>
    <w:rsid w:val="00175963"/>
    <w:pPr>
      <w:ind w:left="720"/>
      <w:contextualSpacing/>
    </w:pPr>
  </w:style>
  <w:style w:type="character" w:styleId="IntenseEmphasis">
    <w:name w:val="Intense Emphasis"/>
    <w:basedOn w:val="DefaultParagraphFont"/>
    <w:uiPriority w:val="21"/>
    <w:qFormat/>
    <w:rsid w:val="00175963"/>
    <w:rPr>
      <w:i/>
      <w:iCs/>
      <w:color w:val="0F4761" w:themeColor="accent1" w:themeShade="BF"/>
    </w:rPr>
  </w:style>
  <w:style w:type="paragraph" w:styleId="IntenseQuote">
    <w:name w:val="Intense Quote"/>
    <w:basedOn w:val="Normal"/>
    <w:next w:val="Normal"/>
    <w:link w:val="IntenseQuoteChar"/>
    <w:uiPriority w:val="30"/>
    <w:qFormat/>
    <w:rsid w:val="00175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963"/>
    <w:rPr>
      <w:i/>
      <w:iCs/>
      <w:color w:val="0F4761" w:themeColor="accent1" w:themeShade="BF"/>
    </w:rPr>
  </w:style>
  <w:style w:type="character" w:styleId="IntenseReference">
    <w:name w:val="Intense Reference"/>
    <w:basedOn w:val="DefaultParagraphFont"/>
    <w:uiPriority w:val="32"/>
    <w:qFormat/>
    <w:rsid w:val="00175963"/>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485A06"/>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485A06"/>
    <w:rPr>
      <w:rFonts w:ascii="Aptos" w:hAnsi="Aptos"/>
      <w:noProof/>
    </w:rPr>
  </w:style>
  <w:style w:type="paragraph" w:customStyle="1" w:styleId="EndNoteBibliography">
    <w:name w:val="EndNote Bibliography"/>
    <w:basedOn w:val="Normal"/>
    <w:link w:val="EndNoteBibliographyChar"/>
    <w:rsid w:val="00485A06"/>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485A06"/>
    <w:rPr>
      <w:rFonts w:ascii="Aptos" w:hAnsi="Aptos"/>
      <w:noProof/>
    </w:rPr>
  </w:style>
  <w:style w:type="paragraph" w:styleId="Caption">
    <w:name w:val="caption"/>
    <w:basedOn w:val="Normal"/>
    <w:next w:val="Normal"/>
    <w:uiPriority w:val="35"/>
    <w:semiHidden/>
    <w:unhideWhenUsed/>
    <w:qFormat/>
    <w:rsid w:val="00CD6E6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851</Words>
  <Characters>4853</Characters>
  <Application>Microsoft Office Word</Application>
  <DocSecurity>0</DocSecurity>
  <Lines>40</Lines>
  <Paragraphs>11</Paragraphs>
  <ScaleCrop>false</ScaleCrop>
  <Company>Drexel University</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Burstyn,Igor</dc:creator>
  <cp:keywords/>
  <dc:description/>
  <cp:lastModifiedBy>Burstyn,Igor</cp:lastModifiedBy>
  <cp:revision>6</cp:revision>
  <dcterms:created xsi:type="dcterms:W3CDTF">2025-10-09T15:12:00Z</dcterms:created>
  <dcterms:modified xsi:type="dcterms:W3CDTF">2025-10-10T23:39:00Z</dcterms:modified>
</cp:coreProperties>
</file>