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11565" w14:textId="77777777" w:rsidR="001C2260" w:rsidRPr="00D755F1" w:rsidRDefault="001C2260" w:rsidP="001C2260">
      <w:pPr>
        <w:spacing w:before="240" w:line="480" w:lineRule="auto"/>
        <w:jc w:val="both"/>
        <w:rPr>
          <w:rFonts w:asciiTheme="minorBidi" w:eastAsia="Times New Roman" w:hAnsiTheme="minorBidi"/>
          <w:color w:val="000000" w:themeColor="text1"/>
        </w:rPr>
      </w:pPr>
      <w:bookmarkStart w:id="0" w:name="_GoBack"/>
      <w:bookmarkEnd w:id="0"/>
      <w:r w:rsidRPr="00D755F1">
        <w:rPr>
          <w:rFonts w:asciiTheme="minorBidi" w:eastAsia="Times New Roman" w:hAnsiTheme="minorBidi"/>
          <w:b/>
          <w:bCs/>
          <w:color w:val="000000" w:themeColor="text1"/>
        </w:rPr>
        <w:t>Supplementary</w:t>
      </w:r>
      <w:r w:rsidRPr="00D755F1">
        <w:rPr>
          <w:rFonts w:asciiTheme="minorBidi" w:eastAsia="Times New Roman" w:hAnsiTheme="minorBidi"/>
          <w:color w:val="000000" w:themeColor="text1"/>
        </w:rPr>
        <w:t xml:space="preserve"> </w:t>
      </w:r>
      <w:r w:rsidRPr="00D755F1">
        <w:rPr>
          <w:rStyle w:val="eop"/>
          <w:rFonts w:asciiTheme="minorBidi" w:eastAsia="Times New Roman" w:hAnsiTheme="minorBidi"/>
          <w:b/>
          <w:bCs/>
          <w:color w:val="000000" w:themeColor="text1"/>
        </w:rPr>
        <w:t>Table 1. Summary of patients with Pattern 3 (mutation clearance with mixed clinical outcomes)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695"/>
        <w:gridCol w:w="1500"/>
        <w:gridCol w:w="960"/>
        <w:gridCol w:w="1155"/>
        <w:gridCol w:w="1740"/>
        <w:gridCol w:w="1740"/>
        <w:gridCol w:w="1365"/>
      </w:tblGrid>
      <w:tr w:rsidR="001C2260" w:rsidRPr="00D755F1" w14:paraId="6B124AC9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B5EAA32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b/>
                <w:bCs/>
                <w:color w:val="000000" w:themeColor="text1"/>
                <w:lang w:val="en-IN"/>
              </w:rPr>
              <w:t>Case. No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9B40639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b/>
                <w:bCs/>
                <w:color w:val="000000" w:themeColor="text1"/>
                <w:lang w:val="en-IN"/>
              </w:rPr>
              <w:t>Response to TKI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A5F8C2D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b/>
                <w:bCs/>
                <w:color w:val="000000" w:themeColor="text1"/>
                <w:lang w:val="en-IN"/>
              </w:rPr>
              <w:t>Gene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E918186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D755F1">
              <w:rPr>
                <w:rFonts w:asciiTheme="minorBidi" w:eastAsia="Times New Roman" w:hAnsiTheme="minorBidi"/>
                <w:b/>
                <w:bCs/>
                <w:color w:val="000000" w:themeColor="text1"/>
                <w:lang w:val="en-IN"/>
              </w:rPr>
              <w:t>T1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F22D017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b/>
                <w:bCs/>
              </w:rPr>
            </w:pPr>
            <w:r w:rsidRPr="00D755F1">
              <w:rPr>
                <w:rFonts w:asciiTheme="minorBidi" w:eastAsia="Times New Roman" w:hAnsiTheme="minorBidi"/>
                <w:b/>
                <w:bCs/>
                <w:color w:val="000000" w:themeColor="text1"/>
                <w:lang w:val="en-IN"/>
              </w:rPr>
              <w:t>T2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595D71A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b/>
                <w:bCs/>
                <w:color w:val="000000" w:themeColor="text1"/>
                <w:lang w:val="en-IN"/>
              </w:rPr>
              <w:t>VAF1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5069C4A1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b/>
                <w:bCs/>
                <w:color w:val="000000" w:themeColor="text1"/>
                <w:lang w:val="en-IN"/>
              </w:rPr>
              <w:t>VAF2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04A93992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b/>
                <w:b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b/>
                <w:bCs/>
                <w:color w:val="000000" w:themeColor="text1"/>
              </w:rPr>
              <w:t>DT (days)</w:t>
            </w:r>
          </w:p>
        </w:tc>
      </w:tr>
      <w:tr w:rsidR="001C2260" w:rsidRPr="00D755F1" w14:paraId="2E06DB36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7CBFC6D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16*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79FC1BC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6D7FE7F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DNMT3A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74B26A1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915B5D2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</w:rPr>
              <w:t>415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0ED1022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0.546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190AFD5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0.007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6B66328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</w:rPr>
              <w:t>-83.6</w:t>
            </w:r>
          </w:p>
        </w:tc>
      </w:tr>
      <w:tr w:rsidR="001C2260" w:rsidRPr="00D755F1" w14:paraId="7230088B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8146CC0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17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29CDC31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6B8007D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BCOR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BF7C09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AA2FF3F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372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A26F0CD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0.039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2F0A4F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4F47B6E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-70.4</w:t>
            </w:r>
          </w:p>
        </w:tc>
      </w:tr>
      <w:tr w:rsidR="001C2260" w:rsidRPr="00D755F1" w14:paraId="66E7549E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7C4B7AE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19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0C7595E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ABC25BE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ASXL1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F00C583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BA6041D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372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AF897FD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0.190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DEB9B6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2B4A33F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-49.1</w:t>
            </w:r>
          </w:p>
        </w:tc>
      </w:tr>
      <w:tr w:rsidR="001C2260" w:rsidRPr="00D755F1" w14:paraId="5EECB5A2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3A61C19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37**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690CEBD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C57F278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SMC1A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4FD95D8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F6A7EC6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63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38E3CC8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0.034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2BEB01B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876C191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-12.4</w:t>
            </w:r>
          </w:p>
        </w:tc>
      </w:tr>
      <w:tr w:rsidR="001C2260" w:rsidRPr="00D755F1" w14:paraId="6CFC5046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A00FF83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44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357218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Suboptimal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0AD0E54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TET2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A0B9CC3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A899C1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175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C34E6A2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0.031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480A001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5872752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-35.2</w:t>
            </w:r>
          </w:p>
        </w:tc>
      </w:tr>
      <w:tr w:rsidR="001C2260" w:rsidRPr="00D755F1" w14:paraId="12F409F8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6A08551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45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7273FE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Suboptimal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7CA7135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TP53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C65C968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7EC7BBE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463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653DD4C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0.039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5D8C12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1D351C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-87.5</w:t>
            </w:r>
          </w:p>
        </w:tc>
      </w:tr>
      <w:tr w:rsidR="001C2260" w:rsidRPr="00D755F1" w14:paraId="0A722DC5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72F330E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46</w:t>
            </w:r>
            <w:r w:rsidRPr="00D755F1">
              <w:rPr>
                <w:rFonts w:asciiTheme="minorBidi" w:eastAsia="Times New Roman" w:hAnsiTheme="minorBidi"/>
                <w:color w:val="000000" w:themeColor="text1"/>
                <w:vertAlign w:val="superscript"/>
                <w:lang w:val="en-IN"/>
              </w:rPr>
              <w:t>#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8C67043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Suboptimal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FCD7B73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IKZF1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905E50F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-4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2315B13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667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A7FAD96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0.066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332A7B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8F1AC78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-110.9</w:t>
            </w:r>
          </w:p>
        </w:tc>
      </w:tr>
      <w:tr w:rsidR="001C2260" w:rsidRPr="00D755F1" w14:paraId="459ECD94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9529E8E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51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1998C12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A9F6A41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ASXL1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0BBFFAE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74C754C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4565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B3CE28F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0.045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C951D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8815B77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-829</w:t>
            </w:r>
          </w:p>
        </w:tc>
      </w:tr>
      <w:tr w:rsidR="001C2260" w:rsidRPr="00D755F1" w14:paraId="267C29E0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8418F70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51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628B261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24FDBEC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FLT3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CB4DEC7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1D33D4E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4565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FE397FB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0.029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4A25F7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C9F4DE6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-933.3</w:t>
            </w:r>
          </w:p>
        </w:tc>
      </w:tr>
      <w:tr w:rsidR="001C2260" w:rsidRPr="00D755F1" w14:paraId="7570F9BC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45F4E7F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51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75302A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26989F93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JAK2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82E9003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3D57931D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4565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63B39913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0.037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044A1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B9A31B0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-874.1</w:t>
            </w:r>
          </w:p>
        </w:tc>
      </w:tr>
      <w:tr w:rsidR="001C2260" w:rsidRPr="00D755F1" w14:paraId="028956F0" w14:textId="77777777" w:rsidTr="00FA0DD1">
        <w:trPr>
          <w:trHeight w:val="300"/>
        </w:trPr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A29A879" w14:textId="77777777" w:rsidR="001C2260" w:rsidRPr="00D755F1" w:rsidRDefault="001C2260" w:rsidP="00FA0DD1">
            <w:pPr>
              <w:spacing w:line="360" w:lineRule="auto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51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7B30D124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Optimal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AD45235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i/>
                <w:iCs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i/>
                <w:iCs/>
                <w:color w:val="000000" w:themeColor="text1"/>
                <w:lang w:val="en-IN"/>
              </w:rPr>
              <w:t>TET2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5E62861B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10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04BFA542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4565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47339A96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0.020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BE3C85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ND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bottom"/>
          </w:tcPr>
          <w:p w14:paraId="1A246D7F" w14:textId="77777777" w:rsidR="001C2260" w:rsidRPr="00D755F1" w:rsidRDefault="001C2260" w:rsidP="00FA0DD1">
            <w:pPr>
              <w:spacing w:line="360" w:lineRule="auto"/>
              <w:jc w:val="center"/>
              <w:rPr>
                <w:rFonts w:asciiTheme="minorBidi" w:eastAsia="Times New Roman" w:hAnsiTheme="minorBidi"/>
                <w:color w:val="000000" w:themeColor="text1"/>
              </w:rPr>
            </w:pPr>
            <w:r w:rsidRPr="00D755F1">
              <w:rPr>
                <w:rFonts w:asciiTheme="minorBidi" w:eastAsia="Times New Roman" w:hAnsiTheme="minorBidi"/>
                <w:color w:val="000000" w:themeColor="text1"/>
                <w:lang w:val="en-IN"/>
              </w:rPr>
              <w:t>-1049.5</w:t>
            </w:r>
          </w:p>
        </w:tc>
      </w:tr>
    </w:tbl>
    <w:p w14:paraId="69D8F8B2" w14:textId="77777777" w:rsidR="001C2260" w:rsidRPr="00D755F1" w:rsidRDefault="001C2260" w:rsidP="001C2260">
      <w:pPr>
        <w:pStyle w:val="paragraph"/>
        <w:spacing w:before="240" w:beforeAutospacing="0" w:after="0" w:afterAutospacing="0" w:line="360" w:lineRule="auto"/>
        <w:jc w:val="both"/>
        <w:rPr>
          <w:rFonts w:asciiTheme="minorBidi" w:hAnsiTheme="minorBidi" w:cstheme="minorBidi"/>
          <w:color w:val="000000" w:themeColor="text1"/>
          <w:lang w:val="en-US"/>
        </w:rPr>
      </w:pPr>
      <w:r w:rsidRPr="00D755F1">
        <w:rPr>
          <w:rFonts w:asciiTheme="minorBidi" w:hAnsiTheme="minorBidi" w:cstheme="minorBidi"/>
          <w:color w:val="000000" w:themeColor="text1"/>
        </w:rPr>
        <w:t xml:space="preserve">*Abbreviations: NE, </w:t>
      </w:r>
      <w:r w:rsidRPr="00D755F1">
        <w:rPr>
          <w:rFonts w:asciiTheme="minorBidi" w:hAnsiTheme="minorBidi" w:cstheme="minorBidi"/>
          <w:color w:val="000000" w:themeColor="text1"/>
          <w:lang w:val="en-IN"/>
        </w:rPr>
        <w:t>not evaluable</w:t>
      </w:r>
      <w:r w:rsidRPr="00D755F1">
        <w:rPr>
          <w:rFonts w:asciiTheme="minorBidi" w:hAnsiTheme="minorBidi" w:cstheme="minorBidi"/>
          <w:color w:val="000000" w:themeColor="text1"/>
        </w:rPr>
        <w:t>; T1, time of initial analysis (days from diagnosis); T2, time of second analysis (days from diagnosis); VAF1, variant allele frequency at T1; VAF2, variant allele frequency at T2; ND, not detected</w:t>
      </w:r>
    </w:p>
    <w:p w14:paraId="43C9B7C2" w14:textId="77777777" w:rsidR="001C2260" w:rsidRPr="00D755F1" w:rsidRDefault="001C2260" w:rsidP="001C2260">
      <w:pPr>
        <w:pStyle w:val="paragraph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color w:val="000000" w:themeColor="text1"/>
          <w:lang w:val="en-US"/>
        </w:rPr>
      </w:pPr>
      <w:r w:rsidRPr="00D755F1">
        <w:rPr>
          <w:rFonts w:asciiTheme="minorBidi" w:hAnsiTheme="minorBidi" w:cstheme="minorBidi"/>
          <w:color w:val="000000" w:themeColor="text1"/>
          <w:vertAlign w:val="superscript"/>
          <w:lang w:val="en-IN"/>
        </w:rPr>
        <w:t>#</w:t>
      </w:r>
      <w:r w:rsidRPr="00D755F1">
        <w:rPr>
          <w:rFonts w:asciiTheme="minorBidi" w:hAnsiTheme="minorBidi" w:cstheme="minorBidi"/>
          <w:color w:val="000000" w:themeColor="text1"/>
          <w:lang w:val="en-IN"/>
        </w:rPr>
        <w:t>T315I mutation detected</w:t>
      </w:r>
    </w:p>
    <w:p w14:paraId="2C9B57F5" w14:textId="77777777" w:rsidR="001C2260" w:rsidRPr="00D755F1" w:rsidRDefault="001C2260" w:rsidP="001C2260">
      <w:pPr>
        <w:pStyle w:val="paragraph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color w:val="000000" w:themeColor="text1"/>
          <w:lang w:val="en-IN"/>
        </w:rPr>
      </w:pPr>
      <w:r w:rsidRPr="00D755F1">
        <w:rPr>
          <w:rFonts w:asciiTheme="minorBidi" w:hAnsiTheme="minorBidi" w:cstheme="minorBidi"/>
          <w:color w:val="000000" w:themeColor="text1"/>
          <w:lang w:val="en-IN"/>
        </w:rPr>
        <w:t xml:space="preserve">* Patient has 2 different mutational dynamic patterns – mutation clearance (pattern 3) and emergence of a new mutation in </w:t>
      </w:r>
      <w:r w:rsidRPr="009D075B">
        <w:rPr>
          <w:rFonts w:asciiTheme="minorBidi" w:hAnsiTheme="minorBidi" w:cstheme="minorBidi"/>
          <w:color w:val="000000" w:themeColor="text1"/>
          <w:lang w:val="en-IN"/>
        </w:rPr>
        <w:t>PHF6</w:t>
      </w:r>
    </w:p>
    <w:p w14:paraId="5E8A1A9C" w14:textId="77777777" w:rsidR="001C2260" w:rsidRPr="00D755F1" w:rsidRDefault="001C2260" w:rsidP="001C2260">
      <w:pPr>
        <w:pStyle w:val="paragraph"/>
        <w:spacing w:before="0" w:beforeAutospacing="0" w:after="0" w:afterAutospacing="0" w:line="360" w:lineRule="auto"/>
        <w:jc w:val="both"/>
        <w:rPr>
          <w:rFonts w:asciiTheme="minorBidi" w:hAnsiTheme="minorBidi" w:cstheme="minorBidi"/>
          <w:color w:val="000000" w:themeColor="text1"/>
          <w:lang w:val="en-US"/>
        </w:rPr>
      </w:pPr>
      <w:r w:rsidRPr="00D755F1">
        <w:rPr>
          <w:rFonts w:asciiTheme="minorBidi" w:hAnsiTheme="minorBidi" w:cstheme="minorBidi"/>
          <w:color w:val="000000" w:themeColor="text1"/>
          <w:lang w:val="en-IN"/>
        </w:rPr>
        <w:t xml:space="preserve">** Patient has 2 different mutational dynamic patterns – mutation clearance (pattern 3) and persistent mutation in </w:t>
      </w:r>
      <w:r w:rsidRPr="00D755F1">
        <w:rPr>
          <w:rFonts w:asciiTheme="minorBidi" w:hAnsiTheme="minorBidi" w:cstheme="minorBidi"/>
          <w:i/>
          <w:iCs/>
          <w:color w:val="000000" w:themeColor="text1"/>
          <w:lang w:val="en-IN"/>
        </w:rPr>
        <w:t>DNMT3A</w:t>
      </w:r>
      <w:r w:rsidRPr="00D755F1">
        <w:rPr>
          <w:rFonts w:asciiTheme="minorBidi" w:hAnsiTheme="minorBidi" w:cstheme="minorBidi"/>
          <w:color w:val="000000" w:themeColor="text1"/>
          <w:lang w:val="en-IN"/>
        </w:rPr>
        <w:t xml:space="preserve"> (pattern 1)</w:t>
      </w:r>
    </w:p>
    <w:p w14:paraId="732BACE2" w14:textId="77777777" w:rsidR="00C12284" w:rsidRDefault="00445920"/>
    <w:sectPr w:rsidR="00C12284" w:rsidSect="004902C8">
      <w:footerReference w:type="default" r:id="rId9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18982" w14:textId="77777777" w:rsidR="00000000" w:rsidRDefault="00445920">
      <w:r>
        <w:separator/>
      </w:r>
    </w:p>
  </w:endnote>
  <w:endnote w:type="continuationSeparator" w:id="0">
    <w:p w14:paraId="1D1FA66A" w14:textId="77777777" w:rsidR="00000000" w:rsidRDefault="00445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409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6CBC8" w14:textId="77777777" w:rsidR="00761EED" w:rsidRDefault="001C22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474B9" w14:textId="77777777" w:rsidR="00761EED" w:rsidRDefault="00445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7D265" w14:textId="77777777" w:rsidR="00000000" w:rsidRDefault="00445920">
      <w:r>
        <w:separator/>
      </w:r>
    </w:p>
  </w:footnote>
  <w:footnote w:type="continuationSeparator" w:id="0">
    <w:p w14:paraId="7345042E" w14:textId="77777777" w:rsidR="00000000" w:rsidRDefault="004459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60"/>
    <w:rsid w:val="0014593F"/>
    <w:rsid w:val="001C2260"/>
    <w:rsid w:val="003F14ED"/>
    <w:rsid w:val="00445920"/>
    <w:rsid w:val="00570A33"/>
    <w:rsid w:val="00652D7E"/>
    <w:rsid w:val="007A30C1"/>
    <w:rsid w:val="0097678B"/>
    <w:rsid w:val="00B94D2A"/>
    <w:rsid w:val="00D2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0B21"/>
  <w15:chartTrackingRefBased/>
  <w15:docId w15:val="{F3472940-AA09-425C-B965-79A5B9BF9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260"/>
    <w:pPr>
      <w:spacing w:after="0" w:line="240" w:lineRule="auto"/>
    </w:pPr>
    <w:rPr>
      <w:rFonts w:eastAsia="Batang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C226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normaltextrun">
    <w:name w:val="normaltextrun"/>
    <w:basedOn w:val="DefaultParagraphFont"/>
    <w:rsid w:val="001C2260"/>
  </w:style>
  <w:style w:type="character" w:customStyle="1" w:styleId="eop">
    <w:name w:val="eop"/>
    <w:basedOn w:val="DefaultParagraphFont"/>
    <w:rsid w:val="001C2260"/>
  </w:style>
  <w:style w:type="table" w:styleId="TableGrid">
    <w:name w:val="Table Grid"/>
    <w:basedOn w:val="TableNormal"/>
    <w:uiPriority w:val="39"/>
    <w:rsid w:val="001C2260"/>
    <w:pPr>
      <w:spacing w:after="0" w:line="240" w:lineRule="auto"/>
    </w:pPr>
    <w:rPr>
      <w:rFonts w:eastAsia="Batang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C22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2260"/>
    <w:rPr>
      <w:rFonts w:eastAsia="Batang"/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c23e632-fde4-4025-b236-33bd93ea92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292C45FF942440B4CDB46A250CAA8A" ma:contentTypeVersion="10" ma:contentTypeDescription="Create a new document." ma:contentTypeScope="" ma:versionID="bcd9693592f90a374f723c3b0a6adcae">
  <xsd:schema xmlns:xsd="http://www.w3.org/2001/XMLSchema" xmlns:xs="http://www.w3.org/2001/XMLSchema" xmlns:p="http://schemas.microsoft.com/office/2006/metadata/properties" xmlns:ns3="ac23e632-fde4-4025-b236-33bd93ea920b" targetNamespace="http://schemas.microsoft.com/office/2006/metadata/properties" ma:root="true" ma:fieldsID="52b17c5c3d0faa96afeefc094c6b3366" ns3:_="">
    <xsd:import namespace="ac23e632-fde4-4025-b236-33bd93ea920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e632-fde4-4025-b236-33bd93ea920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B76E73-AA87-45DA-95E7-F3E70C02B523}">
  <ds:schemaRefs>
    <ds:schemaRef ds:uri="ac23e632-fde4-4025-b236-33bd93ea920b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C2A3632-4075-4BFA-AA40-8824088889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B55F8-4E86-4F7B-8241-BD654D6BA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3e632-fde4-4025-b236-33bd93ea9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Organization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Morgenstern, Yael</dc:creator>
  <cp:keywords/>
  <dc:description/>
  <cp:lastModifiedBy>Morgenstern, Yael</cp:lastModifiedBy>
  <cp:revision>3</cp:revision>
  <dcterms:created xsi:type="dcterms:W3CDTF">2025-10-20T15:08:00Z</dcterms:created>
  <dcterms:modified xsi:type="dcterms:W3CDTF">2025-10-20T15:09:00Z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0x01010043292C45FF942440B4CDB46A250CAA8A</vt:lpwstr>
  </property>
</Properties>
</file>