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E74C9" w14:textId="618351B4" w:rsidR="008532CD" w:rsidRPr="001C4371" w:rsidRDefault="008532CD" w:rsidP="008532CD">
      <w:pPr>
        <w:jc w:val="center"/>
        <w:rPr>
          <w:rFonts w:ascii="Times New Roman" w:hAnsi="Times New Roman" w:cs="Times New Roman"/>
          <w:b/>
          <w:bCs/>
        </w:rPr>
      </w:pPr>
      <w:r w:rsidRPr="001C4371">
        <w:rPr>
          <w:rFonts w:ascii="Times New Roman" w:hAnsi="Times New Roman" w:cs="Times New Roman"/>
          <w:b/>
          <w:bCs/>
        </w:rPr>
        <w:t>Multi-omics analysis of exosomes induced by ischemic stimulation</w:t>
      </w:r>
    </w:p>
    <w:p w14:paraId="05E263E6" w14:textId="77777777" w:rsidR="00465CD5" w:rsidRPr="001C4371" w:rsidRDefault="00465CD5" w:rsidP="008532CD">
      <w:pPr>
        <w:jc w:val="center"/>
        <w:rPr>
          <w:rFonts w:ascii="Times New Roman" w:hAnsi="Times New Roman" w:cs="Times New Roman"/>
          <w:b/>
          <w:bCs/>
          <w:color w:val="0E101A"/>
        </w:rPr>
      </w:pPr>
    </w:p>
    <w:p w14:paraId="22103C53" w14:textId="211EC4DC" w:rsidR="006E2B73" w:rsidRPr="001C4371" w:rsidRDefault="008532CD" w:rsidP="008532CD">
      <w:pPr>
        <w:jc w:val="center"/>
        <w:rPr>
          <w:rFonts w:ascii="Times New Roman" w:hAnsi="Times New Roman" w:cs="Times New Roman"/>
          <w:b/>
          <w:bCs/>
        </w:rPr>
      </w:pPr>
      <w:r w:rsidRPr="001C4371">
        <w:rPr>
          <w:rFonts w:ascii="Times New Roman" w:hAnsi="Times New Roman" w:cs="Times New Roman"/>
          <w:b/>
          <w:bCs/>
        </w:rPr>
        <w:t>Supplementary Information</w:t>
      </w:r>
    </w:p>
    <w:p w14:paraId="3472F3A1" w14:textId="38F93ACF" w:rsidR="008532CD" w:rsidRPr="001C4371" w:rsidRDefault="008532CD"/>
    <w:p w14:paraId="5761E099" w14:textId="21977A17" w:rsidR="008532CD" w:rsidRPr="001C4371" w:rsidRDefault="008532CD" w:rsidP="008532CD">
      <w:pPr>
        <w:rPr>
          <w:rFonts w:ascii="Times New Roman" w:hAnsi="Times New Roman" w:cs="Times New Roman"/>
        </w:rPr>
      </w:pPr>
      <w:r w:rsidRPr="001C4371">
        <w:rPr>
          <w:rFonts w:ascii="Times New Roman" w:hAnsi="Times New Roman"/>
          <w:b/>
        </w:rPr>
        <w:t>Supplementary Table 1.</w:t>
      </w:r>
      <w:r w:rsidRPr="001C4371">
        <w:rPr>
          <w:rFonts w:ascii="Times New Roman" w:hAnsi="Times New Roman" w:cs="Times New Roman"/>
        </w:rPr>
        <w:t xml:space="preserve"> Annotation of each protein related to inflammation in </w:t>
      </w:r>
      <w:r w:rsidR="007C4BF9">
        <w:rPr>
          <w:rFonts w:ascii="Times New Roman" w:hAnsi="Times New Roman" w:cs="Times New Roman"/>
        </w:rPr>
        <w:t>gene ontology (</w:t>
      </w:r>
      <w:r w:rsidRPr="001C4371">
        <w:rPr>
          <w:rFonts w:ascii="Times New Roman" w:hAnsi="Times New Roman" w:cs="Times New Roman"/>
        </w:rPr>
        <w:t>GO</w:t>
      </w:r>
      <w:r w:rsidR="007C4BF9">
        <w:rPr>
          <w:rFonts w:ascii="Times New Roman" w:hAnsi="Times New Roman" w:cs="Times New Roman"/>
        </w:rPr>
        <w:t>)</w:t>
      </w:r>
      <w:r w:rsidRPr="001C4371">
        <w:rPr>
          <w:rFonts w:ascii="Times New Roman" w:hAnsi="Times New Roman" w:cs="Times New Roman"/>
        </w:rPr>
        <w:t xml:space="preserve"> terms. The annotation was obtained from UniProt database (</w:t>
      </w:r>
      <w:hyperlink r:id="rId5" w:history="1">
        <w:r w:rsidRPr="001C4371">
          <w:rPr>
            <w:rStyle w:val="a3"/>
            <w:rFonts w:ascii="Times New Roman" w:hAnsi="Times New Roman"/>
          </w:rPr>
          <w:t>https://www.uniprot.org/</w:t>
        </w:r>
      </w:hyperlink>
      <w:r w:rsidRPr="001C4371">
        <w:rPr>
          <w:rFonts w:ascii="Times New Roman" w:hAnsi="Times New Roman" w:cs="Times New Roman"/>
        </w:rPr>
        <w:t>).</w:t>
      </w:r>
    </w:p>
    <w:p w14:paraId="60F23F3F" w14:textId="77777777" w:rsidR="008532CD" w:rsidRPr="001C4371" w:rsidRDefault="008532CD" w:rsidP="008532CD">
      <w:pPr>
        <w:rPr>
          <w:rFonts w:ascii="Times New Roman" w:hAnsi="Times New Roman" w:cs="Times New Roman"/>
        </w:rPr>
      </w:pPr>
    </w:p>
    <w:tbl>
      <w:tblPr>
        <w:tblStyle w:val="a5"/>
        <w:tblW w:w="8488" w:type="dxa"/>
        <w:tblLook w:val="04A0" w:firstRow="1" w:lastRow="0" w:firstColumn="1" w:lastColumn="0" w:noHBand="0" w:noVBand="1"/>
      </w:tblPr>
      <w:tblGrid>
        <w:gridCol w:w="1413"/>
        <w:gridCol w:w="7075"/>
      </w:tblGrid>
      <w:tr w:rsidR="008532CD" w:rsidRPr="001C4371" w14:paraId="10840131" w14:textId="77777777" w:rsidTr="00800223">
        <w:tc>
          <w:tcPr>
            <w:tcW w:w="1413" w:type="dxa"/>
            <w:vAlign w:val="center"/>
          </w:tcPr>
          <w:p w14:paraId="487142C8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Protein</w:t>
            </w:r>
          </w:p>
        </w:tc>
        <w:tc>
          <w:tcPr>
            <w:tcW w:w="7075" w:type="dxa"/>
            <w:vAlign w:val="center"/>
          </w:tcPr>
          <w:p w14:paraId="3C1BC5E7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Annotation</w:t>
            </w:r>
          </w:p>
        </w:tc>
      </w:tr>
      <w:tr w:rsidR="008532CD" w:rsidRPr="001C4371" w14:paraId="526352E9" w14:textId="77777777" w:rsidTr="00800223">
        <w:tc>
          <w:tcPr>
            <w:tcW w:w="1413" w:type="dxa"/>
            <w:vAlign w:val="center"/>
          </w:tcPr>
          <w:p w14:paraId="332E7936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PYGL</w:t>
            </w:r>
          </w:p>
        </w:tc>
        <w:tc>
          <w:tcPr>
            <w:tcW w:w="7075" w:type="dxa"/>
            <w:vAlign w:val="center"/>
          </w:tcPr>
          <w:p w14:paraId="18ECE03D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>Glycogen phosphorylase, liver form.</w:t>
            </w:r>
          </w:p>
        </w:tc>
      </w:tr>
      <w:tr w:rsidR="008532CD" w:rsidRPr="001C4371" w14:paraId="256FB398" w14:textId="77777777" w:rsidTr="00800223">
        <w:tc>
          <w:tcPr>
            <w:tcW w:w="1413" w:type="dxa"/>
            <w:vAlign w:val="center"/>
          </w:tcPr>
          <w:p w14:paraId="47708AD0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PYGB</w:t>
            </w:r>
          </w:p>
        </w:tc>
        <w:tc>
          <w:tcPr>
            <w:tcW w:w="7075" w:type="dxa"/>
            <w:vAlign w:val="center"/>
          </w:tcPr>
          <w:p w14:paraId="438A230E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>Glycogen phosphorylase, brain form; glycogen phosphorylase that regulates glycogen mobilization.</w:t>
            </w:r>
          </w:p>
        </w:tc>
      </w:tr>
      <w:tr w:rsidR="008532CD" w:rsidRPr="001C4371" w14:paraId="21E81F63" w14:textId="77777777" w:rsidTr="00800223">
        <w:tc>
          <w:tcPr>
            <w:tcW w:w="1413" w:type="dxa"/>
            <w:vAlign w:val="center"/>
          </w:tcPr>
          <w:p w14:paraId="49498A16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NAMPT</w:t>
            </w:r>
          </w:p>
        </w:tc>
        <w:tc>
          <w:tcPr>
            <w:tcW w:w="7075" w:type="dxa"/>
            <w:vAlign w:val="center"/>
          </w:tcPr>
          <w:p w14:paraId="25434CDA" w14:textId="79911C58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>Nicotinamide phosphoribosyltransferase; catalyzes the condensation of nicotinamide with 5</w:t>
            </w:r>
            <w:r w:rsidR="008B2D2D">
              <w:rPr>
                <w:rFonts w:ascii="Times New Roman" w:eastAsia="Hiragino Kaku Gothic ProN" w:hAnsi="Times New Roman" w:cs="Times New Roman"/>
                <w:color w:val="000000"/>
              </w:rPr>
              <w:t>-</w:t>
            </w: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phosphoribosyl-1-pyrophosphate to yield nicotinamide mononucleotide, an intermediate in the biosynthesis of NAD. </w:t>
            </w:r>
          </w:p>
        </w:tc>
      </w:tr>
      <w:tr w:rsidR="008532CD" w:rsidRPr="001C4371" w14:paraId="37610451" w14:textId="77777777" w:rsidTr="00800223">
        <w:tc>
          <w:tcPr>
            <w:tcW w:w="1413" w:type="dxa"/>
            <w:vAlign w:val="center"/>
          </w:tcPr>
          <w:p w14:paraId="6108EAC9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C3</w:t>
            </w:r>
          </w:p>
        </w:tc>
        <w:tc>
          <w:tcPr>
            <w:tcW w:w="7075" w:type="dxa"/>
            <w:vAlign w:val="center"/>
          </w:tcPr>
          <w:p w14:paraId="2E240859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Complement C3; C3 plays a central role in the activation of the complement system. Its processing by C3 convertase is the central reaction in both classical and alternative complement pathways. </w:t>
            </w:r>
          </w:p>
        </w:tc>
      </w:tr>
      <w:tr w:rsidR="008532CD" w:rsidRPr="001C4371" w14:paraId="583A0EBA" w14:textId="77777777" w:rsidTr="00800223">
        <w:tc>
          <w:tcPr>
            <w:tcW w:w="1413" w:type="dxa"/>
            <w:vAlign w:val="center"/>
          </w:tcPr>
          <w:p w14:paraId="1FEF63EE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ACLY</w:t>
            </w:r>
          </w:p>
        </w:tc>
        <w:tc>
          <w:tcPr>
            <w:tcW w:w="7075" w:type="dxa"/>
            <w:vAlign w:val="center"/>
          </w:tcPr>
          <w:p w14:paraId="3DD96665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>ATP-citrate synthase; ATP-citrate synthase is the primary enzyme responsible for the synthesis of cytosolic acetyl-CoA in many tissues. Has a central role in de novo lipid synthesis.</w:t>
            </w:r>
          </w:p>
        </w:tc>
      </w:tr>
      <w:tr w:rsidR="008532CD" w:rsidRPr="001C4371" w14:paraId="2E533B9D" w14:textId="77777777" w:rsidTr="00800223">
        <w:tc>
          <w:tcPr>
            <w:tcW w:w="1413" w:type="dxa"/>
            <w:vAlign w:val="center"/>
          </w:tcPr>
          <w:p w14:paraId="4653CDD6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PSMD3</w:t>
            </w:r>
          </w:p>
        </w:tc>
        <w:tc>
          <w:tcPr>
            <w:tcW w:w="7075" w:type="dxa"/>
            <w:vAlign w:val="center"/>
          </w:tcPr>
          <w:p w14:paraId="180C6389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26S proteasome non-ATPase regulatory subunit 3; component of the 26S proteasome, a multiprotein complex involved in the ATP-dependent degradation of ubiquitinated proteins. </w:t>
            </w:r>
          </w:p>
        </w:tc>
      </w:tr>
      <w:tr w:rsidR="008532CD" w:rsidRPr="001C4371" w14:paraId="373E982D" w14:textId="77777777" w:rsidTr="00800223">
        <w:tc>
          <w:tcPr>
            <w:tcW w:w="1413" w:type="dxa"/>
            <w:vAlign w:val="center"/>
          </w:tcPr>
          <w:p w14:paraId="4A22BC64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AGL</w:t>
            </w:r>
          </w:p>
        </w:tc>
        <w:tc>
          <w:tcPr>
            <w:tcW w:w="7075" w:type="dxa"/>
            <w:vAlign w:val="center"/>
          </w:tcPr>
          <w:p w14:paraId="31A237AC" w14:textId="43EDD0EB" w:rsidR="008532CD" w:rsidRPr="001C4371" w:rsidRDefault="001C4371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>Glycogen debranching enzyme; multifunctional enzyme acting as 1,4-alpha-D-glucan:1,4-alpha-D-glucan 4-alpha-D-glycosyltransferase and amylo-1,6-glucosidase in glycogen degradation.</w:t>
            </w:r>
          </w:p>
        </w:tc>
      </w:tr>
      <w:tr w:rsidR="008532CD" w:rsidRPr="001C4371" w14:paraId="32A2F3C8" w14:textId="77777777" w:rsidTr="00800223">
        <w:tc>
          <w:tcPr>
            <w:tcW w:w="1413" w:type="dxa"/>
            <w:vAlign w:val="center"/>
          </w:tcPr>
          <w:p w14:paraId="7760D641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DYNC1H1</w:t>
            </w:r>
          </w:p>
        </w:tc>
        <w:tc>
          <w:tcPr>
            <w:tcW w:w="7075" w:type="dxa"/>
            <w:vAlign w:val="center"/>
          </w:tcPr>
          <w:p w14:paraId="590868A2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Cytoplasmic dynein 1 heavy chain 1; cytoplasmic dynein 1 acts as a motor for the intracellular retrograde motility of vesicles and organelles along microtubules. </w:t>
            </w:r>
          </w:p>
        </w:tc>
      </w:tr>
      <w:tr w:rsidR="008532CD" w:rsidRPr="001C4371" w14:paraId="17276D12" w14:textId="77777777" w:rsidTr="00800223">
        <w:tc>
          <w:tcPr>
            <w:tcW w:w="1413" w:type="dxa"/>
            <w:vAlign w:val="center"/>
          </w:tcPr>
          <w:p w14:paraId="306F0CD5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XRCC6</w:t>
            </w:r>
          </w:p>
        </w:tc>
        <w:tc>
          <w:tcPr>
            <w:tcW w:w="7075" w:type="dxa"/>
            <w:vAlign w:val="center"/>
          </w:tcPr>
          <w:p w14:paraId="2F4C24AA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X-ray repair cross-complementing protein 6; single-stranded DNA-dependent ATP-dependent helicase. Has a role in chromosome translocation. </w:t>
            </w:r>
          </w:p>
        </w:tc>
      </w:tr>
      <w:tr w:rsidR="008532CD" w:rsidRPr="001C4371" w14:paraId="12BFA865" w14:textId="77777777" w:rsidTr="00800223">
        <w:tc>
          <w:tcPr>
            <w:tcW w:w="1413" w:type="dxa"/>
            <w:vAlign w:val="center"/>
          </w:tcPr>
          <w:p w14:paraId="5E9000D0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UBR4</w:t>
            </w:r>
          </w:p>
        </w:tc>
        <w:tc>
          <w:tcPr>
            <w:tcW w:w="7075" w:type="dxa"/>
            <w:vAlign w:val="center"/>
          </w:tcPr>
          <w:p w14:paraId="557C0B05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E3 ubiquitin-protein ligase UBR4; E3 ubiquitin-protein ligase, which is a component of the N-end rule pathway. Recognizes and binds to proteins bearing specific N-terminal residues that are destabilizing according to the N-end rule, leading to their ubiquitination and subsequent degradation. </w:t>
            </w:r>
          </w:p>
        </w:tc>
      </w:tr>
      <w:tr w:rsidR="008532CD" w:rsidRPr="001C4371" w14:paraId="4A404176" w14:textId="77777777" w:rsidTr="00800223">
        <w:tc>
          <w:tcPr>
            <w:tcW w:w="1413" w:type="dxa"/>
            <w:vAlign w:val="center"/>
          </w:tcPr>
          <w:p w14:paraId="5DABDB8B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DDX3X</w:t>
            </w:r>
          </w:p>
        </w:tc>
        <w:tc>
          <w:tcPr>
            <w:tcW w:w="7075" w:type="dxa"/>
            <w:vAlign w:val="center"/>
          </w:tcPr>
          <w:p w14:paraId="25124DD2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ATP-dependent RNA helicase DDX3X; multifunctional ATP-dependent RNA helicase. The ATPase activity can be stimulated by various ribo- and deoxynucleic acids indicative for a relaxed substrate specificity. </w:t>
            </w:r>
          </w:p>
        </w:tc>
      </w:tr>
      <w:tr w:rsidR="008532CD" w:rsidRPr="001C4371" w14:paraId="52DF1116" w14:textId="77777777" w:rsidTr="00800223">
        <w:tc>
          <w:tcPr>
            <w:tcW w:w="1413" w:type="dxa"/>
            <w:vAlign w:val="center"/>
          </w:tcPr>
          <w:p w14:paraId="1E1C3358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PSMC2</w:t>
            </w:r>
          </w:p>
        </w:tc>
        <w:tc>
          <w:tcPr>
            <w:tcW w:w="7075" w:type="dxa"/>
            <w:vAlign w:val="center"/>
          </w:tcPr>
          <w:p w14:paraId="3AEA8AE4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26S proteasome regulatory subunit 7; component of the 26S proteasome, a multiprotein complex involved in the ATP-dependent degradation of ubiquitinated proteins. </w:t>
            </w:r>
          </w:p>
        </w:tc>
      </w:tr>
      <w:tr w:rsidR="008532CD" w:rsidRPr="001C4371" w14:paraId="77D55A8A" w14:textId="77777777" w:rsidTr="00800223">
        <w:tc>
          <w:tcPr>
            <w:tcW w:w="1413" w:type="dxa"/>
            <w:vAlign w:val="center"/>
          </w:tcPr>
          <w:p w14:paraId="529F650A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CAPN1</w:t>
            </w:r>
          </w:p>
        </w:tc>
        <w:tc>
          <w:tcPr>
            <w:tcW w:w="7075" w:type="dxa"/>
            <w:vAlign w:val="center"/>
          </w:tcPr>
          <w:p w14:paraId="47F407A0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>Calpain-1 catalytic subunit; calcium-regulated non-lysosomal thiol-protease which catalyzes limited proteolysis of substrates involved in cytoskeletal remodeling and signal transduction; Belongs to the peptidase C2 family.</w:t>
            </w:r>
          </w:p>
        </w:tc>
      </w:tr>
      <w:tr w:rsidR="008532CD" w:rsidRPr="001C4371" w14:paraId="768A7254" w14:textId="77777777" w:rsidTr="00800223">
        <w:tc>
          <w:tcPr>
            <w:tcW w:w="1413" w:type="dxa"/>
            <w:vAlign w:val="center"/>
          </w:tcPr>
          <w:p w14:paraId="4EFF6308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CAND1</w:t>
            </w:r>
          </w:p>
        </w:tc>
        <w:tc>
          <w:tcPr>
            <w:tcW w:w="7075" w:type="dxa"/>
            <w:vAlign w:val="center"/>
          </w:tcPr>
          <w:p w14:paraId="36871056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Cullin-associated NEDD8-dissociated protein 1; key assembly factor of SCF (SKP1-CUL1-F-box protein) E3 ubiquitin ligase complexes that promotes the exchange of the substrate-recognition F-box subunit in SCF complexes, thereby playing a key role in the cellular repertoire of SCF complexes. </w:t>
            </w:r>
          </w:p>
        </w:tc>
      </w:tr>
      <w:tr w:rsidR="008532CD" w:rsidRPr="001C4371" w14:paraId="10006C7F" w14:textId="77777777" w:rsidTr="00800223">
        <w:tc>
          <w:tcPr>
            <w:tcW w:w="1413" w:type="dxa"/>
            <w:vAlign w:val="center"/>
          </w:tcPr>
          <w:p w14:paraId="3850FE79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b/>
                <w:bCs/>
                <w:color w:val="000000"/>
              </w:rPr>
              <w:t>CYFIP1</w:t>
            </w:r>
          </w:p>
        </w:tc>
        <w:tc>
          <w:tcPr>
            <w:tcW w:w="7075" w:type="dxa"/>
            <w:vAlign w:val="center"/>
          </w:tcPr>
          <w:p w14:paraId="163F2879" w14:textId="77777777" w:rsidR="008532CD" w:rsidRPr="001C4371" w:rsidRDefault="008532CD" w:rsidP="00800223">
            <w:pPr>
              <w:rPr>
                <w:rFonts w:ascii="Times New Roman" w:eastAsia="Hiragino Kaku Gothic ProN" w:hAnsi="Times New Roman" w:cs="Times New Roman"/>
                <w:color w:val="000000"/>
              </w:rPr>
            </w:pPr>
            <w:r w:rsidRPr="001C4371">
              <w:rPr>
                <w:rFonts w:ascii="Times New Roman" w:eastAsia="Hiragino Kaku Gothic ProN" w:hAnsi="Times New Roman" w:cs="Times New Roman"/>
                <w:color w:val="000000"/>
              </w:rPr>
              <w:t xml:space="preserve">Cytoplasmic FMR1-interacting protein 1; component of the CYFIP1-EIF4E-FMR1 complex which binds to the mRNA cap and mediates translational repression. In the CYFIP1-EIF4E-FMR1 complex this subunit is an adapter between EIF4E and FMR1. </w:t>
            </w:r>
          </w:p>
        </w:tc>
      </w:tr>
    </w:tbl>
    <w:p w14:paraId="7B4F0300" w14:textId="21C518BD" w:rsidR="008532CD" w:rsidRDefault="008532CD" w:rsidP="008532CD">
      <w:pPr>
        <w:rPr>
          <w:rFonts w:ascii="Times New Roman" w:hAnsi="Times New Roman" w:cs="Times New Roman"/>
        </w:rPr>
      </w:pPr>
    </w:p>
    <w:p w14:paraId="2152C5EE" w14:textId="6DE3B1FB" w:rsidR="00314D67" w:rsidRDefault="00314D67" w:rsidP="008532CD">
      <w:pPr>
        <w:rPr>
          <w:rFonts w:ascii="Times New Roman" w:hAnsi="Times New Roman" w:cs="Times New Roman"/>
        </w:rPr>
      </w:pPr>
    </w:p>
    <w:p w14:paraId="532FDF72" w14:textId="6E9BFC97" w:rsidR="00314D67" w:rsidRPr="001C4371" w:rsidRDefault="00314D67" w:rsidP="008532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36276F" wp14:editId="68377228">
            <wp:extent cx="5727700" cy="481838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1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3000D" w14:textId="1155592D" w:rsidR="008532CD" w:rsidRPr="001C4371" w:rsidRDefault="008532CD" w:rsidP="007E5B3B">
      <w:pPr>
        <w:widowControl w:val="0"/>
        <w:adjustRightInd w:val="0"/>
        <w:rPr>
          <w:rFonts w:ascii="Times New Roman" w:hAnsi="Times New Roman" w:cs="Times New Roman"/>
        </w:rPr>
      </w:pPr>
      <w:r w:rsidRPr="001C4371">
        <w:rPr>
          <w:rFonts w:ascii="Times New Roman" w:hAnsi="Times New Roman" w:cs="Times New Roman"/>
          <w:b/>
        </w:rPr>
        <w:t>Supplementary Figure 1. Identification and morphological characterization of exosomes.</w:t>
      </w:r>
      <w:r w:rsidRPr="001C4371">
        <w:rPr>
          <w:rFonts w:ascii="Times New Roman" w:eastAsiaTheme="minorEastAsia" w:hAnsi="Times New Roman" w:cs="Times New Roman"/>
        </w:rPr>
        <w:t xml:space="preserve"> The isolation of exosomes was confirmed via immunoblotting using </w:t>
      </w:r>
      <w:r w:rsidRPr="001C4371">
        <w:rPr>
          <w:rFonts w:ascii="Times New Roman" w:hAnsi="Times New Roman" w:cs="Times New Roman"/>
          <w:bCs/>
        </w:rPr>
        <w:t xml:space="preserve">Exo-Check </w:t>
      </w:r>
      <w:r w:rsidRPr="001C4371">
        <w:rPr>
          <w:rFonts w:ascii="Times New Roman" w:hAnsi="Times New Roman" w:cs="Times New Roman"/>
        </w:rPr>
        <w:t>Antibody Array, a transmission electron microscope</w:t>
      </w:r>
      <w:r w:rsidRPr="001C4371">
        <w:rPr>
          <w:rFonts w:ascii="Times New Roman" w:eastAsiaTheme="minorEastAsia" w:hAnsi="Times New Roman" w:cs="Times New Roman"/>
        </w:rPr>
        <w:t xml:space="preserve">, and </w:t>
      </w:r>
      <w:r w:rsidRPr="001C4371">
        <w:rPr>
          <w:rFonts w:ascii="Times New Roman" w:hAnsi="Times New Roman" w:cs="Times New Roman"/>
        </w:rPr>
        <w:t>nanoparticle tracking analysis.</w:t>
      </w:r>
    </w:p>
    <w:p w14:paraId="3C95BFAD" w14:textId="124ADBBB" w:rsidR="008532CD" w:rsidRPr="001C4371" w:rsidRDefault="008532CD" w:rsidP="007E5B3B">
      <w:pPr>
        <w:pStyle w:val="a4"/>
        <w:widowControl w:val="0"/>
        <w:adjustRightInd w:val="0"/>
        <w:ind w:leftChars="0" w:left="0"/>
        <w:rPr>
          <w:rFonts w:ascii="Times New Roman" w:hAnsi="Times New Roman" w:cs="Times New Roman"/>
          <w:bCs/>
        </w:rPr>
      </w:pPr>
      <w:r w:rsidRPr="001C4371">
        <w:rPr>
          <w:rFonts w:ascii="Times New Roman" w:hAnsi="Times New Roman" w:cs="Times New Roman"/>
          <w:bCs/>
        </w:rPr>
        <w:t xml:space="preserve">(A) The exosome compartments of the samples were placed into the pre-printed spots of </w:t>
      </w:r>
      <w:r w:rsidRPr="001C4371">
        <w:rPr>
          <w:rFonts w:ascii="Times New Roman" w:hAnsi="Times New Roman" w:cs="Times New Roman"/>
        </w:rPr>
        <w:t>eight</w:t>
      </w:r>
      <w:r w:rsidRPr="001C4371">
        <w:rPr>
          <w:rFonts w:ascii="Times New Roman" w:hAnsi="Times New Roman" w:cs="Times New Roman"/>
          <w:bCs/>
        </w:rPr>
        <w:t xml:space="preserve"> antibodies </w:t>
      </w:r>
      <w:r w:rsidRPr="001C4371">
        <w:rPr>
          <w:rFonts w:ascii="Times New Roman" w:hAnsi="Times New Roman" w:cs="Times New Roman"/>
        </w:rPr>
        <w:t>against</w:t>
      </w:r>
      <w:r w:rsidRPr="001C4371">
        <w:rPr>
          <w:rFonts w:ascii="Times New Roman" w:hAnsi="Times New Roman" w:cs="Times New Roman"/>
          <w:bCs/>
        </w:rPr>
        <w:t xml:space="preserve"> known exosome markers (FLOT1, ICAM, ALIX, CD81, CD63, EpCAM, TSG101, and ANXA5) and to the positive control and the blank (negative control) to examine the presence of exosome-specific proteins.</w:t>
      </w:r>
      <w:r w:rsidRPr="001C4371">
        <w:rPr>
          <w:rFonts w:ascii="Times New Roman" w:eastAsiaTheme="minorEastAsia" w:hAnsi="Times New Roman" w:cs="Times New Roman"/>
        </w:rPr>
        <w:t xml:space="preserve"> </w:t>
      </w:r>
      <w:r w:rsidRPr="001C4371">
        <w:rPr>
          <w:rFonts w:ascii="Times New Roman" w:eastAsia="Hiragino Kaku Gothic ProN" w:hAnsi="Times New Roman" w:cs="Times New Roman"/>
          <w:color w:val="000000"/>
        </w:rPr>
        <w:t>(B)</w:t>
      </w:r>
      <w:r w:rsidRPr="001C4371">
        <w:rPr>
          <w:rFonts w:ascii="Times New Roman" w:hAnsi="Times New Roman" w:cs="Times New Roman"/>
        </w:rPr>
        <w:t xml:space="preserve"> </w:t>
      </w:r>
      <w:r w:rsidRPr="001C4371">
        <w:rPr>
          <w:rFonts w:ascii="Times New Roman" w:eastAsia="Hiragino Kaku Gothic ProN" w:hAnsi="Times New Roman" w:cs="Times New Roman"/>
          <w:color w:val="000000"/>
        </w:rPr>
        <w:t>Representative images from transmission electron microscopy showed a typical cup-shape morphology of the exosomes. (C) The size distribution (black line) and its cumulative distribution (gray line) of exosomes were measured by n</w:t>
      </w:r>
      <w:r w:rsidRPr="001C4371">
        <w:rPr>
          <w:rFonts w:ascii="Times New Roman" w:hAnsi="Times New Roman" w:cs="Times New Roman"/>
        </w:rPr>
        <w:t>anoparticle tracking analysis.</w:t>
      </w:r>
    </w:p>
    <w:p w14:paraId="57E7183A" w14:textId="14981A50" w:rsidR="008532CD" w:rsidRPr="001C4371" w:rsidRDefault="00314D67" w:rsidP="008532C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  <w:noProof/>
        </w:rPr>
        <w:lastRenderedPageBreak/>
        <w:drawing>
          <wp:inline distT="0" distB="0" distL="0" distR="0" wp14:anchorId="2A36302D" wp14:editId="12D4DE7A">
            <wp:extent cx="5704890" cy="69723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9" t="4953" r="25025" b="8111"/>
                    <a:stretch/>
                  </pic:blipFill>
                  <pic:spPr bwMode="auto">
                    <a:xfrm>
                      <a:off x="0" y="0"/>
                      <a:ext cx="5745686" cy="7022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9954BE" w14:textId="77777777" w:rsidR="008532CD" w:rsidRPr="001C4371" w:rsidRDefault="008532CD" w:rsidP="008532CD">
      <w:pPr>
        <w:rPr>
          <w:rFonts w:ascii="Times New Roman" w:eastAsiaTheme="minorEastAsia" w:hAnsi="Times New Roman" w:cs="Times New Roman"/>
          <w:b/>
          <w:bCs/>
        </w:rPr>
      </w:pPr>
      <w:r w:rsidRPr="001C4371">
        <w:rPr>
          <w:rFonts w:ascii="Times New Roman" w:eastAsiaTheme="minorEastAsia" w:hAnsi="Times New Roman" w:cs="Times New Roman"/>
          <w:b/>
          <w:bCs/>
        </w:rPr>
        <w:t>Supplementary Figure 2. Heat map of protein expression changes after ischemic stimulation</w:t>
      </w:r>
    </w:p>
    <w:p w14:paraId="3054D78A" w14:textId="6A8A3DE8" w:rsidR="008532CD" w:rsidRPr="001C4371" w:rsidRDefault="008532CD" w:rsidP="007E5B3B">
      <w:pPr>
        <w:widowControl w:val="0"/>
        <w:adjustRightInd w:val="0"/>
        <w:rPr>
          <w:rFonts w:ascii="Times New Roman" w:hAnsi="Times New Roman" w:cs="Times New Roman"/>
        </w:rPr>
      </w:pPr>
      <w:r w:rsidRPr="001C4371">
        <w:rPr>
          <w:rFonts w:ascii="Times New Roman" w:eastAsiaTheme="minorEastAsia" w:hAnsi="Times New Roman" w:cs="Times New Roman"/>
        </w:rPr>
        <w:t xml:space="preserve">The protein contents of exosomes were extracted and quantified using </w:t>
      </w:r>
      <w:r w:rsidRPr="001C4371">
        <w:rPr>
          <w:rFonts w:ascii="Times New Roman" w:hAnsi="Times New Roman" w:cs="Times New Roman"/>
        </w:rPr>
        <w:t>high performance liquid chromatography–mass spectrometry.</w:t>
      </w:r>
      <w:r w:rsidRPr="001C4371">
        <w:rPr>
          <w:rFonts w:ascii="Times New Roman" w:eastAsiaTheme="minorEastAsia" w:hAnsi="Times New Roman" w:cs="Times New Roman"/>
        </w:rPr>
        <w:t xml:space="preserve"> </w:t>
      </w:r>
      <w:r w:rsidRPr="001C4371">
        <w:rPr>
          <w:rFonts w:ascii="Times New Roman" w:hAnsi="Times New Roman" w:cs="Times New Roman"/>
        </w:rPr>
        <w:t>A list of the proteins that showed more than a 2-fold increase/decrease and p&lt;0.01 (Student’s t-test) between the normoxia group and hypoxia group are shown. Values increase progressively from blue to red in the color scale.</w:t>
      </w:r>
    </w:p>
    <w:p w14:paraId="41DD8CCB" w14:textId="49EE0DB0" w:rsidR="008532CD" w:rsidRPr="001C4371" w:rsidRDefault="008532CD" w:rsidP="007E5B3B">
      <w:pPr>
        <w:widowControl w:val="0"/>
        <w:adjustRightInd w:val="0"/>
        <w:rPr>
          <w:rFonts w:ascii="Times New Roman" w:eastAsiaTheme="minorEastAsia" w:hAnsi="Times New Roman" w:cs="Times New Roman"/>
        </w:rPr>
      </w:pPr>
      <w:r w:rsidRPr="001C4371">
        <w:rPr>
          <w:rFonts w:ascii="Times New Roman" w:hAnsi="Times New Roman" w:cs="Times New Roman"/>
        </w:rPr>
        <w:t>N1, N2: normoxia samples, H1, H2: hypoxia samples.</w:t>
      </w:r>
    </w:p>
    <w:p w14:paraId="6CF7471E" w14:textId="77777777" w:rsidR="008532CD" w:rsidRPr="001C4371" w:rsidRDefault="008532CD"/>
    <w:sectPr w:rsidR="008532CD" w:rsidRPr="001C4371" w:rsidSect="00E55CE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iragino Kaku Gothic ProN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42613C"/>
    <w:multiLevelType w:val="multilevel"/>
    <w:tmpl w:val="08589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2CD"/>
    <w:rsid w:val="0004600A"/>
    <w:rsid w:val="00055826"/>
    <w:rsid w:val="001C4371"/>
    <w:rsid w:val="002031A1"/>
    <w:rsid w:val="00267A87"/>
    <w:rsid w:val="00300F1A"/>
    <w:rsid w:val="00314D67"/>
    <w:rsid w:val="00364F96"/>
    <w:rsid w:val="00465CD5"/>
    <w:rsid w:val="007C4BF9"/>
    <w:rsid w:val="007E5B3B"/>
    <w:rsid w:val="008532CD"/>
    <w:rsid w:val="008B2D2D"/>
    <w:rsid w:val="008D2689"/>
    <w:rsid w:val="00954FBC"/>
    <w:rsid w:val="009D17D3"/>
    <w:rsid w:val="00B05ED8"/>
    <w:rsid w:val="00C16FD2"/>
    <w:rsid w:val="00E34FE9"/>
    <w:rsid w:val="00E55CE7"/>
    <w:rsid w:val="00ED1244"/>
    <w:rsid w:val="00F00D74"/>
    <w:rsid w:val="00F466F5"/>
    <w:rsid w:val="00F70C59"/>
    <w:rsid w:val="00F7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D10AA6"/>
  <w15:chartTrackingRefBased/>
  <w15:docId w15:val="{12766D02-232A-6141-8EEF-E5F33E1E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ＭＳ 明朝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32C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532CD"/>
    <w:pPr>
      <w:ind w:leftChars="400" w:left="840"/>
    </w:pPr>
    <w:rPr>
      <w:rFonts w:ascii="ＭＳ Ｐゴシック" w:eastAsia="ＭＳ Ｐゴシック" w:hAnsi="ＭＳ Ｐゴシック" w:cs="ＭＳ Ｐゴシック"/>
      <w:lang w:eastAsia="ja-JP"/>
    </w:rPr>
  </w:style>
  <w:style w:type="paragraph" w:customStyle="1" w:styleId="csl-entry">
    <w:name w:val="csl-entry"/>
    <w:basedOn w:val="a"/>
    <w:rsid w:val="008532CD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lang w:eastAsia="ja-JP"/>
    </w:rPr>
  </w:style>
  <w:style w:type="table" w:styleId="a5">
    <w:name w:val="Table Grid"/>
    <w:basedOn w:val="a1"/>
    <w:uiPriority w:val="39"/>
    <w:rsid w:val="008532CD"/>
    <w:rPr>
      <w:rFonts w:eastAsiaTheme="minorEastAsia"/>
      <w:kern w:val="2"/>
      <w:sz w:val="21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8532CD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8532CD"/>
    <w:rPr>
      <w:rFonts w:ascii="ＭＳ Ｐゴシック" w:eastAsia="ＭＳ Ｐゴシック" w:hAnsi="ＭＳ Ｐゴシック" w:cs="ＭＳ Ｐゴシック"/>
      <w:sz w:val="20"/>
      <w:szCs w:val="20"/>
      <w:lang w:eastAsia="ja-JP"/>
    </w:rPr>
  </w:style>
  <w:style w:type="character" w:customStyle="1" w:styleId="a8">
    <w:name w:val="コメント文字列 (文字)"/>
    <w:basedOn w:val="a0"/>
    <w:link w:val="a7"/>
    <w:uiPriority w:val="99"/>
    <w:rsid w:val="008532CD"/>
    <w:rPr>
      <w:rFonts w:ascii="ＭＳ Ｐゴシック" w:eastAsia="ＭＳ Ｐゴシック" w:hAnsi="ＭＳ Ｐゴシック" w:cs="ＭＳ Ｐゴシック"/>
      <w:sz w:val="20"/>
      <w:szCs w:val="20"/>
      <w:lang w:val="en-US"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532CD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a">
    <w:name w:val="コメント内容 (文字)"/>
    <w:basedOn w:val="a8"/>
    <w:link w:val="a9"/>
    <w:uiPriority w:val="99"/>
    <w:semiHidden/>
    <w:rsid w:val="008532CD"/>
    <w:rPr>
      <w:rFonts w:ascii="ＭＳ Ｐゴシック" w:eastAsia="ＭＳ Ｐゴシック" w:hAnsi="ＭＳ Ｐゴシック" w:cs="ＭＳ Ｐゴシック"/>
      <w:b/>
      <w:bCs/>
      <w:sz w:val="20"/>
      <w:szCs w:val="20"/>
      <w:lang w:val="en-US" w:eastAsia="ja-JP"/>
    </w:rPr>
  </w:style>
  <w:style w:type="paragraph" w:styleId="ab">
    <w:name w:val="Balloon Text"/>
    <w:basedOn w:val="a"/>
    <w:link w:val="ac"/>
    <w:uiPriority w:val="99"/>
    <w:semiHidden/>
    <w:unhideWhenUsed/>
    <w:rsid w:val="001C4371"/>
    <w:rPr>
      <w:rFonts w:ascii="Segoe UI" w:hAnsi="Segoe UI" w:cs="Segoe U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C4371"/>
    <w:rPr>
      <w:rFonts w:ascii="Segoe UI" w:hAnsi="Segoe UI" w:cs="Segoe UI"/>
      <w:sz w:val="18"/>
      <w:szCs w:val="18"/>
      <w:lang w:val="en-US"/>
    </w:rPr>
  </w:style>
  <w:style w:type="character" w:styleId="ad">
    <w:name w:val="Placeholder Text"/>
    <w:basedOn w:val="a0"/>
    <w:uiPriority w:val="99"/>
    <w:semiHidden/>
    <w:rsid w:val="001C4371"/>
    <w:rPr>
      <w:color w:val="808080"/>
    </w:rPr>
  </w:style>
  <w:style w:type="character" w:styleId="ae">
    <w:name w:val="Unresolved Mention"/>
    <w:basedOn w:val="a0"/>
    <w:uiPriority w:val="99"/>
    <w:semiHidden/>
    <w:unhideWhenUsed/>
    <w:rsid w:val="001C4371"/>
    <w:rPr>
      <w:color w:val="605E5C"/>
      <w:shd w:val="clear" w:color="auto" w:fill="E1DFDD"/>
    </w:rPr>
  </w:style>
  <w:style w:type="paragraph" w:styleId="af">
    <w:name w:val="Revision"/>
    <w:hidden/>
    <w:uiPriority w:val="99"/>
    <w:semiHidden/>
    <w:rsid w:val="008D2689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58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https://www.uniprot.or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677</Words>
  <Characters>3860</Characters>
  <Application>Microsoft Office Word</Application>
  <DocSecurity>0</DocSecurity>
  <Lines>32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senda atsushi</cp:lastModifiedBy>
  <cp:revision>2</cp:revision>
  <cp:lastPrinted>2021-07-11T03:28:00Z</cp:lastPrinted>
  <dcterms:created xsi:type="dcterms:W3CDTF">2021-07-18T03:20:00Z</dcterms:created>
  <dcterms:modified xsi:type="dcterms:W3CDTF">2021-07-18T03:20:00Z</dcterms:modified>
</cp:coreProperties>
</file>