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01C91" w14:textId="50D0653E" w:rsidR="00FD7B0D" w:rsidRDefault="00FD7B0D" w:rsidP="00FD7B0D">
      <w:pPr>
        <w:pStyle w:val="SMHeading"/>
        <w:spacing w:line="360" w:lineRule="auto"/>
        <w:rPr>
          <w:b w:val="0"/>
          <w:bCs w:val="0"/>
          <w:sz w:val="28"/>
          <w:szCs w:val="28"/>
        </w:rPr>
      </w:pPr>
      <w:r w:rsidRPr="00FD7B0D">
        <w:rPr>
          <w:b w:val="0"/>
          <w:bCs w:val="0"/>
          <w:sz w:val="28"/>
          <w:szCs w:val="28"/>
        </w:rPr>
        <w:t>Supplementary Information</w:t>
      </w:r>
    </w:p>
    <w:p w14:paraId="25E26FB3" w14:textId="090C0925" w:rsidR="00BA6B4F" w:rsidRDefault="00BA6B4F" w:rsidP="00E82187">
      <w:pPr>
        <w:pStyle w:val="Authors"/>
        <w:spacing w:line="360" w:lineRule="auto"/>
        <w:jc w:val="both"/>
        <w:rPr>
          <w:b/>
          <w:bCs/>
          <w:kern w:val="28"/>
          <w:sz w:val="28"/>
          <w:szCs w:val="28"/>
        </w:rPr>
      </w:pPr>
      <w:r w:rsidRPr="00BA6B4F">
        <w:rPr>
          <w:b/>
          <w:bCs/>
          <w:kern w:val="28"/>
          <w:sz w:val="28"/>
          <w:szCs w:val="28"/>
        </w:rPr>
        <w:t xml:space="preserve">Real-time Dual-telescope Normalization for Absorption Muography: </w:t>
      </w:r>
      <w:proofErr w:type="gramStart"/>
      <w:r w:rsidRPr="00BA6B4F">
        <w:rPr>
          <w:b/>
          <w:bCs/>
          <w:kern w:val="28"/>
          <w:sz w:val="28"/>
          <w:szCs w:val="28"/>
        </w:rPr>
        <w:t>an</w:t>
      </w:r>
      <w:proofErr w:type="gramEnd"/>
      <w:r w:rsidRPr="00BA6B4F">
        <w:rPr>
          <w:b/>
          <w:bCs/>
          <w:kern w:val="28"/>
          <w:sz w:val="28"/>
          <w:szCs w:val="28"/>
        </w:rPr>
        <w:t xml:space="preserve"> Improved Density Estimation Approach</w:t>
      </w:r>
    </w:p>
    <w:p w14:paraId="16E4A585" w14:textId="77777777" w:rsidR="00BF10AD" w:rsidRPr="006B10E0" w:rsidRDefault="00BF10AD" w:rsidP="00BF10AD">
      <w:pPr>
        <w:pStyle w:val="Affiliation"/>
        <w:ind w:left="360"/>
        <w:jc w:val="left"/>
        <w:rPr>
          <w:rFonts w:asciiTheme="majorBidi" w:hAnsiTheme="majorBidi" w:cstheme="majorBidi"/>
          <w:b/>
        </w:rPr>
      </w:pPr>
      <w:r w:rsidRPr="006B10E0">
        <w:rPr>
          <w:rFonts w:asciiTheme="majorBidi" w:hAnsiTheme="majorBidi" w:cstheme="majorBidi"/>
          <w:b/>
        </w:rPr>
        <w:t>Hamid Basiri</w:t>
      </w:r>
      <w:r w:rsidRPr="006B10E0">
        <w:rPr>
          <w:rFonts w:asciiTheme="majorBidi" w:hAnsiTheme="majorBidi" w:cstheme="majorBidi"/>
          <w:b/>
          <w:vertAlign w:val="superscript"/>
        </w:rPr>
        <w:t>1*</w:t>
      </w:r>
      <w:r w:rsidRPr="006B10E0">
        <w:rPr>
          <w:rFonts w:asciiTheme="majorBidi" w:hAnsiTheme="majorBidi" w:cstheme="majorBidi"/>
          <w:b/>
        </w:rPr>
        <w:t>, Jun Matsushima</w:t>
      </w:r>
      <w:r w:rsidRPr="006B10E0">
        <w:rPr>
          <w:rFonts w:asciiTheme="majorBidi" w:hAnsiTheme="majorBidi" w:cstheme="majorBidi"/>
          <w:b/>
          <w:vertAlign w:val="superscript"/>
        </w:rPr>
        <w:t>1</w:t>
      </w:r>
      <w:r w:rsidRPr="006B10E0">
        <w:rPr>
          <w:rFonts w:asciiTheme="majorBidi" w:hAnsiTheme="majorBidi" w:cstheme="majorBidi"/>
          <w:b/>
        </w:rPr>
        <w:t>, Masashi Kodama</w:t>
      </w:r>
      <w:r w:rsidRPr="006B10E0">
        <w:rPr>
          <w:rFonts w:asciiTheme="majorBidi" w:hAnsiTheme="majorBidi" w:cstheme="majorBidi"/>
          <w:b/>
          <w:vertAlign w:val="superscript"/>
        </w:rPr>
        <w:t>1,2</w:t>
      </w:r>
      <w:r w:rsidRPr="003C60E2">
        <w:rPr>
          <w:rFonts w:asciiTheme="majorBidi" w:hAnsiTheme="majorBidi" w:cstheme="majorBidi"/>
          <w:b/>
        </w:rPr>
        <w:t>,</w:t>
      </w:r>
      <w:r>
        <w:rPr>
          <w:rFonts w:asciiTheme="majorBidi" w:hAnsiTheme="majorBidi" w:cstheme="majorBidi"/>
          <w:b/>
        </w:rPr>
        <w:t xml:space="preserve"> </w:t>
      </w:r>
      <w:r w:rsidRPr="006B10E0">
        <w:rPr>
          <w:rFonts w:asciiTheme="majorBidi" w:hAnsiTheme="majorBidi" w:cstheme="majorBidi"/>
          <w:b/>
        </w:rPr>
        <w:t>Toshiyuki Yokota</w:t>
      </w:r>
      <w:r w:rsidRPr="006B10E0">
        <w:rPr>
          <w:rFonts w:asciiTheme="majorBidi" w:hAnsiTheme="majorBidi" w:cstheme="majorBidi"/>
          <w:b/>
          <w:vertAlign w:val="superscript"/>
        </w:rPr>
        <w:t>2</w:t>
      </w:r>
      <w:r w:rsidRPr="006B10E0">
        <w:rPr>
          <w:rFonts w:asciiTheme="majorBidi" w:hAnsiTheme="majorBidi" w:cstheme="majorBidi"/>
          <w:b/>
        </w:rPr>
        <w:t>, Mohammed Y. Ali</w:t>
      </w:r>
      <w:r w:rsidRPr="006B10E0">
        <w:rPr>
          <w:rFonts w:asciiTheme="majorBidi" w:hAnsiTheme="majorBidi" w:cstheme="majorBidi"/>
          <w:b/>
          <w:vertAlign w:val="superscript"/>
        </w:rPr>
        <w:t>3</w:t>
      </w:r>
      <w:r w:rsidRPr="006B10E0">
        <w:rPr>
          <w:rFonts w:asciiTheme="majorBidi" w:hAnsiTheme="majorBidi" w:cstheme="majorBidi"/>
          <w:b/>
        </w:rPr>
        <w:t>, Fateh Bouchaala</w:t>
      </w:r>
      <w:r w:rsidRPr="006B10E0">
        <w:rPr>
          <w:rFonts w:asciiTheme="majorBidi" w:hAnsiTheme="majorBidi" w:cstheme="majorBidi"/>
          <w:b/>
          <w:vertAlign w:val="superscript"/>
        </w:rPr>
        <w:t>3</w:t>
      </w:r>
      <w:r w:rsidRPr="006B10E0">
        <w:rPr>
          <w:rFonts w:asciiTheme="majorBidi" w:hAnsiTheme="majorBidi" w:cstheme="majorBidi"/>
          <w:b/>
        </w:rPr>
        <w:t>,</w:t>
      </w:r>
      <w:r>
        <w:rPr>
          <w:rFonts w:asciiTheme="majorBidi" w:hAnsiTheme="majorBidi" w:cstheme="majorBidi"/>
          <w:b/>
        </w:rPr>
        <w:t xml:space="preserve"> </w:t>
      </w:r>
      <w:r w:rsidRPr="006B10E0">
        <w:rPr>
          <w:rFonts w:asciiTheme="majorBidi" w:hAnsiTheme="majorBidi" w:cstheme="majorBidi"/>
          <w:b/>
        </w:rPr>
        <w:t>Ahmed Eleslambouly</w:t>
      </w:r>
      <w:r w:rsidRPr="006B10E0">
        <w:rPr>
          <w:rFonts w:asciiTheme="majorBidi" w:hAnsiTheme="majorBidi" w:cstheme="majorBidi"/>
          <w:b/>
          <w:vertAlign w:val="superscript"/>
        </w:rPr>
        <w:t>3</w:t>
      </w:r>
      <w:r w:rsidRPr="006B10E0">
        <w:rPr>
          <w:rFonts w:asciiTheme="majorBidi" w:hAnsiTheme="majorBidi" w:cstheme="majorBidi"/>
          <w:b/>
        </w:rPr>
        <w:t>, Hiroyuki K.M. Tanaka</w:t>
      </w:r>
      <w:r w:rsidRPr="006B10E0">
        <w:rPr>
          <w:rFonts w:asciiTheme="majorBidi" w:hAnsiTheme="majorBidi" w:cstheme="majorBidi"/>
          <w:b/>
          <w:vertAlign w:val="superscript"/>
        </w:rPr>
        <w:t>4</w:t>
      </w:r>
      <w:r w:rsidRPr="006B10E0">
        <w:rPr>
          <w:rFonts w:asciiTheme="majorBidi" w:hAnsiTheme="majorBidi" w:cstheme="majorBidi"/>
          <w:b/>
        </w:rPr>
        <w:t>, Eduardo Cortina Gil</w:t>
      </w:r>
      <w:r w:rsidRPr="006B10E0">
        <w:rPr>
          <w:rFonts w:asciiTheme="majorBidi" w:hAnsiTheme="majorBidi" w:cstheme="majorBidi"/>
          <w:b/>
          <w:vertAlign w:val="superscript"/>
        </w:rPr>
        <w:t>5</w:t>
      </w:r>
      <w:r w:rsidRPr="006B10E0">
        <w:rPr>
          <w:rFonts w:asciiTheme="majorBidi" w:hAnsiTheme="majorBidi" w:cstheme="majorBidi"/>
          <w:b/>
        </w:rPr>
        <w:t>, Andrea Giammanco</w:t>
      </w:r>
      <w:r w:rsidRPr="006B10E0">
        <w:rPr>
          <w:rFonts w:asciiTheme="majorBidi" w:hAnsiTheme="majorBidi" w:cstheme="majorBidi"/>
          <w:b/>
          <w:vertAlign w:val="superscript"/>
        </w:rPr>
        <w:t>5</w:t>
      </w:r>
    </w:p>
    <w:p w14:paraId="5CAE8CDF" w14:textId="77777777" w:rsidR="00BF10AD" w:rsidRPr="00F62D11" w:rsidRDefault="00BF10AD" w:rsidP="00BF10AD">
      <w:pPr>
        <w:pStyle w:val="Affiliation"/>
        <w:ind w:left="360"/>
        <w:jc w:val="left"/>
        <w:rPr>
          <w:rFonts w:asciiTheme="majorBidi" w:hAnsiTheme="majorBidi" w:cstheme="majorBidi"/>
        </w:rPr>
      </w:pPr>
      <w:r w:rsidRPr="00F62D11">
        <w:rPr>
          <w:rFonts w:asciiTheme="majorBidi" w:hAnsiTheme="majorBidi" w:cstheme="majorBidi"/>
          <w:vertAlign w:val="superscript"/>
        </w:rPr>
        <w:t>1</w:t>
      </w:r>
      <w:r w:rsidRPr="00F62D11">
        <w:rPr>
          <w:rFonts w:asciiTheme="majorBidi" w:hAnsiTheme="majorBidi" w:cstheme="majorBidi"/>
        </w:rPr>
        <w:t>Department of Environment Systems, Graduate School of Frontier Sciences, The University of Tokyo, Tokyo, Japan.</w:t>
      </w:r>
    </w:p>
    <w:p w14:paraId="2F5F31A3" w14:textId="77777777" w:rsidR="00BF10AD" w:rsidRPr="00F62D11" w:rsidRDefault="00BF10AD" w:rsidP="00BF10AD">
      <w:pPr>
        <w:pStyle w:val="Affiliation"/>
        <w:ind w:left="360"/>
        <w:jc w:val="left"/>
        <w:rPr>
          <w:rFonts w:asciiTheme="majorBidi" w:hAnsiTheme="majorBidi" w:cstheme="majorBidi"/>
        </w:rPr>
      </w:pPr>
      <w:r w:rsidRPr="00F62D11">
        <w:rPr>
          <w:rFonts w:asciiTheme="majorBidi" w:hAnsiTheme="majorBidi" w:cstheme="majorBidi"/>
          <w:vertAlign w:val="superscript"/>
        </w:rPr>
        <w:t>2</w:t>
      </w:r>
      <w:r w:rsidRPr="00F62D11">
        <w:rPr>
          <w:rFonts w:asciiTheme="majorBidi" w:hAnsiTheme="majorBidi" w:cstheme="majorBidi"/>
        </w:rPr>
        <w:t>Geological Survey of Japan, National Institute of Advanced Industrial Science and Technology (AIST), Japan.</w:t>
      </w:r>
    </w:p>
    <w:p w14:paraId="71FFFFE5" w14:textId="77777777" w:rsidR="00BF10AD" w:rsidRPr="00F62D11" w:rsidRDefault="00BF10AD" w:rsidP="00BF10AD">
      <w:pPr>
        <w:pStyle w:val="Affiliation"/>
        <w:ind w:left="360"/>
        <w:jc w:val="left"/>
        <w:rPr>
          <w:rFonts w:asciiTheme="majorBidi" w:hAnsiTheme="majorBidi" w:cstheme="majorBidi"/>
        </w:rPr>
      </w:pPr>
      <w:r w:rsidRPr="00F62D11">
        <w:rPr>
          <w:rFonts w:asciiTheme="majorBidi" w:hAnsiTheme="majorBidi" w:cstheme="majorBidi"/>
          <w:vertAlign w:val="superscript"/>
        </w:rPr>
        <w:t>3</w:t>
      </w:r>
      <w:r w:rsidRPr="00F62D11">
        <w:rPr>
          <w:rFonts w:asciiTheme="majorBidi" w:hAnsiTheme="majorBidi" w:cstheme="majorBidi"/>
        </w:rPr>
        <w:t>Department of Earth Sciences, Khalifa University of Science and Technology, Abu Dhabi, United Arab Emirates.</w:t>
      </w:r>
    </w:p>
    <w:p w14:paraId="0508F18D" w14:textId="77777777" w:rsidR="00BF10AD" w:rsidRPr="00F62D11" w:rsidRDefault="00BF10AD" w:rsidP="00BF10AD">
      <w:pPr>
        <w:pStyle w:val="Affiliation"/>
        <w:ind w:left="360"/>
        <w:jc w:val="left"/>
        <w:rPr>
          <w:rFonts w:asciiTheme="majorBidi" w:hAnsiTheme="majorBidi" w:cstheme="majorBidi"/>
        </w:rPr>
      </w:pPr>
      <w:r w:rsidRPr="00F62D11">
        <w:rPr>
          <w:rFonts w:asciiTheme="majorBidi" w:hAnsiTheme="majorBidi" w:cstheme="majorBidi"/>
          <w:vertAlign w:val="superscript"/>
        </w:rPr>
        <w:t>4</w:t>
      </w:r>
      <w:r w:rsidRPr="00F62D11">
        <w:rPr>
          <w:rFonts w:asciiTheme="majorBidi" w:hAnsiTheme="majorBidi" w:cstheme="majorBidi"/>
        </w:rPr>
        <w:t>Earthquake Research Institute, The University of Tokyo, Tokyo, Japan.</w:t>
      </w:r>
    </w:p>
    <w:p w14:paraId="43275D5A" w14:textId="51E14E36" w:rsidR="00BF10AD" w:rsidRPr="001C5B8A" w:rsidRDefault="00BF10AD" w:rsidP="00BF10AD">
      <w:pPr>
        <w:pStyle w:val="Affiliation"/>
        <w:ind w:left="360"/>
        <w:jc w:val="left"/>
        <w:rPr>
          <w:rFonts w:asciiTheme="majorBidi" w:hAnsiTheme="majorBidi" w:cstheme="majorBidi"/>
          <w:lang w:val="fr-BE"/>
        </w:rPr>
      </w:pPr>
      <w:r w:rsidRPr="001C5B8A">
        <w:rPr>
          <w:rFonts w:asciiTheme="majorBidi" w:hAnsiTheme="majorBidi" w:cstheme="majorBidi"/>
          <w:vertAlign w:val="superscript"/>
          <w:lang w:val="fr-BE"/>
        </w:rPr>
        <w:t>5</w:t>
      </w:r>
      <w:r w:rsidRPr="001C5B8A">
        <w:rPr>
          <w:rFonts w:asciiTheme="majorBidi" w:hAnsiTheme="majorBidi" w:cstheme="majorBidi"/>
          <w:lang w:val="fr-BE"/>
        </w:rPr>
        <w:t xml:space="preserve">Centre for </w:t>
      </w:r>
      <w:proofErr w:type="spellStart"/>
      <w:r w:rsidRPr="001C5B8A">
        <w:rPr>
          <w:rFonts w:asciiTheme="majorBidi" w:hAnsiTheme="majorBidi" w:cstheme="majorBidi"/>
          <w:lang w:val="fr-BE"/>
        </w:rPr>
        <w:t>Cosmology</w:t>
      </w:r>
      <w:proofErr w:type="spellEnd"/>
      <w:r w:rsidRPr="001C5B8A">
        <w:rPr>
          <w:rFonts w:asciiTheme="majorBidi" w:hAnsiTheme="majorBidi" w:cstheme="majorBidi"/>
          <w:lang w:val="fr-BE"/>
        </w:rPr>
        <w:t xml:space="preserve">, </w:t>
      </w:r>
      <w:proofErr w:type="spellStart"/>
      <w:r w:rsidRPr="001C5B8A">
        <w:rPr>
          <w:rFonts w:asciiTheme="majorBidi" w:hAnsiTheme="majorBidi" w:cstheme="majorBidi"/>
          <w:lang w:val="fr-BE"/>
        </w:rPr>
        <w:t>Particle</w:t>
      </w:r>
      <w:proofErr w:type="spellEnd"/>
      <w:r w:rsidRPr="001C5B8A">
        <w:rPr>
          <w:rFonts w:asciiTheme="majorBidi" w:hAnsiTheme="majorBidi" w:cstheme="majorBidi"/>
          <w:lang w:val="fr-BE"/>
        </w:rPr>
        <w:t xml:space="preserve"> </w:t>
      </w:r>
      <w:proofErr w:type="spellStart"/>
      <w:r w:rsidRPr="001C5B8A">
        <w:rPr>
          <w:rFonts w:asciiTheme="majorBidi" w:hAnsiTheme="majorBidi" w:cstheme="majorBidi"/>
          <w:lang w:val="fr-BE"/>
        </w:rPr>
        <w:t>Physics</w:t>
      </w:r>
      <w:proofErr w:type="spellEnd"/>
      <w:r w:rsidRPr="001C5B8A">
        <w:rPr>
          <w:rFonts w:asciiTheme="majorBidi" w:hAnsiTheme="majorBidi" w:cstheme="majorBidi"/>
          <w:lang w:val="fr-BE"/>
        </w:rPr>
        <w:t xml:space="preserve"> and </w:t>
      </w:r>
      <w:proofErr w:type="spellStart"/>
      <w:r w:rsidRPr="001C5B8A">
        <w:rPr>
          <w:rFonts w:asciiTheme="majorBidi" w:hAnsiTheme="majorBidi" w:cstheme="majorBidi"/>
          <w:lang w:val="fr-BE"/>
        </w:rPr>
        <w:t>Phenomenology</w:t>
      </w:r>
      <w:proofErr w:type="spellEnd"/>
      <w:r w:rsidRPr="001C5B8A">
        <w:rPr>
          <w:rFonts w:asciiTheme="majorBidi" w:hAnsiTheme="majorBidi" w:cstheme="majorBidi"/>
          <w:lang w:val="fr-BE"/>
        </w:rPr>
        <w:t xml:space="preserve">, </w:t>
      </w:r>
      <w:r w:rsidR="001C5B8A">
        <w:rPr>
          <w:rFonts w:asciiTheme="majorBidi" w:hAnsiTheme="majorBidi" w:cstheme="majorBidi"/>
          <w:lang w:val="fr-BE"/>
        </w:rPr>
        <w:t>Université</w:t>
      </w:r>
      <w:r w:rsidRPr="001C5B8A">
        <w:rPr>
          <w:rFonts w:asciiTheme="majorBidi" w:hAnsiTheme="majorBidi" w:cstheme="majorBidi"/>
          <w:lang w:val="fr-BE"/>
        </w:rPr>
        <w:t xml:space="preserve"> catholique de Louvain (UCLouvain), Chemin du Cyclotron 2, Louvain-la-Neuve, B-1348, </w:t>
      </w:r>
      <w:proofErr w:type="spellStart"/>
      <w:r w:rsidRPr="001C5B8A">
        <w:rPr>
          <w:rFonts w:asciiTheme="majorBidi" w:hAnsiTheme="majorBidi" w:cstheme="majorBidi"/>
          <w:lang w:val="fr-BE"/>
        </w:rPr>
        <w:t>Belgium</w:t>
      </w:r>
      <w:proofErr w:type="spellEnd"/>
      <w:r w:rsidRPr="001C5B8A">
        <w:rPr>
          <w:rFonts w:asciiTheme="majorBidi" w:hAnsiTheme="majorBidi" w:cstheme="majorBidi"/>
          <w:lang w:val="fr-BE"/>
        </w:rPr>
        <w:t>.</w:t>
      </w:r>
    </w:p>
    <w:p w14:paraId="58352933" w14:textId="77777777" w:rsidR="00BF10AD" w:rsidRPr="001C5B8A" w:rsidRDefault="00BF10AD" w:rsidP="00BF10AD">
      <w:pPr>
        <w:pStyle w:val="Affiliation"/>
        <w:ind w:left="360"/>
        <w:jc w:val="left"/>
        <w:rPr>
          <w:rFonts w:asciiTheme="majorBidi" w:hAnsiTheme="majorBidi" w:cstheme="majorBidi"/>
          <w:lang w:val="fr-BE"/>
        </w:rPr>
      </w:pPr>
    </w:p>
    <w:p w14:paraId="0A7A6BC3" w14:textId="77777777" w:rsidR="00BF10AD" w:rsidRPr="00BE02FA" w:rsidRDefault="00BF10AD" w:rsidP="00BF10AD">
      <w:pPr>
        <w:pStyle w:val="NoSpacing"/>
        <w:spacing w:line="360" w:lineRule="auto"/>
        <w:ind w:left="36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BE02FA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</w:rPr>
        <w:t xml:space="preserve">* </w:t>
      </w:r>
      <w:r w:rsidRPr="00BE02FA">
        <w:rPr>
          <w:rFonts w:ascii="Times New Roman" w:eastAsia="Calibri" w:hAnsi="Times New Roman" w:cs="Times New Roman"/>
          <w:i/>
          <w:iCs/>
          <w:sz w:val="24"/>
          <w:szCs w:val="24"/>
        </w:rPr>
        <w:t>Corresponding author</w:t>
      </w:r>
    </w:p>
    <w:p w14:paraId="1584D057" w14:textId="77777777" w:rsidR="00BF10AD" w:rsidRPr="00BE02FA" w:rsidRDefault="00BF10AD" w:rsidP="00BF10AD">
      <w:pPr>
        <w:pStyle w:val="NoSpacing"/>
        <w:spacing w:line="360" w:lineRule="auto"/>
        <w:ind w:left="360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en-GB"/>
        </w:rPr>
      </w:pPr>
      <w:r w:rsidRPr="00BE02FA">
        <w:rPr>
          <w:rFonts w:ascii="Times New Roman" w:eastAsia="Calibri" w:hAnsi="Times New Roman" w:cs="Times New Roman"/>
          <w:i/>
          <w:iCs/>
          <w:sz w:val="24"/>
          <w:szCs w:val="24"/>
        </w:rPr>
        <w:t>Email</w:t>
      </w:r>
      <w:r w:rsidRPr="00BE02FA">
        <w:rPr>
          <w:rFonts w:asciiTheme="majorBidi" w:eastAsia="Calibri" w:hAnsiTheme="majorBidi" w:cstheme="majorBidi"/>
          <w:i/>
          <w:iCs/>
          <w:sz w:val="24"/>
          <w:szCs w:val="24"/>
        </w:rPr>
        <w:t>:</w:t>
      </w:r>
      <w:r w:rsidRPr="00BE02FA">
        <w:rPr>
          <w:rFonts w:asciiTheme="majorBidi" w:eastAsia="Calibri" w:hAnsiTheme="majorBidi" w:cstheme="majorBidi"/>
          <w:b/>
          <w:bCs/>
          <w:i/>
          <w:iCs/>
          <w:sz w:val="24"/>
          <w:szCs w:val="24"/>
          <w:lang w:bidi="ar-EG"/>
        </w:rPr>
        <w:t xml:space="preserve"> </w:t>
      </w:r>
      <w:proofErr w:type="gramStart"/>
      <w:r w:rsidRPr="00BE02FA">
        <w:rPr>
          <w:rFonts w:asciiTheme="majorBidi" w:hAnsiTheme="majorBidi" w:cstheme="majorBidi"/>
          <w:i/>
          <w:iCs/>
          <w:sz w:val="24"/>
          <w:szCs w:val="24"/>
        </w:rPr>
        <w:t>Basiri.hamid@edu.k.u-tokyo.ac.jp;</w:t>
      </w:r>
      <w:proofErr w:type="gramEnd"/>
    </w:p>
    <w:p w14:paraId="74610620" w14:textId="756BF99E" w:rsidR="002278F5" w:rsidRPr="00F65B09" w:rsidRDefault="00FD7B0D" w:rsidP="00F65B09">
      <w:pPr>
        <w:spacing w:after="160" w:line="259" w:lineRule="auto"/>
        <w:rPr>
          <w:rFonts w:eastAsia="Times New Roman"/>
          <w:color w:val="0000FF"/>
          <w:sz w:val="24"/>
          <w:szCs w:val="24"/>
          <w:u w:val="single"/>
        </w:rPr>
      </w:pPr>
      <w:r>
        <w:rPr>
          <w:rStyle w:val="Hyperlink"/>
        </w:rPr>
        <w:br w:type="page"/>
      </w:r>
    </w:p>
    <w:p w14:paraId="7A258A17" w14:textId="77777777" w:rsidR="004701A9" w:rsidRDefault="004701A9" w:rsidP="00F65B09">
      <w:pPr>
        <w:jc w:val="center"/>
        <w:rPr>
          <w:rFonts w:asciiTheme="majorBidi" w:hAnsiTheme="majorBidi" w:cstheme="majorBidi"/>
        </w:rPr>
      </w:pPr>
    </w:p>
    <w:p w14:paraId="5CE1D9D5" w14:textId="5D864B00" w:rsidR="00536F8F" w:rsidRPr="0013102B" w:rsidRDefault="007D13C9" w:rsidP="00666394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commentRangeStart w:id="0"/>
      <w:commentRangeStart w:id="1"/>
      <w:r w:rsidRPr="0013102B">
        <w:rPr>
          <w:rFonts w:asciiTheme="majorBidi" w:hAnsiTheme="majorBidi" w:cstheme="majorBidi"/>
          <w:sz w:val="24"/>
          <w:szCs w:val="24"/>
        </w:rPr>
        <w:t xml:space="preserve">Supplementary </w:t>
      </w:r>
      <w:r w:rsidR="00536F8F" w:rsidRPr="0013102B">
        <w:rPr>
          <w:rFonts w:asciiTheme="majorBidi" w:hAnsiTheme="majorBidi" w:cstheme="majorBidi"/>
          <w:sz w:val="24"/>
          <w:szCs w:val="24"/>
        </w:rPr>
        <w:t>Fig</w:t>
      </w:r>
      <w:r w:rsidR="00AF2828" w:rsidRPr="0013102B">
        <w:rPr>
          <w:rFonts w:asciiTheme="majorBidi" w:hAnsiTheme="majorBidi" w:cstheme="majorBidi"/>
          <w:sz w:val="24"/>
          <w:szCs w:val="24"/>
        </w:rPr>
        <w:t>ure</w:t>
      </w:r>
      <w:r w:rsidR="00536F8F" w:rsidRPr="0013102B">
        <w:rPr>
          <w:rFonts w:asciiTheme="majorBidi" w:hAnsiTheme="majorBidi" w:cstheme="majorBidi"/>
          <w:sz w:val="24"/>
          <w:szCs w:val="24"/>
        </w:rPr>
        <w:t xml:space="preserve"> 1 shows a detector unit, and Table 1 summarizes key features of the detector components.</w:t>
      </w:r>
      <w:commentRangeEnd w:id="0"/>
      <w:r w:rsidR="003915EA" w:rsidRPr="0013102B">
        <w:rPr>
          <w:rFonts w:asciiTheme="majorBidi" w:hAnsiTheme="majorBidi" w:cstheme="majorBidi"/>
          <w:sz w:val="24"/>
          <w:szCs w:val="24"/>
        </w:rPr>
        <w:commentReference w:id="0"/>
      </w:r>
      <w:commentRangeEnd w:id="1"/>
      <w:r w:rsidR="00B549B2" w:rsidRPr="0013102B">
        <w:rPr>
          <w:rFonts w:asciiTheme="majorBidi" w:hAnsiTheme="majorBidi" w:cstheme="majorBidi"/>
          <w:sz w:val="24"/>
          <w:szCs w:val="24"/>
        </w:rPr>
        <w:commentReference w:id="1"/>
      </w:r>
    </w:p>
    <w:p w14:paraId="5F6E9AAA" w14:textId="77777777" w:rsidR="00536F8F" w:rsidRPr="007808C2" w:rsidRDefault="00536F8F" w:rsidP="00E24294">
      <w:pPr>
        <w:spacing w:after="72" w:line="259" w:lineRule="auto"/>
        <w:jc w:val="center"/>
        <w:rPr>
          <w:rFonts w:asciiTheme="majorBidi" w:hAnsiTheme="majorBidi" w:cstheme="majorBidi"/>
        </w:rPr>
      </w:pPr>
      <w:r w:rsidRPr="007808C2">
        <w:rPr>
          <w:rFonts w:asciiTheme="majorBidi" w:hAnsiTheme="majorBidi" w:cstheme="majorBidi"/>
          <w:noProof/>
        </w:rPr>
        <w:drawing>
          <wp:inline distT="0" distB="0" distL="0" distR="0" wp14:anchorId="2E51BE46" wp14:editId="25ABF3D8">
            <wp:extent cx="4539071" cy="2090057"/>
            <wp:effectExtent l="0" t="0" r="0" b="5715"/>
            <wp:docPr id="2370" name="Picture 2370" descr="A black plastic bag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" name="Picture 2370" descr="A black plastic bag with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6265" cy="209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BA33C" w14:textId="590C41E1" w:rsidR="00A0313C" w:rsidRDefault="00A0313C" w:rsidP="00972312">
      <w:pPr>
        <w:spacing w:line="360" w:lineRule="auto"/>
        <w:jc w:val="both"/>
        <w:rPr>
          <w:rFonts w:asciiTheme="majorBidi" w:hAnsiTheme="majorBidi" w:cstheme="majorBidi"/>
        </w:rPr>
      </w:pPr>
      <w:r w:rsidRPr="008C2EA9">
        <w:rPr>
          <w:rFonts w:asciiTheme="majorBidi" w:hAnsiTheme="majorBidi" w:cstheme="majorBidi"/>
          <w:b/>
          <w:bCs/>
        </w:rPr>
        <w:t>Supplementary Fig</w:t>
      </w:r>
      <w:r w:rsidR="008E03F6">
        <w:rPr>
          <w:rFonts w:asciiTheme="majorBidi" w:hAnsiTheme="majorBidi" w:cstheme="majorBidi"/>
          <w:b/>
          <w:bCs/>
        </w:rPr>
        <w:t>ure</w:t>
      </w:r>
      <w:r w:rsidRPr="008C2EA9">
        <w:rPr>
          <w:rFonts w:asciiTheme="majorBidi" w:hAnsiTheme="majorBidi" w:cstheme="majorBidi"/>
          <w:b/>
          <w:bCs/>
        </w:rPr>
        <w:t xml:space="preserve"> 1 | </w:t>
      </w:r>
      <w:r w:rsidR="008C2EA9" w:rsidRPr="008C2EA9">
        <w:rPr>
          <w:rFonts w:asciiTheme="majorBidi" w:hAnsiTheme="majorBidi" w:cstheme="majorBidi"/>
          <w:b/>
          <w:bCs/>
        </w:rPr>
        <w:t>PMT</w:t>
      </w:r>
      <w:r w:rsidR="00D4789E">
        <w:rPr>
          <w:rFonts w:asciiTheme="majorBidi" w:hAnsiTheme="majorBidi" w:cstheme="majorBidi"/>
          <w:b/>
          <w:bCs/>
        </w:rPr>
        <w:t>-</w:t>
      </w:r>
      <w:r w:rsidR="008C2EA9" w:rsidRPr="008C2EA9">
        <w:rPr>
          <w:rFonts w:asciiTheme="majorBidi" w:hAnsiTheme="majorBidi" w:cstheme="majorBidi"/>
          <w:b/>
          <w:bCs/>
        </w:rPr>
        <w:t>scintillator detector configuration</w:t>
      </w:r>
      <w:r w:rsidRPr="008C2EA9">
        <w:rPr>
          <w:rFonts w:asciiTheme="majorBidi" w:hAnsiTheme="majorBidi" w:cstheme="majorBidi"/>
          <w:b/>
          <w:bCs/>
        </w:rPr>
        <w:t>.</w:t>
      </w:r>
      <w:r w:rsidR="00972312">
        <w:rPr>
          <w:rFonts w:asciiTheme="majorBidi" w:hAnsiTheme="majorBidi" w:cstheme="majorBidi"/>
          <w:b/>
          <w:bCs/>
        </w:rPr>
        <w:t xml:space="preserve"> </w:t>
      </w:r>
      <w:r w:rsidR="00972312" w:rsidRPr="00972312">
        <w:rPr>
          <w:rFonts w:asciiTheme="majorBidi" w:hAnsiTheme="majorBidi" w:cstheme="majorBidi"/>
        </w:rPr>
        <w:t>A photograph of the</w:t>
      </w:r>
      <w:r w:rsidRPr="008C2EA9">
        <w:rPr>
          <w:rFonts w:asciiTheme="majorBidi" w:hAnsiTheme="majorBidi" w:cstheme="majorBidi"/>
          <w:b/>
          <w:bCs/>
        </w:rPr>
        <w:t xml:space="preserve"> </w:t>
      </w:r>
      <w:r w:rsidR="00972312">
        <w:rPr>
          <w:rFonts w:asciiTheme="majorBidi" w:hAnsiTheme="majorBidi" w:cstheme="majorBidi"/>
        </w:rPr>
        <w:t>d</w:t>
      </w:r>
      <w:r w:rsidR="00972312" w:rsidRPr="00972312">
        <w:rPr>
          <w:rFonts w:asciiTheme="majorBidi" w:hAnsiTheme="majorBidi" w:cstheme="majorBidi"/>
        </w:rPr>
        <w:t>etection unit consist</w:t>
      </w:r>
      <w:r w:rsidR="00972312">
        <w:rPr>
          <w:rFonts w:asciiTheme="majorBidi" w:hAnsiTheme="majorBidi" w:cstheme="majorBidi"/>
        </w:rPr>
        <w:t>ing</w:t>
      </w:r>
      <w:r w:rsidR="00972312" w:rsidRPr="00972312">
        <w:rPr>
          <w:rFonts w:asciiTheme="majorBidi" w:hAnsiTheme="majorBidi" w:cstheme="majorBidi"/>
        </w:rPr>
        <w:t xml:space="preserve"> of a 20 cm × 20 cm × 2 cm polystyrene scintillator tile optically coupled through a PMMA light guide to a Hamamatsu H6410 photomultiplier tube (PMT) with peak sensitivity near 420 nm. This assembly constitutes a single detection channel within each </w:t>
      </w:r>
      <w:r w:rsidR="00D4789E">
        <w:rPr>
          <w:rFonts w:asciiTheme="majorBidi" w:hAnsiTheme="majorBidi" w:cstheme="majorBidi"/>
        </w:rPr>
        <w:t>of the three-plane coincidence telescopes</w:t>
      </w:r>
      <w:r w:rsidR="00972312" w:rsidRPr="00972312">
        <w:rPr>
          <w:rFonts w:asciiTheme="majorBidi" w:hAnsiTheme="majorBidi" w:cstheme="majorBidi"/>
        </w:rPr>
        <w:t xml:space="preserve"> employed in the experiments.</w:t>
      </w:r>
    </w:p>
    <w:p w14:paraId="5019EDD5" w14:textId="77777777" w:rsidR="00BC65AB" w:rsidRDefault="00BC65AB" w:rsidP="00972312">
      <w:pPr>
        <w:spacing w:line="360" w:lineRule="auto"/>
        <w:jc w:val="both"/>
        <w:rPr>
          <w:rFonts w:asciiTheme="majorBidi" w:hAnsiTheme="majorBidi" w:cstheme="majorBidi"/>
          <w:b/>
        </w:rPr>
      </w:pPr>
    </w:p>
    <w:p w14:paraId="28F57630" w14:textId="160B571E" w:rsidR="00536F8F" w:rsidRPr="007808C2" w:rsidRDefault="00FC66CD" w:rsidP="00747D69">
      <w:pPr>
        <w:spacing w:line="259" w:lineRule="auto"/>
        <w:ind w:right="4"/>
        <w:rPr>
          <w:rFonts w:asciiTheme="majorBidi" w:hAnsiTheme="majorBidi" w:cstheme="majorBidi"/>
        </w:rPr>
      </w:pPr>
      <w:r w:rsidRPr="008C2EA9">
        <w:rPr>
          <w:rFonts w:asciiTheme="majorBidi" w:hAnsiTheme="majorBidi" w:cstheme="majorBidi"/>
          <w:b/>
          <w:bCs/>
        </w:rPr>
        <w:t xml:space="preserve">Supplementary </w:t>
      </w:r>
      <w:r w:rsidR="00536F8F" w:rsidRPr="007808C2">
        <w:rPr>
          <w:rFonts w:asciiTheme="majorBidi" w:hAnsiTheme="majorBidi" w:cstheme="majorBidi"/>
          <w:b/>
        </w:rPr>
        <w:t>Table 1</w:t>
      </w:r>
      <w:r>
        <w:rPr>
          <w:rFonts w:asciiTheme="majorBidi" w:hAnsiTheme="majorBidi" w:cstheme="majorBidi"/>
        </w:rPr>
        <w:t xml:space="preserve"> </w:t>
      </w:r>
      <w:r w:rsidRPr="00FC66CD">
        <w:rPr>
          <w:rFonts w:asciiTheme="majorBidi" w:hAnsiTheme="majorBidi" w:cstheme="majorBidi"/>
          <w:b/>
          <w:bCs/>
        </w:rPr>
        <w:t>| Key parameters of detector components</w:t>
      </w:r>
      <w:r w:rsidRPr="00FC66CD">
        <w:rPr>
          <w:rFonts w:asciiTheme="majorBidi" w:hAnsiTheme="majorBidi" w:cstheme="majorBidi"/>
        </w:rPr>
        <w:t>.</w:t>
      </w:r>
      <w:r w:rsidR="00536F8F" w:rsidRPr="007808C2">
        <w:rPr>
          <w:rFonts w:asciiTheme="majorBidi" w:hAnsiTheme="majorBidi" w:cstheme="majorBidi"/>
        </w:rPr>
        <w:t xml:space="preserve"> </w:t>
      </w:r>
    </w:p>
    <w:tbl>
      <w:tblPr>
        <w:tblStyle w:val="TableGrid"/>
        <w:tblW w:w="9283" w:type="dxa"/>
        <w:tblInd w:w="8" w:type="dxa"/>
        <w:tblCellMar>
          <w:top w:w="24" w:type="dxa"/>
        </w:tblCellMar>
        <w:tblLook w:val="04A0" w:firstRow="1" w:lastRow="0" w:firstColumn="1" w:lastColumn="0" w:noHBand="0" w:noVBand="1"/>
      </w:tblPr>
      <w:tblGrid>
        <w:gridCol w:w="3714"/>
        <w:gridCol w:w="3483"/>
        <w:gridCol w:w="2086"/>
      </w:tblGrid>
      <w:tr w:rsidR="00536F8F" w:rsidRPr="00747D69" w14:paraId="7C84F882" w14:textId="77777777" w:rsidTr="00747D69">
        <w:trPr>
          <w:trHeight w:val="285"/>
        </w:trPr>
        <w:tc>
          <w:tcPr>
            <w:tcW w:w="3714" w:type="dxa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</w:tcPr>
          <w:p w14:paraId="6BC3DFE8" w14:textId="77777777" w:rsidR="00536F8F" w:rsidRPr="00747D69" w:rsidRDefault="00536F8F" w:rsidP="002207C8">
            <w:pPr>
              <w:spacing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747D69">
              <w:rPr>
                <w:rFonts w:asciiTheme="majorBidi" w:hAnsiTheme="majorBidi" w:cstheme="majorBidi"/>
                <w:b/>
                <w:sz w:val="22"/>
                <w:szCs w:val="22"/>
              </w:rPr>
              <w:t>Component</w:t>
            </w:r>
          </w:p>
        </w:tc>
        <w:tc>
          <w:tcPr>
            <w:tcW w:w="3483" w:type="dxa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</w:tcPr>
          <w:p w14:paraId="5471CAA1" w14:textId="77777777" w:rsidR="00536F8F" w:rsidRPr="00747D69" w:rsidRDefault="00536F8F" w:rsidP="002207C8">
            <w:pPr>
              <w:spacing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747D69">
              <w:rPr>
                <w:rFonts w:asciiTheme="majorBidi" w:hAnsiTheme="majorBidi" w:cstheme="majorBidi"/>
                <w:b/>
                <w:sz w:val="22"/>
                <w:szCs w:val="22"/>
              </w:rPr>
              <w:t>Parameter</w:t>
            </w:r>
          </w:p>
        </w:tc>
        <w:tc>
          <w:tcPr>
            <w:tcW w:w="2086" w:type="dxa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</w:tcPr>
          <w:p w14:paraId="2C776C5D" w14:textId="77777777" w:rsidR="00536F8F" w:rsidRPr="00747D69" w:rsidRDefault="00536F8F" w:rsidP="002207C8">
            <w:pPr>
              <w:spacing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747D69">
              <w:rPr>
                <w:rFonts w:asciiTheme="majorBidi" w:hAnsiTheme="majorBidi" w:cstheme="majorBidi"/>
                <w:b/>
                <w:sz w:val="22"/>
                <w:szCs w:val="22"/>
              </w:rPr>
              <w:t>Value</w:t>
            </w:r>
          </w:p>
        </w:tc>
      </w:tr>
      <w:tr w:rsidR="00536F8F" w:rsidRPr="00747D69" w14:paraId="388476A4" w14:textId="77777777" w:rsidTr="00747D69">
        <w:trPr>
          <w:trHeight w:val="237"/>
        </w:trPr>
        <w:tc>
          <w:tcPr>
            <w:tcW w:w="371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43E936F" w14:textId="77777777" w:rsidR="00536F8F" w:rsidRPr="00747D69" w:rsidRDefault="00536F8F" w:rsidP="002207C8">
            <w:pPr>
              <w:spacing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747D69">
              <w:rPr>
                <w:rFonts w:asciiTheme="majorBidi" w:hAnsiTheme="majorBidi" w:cstheme="majorBidi"/>
                <w:sz w:val="22"/>
                <w:szCs w:val="22"/>
              </w:rPr>
              <w:t>Plastic scintillator tile</w:t>
            </w:r>
          </w:p>
        </w:tc>
        <w:tc>
          <w:tcPr>
            <w:tcW w:w="348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FAAB4B5" w14:textId="77777777" w:rsidR="00536F8F" w:rsidRPr="00747D69" w:rsidRDefault="00536F8F" w:rsidP="002207C8">
            <w:pPr>
              <w:spacing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747D69">
              <w:rPr>
                <w:rFonts w:asciiTheme="majorBidi" w:hAnsiTheme="majorBidi" w:cstheme="majorBidi"/>
                <w:sz w:val="22"/>
                <w:szCs w:val="22"/>
              </w:rPr>
              <w:t>Active volume</w:t>
            </w:r>
          </w:p>
        </w:tc>
        <w:tc>
          <w:tcPr>
            <w:tcW w:w="208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2E3641D" w14:textId="77777777" w:rsidR="00536F8F" w:rsidRPr="00747D69" w:rsidRDefault="00536F8F" w:rsidP="002207C8">
            <w:pPr>
              <w:spacing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747D69">
              <w:rPr>
                <w:rFonts w:asciiTheme="majorBidi" w:hAnsiTheme="majorBidi" w:cstheme="majorBidi"/>
                <w:sz w:val="22"/>
                <w:szCs w:val="22"/>
              </w:rPr>
              <w:t>20 cm × 20 cm × 2 cm</w:t>
            </w:r>
          </w:p>
        </w:tc>
      </w:tr>
      <w:tr w:rsidR="00536F8F" w:rsidRPr="00747D69" w14:paraId="22A5F796" w14:textId="77777777" w:rsidTr="00747D69">
        <w:trPr>
          <w:trHeight w:val="185"/>
        </w:trPr>
        <w:tc>
          <w:tcPr>
            <w:tcW w:w="3714" w:type="dxa"/>
            <w:tcBorders>
              <w:top w:val="nil"/>
              <w:left w:val="nil"/>
              <w:bottom w:val="nil"/>
              <w:right w:val="nil"/>
            </w:tcBorders>
          </w:tcPr>
          <w:p w14:paraId="4CC83DB4" w14:textId="77777777" w:rsidR="00536F8F" w:rsidRPr="00747D69" w:rsidRDefault="00536F8F" w:rsidP="002207C8">
            <w:pPr>
              <w:spacing w:after="160"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14:paraId="38F41136" w14:textId="77777777" w:rsidR="00536F8F" w:rsidRPr="00747D69" w:rsidRDefault="00536F8F" w:rsidP="002207C8">
            <w:pPr>
              <w:spacing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747D69">
              <w:rPr>
                <w:rFonts w:asciiTheme="majorBidi" w:hAnsiTheme="majorBidi" w:cstheme="majorBidi"/>
                <w:sz w:val="22"/>
                <w:szCs w:val="22"/>
              </w:rPr>
              <w:t>Emission peak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14:paraId="064510E6" w14:textId="77777777" w:rsidR="00536F8F" w:rsidRPr="00747D69" w:rsidRDefault="00536F8F" w:rsidP="002207C8">
            <w:pPr>
              <w:spacing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747D69">
              <w:rPr>
                <w:rFonts w:ascii="Cambria Math" w:hAnsi="Cambria Math" w:cs="Cambria Math"/>
                <w:sz w:val="22"/>
                <w:szCs w:val="22"/>
              </w:rPr>
              <w:t>∼</w:t>
            </w:r>
            <w:r w:rsidRPr="00747D69">
              <w:rPr>
                <w:rFonts w:asciiTheme="majorBidi" w:hAnsiTheme="majorBidi" w:cstheme="majorBidi"/>
                <w:sz w:val="22"/>
                <w:szCs w:val="22"/>
              </w:rPr>
              <w:t xml:space="preserve"> 420 nm</w:t>
            </w:r>
          </w:p>
        </w:tc>
      </w:tr>
      <w:tr w:rsidR="00536F8F" w:rsidRPr="00747D69" w14:paraId="25EFC542" w14:textId="77777777" w:rsidTr="00747D69">
        <w:trPr>
          <w:trHeight w:val="175"/>
        </w:trPr>
        <w:tc>
          <w:tcPr>
            <w:tcW w:w="3714" w:type="dxa"/>
            <w:tcBorders>
              <w:top w:val="nil"/>
              <w:left w:val="nil"/>
              <w:bottom w:val="nil"/>
              <w:right w:val="nil"/>
            </w:tcBorders>
          </w:tcPr>
          <w:p w14:paraId="5417F987" w14:textId="77777777" w:rsidR="00536F8F" w:rsidRPr="00747D69" w:rsidRDefault="00536F8F" w:rsidP="002207C8">
            <w:pPr>
              <w:spacing w:after="160"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14:paraId="36CC872F" w14:textId="77777777" w:rsidR="00536F8F" w:rsidRPr="00747D69" w:rsidRDefault="00536F8F" w:rsidP="002207C8">
            <w:pPr>
              <w:spacing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747D69">
              <w:rPr>
                <w:rFonts w:asciiTheme="majorBidi" w:hAnsiTheme="majorBidi" w:cstheme="majorBidi"/>
                <w:sz w:val="22"/>
                <w:szCs w:val="22"/>
              </w:rPr>
              <w:t>Light attenuation length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14:paraId="5F6AF96D" w14:textId="77777777" w:rsidR="00536F8F" w:rsidRPr="00747D69" w:rsidRDefault="00536F8F" w:rsidP="002207C8">
            <w:pPr>
              <w:spacing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747D69">
              <w:rPr>
                <w:rFonts w:ascii="Cambria Math" w:hAnsi="Cambria Math" w:cs="Cambria Math"/>
                <w:sz w:val="22"/>
                <w:szCs w:val="22"/>
              </w:rPr>
              <w:t>∼</w:t>
            </w:r>
            <w:r w:rsidRPr="00747D69">
              <w:rPr>
                <w:rFonts w:asciiTheme="majorBidi" w:hAnsiTheme="majorBidi" w:cstheme="majorBidi"/>
                <w:sz w:val="22"/>
                <w:szCs w:val="22"/>
              </w:rPr>
              <w:t xml:space="preserve"> 90 to 110 cm</w:t>
            </w:r>
          </w:p>
        </w:tc>
      </w:tr>
      <w:tr w:rsidR="00536F8F" w:rsidRPr="00747D69" w14:paraId="2155F9A1" w14:textId="77777777" w:rsidTr="00747D69">
        <w:trPr>
          <w:trHeight w:val="243"/>
        </w:trPr>
        <w:tc>
          <w:tcPr>
            <w:tcW w:w="3714" w:type="dxa"/>
            <w:tcBorders>
              <w:top w:val="nil"/>
              <w:left w:val="nil"/>
              <w:bottom w:val="nil"/>
              <w:right w:val="nil"/>
            </w:tcBorders>
          </w:tcPr>
          <w:p w14:paraId="7A6F35B6" w14:textId="77777777" w:rsidR="00536F8F" w:rsidRPr="00747D69" w:rsidRDefault="00536F8F" w:rsidP="002207C8">
            <w:pPr>
              <w:spacing w:after="160"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14:paraId="176C84ED" w14:textId="77777777" w:rsidR="00536F8F" w:rsidRPr="00747D69" w:rsidRDefault="00536F8F" w:rsidP="002207C8">
            <w:pPr>
              <w:spacing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747D69">
              <w:rPr>
                <w:rFonts w:asciiTheme="majorBidi" w:hAnsiTheme="majorBidi" w:cstheme="majorBidi"/>
                <w:sz w:val="22"/>
                <w:szCs w:val="22"/>
              </w:rPr>
              <w:t>Density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14:paraId="39342AAD" w14:textId="77777777" w:rsidR="00536F8F" w:rsidRPr="00747D69" w:rsidRDefault="00536F8F" w:rsidP="002207C8">
            <w:pPr>
              <w:spacing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747D69">
              <w:rPr>
                <w:rFonts w:ascii="Cambria Math" w:hAnsi="Cambria Math" w:cs="Cambria Math"/>
                <w:sz w:val="22"/>
                <w:szCs w:val="22"/>
              </w:rPr>
              <w:t>∼</w:t>
            </w:r>
            <w:r w:rsidRPr="00747D69">
              <w:rPr>
                <w:rFonts w:asciiTheme="majorBidi" w:hAnsiTheme="majorBidi" w:cstheme="majorBidi"/>
                <w:sz w:val="22"/>
                <w:szCs w:val="22"/>
              </w:rPr>
              <w:t xml:space="preserve"> 1</w:t>
            </w:r>
            <w:r w:rsidRPr="00747D69">
              <w:rPr>
                <w:rFonts w:asciiTheme="majorBidi" w:hAnsiTheme="majorBidi" w:cstheme="majorBidi"/>
                <w:i/>
                <w:sz w:val="22"/>
                <w:szCs w:val="22"/>
              </w:rPr>
              <w:t>.</w:t>
            </w:r>
            <w:r w:rsidRPr="00747D69">
              <w:rPr>
                <w:rFonts w:asciiTheme="majorBidi" w:hAnsiTheme="majorBidi" w:cstheme="majorBidi"/>
                <w:sz w:val="22"/>
                <w:szCs w:val="22"/>
              </w:rPr>
              <w:t>04 gcm</w:t>
            </w:r>
            <w:r w:rsidRPr="00747D69">
              <w:rPr>
                <w:rFonts w:asciiTheme="majorBidi" w:hAnsiTheme="majorBidi" w:cstheme="majorBidi"/>
                <w:sz w:val="22"/>
                <w:szCs w:val="22"/>
                <w:vertAlign w:val="superscript"/>
              </w:rPr>
              <w:t>−3</w:t>
            </w:r>
          </w:p>
        </w:tc>
      </w:tr>
      <w:tr w:rsidR="00536F8F" w:rsidRPr="00747D69" w14:paraId="2EC71D38" w14:textId="77777777" w:rsidTr="00747D69">
        <w:trPr>
          <w:trHeight w:val="233"/>
        </w:trPr>
        <w:tc>
          <w:tcPr>
            <w:tcW w:w="3714" w:type="dxa"/>
            <w:tcBorders>
              <w:top w:val="nil"/>
              <w:left w:val="nil"/>
              <w:bottom w:val="nil"/>
              <w:right w:val="nil"/>
            </w:tcBorders>
          </w:tcPr>
          <w:p w14:paraId="7A56539A" w14:textId="77777777" w:rsidR="00536F8F" w:rsidRPr="00747D69" w:rsidRDefault="00536F8F" w:rsidP="002207C8">
            <w:pPr>
              <w:spacing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747D69">
              <w:rPr>
                <w:rFonts w:asciiTheme="majorBidi" w:hAnsiTheme="majorBidi" w:cstheme="majorBidi"/>
                <w:sz w:val="22"/>
                <w:szCs w:val="22"/>
              </w:rPr>
              <w:t>PMMA light guide</w:t>
            </w:r>
          </w:p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14:paraId="5CD22B09" w14:textId="77777777" w:rsidR="00536F8F" w:rsidRPr="00747D69" w:rsidRDefault="00536F8F" w:rsidP="002207C8">
            <w:pPr>
              <w:spacing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747D69">
              <w:rPr>
                <w:rFonts w:asciiTheme="majorBidi" w:hAnsiTheme="majorBidi" w:cstheme="majorBidi"/>
                <w:sz w:val="22"/>
                <w:szCs w:val="22"/>
              </w:rPr>
              <w:t>Refractive index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14:paraId="05C9EE49" w14:textId="77777777" w:rsidR="00536F8F" w:rsidRPr="00747D69" w:rsidRDefault="00536F8F" w:rsidP="002207C8">
            <w:pPr>
              <w:spacing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747D69">
              <w:rPr>
                <w:rFonts w:ascii="Cambria Math" w:hAnsi="Cambria Math" w:cs="Cambria Math"/>
                <w:sz w:val="22"/>
                <w:szCs w:val="22"/>
              </w:rPr>
              <w:t>∼</w:t>
            </w:r>
            <w:r w:rsidRPr="00747D69">
              <w:rPr>
                <w:rFonts w:asciiTheme="majorBidi" w:hAnsiTheme="majorBidi" w:cstheme="majorBidi"/>
                <w:sz w:val="22"/>
                <w:szCs w:val="22"/>
              </w:rPr>
              <w:t xml:space="preserve"> 1</w:t>
            </w:r>
            <w:r w:rsidRPr="00747D69">
              <w:rPr>
                <w:rFonts w:asciiTheme="majorBidi" w:hAnsiTheme="majorBidi" w:cstheme="majorBidi"/>
                <w:i/>
                <w:sz w:val="22"/>
                <w:szCs w:val="22"/>
              </w:rPr>
              <w:t>.</w:t>
            </w:r>
            <w:r w:rsidRPr="00747D69">
              <w:rPr>
                <w:rFonts w:asciiTheme="majorBidi" w:hAnsiTheme="majorBidi" w:cstheme="majorBidi"/>
                <w:sz w:val="22"/>
                <w:szCs w:val="22"/>
              </w:rPr>
              <w:t>49</w:t>
            </w:r>
          </w:p>
        </w:tc>
      </w:tr>
      <w:tr w:rsidR="00536F8F" w:rsidRPr="00747D69" w14:paraId="30BA4DD3" w14:textId="77777777" w:rsidTr="00747D69">
        <w:trPr>
          <w:trHeight w:val="175"/>
        </w:trPr>
        <w:tc>
          <w:tcPr>
            <w:tcW w:w="3714" w:type="dxa"/>
            <w:tcBorders>
              <w:top w:val="nil"/>
              <w:left w:val="nil"/>
              <w:bottom w:val="nil"/>
              <w:right w:val="nil"/>
            </w:tcBorders>
          </w:tcPr>
          <w:p w14:paraId="27B8B7C0" w14:textId="77777777" w:rsidR="00536F8F" w:rsidRPr="00747D69" w:rsidRDefault="00536F8F" w:rsidP="002207C8">
            <w:pPr>
              <w:spacing w:after="160"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14:paraId="746E0262" w14:textId="77777777" w:rsidR="00536F8F" w:rsidRPr="00747D69" w:rsidRDefault="00536F8F" w:rsidP="002207C8">
            <w:pPr>
              <w:spacing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747D69">
              <w:rPr>
                <w:rFonts w:asciiTheme="majorBidi" w:hAnsiTheme="majorBidi" w:cstheme="majorBidi"/>
                <w:sz w:val="22"/>
                <w:szCs w:val="22"/>
              </w:rPr>
              <w:t>Total transmittance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14:paraId="3B5E6E4D" w14:textId="77777777" w:rsidR="00536F8F" w:rsidRPr="00747D69" w:rsidRDefault="00536F8F" w:rsidP="002207C8">
            <w:pPr>
              <w:spacing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747D69">
              <w:rPr>
                <w:rFonts w:ascii="Cambria Math" w:hAnsi="Cambria Math" w:cs="Cambria Math"/>
                <w:sz w:val="22"/>
                <w:szCs w:val="22"/>
              </w:rPr>
              <w:t>∼</w:t>
            </w:r>
            <w:r w:rsidRPr="00747D69">
              <w:rPr>
                <w:rFonts w:asciiTheme="majorBidi" w:hAnsiTheme="majorBidi" w:cstheme="majorBidi"/>
                <w:sz w:val="22"/>
                <w:szCs w:val="22"/>
              </w:rPr>
              <w:t xml:space="preserve"> 93%</w:t>
            </w:r>
          </w:p>
        </w:tc>
      </w:tr>
      <w:tr w:rsidR="00536F8F" w:rsidRPr="00747D69" w14:paraId="60169657" w14:textId="77777777" w:rsidTr="00747D69">
        <w:trPr>
          <w:trHeight w:val="248"/>
        </w:trPr>
        <w:tc>
          <w:tcPr>
            <w:tcW w:w="3714" w:type="dxa"/>
            <w:tcBorders>
              <w:top w:val="nil"/>
              <w:left w:val="nil"/>
              <w:bottom w:val="nil"/>
              <w:right w:val="nil"/>
            </w:tcBorders>
          </w:tcPr>
          <w:p w14:paraId="764866EC" w14:textId="77777777" w:rsidR="00536F8F" w:rsidRPr="00747D69" w:rsidRDefault="00536F8F" w:rsidP="002207C8">
            <w:pPr>
              <w:spacing w:after="160"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14:paraId="52A172AE" w14:textId="77777777" w:rsidR="00536F8F" w:rsidRPr="00747D69" w:rsidRDefault="00536F8F" w:rsidP="002207C8">
            <w:pPr>
              <w:spacing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747D69">
              <w:rPr>
                <w:rFonts w:asciiTheme="majorBidi" w:hAnsiTheme="majorBidi" w:cstheme="majorBidi"/>
                <w:sz w:val="22"/>
                <w:szCs w:val="22"/>
              </w:rPr>
              <w:t>Specific gravity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14:paraId="16B95C4C" w14:textId="77777777" w:rsidR="00536F8F" w:rsidRPr="00747D69" w:rsidRDefault="00536F8F" w:rsidP="002207C8">
            <w:pPr>
              <w:spacing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747D69">
              <w:rPr>
                <w:rFonts w:ascii="Cambria Math" w:hAnsi="Cambria Math" w:cs="Cambria Math"/>
                <w:sz w:val="22"/>
                <w:szCs w:val="22"/>
              </w:rPr>
              <w:t>∼</w:t>
            </w:r>
            <w:r w:rsidRPr="00747D69">
              <w:rPr>
                <w:rFonts w:asciiTheme="majorBidi" w:hAnsiTheme="majorBidi" w:cstheme="majorBidi"/>
                <w:sz w:val="22"/>
                <w:szCs w:val="22"/>
              </w:rPr>
              <w:t xml:space="preserve"> 1</w:t>
            </w:r>
            <w:r w:rsidRPr="00747D69">
              <w:rPr>
                <w:rFonts w:asciiTheme="majorBidi" w:hAnsiTheme="majorBidi" w:cstheme="majorBidi"/>
                <w:i/>
                <w:sz w:val="22"/>
                <w:szCs w:val="22"/>
              </w:rPr>
              <w:t>.</w:t>
            </w:r>
            <w:r w:rsidRPr="00747D69">
              <w:rPr>
                <w:rFonts w:asciiTheme="majorBidi" w:hAnsiTheme="majorBidi" w:cstheme="majorBidi"/>
                <w:sz w:val="22"/>
                <w:szCs w:val="22"/>
              </w:rPr>
              <w:t>19 gcm</w:t>
            </w:r>
            <w:r w:rsidRPr="00747D69">
              <w:rPr>
                <w:rFonts w:asciiTheme="majorBidi" w:hAnsiTheme="majorBidi" w:cstheme="majorBidi"/>
                <w:sz w:val="22"/>
                <w:szCs w:val="22"/>
                <w:vertAlign w:val="superscript"/>
              </w:rPr>
              <w:t>−3</w:t>
            </w:r>
          </w:p>
        </w:tc>
      </w:tr>
      <w:tr w:rsidR="00536F8F" w:rsidRPr="00747D69" w14:paraId="46AB637E" w14:textId="77777777" w:rsidTr="00747D69">
        <w:trPr>
          <w:trHeight w:val="233"/>
        </w:trPr>
        <w:tc>
          <w:tcPr>
            <w:tcW w:w="3714" w:type="dxa"/>
            <w:tcBorders>
              <w:top w:val="nil"/>
              <w:left w:val="nil"/>
              <w:bottom w:val="nil"/>
              <w:right w:val="nil"/>
            </w:tcBorders>
          </w:tcPr>
          <w:p w14:paraId="5D92736D" w14:textId="77777777" w:rsidR="00536F8F" w:rsidRPr="00747D69" w:rsidRDefault="00536F8F" w:rsidP="002207C8">
            <w:pPr>
              <w:spacing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747D69">
              <w:rPr>
                <w:rFonts w:asciiTheme="majorBidi" w:hAnsiTheme="majorBidi" w:cstheme="majorBidi"/>
                <w:sz w:val="22"/>
                <w:szCs w:val="22"/>
              </w:rPr>
              <w:t>PMT assembly (Hamamatsu H6410)</w:t>
            </w:r>
          </w:p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14:paraId="5663050C" w14:textId="77777777" w:rsidR="00536F8F" w:rsidRPr="00747D69" w:rsidRDefault="00536F8F" w:rsidP="002207C8">
            <w:pPr>
              <w:spacing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747D69">
              <w:rPr>
                <w:rFonts w:asciiTheme="majorBidi" w:hAnsiTheme="majorBidi" w:cstheme="majorBidi"/>
                <w:sz w:val="22"/>
                <w:szCs w:val="22"/>
              </w:rPr>
              <w:t>Spectral response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14:paraId="2FC57F24" w14:textId="77777777" w:rsidR="00536F8F" w:rsidRPr="00747D69" w:rsidRDefault="00536F8F" w:rsidP="002207C8">
            <w:pPr>
              <w:spacing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747D69">
              <w:rPr>
                <w:rFonts w:asciiTheme="majorBidi" w:hAnsiTheme="majorBidi" w:cstheme="majorBidi"/>
                <w:sz w:val="22"/>
                <w:szCs w:val="22"/>
              </w:rPr>
              <w:t>300 to 650 nm</w:t>
            </w:r>
          </w:p>
        </w:tc>
      </w:tr>
      <w:tr w:rsidR="00536F8F" w:rsidRPr="00747D69" w14:paraId="0CB6774E" w14:textId="77777777" w:rsidTr="00747D69">
        <w:trPr>
          <w:trHeight w:val="173"/>
        </w:trPr>
        <w:tc>
          <w:tcPr>
            <w:tcW w:w="3714" w:type="dxa"/>
            <w:tcBorders>
              <w:top w:val="nil"/>
              <w:left w:val="nil"/>
              <w:bottom w:val="nil"/>
              <w:right w:val="nil"/>
            </w:tcBorders>
          </w:tcPr>
          <w:p w14:paraId="3814A354" w14:textId="77777777" w:rsidR="00536F8F" w:rsidRPr="00747D69" w:rsidRDefault="00536F8F" w:rsidP="002207C8">
            <w:pPr>
              <w:spacing w:after="160"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14:paraId="0ACA9D18" w14:textId="77777777" w:rsidR="00536F8F" w:rsidRPr="00747D69" w:rsidRDefault="00536F8F" w:rsidP="002207C8">
            <w:pPr>
              <w:spacing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747D69">
              <w:rPr>
                <w:rFonts w:asciiTheme="majorBidi" w:hAnsiTheme="majorBidi" w:cstheme="majorBidi"/>
                <w:sz w:val="22"/>
                <w:szCs w:val="22"/>
              </w:rPr>
              <w:t>Peak wavelength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14:paraId="19F95173" w14:textId="77777777" w:rsidR="00536F8F" w:rsidRPr="00747D69" w:rsidRDefault="00536F8F" w:rsidP="002207C8">
            <w:pPr>
              <w:spacing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747D69">
              <w:rPr>
                <w:rFonts w:asciiTheme="majorBidi" w:hAnsiTheme="majorBidi" w:cstheme="majorBidi"/>
                <w:sz w:val="22"/>
                <w:szCs w:val="22"/>
              </w:rPr>
              <w:t>420 nm</w:t>
            </w:r>
          </w:p>
        </w:tc>
      </w:tr>
      <w:tr w:rsidR="00536F8F" w:rsidRPr="00747D69" w14:paraId="79C37AF8" w14:textId="77777777" w:rsidTr="00747D69">
        <w:trPr>
          <w:trHeight w:val="191"/>
        </w:trPr>
        <w:tc>
          <w:tcPr>
            <w:tcW w:w="3714" w:type="dxa"/>
            <w:tcBorders>
              <w:top w:val="nil"/>
              <w:left w:val="nil"/>
              <w:bottom w:val="nil"/>
              <w:right w:val="nil"/>
            </w:tcBorders>
          </w:tcPr>
          <w:p w14:paraId="4F0BAC99" w14:textId="77777777" w:rsidR="00536F8F" w:rsidRPr="00747D69" w:rsidRDefault="00536F8F" w:rsidP="002207C8">
            <w:pPr>
              <w:spacing w:after="160"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14:paraId="0DE94B71" w14:textId="77777777" w:rsidR="00536F8F" w:rsidRPr="00747D69" w:rsidRDefault="00536F8F" w:rsidP="002207C8">
            <w:pPr>
              <w:spacing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747D69">
              <w:rPr>
                <w:rFonts w:asciiTheme="majorBidi" w:hAnsiTheme="majorBidi" w:cstheme="majorBidi"/>
                <w:sz w:val="22"/>
                <w:szCs w:val="22"/>
              </w:rPr>
              <w:t>Gain (typ.)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14:paraId="49FFEA11" w14:textId="77777777" w:rsidR="00536F8F" w:rsidRPr="00747D69" w:rsidRDefault="00536F8F" w:rsidP="002207C8">
            <w:pPr>
              <w:spacing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747D69">
              <w:rPr>
                <w:rFonts w:asciiTheme="majorBidi" w:hAnsiTheme="majorBidi" w:cstheme="majorBidi"/>
                <w:sz w:val="22"/>
                <w:szCs w:val="22"/>
              </w:rPr>
              <w:t>3</w:t>
            </w:r>
            <w:r w:rsidRPr="00747D69">
              <w:rPr>
                <w:rFonts w:asciiTheme="majorBidi" w:hAnsiTheme="majorBidi" w:cstheme="majorBidi"/>
                <w:i/>
                <w:sz w:val="22"/>
                <w:szCs w:val="22"/>
              </w:rPr>
              <w:t>.</w:t>
            </w:r>
            <w:r w:rsidRPr="00747D69">
              <w:rPr>
                <w:rFonts w:asciiTheme="majorBidi" w:hAnsiTheme="majorBidi" w:cstheme="majorBidi"/>
                <w:sz w:val="22"/>
                <w:szCs w:val="22"/>
              </w:rPr>
              <w:t>0 × 10</w:t>
            </w:r>
            <w:r w:rsidRPr="00747D69">
              <w:rPr>
                <w:rFonts w:asciiTheme="majorBidi" w:hAnsiTheme="majorBidi" w:cstheme="majorBidi"/>
                <w:sz w:val="22"/>
                <w:szCs w:val="22"/>
                <w:vertAlign w:val="superscript"/>
              </w:rPr>
              <w:t>6</w:t>
            </w:r>
          </w:p>
        </w:tc>
      </w:tr>
      <w:tr w:rsidR="00536F8F" w:rsidRPr="00747D69" w14:paraId="05711837" w14:textId="77777777" w:rsidTr="00747D69">
        <w:trPr>
          <w:trHeight w:val="185"/>
        </w:trPr>
        <w:tc>
          <w:tcPr>
            <w:tcW w:w="3714" w:type="dxa"/>
            <w:tcBorders>
              <w:top w:val="nil"/>
              <w:left w:val="nil"/>
              <w:bottom w:val="nil"/>
              <w:right w:val="nil"/>
            </w:tcBorders>
          </w:tcPr>
          <w:p w14:paraId="5B517267" w14:textId="77777777" w:rsidR="00536F8F" w:rsidRPr="00747D69" w:rsidRDefault="00536F8F" w:rsidP="002207C8">
            <w:pPr>
              <w:spacing w:after="160"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14:paraId="5E9ED26D" w14:textId="77777777" w:rsidR="00536F8F" w:rsidRPr="00747D69" w:rsidRDefault="00536F8F" w:rsidP="002207C8">
            <w:pPr>
              <w:spacing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747D69">
              <w:rPr>
                <w:rFonts w:asciiTheme="majorBidi" w:hAnsiTheme="majorBidi" w:cstheme="majorBidi"/>
                <w:sz w:val="22"/>
                <w:szCs w:val="22"/>
              </w:rPr>
              <w:t>Transit time spread (typ.)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14:paraId="0DFB86DA" w14:textId="77777777" w:rsidR="00536F8F" w:rsidRPr="00747D69" w:rsidRDefault="00536F8F" w:rsidP="002207C8">
            <w:pPr>
              <w:spacing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747D69">
              <w:rPr>
                <w:rFonts w:ascii="Cambria Math" w:hAnsi="Cambria Math" w:cs="Cambria Math"/>
                <w:sz w:val="22"/>
                <w:szCs w:val="22"/>
              </w:rPr>
              <w:t>∼</w:t>
            </w:r>
            <w:r w:rsidRPr="00747D69">
              <w:rPr>
                <w:rFonts w:asciiTheme="majorBidi" w:hAnsiTheme="majorBidi" w:cstheme="majorBidi"/>
                <w:sz w:val="22"/>
                <w:szCs w:val="22"/>
              </w:rPr>
              <w:t xml:space="preserve"> 1</w:t>
            </w:r>
            <w:r w:rsidRPr="00747D69">
              <w:rPr>
                <w:rFonts w:asciiTheme="majorBidi" w:hAnsiTheme="majorBidi" w:cstheme="majorBidi"/>
                <w:i/>
                <w:sz w:val="22"/>
                <w:szCs w:val="22"/>
              </w:rPr>
              <w:t>.</w:t>
            </w:r>
            <w:r w:rsidRPr="00747D69">
              <w:rPr>
                <w:rFonts w:asciiTheme="majorBidi" w:hAnsiTheme="majorBidi" w:cstheme="majorBidi"/>
                <w:sz w:val="22"/>
                <w:szCs w:val="22"/>
              </w:rPr>
              <w:t>1 ns</w:t>
            </w:r>
          </w:p>
        </w:tc>
      </w:tr>
      <w:tr w:rsidR="00536F8F" w:rsidRPr="00747D69" w14:paraId="15FA69F3" w14:textId="77777777" w:rsidTr="00747D69">
        <w:trPr>
          <w:trHeight w:val="185"/>
        </w:trPr>
        <w:tc>
          <w:tcPr>
            <w:tcW w:w="3714" w:type="dxa"/>
            <w:tcBorders>
              <w:top w:val="nil"/>
              <w:left w:val="nil"/>
              <w:bottom w:val="nil"/>
              <w:right w:val="nil"/>
            </w:tcBorders>
          </w:tcPr>
          <w:p w14:paraId="5EBAA03D" w14:textId="77777777" w:rsidR="00536F8F" w:rsidRPr="00747D69" w:rsidRDefault="00536F8F" w:rsidP="002207C8">
            <w:pPr>
              <w:spacing w:after="160"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14:paraId="38A22F15" w14:textId="77777777" w:rsidR="00536F8F" w:rsidRPr="00747D69" w:rsidRDefault="00536F8F" w:rsidP="002207C8">
            <w:pPr>
              <w:spacing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747D69">
              <w:rPr>
                <w:rFonts w:asciiTheme="majorBidi" w:hAnsiTheme="majorBidi" w:cstheme="majorBidi"/>
                <w:sz w:val="22"/>
                <w:szCs w:val="22"/>
              </w:rPr>
              <w:t>Rise time (typ.)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14:paraId="40F51A30" w14:textId="77777777" w:rsidR="00536F8F" w:rsidRPr="00747D69" w:rsidRDefault="00536F8F" w:rsidP="002207C8">
            <w:pPr>
              <w:spacing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747D69">
              <w:rPr>
                <w:rFonts w:ascii="Cambria Math" w:hAnsi="Cambria Math" w:cs="Cambria Math"/>
                <w:sz w:val="22"/>
                <w:szCs w:val="22"/>
              </w:rPr>
              <w:t>∼</w:t>
            </w:r>
            <w:r w:rsidRPr="00747D69">
              <w:rPr>
                <w:rFonts w:asciiTheme="majorBidi" w:hAnsiTheme="majorBidi" w:cstheme="majorBidi"/>
                <w:sz w:val="22"/>
                <w:szCs w:val="22"/>
              </w:rPr>
              <w:t xml:space="preserve"> 2</w:t>
            </w:r>
            <w:r w:rsidRPr="00747D69">
              <w:rPr>
                <w:rFonts w:asciiTheme="majorBidi" w:hAnsiTheme="majorBidi" w:cstheme="majorBidi"/>
                <w:i/>
                <w:sz w:val="22"/>
                <w:szCs w:val="22"/>
              </w:rPr>
              <w:t>.</w:t>
            </w:r>
            <w:r w:rsidRPr="00747D69">
              <w:rPr>
                <w:rFonts w:asciiTheme="majorBidi" w:hAnsiTheme="majorBidi" w:cstheme="majorBidi"/>
                <w:sz w:val="22"/>
                <w:szCs w:val="22"/>
              </w:rPr>
              <w:t>7 ns</w:t>
            </w:r>
          </w:p>
        </w:tc>
      </w:tr>
      <w:tr w:rsidR="00536F8F" w:rsidRPr="00747D69" w14:paraId="20831977" w14:textId="77777777" w:rsidTr="00747D69">
        <w:trPr>
          <w:trHeight w:val="232"/>
        </w:trPr>
        <w:tc>
          <w:tcPr>
            <w:tcW w:w="371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2BF3FD5" w14:textId="77777777" w:rsidR="00536F8F" w:rsidRPr="00747D69" w:rsidRDefault="00536F8F" w:rsidP="002207C8">
            <w:pPr>
              <w:spacing w:after="160"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E009CD4" w14:textId="77777777" w:rsidR="00536F8F" w:rsidRPr="00747D69" w:rsidRDefault="00536F8F" w:rsidP="002207C8">
            <w:pPr>
              <w:spacing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747D69">
              <w:rPr>
                <w:rFonts w:asciiTheme="majorBidi" w:hAnsiTheme="majorBidi" w:cstheme="majorBidi"/>
                <w:sz w:val="22"/>
                <w:szCs w:val="22"/>
              </w:rPr>
              <w:t>Operating HV (anode to cathode)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88D51AD" w14:textId="77777777" w:rsidR="00536F8F" w:rsidRPr="00747D69" w:rsidRDefault="00536F8F" w:rsidP="002207C8">
            <w:pPr>
              <w:spacing w:line="259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747D69">
              <w:rPr>
                <w:rFonts w:asciiTheme="majorBidi" w:hAnsiTheme="majorBidi" w:cstheme="majorBidi"/>
                <w:sz w:val="22"/>
                <w:szCs w:val="22"/>
              </w:rPr>
              <w:t>about −2000 V</w:t>
            </w:r>
          </w:p>
        </w:tc>
      </w:tr>
    </w:tbl>
    <w:p w14:paraId="01BDBDD3" w14:textId="77777777" w:rsidR="005740D9" w:rsidRDefault="005740D9" w:rsidP="00536F8F">
      <w:pPr>
        <w:spacing w:after="246"/>
        <w:ind w:left="-15" w:firstLine="299"/>
        <w:rPr>
          <w:rFonts w:asciiTheme="majorBidi" w:hAnsiTheme="majorBidi" w:cstheme="majorBidi"/>
        </w:rPr>
      </w:pPr>
    </w:p>
    <w:p w14:paraId="6141C7F7" w14:textId="77777777" w:rsidR="005740D9" w:rsidRPr="007808C2" w:rsidRDefault="005740D9" w:rsidP="00536F8F">
      <w:pPr>
        <w:spacing w:after="246"/>
        <w:ind w:left="-15" w:firstLine="299"/>
        <w:rPr>
          <w:rFonts w:asciiTheme="majorBidi" w:hAnsiTheme="majorBidi" w:cstheme="majorBidi"/>
        </w:rPr>
      </w:pPr>
    </w:p>
    <w:p w14:paraId="6C0C10D6" w14:textId="539108E0" w:rsidR="00BE32A4" w:rsidRDefault="00C45B5A" w:rsidP="00BE32A4">
      <w:pPr>
        <w:spacing w:after="206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45B5A">
        <w:rPr>
          <w:rFonts w:asciiTheme="majorBidi" w:hAnsiTheme="majorBidi" w:cstheme="majorBidi"/>
          <w:b/>
          <w:bCs/>
          <w:sz w:val="24"/>
          <w:szCs w:val="24"/>
        </w:rPr>
        <w:lastRenderedPageBreak/>
        <w:t>MIP selection by a robust valley method</w:t>
      </w:r>
      <w:r w:rsidR="00BE32A4" w:rsidRPr="008E03F6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14:paraId="5D974464" w14:textId="7815953D" w:rsidR="00D9172F" w:rsidRPr="00A34E95" w:rsidRDefault="00D9172F" w:rsidP="00BE32A4">
      <w:pPr>
        <w:spacing w:after="206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A34E95">
        <w:rPr>
          <w:rFonts w:asciiTheme="majorBidi" w:hAnsiTheme="majorBidi" w:cstheme="majorBidi"/>
          <w:sz w:val="24"/>
          <w:szCs w:val="24"/>
        </w:rPr>
        <w:t>Cosmic–ray muons traversing plastic scintillators produce a Landau–like pulse–height spectrum with a most–probable, minimum–ionizing peak (MIP) and a long right tail. To select MIPs in each channel and data set (background, acrylic, blind targets), we apply a robust, data–driven valley region of interest (ROI). The method is noise–resistant yet precise, and we verified its reproducibility across runs. The procedure mirrors our analysis code:</w:t>
      </w:r>
    </w:p>
    <w:p w14:paraId="760C4C54" w14:textId="0AA80D1F" w:rsidR="00536F8F" w:rsidRPr="00BE32A4" w:rsidRDefault="00536F8F" w:rsidP="00BE32A4">
      <w:pPr>
        <w:numPr>
          <w:ilvl w:val="0"/>
          <w:numId w:val="1"/>
        </w:numPr>
        <w:spacing w:after="206" w:line="360" w:lineRule="auto"/>
        <w:ind w:hanging="354"/>
        <w:jc w:val="both"/>
        <w:rPr>
          <w:rFonts w:asciiTheme="majorBidi" w:hAnsiTheme="majorBidi" w:cstheme="majorBidi"/>
          <w:sz w:val="24"/>
          <w:szCs w:val="24"/>
        </w:rPr>
      </w:pPr>
      <w:r w:rsidRPr="00BE32A4">
        <w:rPr>
          <w:rFonts w:asciiTheme="majorBidi" w:hAnsiTheme="majorBidi" w:cstheme="majorBidi"/>
          <w:b/>
          <w:sz w:val="24"/>
          <w:szCs w:val="24"/>
        </w:rPr>
        <w:t xml:space="preserve">Build histograms: </w:t>
      </w:r>
      <w:r w:rsidRPr="00BE32A4">
        <w:rPr>
          <w:rFonts w:asciiTheme="majorBidi" w:hAnsiTheme="majorBidi" w:cstheme="majorBidi"/>
          <w:sz w:val="24"/>
          <w:szCs w:val="24"/>
        </w:rPr>
        <w:t>For each channel, form the pulse–height (ADC) histogram with 1-ADC bins on 0</w:t>
      </w:r>
      <w:r w:rsidRPr="00BE32A4">
        <w:rPr>
          <w:rFonts w:asciiTheme="majorBidi" w:hAnsiTheme="majorBidi" w:cstheme="majorBidi"/>
          <w:i/>
          <w:sz w:val="24"/>
          <w:szCs w:val="24"/>
        </w:rPr>
        <w:t>...</w:t>
      </w:r>
      <w:r w:rsidRPr="00BE32A4">
        <w:rPr>
          <w:rFonts w:asciiTheme="majorBidi" w:hAnsiTheme="majorBidi" w:cstheme="majorBidi"/>
          <w:sz w:val="24"/>
          <w:szCs w:val="24"/>
        </w:rPr>
        <w:t>1024.</w:t>
      </w:r>
    </w:p>
    <w:p w14:paraId="50D91712" w14:textId="2434FA9B" w:rsidR="00536F8F" w:rsidRPr="00BE32A4" w:rsidRDefault="00536F8F" w:rsidP="00BE32A4">
      <w:pPr>
        <w:numPr>
          <w:ilvl w:val="0"/>
          <w:numId w:val="1"/>
        </w:numPr>
        <w:spacing w:after="61" w:line="360" w:lineRule="auto"/>
        <w:ind w:hanging="354"/>
        <w:jc w:val="both"/>
        <w:rPr>
          <w:rFonts w:asciiTheme="majorBidi" w:hAnsiTheme="majorBidi" w:cstheme="majorBidi"/>
          <w:sz w:val="24"/>
          <w:szCs w:val="24"/>
        </w:rPr>
      </w:pPr>
      <w:r w:rsidRPr="00BE32A4">
        <w:rPr>
          <w:rFonts w:asciiTheme="majorBidi" w:hAnsiTheme="majorBidi" w:cstheme="majorBidi"/>
          <w:b/>
          <w:sz w:val="24"/>
          <w:szCs w:val="24"/>
        </w:rPr>
        <w:t xml:space="preserve">Savitzky–Golay (SG) smoothing: </w:t>
      </w:r>
      <w:r w:rsidRPr="00BE32A4">
        <w:rPr>
          <w:rFonts w:asciiTheme="majorBidi" w:hAnsiTheme="majorBidi" w:cstheme="majorBidi"/>
          <w:sz w:val="24"/>
          <w:szCs w:val="24"/>
        </w:rPr>
        <w:t xml:space="preserve">We apply a SG smoothing step to the binned counts to aid in locating the primary peak and its left and right boundaries. This is applied with </w:t>
      </w:r>
      <w:proofErr w:type="spellStart"/>
      <w:proofErr w:type="gramStart"/>
      <w:r w:rsidRPr="00BE32A4">
        <w:rPr>
          <w:rFonts w:asciiTheme="majorBidi" w:hAnsiTheme="majorBidi" w:cstheme="majorBidi"/>
          <w:sz w:val="24"/>
          <w:szCs w:val="24"/>
        </w:rPr>
        <w:t>scipy.signal</w:t>
      </w:r>
      <w:proofErr w:type="gramEnd"/>
      <w:r w:rsidRPr="00BE32A4">
        <w:rPr>
          <w:rFonts w:asciiTheme="majorBidi" w:hAnsiTheme="majorBidi" w:cstheme="majorBidi"/>
          <w:sz w:val="24"/>
          <w:szCs w:val="24"/>
        </w:rPr>
        <w:t>.savgol</w:t>
      </w:r>
      <w:proofErr w:type="spellEnd"/>
      <w:r w:rsidRPr="00BE32A4">
        <w:rPr>
          <w:rFonts w:asciiTheme="majorBidi" w:hAnsiTheme="majorBidi" w:cstheme="majorBidi"/>
          <w:sz w:val="24"/>
          <w:szCs w:val="24"/>
        </w:rPr>
        <w:t xml:space="preserve"> filter using window </w:t>
      </w:r>
      <w:r w:rsidRPr="00BE32A4">
        <w:rPr>
          <w:rFonts w:asciiTheme="majorBidi" w:hAnsiTheme="majorBidi" w:cstheme="majorBidi"/>
          <w:i/>
          <w:sz w:val="24"/>
          <w:szCs w:val="24"/>
        </w:rPr>
        <w:t xml:space="preserve">w </w:t>
      </w:r>
      <w:r w:rsidRPr="00BE32A4">
        <w:rPr>
          <w:rFonts w:asciiTheme="majorBidi" w:hAnsiTheme="majorBidi" w:cstheme="majorBidi"/>
          <w:sz w:val="24"/>
          <w:szCs w:val="24"/>
        </w:rPr>
        <w:t xml:space="preserve">= 21 (odd) and polynomial order </w:t>
      </w:r>
      <w:r w:rsidRPr="00BE32A4">
        <w:rPr>
          <w:rFonts w:asciiTheme="majorBidi" w:hAnsiTheme="majorBidi" w:cstheme="majorBidi"/>
          <w:i/>
          <w:sz w:val="24"/>
          <w:szCs w:val="24"/>
        </w:rPr>
        <w:t xml:space="preserve">p </w:t>
      </w:r>
      <w:r w:rsidRPr="00BE32A4">
        <w:rPr>
          <w:rFonts w:asciiTheme="majorBidi" w:hAnsiTheme="majorBidi" w:cstheme="majorBidi"/>
          <w:sz w:val="24"/>
          <w:szCs w:val="24"/>
        </w:rPr>
        <w:t>= 3, with edge mode ’</w:t>
      </w:r>
      <w:proofErr w:type="spellStart"/>
      <w:r w:rsidRPr="00BE32A4">
        <w:rPr>
          <w:rFonts w:asciiTheme="majorBidi" w:hAnsiTheme="majorBidi" w:cstheme="majorBidi"/>
          <w:sz w:val="24"/>
          <w:szCs w:val="24"/>
        </w:rPr>
        <w:t>interp</w:t>
      </w:r>
      <w:proofErr w:type="spellEnd"/>
      <w:r w:rsidRPr="00BE32A4">
        <w:rPr>
          <w:rFonts w:asciiTheme="majorBidi" w:hAnsiTheme="majorBidi" w:cstheme="majorBidi"/>
          <w:sz w:val="24"/>
          <w:szCs w:val="24"/>
        </w:rPr>
        <w:t xml:space="preserve">’. We validate </w:t>
      </w:r>
      <w:r w:rsidRPr="00BE32A4">
        <w:rPr>
          <w:rFonts w:asciiTheme="majorBidi" w:hAnsiTheme="majorBidi" w:cstheme="majorBidi"/>
          <w:i/>
          <w:sz w:val="24"/>
          <w:szCs w:val="24"/>
        </w:rPr>
        <w:t>p</w:t>
      </w:r>
      <w:r w:rsidRPr="00BE32A4">
        <w:rPr>
          <w:rFonts w:asciiTheme="majorBidi" w:hAnsiTheme="majorBidi" w:cstheme="majorBidi"/>
          <w:sz w:val="24"/>
          <w:szCs w:val="24"/>
        </w:rPr>
        <w:t xml:space="preserve">+2 ≤ </w:t>
      </w:r>
      <w:r w:rsidRPr="00BE32A4">
        <w:rPr>
          <w:rFonts w:asciiTheme="majorBidi" w:hAnsiTheme="majorBidi" w:cstheme="majorBidi"/>
          <w:i/>
          <w:sz w:val="24"/>
          <w:szCs w:val="24"/>
        </w:rPr>
        <w:t xml:space="preserve">w </w:t>
      </w:r>
      <w:r w:rsidRPr="00BE32A4">
        <w:rPr>
          <w:rFonts w:asciiTheme="majorBidi" w:hAnsiTheme="majorBidi" w:cstheme="majorBidi"/>
          <w:sz w:val="24"/>
          <w:szCs w:val="24"/>
        </w:rPr>
        <w:t xml:space="preserve">≤ </w:t>
      </w:r>
      <w:r w:rsidRPr="00BE32A4">
        <w:rPr>
          <w:rFonts w:asciiTheme="majorBidi" w:hAnsiTheme="majorBidi" w:cstheme="majorBidi"/>
          <w:i/>
          <w:sz w:val="24"/>
          <w:szCs w:val="24"/>
        </w:rPr>
        <w:t xml:space="preserve">N </w:t>
      </w:r>
      <w:r w:rsidRPr="00BE32A4">
        <w:rPr>
          <w:rFonts w:asciiTheme="majorBidi" w:hAnsiTheme="majorBidi" w:cstheme="majorBidi"/>
          <w:sz w:val="24"/>
          <w:szCs w:val="24"/>
        </w:rPr>
        <w:t xml:space="preserve">−1 (rounding </w:t>
      </w:r>
      <w:r w:rsidRPr="00BE32A4">
        <w:rPr>
          <w:rFonts w:asciiTheme="majorBidi" w:hAnsiTheme="majorBidi" w:cstheme="majorBidi"/>
          <w:i/>
          <w:sz w:val="24"/>
          <w:szCs w:val="24"/>
        </w:rPr>
        <w:t xml:space="preserve">w </w:t>
      </w:r>
      <w:r w:rsidRPr="00BE32A4">
        <w:rPr>
          <w:rFonts w:asciiTheme="majorBidi" w:hAnsiTheme="majorBidi" w:cstheme="majorBidi"/>
          <w:sz w:val="24"/>
          <w:szCs w:val="24"/>
        </w:rPr>
        <w:t xml:space="preserve">to the nearest valid odd if needed). The SG curve is used only to locate the peak and the left/right boundaries; all event counting uses </w:t>
      </w:r>
      <w:proofErr w:type="gramStart"/>
      <w:r w:rsidRPr="00BE32A4">
        <w:rPr>
          <w:rFonts w:asciiTheme="majorBidi" w:hAnsiTheme="majorBidi" w:cstheme="majorBidi"/>
          <w:sz w:val="24"/>
          <w:szCs w:val="24"/>
        </w:rPr>
        <w:t>the raw</w:t>
      </w:r>
      <w:proofErr w:type="gramEnd"/>
      <w:r w:rsidRPr="00BE32A4">
        <w:rPr>
          <w:rFonts w:asciiTheme="majorBidi" w:hAnsiTheme="majorBidi" w:cstheme="majorBidi"/>
          <w:sz w:val="24"/>
          <w:szCs w:val="24"/>
        </w:rPr>
        <w:t xml:space="preserve"> histogram. These settings (</w:t>
      </w:r>
      <w:r w:rsidRPr="00BE32A4">
        <w:rPr>
          <w:rFonts w:asciiTheme="majorBidi" w:hAnsiTheme="majorBidi" w:cstheme="majorBidi"/>
          <w:i/>
          <w:sz w:val="24"/>
          <w:szCs w:val="24"/>
        </w:rPr>
        <w:t xml:space="preserve">w </w:t>
      </w:r>
      <w:r w:rsidRPr="00BE32A4">
        <w:rPr>
          <w:rFonts w:asciiTheme="majorBidi" w:hAnsiTheme="majorBidi" w:cstheme="majorBidi"/>
          <w:sz w:val="24"/>
          <w:szCs w:val="24"/>
        </w:rPr>
        <w:t>= 21</w:t>
      </w:r>
      <w:r w:rsidRPr="00BE32A4">
        <w:rPr>
          <w:rFonts w:asciiTheme="majorBidi" w:hAnsiTheme="majorBidi" w:cstheme="majorBidi"/>
          <w:i/>
          <w:sz w:val="24"/>
          <w:szCs w:val="24"/>
        </w:rPr>
        <w:t>,</w:t>
      </w:r>
      <w:r w:rsidR="00581A17" w:rsidRPr="00BE32A4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BE32A4">
        <w:rPr>
          <w:rFonts w:asciiTheme="majorBidi" w:hAnsiTheme="majorBidi" w:cstheme="majorBidi"/>
          <w:i/>
          <w:sz w:val="24"/>
          <w:szCs w:val="24"/>
        </w:rPr>
        <w:t xml:space="preserve">p </w:t>
      </w:r>
      <w:r w:rsidRPr="00BE32A4">
        <w:rPr>
          <w:rFonts w:asciiTheme="majorBidi" w:hAnsiTheme="majorBidi" w:cstheme="majorBidi"/>
          <w:sz w:val="24"/>
          <w:szCs w:val="24"/>
        </w:rPr>
        <w:t xml:space="preserve">= 3) were chosen to minimize peak-location jitter across runs and are stable for </w:t>
      </w:r>
      <w:r w:rsidRPr="00BE32A4">
        <w:rPr>
          <w:rFonts w:asciiTheme="majorBidi" w:hAnsiTheme="majorBidi" w:cstheme="majorBidi"/>
          <w:i/>
          <w:sz w:val="24"/>
          <w:szCs w:val="24"/>
        </w:rPr>
        <w:t xml:space="preserve">w </w:t>
      </w:r>
      <w:r w:rsidRPr="00BE32A4">
        <w:rPr>
          <w:rFonts w:ascii="Cambria Math" w:hAnsi="Cambria Math" w:cs="Cambria Math"/>
          <w:sz w:val="24"/>
          <w:szCs w:val="24"/>
        </w:rPr>
        <w:t>∈</w:t>
      </w:r>
      <w:r w:rsidRPr="00BE32A4">
        <w:rPr>
          <w:rFonts w:asciiTheme="majorBidi" w:hAnsiTheme="majorBidi" w:cstheme="majorBidi"/>
          <w:sz w:val="24"/>
          <w:szCs w:val="24"/>
        </w:rPr>
        <w:t xml:space="preserve"> [17</w:t>
      </w:r>
      <w:r w:rsidRPr="00BE32A4">
        <w:rPr>
          <w:rFonts w:asciiTheme="majorBidi" w:hAnsiTheme="majorBidi" w:cstheme="majorBidi"/>
          <w:i/>
          <w:sz w:val="24"/>
          <w:szCs w:val="24"/>
        </w:rPr>
        <w:t>,</w:t>
      </w:r>
      <w:r w:rsidR="00581A17" w:rsidRPr="00BE32A4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BE32A4">
        <w:rPr>
          <w:rFonts w:asciiTheme="majorBidi" w:hAnsiTheme="majorBidi" w:cstheme="majorBidi"/>
          <w:sz w:val="24"/>
          <w:szCs w:val="24"/>
        </w:rPr>
        <w:t>25].</w:t>
      </w:r>
    </w:p>
    <w:p w14:paraId="3356DE63" w14:textId="77777777" w:rsidR="00536F8F" w:rsidRPr="00BE32A4" w:rsidRDefault="00536F8F" w:rsidP="00BE32A4">
      <w:pPr>
        <w:numPr>
          <w:ilvl w:val="0"/>
          <w:numId w:val="1"/>
        </w:numPr>
        <w:spacing w:after="52" w:line="360" w:lineRule="auto"/>
        <w:ind w:hanging="354"/>
        <w:jc w:val="both"/>
        <w:rPr>
          <w:rFonts w:asciiTheme="majorBidi" w:hAnsiTheme="majorBidi" w:cstheme="majorBidi"/>
          <w:sz w:val="24"/>
          <w:szCs w:val="24"/>
        </w:rPr>
      </w:pPr>
      <w:r w:rsidRPr="00BE32A4">
        <w:rPr>
          <w:rFonts w:asciiTheme="majorBidi" w:hAnsiTheme="majorBidi" w:cstheme="majorBidi"/>
          <w:b/>
          <w:sz w:val="24"/>
          <w:szCs w:val="24"/>
        </w:rPr>
        <w:t xml:space="preserve">Constrain the search ROI: </w:t>
      </w:r>
      <w:r w:rsidRPr="00BE32A4">
        <w:rPr>
          <w:rFonts w:asciiTheme="majorBidi" w:hAnsiTheme="majorBidi" w:cstheme="majorBidi"/>
          <w:sz w:val="24"/>
          <w:szCs w:val="24"/>
        </w:rPr>
        <w:t xml:space="preserve">To avoid the low-ADC pedestal and spurious structures, restrict the MIP search to ADC </w:t>
      </w:r>
      <w:r w:rsidRPr="00BE32A4">
        <w:rPr>
          <w:rFonts w:ascii="Cambria Math" w:hAnsi="Cambria Math" w:cs="Cambria Math"/>
          <w:sz w:val="24"/>
          <w:szCs w:val="24"/>
        </w:rPr>
        <w:t>∈</w:t>
      </w:r>
      <w:r w:rsidRPr="00BE32A4">
        <w:rPr>
          <w:rFonts w:asciiTheme="majorBidi" w:hAnsiTheme="majorBidi" w:cstheme="majorBidi"/>
          <w:sz w:val="24"/>
          <w:szCs w:val="24"/>
        </w:rPr>
        <w:t xml:space="preserve"> [170</w:t>
      </w:r>
      <w:r w:rsidRPr="00BE32A4">
        <w:rPr>
          <w:rFonts w:asciiTheme="majorBidi" w:hAnsiTheme="majorBidi" w:cstheme="majorBidi"/>
          <w:i/>
          <w:sz w:val="24"/>
          <w:szCs w:val="24"/>
        </w:rPr>
        <w:t>,</w:t>
      </w:r>
      <w:r w:rsidRPr="00BE32A4">
        <w:rPr>
          <w:rFonts w:asciiTheme="majorBidi" w:hAnsiTheme="majorBidi" w:cstheme="majorBidi"/>
          <w:sz w:val="24"/>
          <w:szCs w:val="24"/>
        </w:rPr>
        <w:t xml:space="preserve">360] (empirically determined from detector response). The upper bound excludes the Landau tail, which is dominated by rare </w:t>
      </w:r>
      <w:r w:rsidRPr="00BE32A4">
        <w:rPr>
          <w:rFonts w:asciiTheme="majorBidi" w:hAnsiTheme="majorBidi" w:cstheme="majorBidi"/>
          <w:i/>
          <w:sz w:val="24"/>
          <w:szCs w:val="24"/>
        </w:rPr>
        <w:t>δ</w:t>
      </w:r>
      <w:r w:rsidRPr="00BE32A4">
        <w:rPr>
          <w:rFonts w:asciiTheme="majorBidi" w:hAnsiTheme="majorBidi" w:cstheme="majorBidi"/>
          <w:sz w:val="24"/>
          <w:szCs w:val="24"/>
        </w:rPr>
        <w:t>-ray–producing collisions and adds variance and geometry/angle-dependent bias.</w:t>
      </w:r>
    </w:p>
    <w:p w14:paraId="269E556E" w14:textId="1F7EC242" w:rsidR="00536F8F" w:rsidRPr="00BE32A4" w:rsidRDefault="00536F8F" w:rsidP="00BE32A4">
      <w:pPr>
        <w:numPr>
          <w:ilvl w:val="0"/>
          <w:numId w:val="1"/>
        </w:numPr>
        <w:spacing w:after="60" w:line="360" w:lineRule="auto"/>
        <w:ind w:hanging="354"/>
        <w:jc w:val="both"/>
        <w:rPr>
          <w:rFonts w:asciiTheme="majorBidi" w:hAnsiTheme="majorBidi" w:cstheme="majorBidi"/>
          <w:sz w:val="24"/>
          <w:szCs w:val="24"/>
        </w:rPr>
      </w:pPr>
      <w:r w:rsidRPr="00BE32A4">
        <w:rPr>
          <w:rFonts w:asciiTheme="majorBidi" w:hAnsiTheme="majorBidi" w:cstheme="majorBidi"/>
          <w:b/>
          <w:sz w:val="24"/>
          <w:szCs w:val="24"/>
        </w:rPr>
        <w:t xml:space="preserve">Initial peak on the smoothed spectrum: </w:t>
      </w:r>
      <w:r w:rsidRPr="00BE32A4">
        <w:rPr>
          <w:rFonts w:asciiTheme="majorBidi" w:hAnsiTheme="majorBidi" w:cstheme="majorBidi"/>
          <w:sz w:val="24"/>
          <w:szCs w:val="24"/>
        </w:rPr>
        <w:t xml:space="preserve">Within the ROI, take the maximum of the </w:t>
      </w:r>
      <w:r w:rsidR="00581A17" w:rsidRPr="00BE32A4">
        <w:rPr>
          <w:rFonts w:asciiTheme="majorBidi" w:hAnsiTheme="majorBidi" w:cstheme="majorBidi"/>
          <w:sz w:val="24"/>
          <w:szCs w:val="24"/>
        </w:rPr>
        <w:t>SG-smoothed</w:t>
      </w:r>
      <w:r w:rsidRPr="00BE32A4">
        <w:rPr>
          <w:rFonts w:asciiTheme="majorBidi" w:hAnsiTheme="majorBidi" w:cstheme="majorBidi"/>
          <w:sz w:val="24"/>
          <w:szCs w:val="24"/>
        </w:rPr>
        <w:t xml:space="preserve"> curve to obtain a noise-robust first peak index </w:t>
      </w:r>
      <w:r w:rsidRPr="00BE32A4">
        <w:rPr>
          <w:rFonts w:asciiTheme="majorBidi" w:hAnsiTheme="majorBidi" w:cstheme="majorBidi"/>
          <w:i/>
          <w:sz w:val="24"/>
          <w:szCs w:val="24"/>
        </w:rPr>
        <w:t>i</w:t>
      </w:r>
      <w:r w:rsidRPr="00BE32A4">
        <w:rPr>
          <w:rFonts w:asciiTheme="majorBidi" w:hAnsiTheme="majorBidi" w:cstheme="majorBidi"/>
          <w:sz w:val="24"/>
          <w:szCs w:val="24"/>
          <w:vertAlign w:val="subscript"/>
        </w:rPr>
        <w:t>0</w:t>
      </w:r>
      <w:r w:rsidRPr="00BE32A4">
        <w:rPr>
          <w:rFonts w:asciiTheme="majorBidi" w:hAnsiTheme="majorBidi" w:cstheme="majorBidi"/>
          <w:sz w:val="24"/>
          <w:szCs w:val="24"/>
        </w:rPr>
        <w:t>.</w:t>
      </w:r>
    </w:p>
    <w:p w14:paraId="23403228" w14:textId="77777777" w:rsidR="00536F8F" w:rsidRPr="00BE32A4" w:rsidRDefault="00536F8F" w:rsidP="00BE32A4">
      <w:pPr>
        <w:numPr>
          <w:ilvl w:val="0"/>
          <w:numId w:val="1"/>
        </w:numPr>
        <w:spacing w:after="60" w:line="360" w:lineRule="auto"/>
        <w:ind w:hanging="354"/>
        <w:jc w:val="both"/>
        <w:rPr>
          <w:rFonts w:asciiTheme="majorBidi" w:hAnsiTheme="majorBidi" w:cstheme="majorBidi"/>
          <w:sz w:val="24"/>
          <w:szCs w:val="24"/>
        </w:rPr>
      </w:pPr>
      <w:r w:rsidRPr="00BE32A4">
        <w:rPr>
          <w:rFonts w:asciiTheme="majorBidi" w:hAnsiTheme="majorBidi" w:cstheme="majorBidi"/>
          <w:b/>
          <w:sz w:val="24"/>
          <w:szCs w:val="24"/>
        </w:rPr>
        <w:t xml:space="preserve">Refine on the raw data: </w:t>
      </w:r>
      <w:r w:rsidRPr="00BE32A4">
        <w:rPr>
          <w:rFonts w:asciiTheme="majorBidi" w:hAnsiTheme="majorBidi" w:cstheme="majorBidi"/>
          <w:sz w:val="24"/>
          <w:szCs w:val="24"/>
        </w:rPr>
        <w:t xml:space="preserve">Search the raw histogram in a ±25-bin window around </w:t>
      </w:r>
      <w:r w:rsidRPr="00BE32A4">
        <w:rPr>
          <w:rFonts w:asciiTheme="majorBidi" w:hAnsiTheme="majorBidi" w:cstheme="majorBidi"/>
          <w:i/>
          <w:sz w:val="24"/>
          <w:szCs w:val="24"/>
        </w:rPr>
        <w:t>i</w:t>
      </w:r>
      <w:r w:rsidRPr="00BE32A4">
        <w:rPr>
          <w:rFonts w:asciiTheme="majorBidi" w:hAnsiTheme="majorBidi" w:cstheme="majorBidi"/>
          <w:sz w:val="24"/>
          <w:szCs w:val="24"/>
          <w:vertAlign w:val="subscript"/>
        </w:rPr>
        <w:t xml:space="preserve">0 </w:t>
      </w:r>
      <w:r w:rsidRPr="00BE32A4">
        <w:rPr>
          <w:rFonts w:asciiTheme="majorBidi" w:hAnsiTheme="majorBidi" w:cstheme="majorBidi"/>
          <w:sz w:val="24"/>
          <w:szCs w:val="24"/>
        </w:rPr>
        <w:t>and take the absolute maximum. This refined index is the MIP peak.</w:t>
      </w:r>
    </w:p>
    <w:p w14:paraId="70D0F029" w14:textId="77777777" w:rsidR="00536F8F" w:rsidRPr="00BE32A4" w:rsidRDefault="00536F8F" w:rsidP="00BE32A4">
      <w:pPr>
        <w:numPr>
          <w:ilvl w:val="0"/>
          <w:numId w:val="1"/>
        </w:numPr>
        <w:spacing w:after="48" w:line="360" w:lineRule="auto"/>
        <w:ind w:hanging="354"/>
        <w:jc w:val="both"/>
        <w:rPr>
          <w:rFonts w:asciiTheme="majorBidi" w:hAnsiTheme="majorBidi" w:cstheme="majorBidi"/>
          <w:sz w:val="24"/>
          <w:szCs w:val="24"/>
        </w:rPr>
      </w:pPr>
      <w:r w:rsidRPr="00BE32A4">
        <w:rPr>
          <w:rFonts w:asciiTheme="majorBidi" w:hAnsiTheme="majorBidi" w:cstheme="majorBidi"/>
          <w:b/>
          <w:sz w:val="24"/>
          <w:szCs w:val="24"/>
        </w:rPr>
        <w:t xml:space="preserve">Valley/boundary search on the smoothed spectrum: </w:t>
      </w:r>
      <w:r w:rsidRPr="00BE32A4">
        <w:rPr>
          <w:rFonts w:asciiTheme="majorBidi" w:hAnsiTheme="majorBidi" w:cstheme="majorBidi"/>
          <w:sz w:val="24"/>
          <w:szCs w:val="24"/>
        </w:rPr>
        <w:t>Compute left/right boundaries on the SG curve starting from the refined peak:</w:t>
      </w:r>
    </w:p>
    <w:p w14:paraId="1A9A479D" w14:textId="77777777" w:rsidR="00536F8F" w:rsidRPr="00BE32A4" w:rsidRDefault="00536F8F" w:rsidP="00BE32A4">
      <w:pPr>
        <w:numPr>
          <w:ilvl w:val="1"/>
          <w:numId w:val="1"/>
        </w:numPr>
        <w:spacing w:after="48" w:line="360" w:lineRule="auto"/>
        <w:ind w:hanging="200"/>
        <w:jc w:val="both"/>
        <w:rPr>
          <w:rFonts w:asciiTheme="majorBidi" w:hAnsiTheme="majorBidi" w:cstheme="majorBidi"/>
          <w:sz w:val="24"/>
          <w:szCs w:val="24"/>
        </w:rPr>
      </w:pPr>
      <w:r w:rsidRPr="00BE32A4">
        <w:rPr>
          <w:rFonts w:asciiTheme="majorBidi" w:hAnsiTheme="majorBidi" w:cstheme="majorBidi"/>
          <w:sz w:val="24"/>
          <w:szCs w:val="24"/>
        </w:rPr>
        <w:t xml:space="preserve">Left boundary </w:t>
      </w:r>
      <w:proofErr w:type="spellStart"/>
      <w:r w:rsidRPr="00BE32A4">
        <w:rPr>
          <w:rFonts w:asciiTheme="majorBidi" w:hAnsiTheme="majorBidi" w:cstheme="majorBidi"/>
          <w:sz w:val="24"/>
          <w:szCs w:val="24"/>
        </w:rPr>
        <w:t>ADC</w:t>
      </w:r>
      <w:r w:rsidRPr="00BE32A4">
        <w:rPr>
          <w:rFonts w:asciiTheme="majorBidi" w:hAnsiTheme="majorBidi" w:cstheme="majorBidi"/>
          <w:sz w:val="24"/>
          <w:szCs w:val="24"/>
          <w:vertAlign w:val="subscript"/>
        </w:rPr>
        <w:t>left</w:t>
      </w:r>
      <w:proofErr w:type="spellEnd"/>
      <w:r w:rsidRPr="00BE32A4">
        <w:rPr>
          <w:rFonts w:asciiTheme="majorBidi" w:hAnsiTheme="majorBidi" w:cstheme="majorBidi"/>
          <w:sz w:val="24"/>
          <w:szCs w:val="24"/>
        </w:rPr>
        <w:t>: nearest local minimum to the left (then expand by a small safety margin).</w:t>
      </w:r>
    </w:p>
    <w:p w14:paraId="2BBA091C" w14:textId="5CEF2F6C" w:rsidR="00536F8F" w:rsidRPr="00BE32A4" w:rsidRDefault="00536F8F" w:rsidP="00BE32A4">
      <w:pPr>
        <w:numPr>
          <w:ilvl w:val="1"/>
          <w:numId w:val="1"/>
        </w:numPr>
        <w:spacing w:after="240" w:line="360" w:lineRule="auto"/>
        <w:ind w:hanging="200"/>
        <w:jc w:val="both"/>
        <w:rPr>
          <w:rFonts w:asciiTheme="majorBidi" w:hAnsiTheme="majorBidi" w:cstheme="majorBidi"/>
          <w:sz w:val="24"/>
          <w:szCs w:val="24"/>
        </w:rPr>
      </w:pPr>
      <w:r w:rsidRPr="00BE32A4">
        <w:rPr>
          <w:rFonts w:asciiTheme="majorBidi" w:hAnsiTheme="majorBidi" w:cstheme="majorBidi"/>
          <w:sz w:val="24"/>
          <w:szCs w:val="24"/>
        </w:rPr>
        <w:t xml:space="preserve">Right boundary </w:t>
      </w:r>
      <w:proofErr w:type="spellStart"/>
      <w:r w:rsidRPr="00BE32A4">
        <w:rPr>
          <w:rFonts w:asciiTheme="majorBidi" w:hAnsiTheme="majorBidi" w:cstheme="majorBidi"/>
          <w:sz w:val="24"/>
          <w:szCs w:val="24"/>
        </w:rPr>
        <w:t>ADC</w:t>
      </w:r>
      <w:r w:rsidRPr="00BE32A4">
        <w:rPr>
          <w:rFonts w:asciiTheme="majorBidi" w:hAnsiTheme="majorBidi" w:cstheme="majorBidi"/>
          <w:sz w:val="24"/>
          <w:szCs w:val="24"/>
          <w:vertAlign w:val="subscript"/>
        </w:rPr>
        <w:t>right</w:t>
      </w:r>
      <w:proofErr w:type="spellEnd"/>
      <w:r w:rsidRPr="00BE32A4">
        <w:rPr>
          <w:rFonts w:asciiTheme="majorBidi" w:hAnsiTheme="majorBidi" w:cstheme="majorBidi"/>
          <w:sz w:val="24"/>
          <w:szCs w:val="24"/>
        </w:rPr>
        <w:t xml:space="preserve">: because the Landau tail is often monotonic, a right minimum may not exist. Choose the </w:t>
      </w:r>
      <w:r w:rsidR="00581A17" w:rsidRPr="00BE32A4">
        <w:rPr>
          <w:rFonts w:asciiTheme="majorBidi" w:hAnsiTheme="majorBidi" w:cstheme="majorBidi"/>
          <w:i/>
          <w:sz w:val="24"/>
          <w:szCs w:val="24"/>
        </w:rPr>
        <w:t xml:space="preserve">latter </w:t>
      </w:r>
      <w:r w:rsidRPr="00BE32A4">
        <w:rPr>
          <w:rFonts w:asciiTheme="majorBidi" w:hAnsiTheme="majorBidi" w:cstheme="majorBidi"/>
          <w:sz w:val="24"/>
          <w:szCs w:val="24"/>
        </w:rPr>
        <w:t>of (</w:t>
      </w:r>
      <w:proofErr w:type="spellStart"/>
      <w:r w:rsidRPr="00BE32A4">
        <w:rPr>
          <w:rFonts w:asciiTheme="majorBidi" w:hAnsiTheme="majorBidi" w:cstheme="majorBidi"/>
          <w:sz w:val="24"/>
          <w:szCs w:val="24"/>
        </w:rPr>
        <w:t>i</w:t>
      </w:r>
      <w:proofErr w:type="spellEnd"/>
      <w:r w:rsidRPr="00BE32A4">
        <w:rPr>
          <w:rFonts w:asciiTheme="majorBidi" w:hAnsiTheme="majorBidi" w:cstheme="majorBidi"/>
          <w:sz w:val="24"/>
          <w:szCs w:val="24"/>
        </w:rPr>
        <w:t>) the first right local minimum (if present) and (ii) the fractional-threshold crossing</w:t>
      </w:r>
    </w:p>
    <w:p w14:paraId="1AFC3E0E" w14:textId="22B0B700" w:rsidR="00536F8F" w:rsidRPr="00BE32A4" w:rsidRDefault="00536F8F" w:rsidP="00BE32A4">
      <w:pPr>
        <w:tabs>
          <w:tab w:val="center" w:pos="3938"/>
          <w:tab w:val="center" w:pos="5493"/>
        </w:tabs>
        <w:spacing w:after="259" w:line="360" w:lineRule="auto"/>
        <w:rPr>
          <w:rFonts w:asciiTheme="majorBidi" w:hAnsiTheme="majorBidi" w:cstheme="majorBidi"/>
          <w:sz w:val="24"/>
          <w:szCs w:val="24"/>
        </w:rPr>
      </w:pPr>
      <w:r w:rsidRPr="00BE32A4">
        <w:rPr>
          <w:rFonts w:asciiTheme="majorBidi" w:hAnsiTheme="majorBidi" w:cstheme="majorBidi"/>
          <w:sz w:val="24"/>
          <w:szCs w:val="24"/>
        </w:rPr>
        <w:lastRenderedPageBreak/>
        <w:tab/>
      </w:r>
      <w:r w:rsidRPr="00BE32A4">
        <w:rPr>
          <w:rFonts w:asciiTheme="majorBidi" w:hAnsiTheme="majorBidi" w:cstheme="majorBidi"/>
          <w:i/>
          <w:sz w:val="24"/>
          <w:szCs w:val="24"/>
        </w:rPr>
        <w:t xml:space="preserve">b </w:t>
      </w:r>
      <w:r w:rsidRPr="00BE32A4">
        <w:rPr>
          <w:rFonts w:asciiTheme="majorBidi" w:hAnsiTheme="majorBidi" w:cstheme="majorBidi"/>
          <w:sz w:val="24"/>
          <w:szCs w:val="24"/>
        </w:rPr>
        <w:t xml:space="preserve">+ </w:t>
      </w:r>
      <w:r w:rsidRPr="00BE32A4">
        <w:rPr>
          <w:rFonts w:asciiTheme="majorBidi" w:hAnsiTheme="majorBidi" w:cstheme="majorBidi"/>
          <w:i/>
          <w:sz w:val="24"/>
          <w:szCs w:val="24"/>
        </w:rPr>
        <w:t>α</w:t>
      </w:r>
      <w:r w:rsidR="000404EF" w:rsidRPr="00BE32A4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BE32A4">
        <w:rPr>
          <w:rFonts w:asciiTheme="majorBidi" w:hAnsiTheme="majorBidi" w:cstheme="majorBidi"/>
          <w:sz w:val="24"/>
          <w:szCs w:val="24"/>
        </w:rPr>
        <w:t xml:space="preserve">(peak − </w:t>
      </w:r>
      <w:r w:rsidRPr="00BE32A4">
        <w:rPr>
          <w:rFonts w:asciiTheme="majorBidi" w:hAnsiTheme="majorBidi" w:cstheme="majorBidi"/>
          <w:i/>
          <w:sz w:val="24"/>
          <w:szCs w:val="24"/>
        </w:rPr>
        <w:t>b</w:t>
      </w:r>
      <w:r w:rsidRPr="00BE32A4">
        <w:rPr>
          <w:rFonts w:asciiTheme="majorBidi" w:hAnsiTheme="majorBidi" w:cstheme="majorBidi"/>
          <w:sz w:val="24"/>
          <w:szCs w:val="24"/>
        </w:rPr>
        <w:t>)</w:t>
      </w:r>
      <w:r w:rsidRPr="00BE32A4">
        <w:rPr>
          <w:rFonts w:asciiTheme="majorBidi" w:hAnsiTheme="majorBidi" w:cstheme="majorBidi"/>
          <w:i/>
          <w:sz w:val="24"/>
          <w:szCs w:val="24"/>
        </w:rPr>
        <w:t>,</w:t>
      </w:r>
      <w:r w:rsidRPr="00BE32A4">
        <w:rPr>
          <w:rFonts w:asciiTheme="majorBidi" w:hAnsiTheme="majorBidi" w:cstheme="majorBidi"/>
          <w:i/>
          <w:sz w:val="24"/>
          <w:szCs w:val="24"/>
        </w:rPr>
        <w:tab/>
        <w:t xml:space="preserve">α </w:t>
      </w:r>
      <w:r w:rsidRPr="00BE32A4">
        <w:rPr>
          <w:rFonts w:asciiTheme="majorBidi" w:hAnsiTheme="majorBidi" w:cstheme="majorBidi"/>
          <w:sz w:val="24"/>
          <w:szCs w:val="24"/>
        </w:rPr>
        <w:t>= 0</w:t>
      </w:r>
      <w:r w:rsidRPr="00BE32A4">
        <w:rPr>
          <w:rFonts w:asciiTheme="majorBidi" w:hAnsiTheme="majorBidi" w:cstheme="majorBidi"/>
          <w:i/>
          <w:sz w:val="24"/>
          <w:szCs w:val="24"/>
        </w:rPr>
        <w:t>.</w:t>
      </w:r>
      <w:r w:rsidRPr="00BE32A4">
        <w:rPr>
          <w:rFonts w:asciiTheme="majorBidi" w:hAnsiTheme="majorBidi" w:cstheme="majorBidi"/>
          <w:sz w:val="24"/>
          <w:szCs w:val="24"/>
        </w:rPr>
        <w:t>12</w:t>
      </w:r>
      <w:r w:rsidRPr="00BE32A4">
        <w:rPr>
          <w:rFonts w:asciiTheme="majorBidi" w:hAnsiTheme="majorBidi" w:cstheme="majorBidi"/>
          <w:i/>
          <w:sz w:val="24"/>
          <w:szCs w:val="24"/>
        </w:rPr>
        <w:t>,</w:t>
      </w:r>
    </w:p>
    <w:p w14:paraId="59E5727B" w14:textId="77777777" w:rsidR="00536F8F" w:rsidRPr="00BE32A4" w:rsidRDefault="00536F8F" w:rsidP="00BE32A4">
      <w:pPr>
        <w:spacing w:after="54" w:line="360" w:lineRule="auto"/>
        <w:ind w:left="730"/>
        <w:rPr>
          <w:rFonts w:asciiTheme="majorBidi" w:hAnsiTheme="majorBidi" w:cstheme="majorBidi"/>
          <w:sz w:val="24"/>
          <w:szCs w:val="24"/>
        </w:rPr>
      </w:pPr>
      <w:r w:rsidRPr="00BE32A4">
        <w:rPr>
          <w:rFonts w:asciiTheme="majorBidi" w:hAnsiTheme="majorBidi" w:cstheme="majorBidi"/>
          <w:sz w:val="24"/>
          <w:szCs w:val="24"/>
        </w:rPr>
        <w:t xml:space="preserve">where </w:t>
      </w:r>
      <w:r w:rsidRPr="00BE32A4">
        <w:rPr>
          <w:rFonts w:asciiTheme="majorBidi" w:hAnsiTheme="majorBidi" w:cstheme="majorBidi"/>
          <w:i/>
          <w:sz w:val="24"/>
          <w:szCs w:val="24"/>
        </w:rPr>
        <w:t xml:space="preserve">b </w:t>
      </w:r>
      <w:r w:rsidRPr="00BE32A4">
        <w:rPr>
          <w:rFonts w:asciiTheme="majorBidi" w:hAnsiTheme="majorBidi" w:cstheme="majorBidi"/>
          <w:sz w:val="24"/>
          <w:szCs w:val="24"/>
        </w:rPr>
        <w:t>is a local background estimated from low-quantile statistics in the ROI. Enforce a minimum window width and apply small left/right safety expansions (6 bins each).</w:t>
      </w:r>
    </w:p>
    <w:p w14:paraId="5265B8E4" w14:textId="77777777" w:rsidR="00536F8F" w:rsidRPr="00BE32A4" w:rsidRDefault="00536F8F" w:rsidP="00BE32A4">
      <w:pPr>
        <w:numPr>
          <w:ilvl w:val="0"/>
          <w:numId w:val="1"/>
        </w:numPr>
        <w:spacing w:after="291" w:line="360" w:lineRule="auto"/>
        <w:ind w:hanging="354"/>
        <w:jc w:val="both"/>
        <w:rPr>
          <w:rFonts w:asciiTheme="majorBidi" w:hAnsiTheme="majorBidi" w:cstheme="majorBidi"/>
          <w:sz w:val="24"/>
          <w:szCs w:val="24"/>
        </w:rPr>
      </w:pPr>
      <w:r w:rsidRPr="00BE32A4">
        <w:rPr>
          <w:rFonts w:asciiTheme="majorBidi" w:hAnsiTheme="majorBidi" w:cstheme="majorBidi"/>
          <w:b/>
          <w:sz w:val="24"/>
          <w:szCs w:val="24"/>
        </w:rPr>
        <w:t>Define the MIP window:</w:t>
      </w:r>
    </w:p>
    <w:p w14:paraId="2372E55C" w14:textId="77777777" w:rsidR="00536F8F" w:rsidRPr="00BE32A4" w:rsidRDefault="00536F8F" w:rsidP="00BE32A4">
      <w:pPr>
        <w:spacing w:after="251" w:line="360" w:lineRule="auto"/>
        <w:ind w:left="2157" w:right="1793"/>
        <w:jc w:val="center"/>
        <w:rPr>
          <w:rFonts w:asciiTheme="majorBidi" w:hAnsiTheme="majorBidi" w:cstheme="majorBidi"/>
          <w:sz w:val="24"/>
          <w:szCs w:val="24"/>
        </w:rPr>
      </w:pPr>
      <w:r w:rsidRPr="00BE32A4">
        <w:rPr>
          <w:rFonts w:asciiTheme="majorBidi" w:hAnsiTheme="majorBidi" w:cstheme="majorBidi"/>
          <w:sz w:val="24"/>
          <w:szCs w:val="24"/>
        </w:rPr>
        <w:t>[</w:t>
      </w:r>
      <w:proofErr w:type="spellStart"/>
      <w:r w:rsidRPr="00BE32A4">
        <w:rPr>
          <w:rFonts w:asciiTheme="majorBidi" w:hAnsiTheme="majorBidi" w:cstheme="majorBidi"/>
          <w:sz w:val="24"/>
          <w:szCs w:val="24"/>
        </w:rPr>
        <w:t>ADCleft</w:t>
      </w:r>
      <w:proofErr w:type="spellEnd"/>
      <w:r w:rsidRPr="00BE32A4">
        <w:rPr>
          <w:rFonts w:asciiTheme="majorBidi" w:hAnsiTheme="majorBidi" w:cstheme="majorBidi"/>
          <w:i/>
          <w:sz w:val="24"/>
          <w:szCs w:val="24"/>
        </w:rPr>
        <w:t xml:space="preserve">, </w:t>
      </w:r>
      <w:proofErr w:type="spellStart"/>
      <w:r w:rsidRPr="00BE32A4">
        <w:rPr>
          <w:rFonts w:asciiTheme="majorBidi" w:hAnsiTheme="majorBidi" w:cstheme="majorBidi"/>
          <w:sz w:val="24"/>
          <w:szCs w:val="24"/>
        </w:rPr>
        <w:t>ADCright</w:t>
      </w:r>
      <w:proofErr w:type="spellEnd"/>
      <w:r w:rsidRPr="00BE32A4">
        <w:rPr>
          <w:rFonts w:asciiTheme="majorBidi" w:hAnsiTheme="majorBidi" w:cstheme="majorBidi"/>
          <w:sz w:val="24"/>
          <w:szCs w:val="24"/>
        </w:rPr>
        <w:t>]</w:t>
      </w:r>
    </w:p>
    <w:p w14:paraId="09D5CECB" w14:textId="5EFB2D15" w:rsidR="00536F8F" w:rsidRPr="00BE32A4" w:rsidRDefault="00536F8F" w:rsidP="00BE32A4">
      <w:pPr>
        <w:spacing w:after="54" w:line="360" w:lineRule="auto"/>
        <w:ind w:left="364"/>
        <w:rPr>
          <w:rFonts w:asciiTheme="majorBidi" w:hAnsiTheme="majorBidi" w:cstheme="majorBidi"/>
          <w:sz w:val="24"/>
          <w:szCs w:val="24"/>
        </w:rPr>
      </w:pPr>
      <w:r w:rsidRPr="00BE32A4">
        <w:rPr>
          <w:rFonts w:asciiTheme="majorBidi" w:hAnsiTheme="majorBidi" w:cstheme="majorBidi"/>
          <w:sz w:val="24"/>
          <w:szCs w:val="24"/>
        </w:rPr>
        <w:t xml:space="preserve">with </w:t>
      </w:r>
      <w:proofErr w:type="spellStart"/>
      <w:r w:rsidRPr="00BE32A4">
        <w:rPr>
          <w:rFonts w:asciiTheme="majorBidi" w:hAnsiTheme="majorBidi" w:cstheme="majorBidi"/>
          <w:sz w:val="24"/>
          <w:szCs w:val="24"/>
        </w:rPr>
        <w:t>ADC</w:t>
      </w:r>
      <w:r w:rsidRPr="00BE32A4">
        <w:rPr>
          <w:rFonts w:asciiTheme="majorBidi" w:hAnsiTheme="majorBidi" w:cstheme="majorBidi"/>
          <w:sz w:val="24"/>
          <w:szCs w:val="24"/>
          <w:vertAlign w:val="subscript"/>
        </w:rPr>
        <w:t>left</w:t>
      </w:r>
      <w:proofErr w:type="spellEnd"/>
      <w:r w:rsidRPr="00BE32A4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Pr="00BE32A4">
        <w:rPr>
          <w:rFonts w:asciiTheme="majorBidi" w:hAnsiTheme="majorBidi" w:cstheme="majorBidi"/>
          <w:sz w:val="24"/>
          <w:szCs w:val="24"/>
        </w:rPr>
        <w:t xml:space="preserve">from the left minimum and </w:t>
      </w:r>
      <w:proofErr w:type="spellStart"/>
      <w:r w:rsidRPr="00BE32A4">
        <w:rPr>
          <w:rFonts w:asciiTheme="majorBidi" w:hAnsiTheme="majorBidi" w:cstheme="majorBidi"/>
          <w:sz w:val="24"/>
          <w:szCs w:val="24"/>
        </w:rPr>
        <w:t>ADC</w:t>
      </w:r>
      <w:r w:rsidRPr="00BE32A4">
        <w:rPr>
          <w:rFonts w:asciiTheme="majorBidi" w:hAnsiTheme="majorBidi" w:cstheme="majorBidi"/>
          <w:sz w:val="24"/>
          <w:szCs w:val="24"/>
          <w:vertAlign w:val="subscript"/>
        </w:rPr>
        <w:t>right</w:t>
      </w:r>
      <w:proofErr w:type="spellEnd"/>
      <w:r w:rsidRPr="00BE32A4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Pr="00BE32A4">
        <w:rPr>
          <w:rFonts w:asciiTheme="majorBidi" w:hAnsiTheme="majorBidi" w:cstheme="majorBidi"/>
          <w:sz w:val="24"/>
          <w:szCs w:val="24"/>
        </w:rPr>
        <w:t xml:space="preserve">from the </w:t>
      </w:r>
      <w:r w:rsidR="00581A17" w:rsidRPr="00BE32A4">
        <w:rPr>
          <w:rFonts w:asciiTheme="majorBidi" w:hAnsiTheme="majorBidi" w:cstheme="majorBidi"/>
          <w:sz w:val="24"/>
          <w:szCs w:val="24"/>
        </w:rPr>
        <w:t>latter</w:t>
      </w:r>
      <w:r w:rsidRPr="00BE32A4">
        <w:rPr>
          <w:rFonts w:asciiTheme="majorBidi" w:hAnsiTheme="majorBidi" w:cstheme="majorBidi"/>
          <w:sz w:val="24"/>
          <w:szCs w:val="24"/>
        </w:rPr>
        <w:t xml:space="preserve"> of the first right minimum or the fractional-threshold crossing.</w:t>
      </w:r>
    </w:p>
    <w:p w14:paraId="6A6B0973" w14:textId="665483F8" w:rsidR="00536F8F" w:rsidRPr="00BE32A4" w:rsidRDefault="00536F8F" w:rsidP="00BE32A4">
      <w:pPr>
        <w:numPr>
          <w:ilvl w:val="0"/>
          <w:numId w:val="1"/>
        </w:numPr>
        <w:spacing w:after="54" w:line="360" w:lineRule="auto"/>
        <w:ind w:hanging="354"/>
        <w:jc w:val="both"/>
        <w:rPr>
          <w:rFonts w:asciiTheme="majorBidi" w:hAnsiTheme="majorBidi" w:cstheme="majorBidi"/>
          <w:sz w:val="24"/>
          <w:szCs w:val="24"/>
        </w:rPr>
      </w:pPr>
      <w:r w:rsidRPr="00BE32A4">
        <w:rPr>
          <w:rFonts w:asciiTheme="majorBidi" w:hAnsiTheme="majorBidi" w:cstheme="majorBidi"/>
          <w:b/>
          <w:sz w:val="24"/>
          <w:szCs w:val="24"/>
        </w:rPr>
        <w:t xml:space="preserve">Apply the window and count events: </w:t>
      </w:r>
      <w:r w:rsidRPr="00BE32A4">
        <w:rPr>
          <w:rFonts w:asciiTheme="majorBidi" w:hAnsiTheme="majorBidi" w:cstheme="majorBidi"/>
          <w:sz w:val="24"/>
          <w:szCs w:val="24"/>
        </w:rPr>
        <w:t xml:space="preserve">Events with ADC inside the window are tagged as MIPs. </w:t>
      </w:r>
      <w:r w:rsidR="00581A17" w:rsidRPr="00BE32A4">
        <w:rPr>
          <w:rFonts w:asciiTheme="majorBidi" w:hAnsiTheme="majorBidi" w:cstheme="majorBidi"/>
          <w:sz w:val="24"/>
          <w:szCs w:val="24"/>
        </w:rPr>
        <w:t>From</w:t>
      </w:r>
      <w:r w:rsidRPr="00BE32A4">
        <w:rPr>
          <w:rFonts w:asciiTheme="majorBidi" w:hAnsiTheme="majorBidi" w:cstheme="majorBidi"/>
          <w:sz w:val="24"/>
          <w:szCs w:val="24"/>
        </w:rPr>
        <w:t xml:space="preserve"> hourly counts per channel and </w:t>
      </w:r>
      <w:r w:rsidR="00581A17" w:rsidRPr="00BE32A4">
        <w:rPr>
          <w:rFonts w:asciiTheme="majorBidi" w:hAnsiTheme="majorBidi" w:cstheme="majorBidi"/>
          <w:sz w:val="24"/>
          <w:szCs w:val="24"/>
        </w:rPr>
        <w:t>sums</w:t>
      </w:r>
      <w:r w:rsidRPr="00BE32A4">
        <w:rPr>
          <w:rFonts w:asciiTheme="majorBidi" w:hAnsiTheme="majorBidi" w:cstheme="majorBidi"/>
          <w:sz w:val="24"/>
          <w:szCs w:val="24"/>
        </w:rPr>
        <w:t xml:space="preserve"> over three channels to obtain counts per hour (CPH).</w:t>
      </w:r>
    </w:p>
    <w:p w14:paraId="27567A76" w14:textId="77777777" w:rsidR="00536F8F" w:rsidRPr="00BE32A4" w:rsidRDefault="00536F8F" w:rsidP="00BE32A4">
      <w:pPr>
        <w:numPr>
          <w:ilvl w:val="0"/>
          <w:numId w:val="1"/>
        </w:numPr>
        <w:spacing w:after="206" w:line="360" w:lineRule="auto"/>
        <w:ind w:hanging="354"/>
        <w:jc w:val="both"/>
        <w:rPr>
          <w:rFonts w:asciiTheme="majorBidi" w:hAnsiTheme="majorBidi" w:cstheme="majorBidi"/>
          <w:sz w:val="24"/>
          <w:szCs w:val="24"/>
        </w:rPr>
      </w:pPr>
      <w:r w:rsidRPr="00BE32A4">
        <w:rPr>
          <w:rFonts w:asciiTheme="majorBidi" w:hAnsiTheme="majorBidi" w:cstheme="majorBidi"/>
          <w:b/>
          <w:sz w:val="24"/>
          <w:szCs w:val="24"/>
        </w:rPr>
        <w:t xml:space="preserve">Uncertainties and rationale for the high-ADC cut: </w:t>
      </w:r>
      <w:r w:rsidRPr="00BE32A4">
        <w:rPr>
          <w:rFonts w:asciiTheme="majorBidi" w:hAnsiTheme="majorBidi" w:cstheme="majorBidi"/>
          <w:sz w:val="24"/>
          <w:szCs w:val="24"/>
        </w:rPr>
        <w:t>Hourly counts are treated as Poisson; later propagation includes calibration contributions.</w:t>
      </w:r>
    </w:p>
    <w:p w14:paraId="3BA4DA1B" w14:textId="5357BE00" w:rsidR="00536F8F" w:rsidRPr="00BE32A4" w:rsidRDefault="00536F8F" w:rsidP="00BE32A4">
      <w:pPr>
        <w:spacing w:after="4" w:line="360" w:lineRule="auto"/>
        <w:ind w:left="-5"/>
        <w:rPr>
          <w:rFonts w:asciiTheme="majorBidi" w:hAnsiTheme="majorBidi" w:cstheme="majorBidi"/>
          <w:sz w:val="24"/>
          <w:szCs w:val="24"/>
        </w:rPr>
      </w:pPr>
      <w:r w:rsidRPr="00BE32A4">
        <w:rPr>
          <w:rFonts w:asciiTheme="majorBidi" w:hAnsiTheme="majorBidi" w:cstheme="majorBidi"/>
          <w:sz w:val="24"/>
          <w:szCs w:val="24"/>
        </w:rPr>
        <w:t xml:space="preserve">For thin plastic scintillators, occasional hard collisions yield energetic </w:t>
      </w:r>
      <w:r w:rsidRPr="00BE32A4">
        <w:rPr>
          <w:rFonts w:asciiTheme="majorBidi" w:hAnsiTheme="majorBidi" w:cstheme="majorBidi"/>
          <w:i/>
          <w:sz w:val="24"/>
          <w:szCs w:val="24"/>
        </w:rPr>
        <w:t xml:space="preserve">δ </w:t>
      </w:r>
      <w:r w:rsidRPr="00BE32A4">
        <w:rPr>
          <w:rFonts w:asciiTheme="majorBidi" w:hAnsiTheme="majorBidi" w:cstheme="majorBidi"/>
          <w:sz w:val="24"/>
          <w:szCs w:val="24"/>
        </w:rPr>
        <w:t xml:space="preserve">rays, producing a long, geometry-dependent high-ADC tail that is not representative of </w:t>
      </w:r>
      <w:r w:rsidR="00581A17" w:rsidRPr="00BE32A4">
        <w:rPr>
          <w:rFonts w:asciiTheme="majorBidi" w:hAnsiTheme="majorBidi" w:cstheme="majorBidi"/>
          <w:sz w:val="24"/>
          <w:szCs w:val="24"/>
        </w:rPr>
        <w:t xml:space="preserve">the minimum ionizing </w:t>
      </w:r>
      <w:r w:rsidRPr="00BE32A4">
        <w:rPr>
          <w:rFonts w:asciiTheme="majorBidi" w:hAnsiTheme="majorBidi" w:cstheme="majorBidi"/>
          <w:sz w:val="24"/>
          <w:szCs w:val="24"/>
        </w:rPr>
        <w:t xml:space="preserve">loss. Our hybrid rule of left minimum and, on the right, (minimum if present) else a fractional </w:t>
      </w:r>
      <w:r w:rsidR="00581A17" w:rsidRPr="00BE32A4">
        <w:rPr>
          <w:rFonts w:asciiTheme="majorBidi" w:hAnsiTheme="majorBidi" w:cstheme="majorBidi"/>
          <w:sz w:val="24"/>
          <w:szCs w:val="24"/>
        </w:rPr>
        <w:t>threshold</w:t>
      </w:r>
      <w:r w:rsidRPr="00BE32A4">
        <w:rPr>
          <w:rFonts w:asciiTheme="majorBidi" w:hAnsiTheme="majorBidi" w:cstheme="majorBidi"/>
          <w:sz w:val="24"/>
          <w:szCs w:val="24"/>
        </w:rPr>
        <w:t xml:space="preserve"> avoids chasing noise minima, deliberately excludes the tail, and yields a stable, geometry-agnostic MIP counter. The same automatic procedure is applied uniformly to all runs. </w:t>
      </w:r>
      <w:r w:rsidR="00581A17" w:rsidRPr="00BE32A4">
        <w:rPr>
          <w:rFonts w:asciiTheme="majorBidi" w:hAnsiTheme="majorBidi" w:cstheme="majorBidi"/>
          <w:sz w:val="24"/>
          <w:szCs w:val="24"/>
        </w:rPr>
        <w:t xml:space="preserve">Supplementary </w:t>
      </w:r>
      <w:r w:rsidRPr="00BE32A4">
        <w:rPr>
          <w:rFonts w:asciiTheme="majorBidi" w:hAnsiTheme="majorBidi" w:cstheme="majorBidi"/>
          <w:sz w:val="24"/>
          <w:szCs w:val="24"/>
        </w:rPr>
        <w:t>Fig</w:t>
      </w:r>
      <w:r w:rsidR="000404EF" w:rsidRPr="00BE32A4">
        <w:rPr>
          <w:rFonts w:asciiTheme="majorBidi" w:hAnsiTheme="majorBidi" w:cstheme="majorBidi"/>
          <w:sz w:val="24"/>
          <w:szCs w:val="24"/>
        </w:rPr>
        <w:t>s.</w:t>
      </w:r>
      <w:r w:rsidRPr="00BE32A4">
        <w:rPr>
          <w:rFonts w:asciiTheme="majorBidi" w:hAnsiTheme="majorBidi" w:cstheme="majorBidi"/>
          <w:sz w:val="24"/>
          <w:szCs w:val="24"/>
        </w:rPr>
        <w:t xml:space="preserve"> 2 and 3 illustrate the SG and Automated MIP valley–selection workflows.</w:t>
      </w:r>
    </w:p>
    <w:p w14:paraId="239396DD" w14:textId="378BDCF4" w:rsidR="00536F8F" w:rsidRPr="007808C2" w:rsidRDefault="00581A17" w:rsidP="00A8544B">
      <w:pPr>
        <w:spacing w:line="360" w:lineRule="auto"/>
        <w:ind w:left="-15" w:firstLine="299"/>
        <w:rPr>
          <w:rFonts w:asciiTheme="majorBidi" w:hAnsiTheme="majorBidi" w:cstheme="majorBidi"/>
        </w:rPr>
      </w:pPr>
      <w:r w:rsidRPr="00BE32A4">
        <w:rPr>
          <w:rFonts w:asciiTheme="majorBidi" w:hAnsiTheme="majorBidi" w:cstheme="majorBidi"/>
          <w:sz w:val="24"/>
          <w:szCs w:val="24"/>
        </w:rPr>
        <w:t xml:space="preserve">Supplementary </w:t>
      </w:r>
      <w:r w:rsidR="00536F8F" w:rsidRPr="00BE32A4">
        <w:rPr>
          <w:rFonts w:asciiTheme="majorBidi" w:hAnsiTheme="majorBidi" w:cstheme="majorBidi"/>
          <w:sz w:val="24"/>
          <w:szCs w:val="24"/>
        </w:rPr>
        <w:t xml:space="preserve">Fig. 4 summarizes the workflow for density estimation using single and </w:t>
      </w:r>
      <w:r w:rsidRPr="00BE32A4">
        <w:rPr>
          <w:rFonts w:asciiTheme="majorBidi" w:hAnsiTheme="majorBidi" w:cstheme="majorBidi"/>
          <w:sz w:val="24"/>
          <w:szCs w:val="24"/>
        </w:rPr>
        <w:t>dual-telescope</w:t>
      </w:r>
      <w:r w:rsidR="00536F8F" w:rsidRPr="00BE32A4">
        <w:rPr>
          <w:rFonts w:asciiTheme="majorBidi" w:hAnsiTheme="majorBidi" w:cstheme="majorBidi"/>
          <w:sz w:val="24"/>
          <w:szCs w:val="24"/>
        </w:rPr>
        <w:t xml:space="preserve"> approaches.</w:t>
      </w:r>
      <w:r w:rsidRPr="00BE32A4">
        <w:rPr>
          <w:rFonts w:asciiTheme="majorBidi" w:hAnsiTheme="majorBidi" w:cstheme="majorBidi"/>
          <w:sz w:val="24"/>
          <w:szCs w:val="24"/>
        </w:rPr>
        <w:t xml:space="preserve"> </w:t>
      </w:r>
    </w:p>
    <w:p w14:paraId="700F6783" w14:textId="77777777" w:rsidR="00536F8F" w:rsidRPr="007808C2" w:rsidRDefault="00536F8F" w:rsidP="00A10680">
      <w:pPr>
        <w:spacing w:after="75" w:line="259" w:lineRule="auto"/>
        <w:jc w:val="center"/>
        <w:rPr>
          <w:rFonts w:asciiTheme="majorBidi" w:hAnsiTheme="majorBidi" w:cstheme="majorBidi"/>
        </w:rPr>
      </w:pPr>
      <w:r w:rsidRPr="007808C2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616EC311" wp14:editId="5274E187">
            <wp:extent cx="2497541" cy="7221483"/>
            <wp:effectExtent l="0" t="0" r="0" b="0"/>
            <wp:docPr id="2714" name="Picture 2714" descr="A diagram of a flow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4" name="Picture 2714" descr="A diagram of a flowchar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2030" cy="723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5FFDF" w14:textId="381C25B1" w:rsidR="00840700" w:rsidRDefault="00920B50" w:rsidP="00840700">
      <w:pPr>
        <w:spacing w:after="2"/>
        <w:ind w:left="-5"/>
        <w:rPr>
          <w:rFonts w:asciiTheme="majorBidi" w:hAnsiTheme="majorBidi" w:cstheme="majorBidi"/>
        </w:rPr>
      </w:pPr>
      <w:r w:rsidRPr="008C2EA9">
        <w:rPr>
          <w:rFonts w:asciiTheme="majorBidi" w:hAnsiTheme="majorBidi" w:cstheme="majorBidi"/>
          <w:b/>
          <w:bCs/>
        </w:rPr>
        <w:t>Supplementary Fig</w:t>
      </w:r>
      <w:r w:rsidR="008E03F6">
        <w:rPr>
          <w:rFonts w:asciiTheme="majorBidi" w:hAnsiTheme="majorBidi" w:cstheme="majorBidi"/>
          <w:b/>
          <w:bCs/>
        </w:rPr>
        <w:t>ure</w:t>
      </w:r>
      <w:r w:rsidRPr="008C2EA9">
        <w:rPr>
          <w:rFonts w:asciiTheme="majorBidi" w:hAnsiTheme="majorBidi" w:cstheme="majorBidi"/>
          <w:b/>
          <w:bCs/>
        </w:rPr>
        <w:t xml:space="preserve"> </w:t>
      </w:r>
      <w:r>
        <w:rPr>
          <w:rFonts w:asciiTheme="majorBidi" w:hAnsiTheme="majorBidi" w:cstheme="majorBidi"/>
          <w:b/>
          <w:bCs/>
        </w:rPr>
        <w:t>2</w:t>
      </w:r>
      <w:r w:rsidRPr="008C2EA9">
        <w:rPr>
          <w:rFonts w:asciiTheme="majorBidi" w:hAnsiTheme="majorBidi" w:cstheme="majorBidi"/>
          <w:b/>
          <w:bCs/>
        </w:rPr>
        <w:t xml:space="preserve"> | </w:t>
      </w:r>
      <w:proofErr w:type="spellStart"/>
      <w:r w:rsidR="00840700" w:rsidRPr="00840700">
        <w:rPr>
          <w:rFonts w:asciiTheme="majorBidi" w:hAnsiTheme="majorBidi" w:cstheme="majorBidi"/>
          <w:b/>
          <w:bCs/>
        </w:rPr>
        <w:t>Savitzky</w:t>
      </w:r>
      <w:proofErr w:type="spellEnd"/>
      <w:r w:rsidR="00840700" w:rsidRPr="00840700">
        <w:rPr>
          <w:rFonts w:asciiTheme="majorBidi" w:hAnsiTheme="majorBidi" w:cstheme="majorBidi"/>
          <w:b/>
          <w:bCs/>
        </w:rPr>
        <w:t>–Golay smoothing used in the valley-finding algorithm.</w:t>
      </w:r>
      <w:r w:rsidR="00840700">
        <w:rPr>
          <w:rFonts w:asciiTheme="majorBidi" w:hAnsiTheme="majorBidi" w:cstheme="majorBidi"/>
          <w:b/>
          <w:bCs/>
        </w:rPr>
        <w:t xml:space="preserve"> </w:t>
      </w:r>
      <w:r w:rsidR="00840700" w:rsidRPr="00840700">
        <w:rPr>
          <w:rFonts w:asciiTheme="majorBidi" w:hAnsiTheme="majorBidi" w:cstheme="majorBidi"/>
        </w:rPr>
        <w:t xml:space="preserve">The smoothing is applied with parameters </w:t>
      </w:r>
      <m:oMath>
        <m:r>
          <w:rPr>
            <w:rFonts w:ascii="Cambria Math" w:hAnsi="Cambria Math" w:cstheme="majorBidi"/>
          </w:rPr>
          <m:t>w=21</m:t>
        </m:r>
      </m:oMath>
      <w:r w:rsidR="00840700" w:rsidRPr="00840700">
        <w:rPr>
          <w:rFonts w:asciiTheme="majorBidi" w:hAnsiTheme="majorBidi" w:cstheme="majorBidi"/>
        </w:rPr>
        <w:t xml:space="preserve">(odd), </w:t>
      </w:r>
      <m:oMath>
        <m:r>
          <w:rPr>
            <w:rFonts w:ascii="Cambria Math" w:hAnsi="Cambria Math" w:cstheme="majorBidi"/>
          </w:rPr>
          <m:t>p=3</m:t>
        </m:r>
      </m:oMath>
      <w:r w:rsidR="00840700" w:rsidRPr="00840700">
        <w:rPr>
          <w:rFonts w:asciiTheme="majorBidi" w:hAnsiTheme="majorBidi" w:cstheme="majorBidi"/>
        </w:rPr>
        <w:t xml:space="preserve">, and mode = </w:t>
      </w:r>
      <w:r w:rsidR="00840700" w:rsidRPr="00840700">
        <w:rPr>
          <w:rFonts w:asciiTheme="majorBidi" w:hAnsiTheme="majorBidi" w:cstheme="majorBidi"/>
          <w:i/>
          <w:iCs/>
        </w:rPr>
        <w:t>interp</w:t>
      </w:r>
      <w:r w:rsidR="00840700" w:rsidRPr="00840700">
        <w:rPr>
          <w:rFonts w:asciiTheme="majorBidi" w:hAnsiTheme="majorBidi" w:cstheme="majorBidi"/>
        </w:rPr>
        <w:t xml:space="preserve">. The window width </w:t>
      </w:r>
      <m:oMath>
        <m:r>
          <w:rPr>
            <w:rFonts w:ascii="Cambria Math" w:hAnsi="Cambria Math" w:cstheme="majorBidi"/>
          </w:rPr>
          <m:t>w</m:t>
        </m:r>
      </m:oMath>
      <w:r w:rsidR="00840700" w:rsidRPr="00840700">
        <w:rPr>
          <w:rFonts w:asciiTheme="majorBidi" w:hAnsiTheme="majorBidi" w:cstheme="majorBidi"/>
        </w:rPr>
        <w:t xml:space="preserve">satisfies the stability and validity conditions </w:t>
      </w:r>
      <m:oMath>
        <m:r>
          <w:rPr>
            <w:rFonts w:ascii="Cambria Math" w:hAnsi="Cambria Math" w:cstheme="majorBidi"/>
          </w:rPr>
          <m:t>w≥p+2</m:t>
        </m:r>
      </m:oMath>
      <w:r w:rsidR="00840700" w:rsidRPr="00840700">
        <w:rPr>
          <w:rFonts w:asciiTheme="majorBidi" w:hAnsiTheme="majorBidi" w:cstheme="majorBidi"/>
        </w:rPr>
        <w:t xml:space="preserve">and </w:t>
      </w:r>
      <m:oMath>
        <m:r>
          <w:rPr>
            <w:rFonts w:ascii="Cambria Math" w:hAnsi="Cambria Math" w:cstheme="majorBidi"/>
          </w:rPr>
          <m:t>w≤N-1</m:t>
        </m:r>
      </m:oMath>
      <w:r w:rsidR="00840700" w:rsidRPr="00840700">
        <w:rPr>
          <w:rFonts w:asciiTheme="majorBidi" w:hAnsiTheme="majorBidi" w:cstheme="majorBidi"/>
        </w:rPr>
        <w:t>.</w:t>
      </w:r>
    </w:p>
    <w:p w14:paraId="2C8249EE" w14:textId="77777777" w:rsidR="00840700" w:rsidRDefault="00840700" w:rsidP="00840700">
      <w:pPr>
        <w:spacing w:after="2"/>
        <w:ind w:left="-5"/>
        <w:rPr>
          <w:rFonts w:asciiTheme="majorBidi" w:hAnsiTheme="majorBidi" w:cstheme="majorBidi"/>
          <w:b/>
        </w:rPr>
      </w:pPr>
    </w:p>
    <w:p w14:paraId="7E6B4364" w14:textId="77777777" w:rsidR="00536F8F" w:rsidRPr="007808C2" w:rsidRDefault="00536F8F" w:rsidP="00A10680">
      <w:pPr>
        <w:spacing w:after="75" w:line="259" w:lineRule="auto"/>
        <w:jc w:val="center"/>
        <w:rPr>
          <w:rFonts w:asciiTheme="majorBidi" w:hAnsiTheme="majorBidi" w:cstheme="majorBidi"/>
        </w:rPr>
      </w:pPr>
      <w:r w:rsidRPr="007808C2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7DEAFAC6" wp14:editId="5CD68E77">
            <wp:extent cx="5895833" cy="7366408"/>
            <wp:effectExtent l="0" t="0" r="0" b="6350"/>
            <wp:docPr id="2748" name="Picture 2748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" name="Picture 2748" descr="A diagram of a diagram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2379" cy="737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1E518" w14:textId="0F3E948B" w:rsidR="00920B50" w:rsidRDefault="00920B50" w:rsidP="00526C52">
      <w:pPr>
        <w:ind w:left="-5"/>
        <w:jc w:val="both"/>
        <w:rPr>
          <w:rFonts w:asciiTheme="majorBidi" w:hAnsiTheme="majorBidi" w:cstheme="majorBidi"/>
        </w:rPr>
      </w:pPr>
      <w:r w:rsidRPr="008C2EA9">
        <w:rPr>
          <w:rFonts w:asciiTheme="majorBidi" w:hAnsiTheme="majorBidi" w:cstheme="majorBidi"/>
          <w:b/>
          <w:bCs/>
        </w:rPr>
        <w:t>Supplementary Fig</w:t>
      </w:r>
      <w:r w:rsidR="008E03F6">
        <w:rPr>
          <w:rFonts w:asciiTheme="majorBidi" w:hAnsiTheme="majorBidi" w:cstheme="majorBidi"/>
          <w:b/>
          <w:bCs/>
        </w:rPr>
        <w:t>ure</w:t>
      </w:r>
      <w:r w:rsidRPr="008C2EA9">
        <w:rPr>
          <w:rFonts w:asciiTheme="majorBidi" w:hAnsiTheme="majorBidi" w:cstheme="majorBidi"/>
          <w:b/>
          <w:bCs/>
        </w:rPr>
        <w:t xml:space="preserve"> </w:t>
      </w:r>
      <w:r w:rsidR="004B7245">
        <w:rPr>
          <w:rFonts w:asciiTheme="majorBidi" w:hAnsiTheme="majorBidi" w:cstheme="majorBidi"/>
          <w:b/>
          <w:bCs/>
        </w:rPr>
        <w:t>3</w:t>
      </w:r>
      <w:r w:rsidRPr="008C2EA9">
        <w:rPr>
          <w:rFonts w:asciiTheme="majorBidi" w:hAnsiTheme="majorBidi" w:cstheme="majorBidi"/>
          <w:b/>
          <w:bCs/>
        </w:rPr>
        <w:t xml:space="preserve"> | </w:t>
      </w:r>
      <w:r w:rsidR="00BE3B6F" w:rsidRPr="00BE3B6F">
        <w:rPr>
          <w:rFonts w:asciiTheme="majorBidi" w:hAnsiTheme="majorBidi" w:cstheme="majorBidi"/>
          <w:b/>
          <w:bCs/>
        </w:rPr>
        <w:t>Automated MIP valley–selection workflow.</w:t>
      </w:r>
      <w:r w:rsidR="00BE3B6F">
        <w:rPr>
          <w:rFonts w:asciiTheme="majorBidi" w:hAnsiTheme="majorBidi" w:cstheme="majorBidi"/>
          <w:b/>
          <w:bCs/>
        </w:rPr>
        <w:t xml:space="preserve"> </w:t>
      </w:r>
      <w:r w:rsidR="00BE3B6F" w:rsidRPr="00BE3B6F">
        <w:rPr>
          <w:rFonts w:asciiTheme="majorBidi" w:hAnsiTheme="majorBidi" w:cstheme="majorBidi"/>
        </w:rPr>
        <w:t xml:space="preserve">The procedure identifies the MIP region by locating the peak on the </w:t>
      </w:r>
      <w:proofErr w:type="spellStart"/>
      <w:r w:rsidR="00BE3B6F" w:rsidRPr="00BE3B6F">
        <w:rPr>
          <w:rFonts w:asciiTheme="majorBidi" w:hAnsiTheme="majorBidi" w:cstheme="majorBidi"/>
        </w:rPr>
        <w:t>Savitzky</w:t>
      </w:r>
      <w:proofErr w:type="spellEnd"/>
      <w:r w:rsidR="00BE3B6F" w:rsidRPr="00BE3B6F">
        <w:rPr>
          <w:rFonts w:asciiTheme="majorBidi" w:hAnsiTheme="majorBidi" w:cstheme="majorBidi"/>
        </w:rPr>
        <w:t>–Golay–smoothed spectrum, defining boundaries using the right-hand fractional rule on the same curve, and performing event counting in the corresponding raw pulse-height space.</w:t>
      </w:r>
    </w:p>
    <w:p w14:paraId="41F01992" w14:textId="77777777" w:rsidR="00BE3B6F" w:rsidRDefault="00BE3B6F" w:rsidP="00BE3B6F">
      <w:pPr>
        <w:ind w:left="-5"/>
        <w:rPr>
          <w:rFonts w:asciiTheme="majorBidi" w:hAnsiTheme="majorBidi" w:cstheme="majorBidi"/>
          <w:b/>
        </w:rPr>
      </w:pPr>
    </w:p>
    <w:p w14:paraId="0B3CFBEA" w14:textId="77777777" w:rsidR="00536F8F" w:rsidRPr="007808C2" w:rsidRDefault="00536F8F" w:rsidP="00A10680">
      <w:pPr>
        <w:spacing w:after="74" w:line="259" w:lineRule="auto"/>
        <w:jc w:val="center"/>
        <w:rPr>
          <w:rFonts w:asciiTheme="majorBidi" w:hAnsiTheme="majorBidi" w:cstheme="majorBidi"/>
        </w:rPr>
      </w:pPr>
      <w:r w:rsidRPr="007808C2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2CCEB43D" wp14:editId="62D8D4ED">
            <wp:extent cx="5172501" cy="7396193"/>
            <wp:effectExtent l="0" t="0" r="9525" b="0"/>
            <wp:docPr id="2758" name="Picture 2758" descr="A diagram of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" name="Picture 2758" descr="A diagram of a company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3216" cy="741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98A72" w14:textId="311E75DC" w:rsidR="00F65B09" w:rsidRPr="00932297" w:rsidRDefault="00920B50" w:rsidP="00932297">
      <w:pPr>
        <w:ind w:left="-5"/>
        <w:jc w:val="both"/>
        <w:rPr>
          <w:rFonts w:asciiTheme="majorBidi" w:hAnsiTheme="majorBidi" w:cstheme="majorBidi"/>
          <w:b/>
        </w:rPr>
      </w:pPr>
      <w:r w:rsidRPr="008C2EA9">
        <w:rPr>
          <w:rFonts w:asciiTheme="majorBidi" w:hAnsiTheme="majorBidi" w:cstheme="majorBidi"/>
          <w:b/>
          <w:bCs/>
        </w:rPr>
        <w:t>Supplementary Fig</w:t>
      </w:r>
      <w:r w:rsidR="008E03F6">
        <w:rPr>
          <w:rFonts w:asciiTheme="majorBidi" w:hAnsiTheme="majorBidi" w:cstheme="majorBidi"/>
          <w:b/>
          <w:bCs/>
        </w:rPr>
        <w:t>ure</w:t>
      </w:r>
      <w:r w:rsidRPr="008C2EA9">
        <w:rPr>
          <w:rFonts w:asciiTheme="majorBidi" w:hAnsiTheme="majorBidi" w:cstheme="majorBidi"/>
          <w:b/>
          <w:bCs/>
        </w:rPr>
        <w:t xml:space="preserve"> </w:t>
      </w:r>
      <w:r>
        <w:rPr>
          <w:rFonts w:asciiTheme="majorBidi" w:hAnsiTheme="majorBidi" w:cstheme="majorBidi"/>
          <w:b/>
          <w:bCs/>
        </w:rPr>
        <w:t>4</w:t>
      </w:r>
      <w:r w:rsidRPr="008C2EA9">
        <w:rPr>
          <w:rFonts w:asciiTheme="majorBidi" w:hAnsiTheme="majorBidi" w:cstheme="majorBidi"/>
          <w:b/>
          <w:bCs/>
        </w:rPr>
        <w:t xml:space="preserve"> | </w:t>
      </w:r>
      <w:r w:rsidR="002D6DC9" w:rsidRPr="002D6DC9">
        <w:rPr>
          <w:rFonts w:asciiTheme="majorBidi" w:hAnsiTheme="majorBidi" w:cstheme="majorBidi"/>
          <w:b/>
          <w:bCs/>
        </w:rPr>
        <w:t>Workflow for density estimation</w:t>
      </w:r>
      <w:r w:rsidRPr="008C2EA9">
        <w:rPr>
          <w:rFonts w:asciiTheme="majorBidi" w:hAnsiTheme="majorBidi" w:cstheme="majorBidi"/>
          <w:b/>
          <w:bCs/>
        </w:rPr>
        <w:t>.</w:t>
      </w:r>
      <w:r>
        <w:rPr>
          <w:rFonts w:asciiTheme="majorBidi" w:hAnsiTheme="majorBidi" w:cstheme="majorBidi"/>
          <w:b/>
          <w:bCs/>
        </w:rPr>
        <w:t xml:space="preserve"> </w:t>
      </w:r>
      <w:r w:rsidR="004B7245" w:rsidRPr="004B7245">
        <w:rPr>
          <w:rFonts w:asciiTheme="majorBidi" w:hAnsiTheme="majorBidi" w:cstheme="majorBidi"/>
        </w:rPr>
        <w:t>The Dual-telescope approach (green) employs simultaneous main and reference count rates normalized by a calibration factor, while the Single-telescope approach (orange) relies on sequential main-only measurements referenced to a baseline. The acrylic calibration (yellow) converts mean transmission values into equivalent acrylic thickness and corresponding material density.</w:t>
      </w:r>
    </w:p>
    <w:sectPr w:rsidR="00F65B09" w:rsidRPr="00932297" w:rsidSect="00C461A2"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1296" w:right="1440" w:bottom="1296" w:left="1440" w:header="432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hmed Khaled Eleslambouly" w:date="2025-10-15T19:52:00Z" w:initials="AE">
    <w:p w14:paraId="75EEBE7C" w14:textId="77777777" w:rsidR="003915EA" w:rsidRDefault="003915EA" w:rsidP="003915EA">
      <w:pPr>
        <w:pStyle w:val="CommentText"/>
      </w:pPr>
      <w:r>
        <w:rPr>
          <w:rStyle w:val="CommentReference"/>
        </w:rPr>
        <w:annotationRef/>
      </w:r>
      <w:r>
        <w:t>All main text should be in the manuscript, and refer to it as supplementary fig. x.</w:t>
      </w:r>
      <w:r>
        <w:br/>
      </w:r>
      <w:r>
        <w:br/>
        <w:t xml:space="preserve">you may check my previous manuscript </w:t>
      </w:r>
    </w:p>
  </w:comment>
  <w:comment w:id="1" w:author="Ahmed Khaled Eleslambouly" w:date="2025-10-17T17:54:00Z" w:initials="AE">
    <w:p w14:paraId="3F1F1EC8" w14:textId="77777777" w:rsidR="00B549B2" w:rsidRDefault="00B549B2" w:rsidP="00B549B2">
      <w:pPr>
        <w:pStyle w:val="CommentText"/>
      </w:pPr>
      <w:r>
        <w:rPr>
          <w:rStyle w:val="CommentReference"/>
        </w:rPr>
        <w:annotationRef/>
      </w:r>
      <w:r>
        <w:t>All figures and tables should be mentioned or refered to in the main manuscript.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5EEBE7C" w15:done="1"/>
  <w15:commentEx w15:paraId="3F1F1EC8" w15:paraIdParent="75EEBE7C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8037B79" w16cex:dateUtc="2025-10-15T15:52:00Z"/>
  <w16cex:commentExtensible w16cex:durableId="192831E7" w16cex:dateUtc="2025-10-17T13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5EEBE7C" w16cid:durableId="58037B79"/>
  <w16cid:commentId w16cid:paraId="3F1F1EC8" w16cid:durableId="192831E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09714D" w14:textId="77777777" w:rsidR="0021306F" w:rsidRDefault="0021306F">
      <w:r>
        <w:separator/>
      </w:r>
    </w:p>
  </w:endnote>
  <w:endnote w:type="continuationSeparator" w:id="0">
    <w:p w14:paraId="64C43F8B" w14:textId="77777777" w:rsidR="0021306F" w:rsidRDefault="00213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427EB" w14:textId="77777777" w:rsidR="004B08A1" w:rsidRDefault="0047752E">
    <w:pPr>
      <w:pStyle w:val="Footer"/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>
      <w:rPr>
        <w:caps/>
        <w:noProof/>
        <w:color w:val="5B9BD5" w:themeColor="accent1"/>
      </w:rPr>
      <w:t>4</w:t>
    </w:r>
    <w:r>
      <w:rPr>
        <w:caps/>
        <w:noProof/>
        <w:color w:val="5B9BD5" w:themeColor="accent1"/>
      </w:rPr>
      <w:fldChar w:fldCharType="end"/>
    </w:r>
  </w:p>
  <w:p w14:paraId="0DEC07C4" w14:textId="77777777" w:rsidR="004B08A1" w:rsidRDefault="004B08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C687C" w14:textId="77777777" w:rsidR="004B08A1" w:rsidRDefault="0047752E">
    <w:pPr>
      <w:pStyle w:val="Footer"/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14:paraId="3C215D66" w14:textId="77777777" w:rsidR="004B08A1" w:rsidRDefault="004B08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003DC7" w14:textId="77777777" w:rsidR="0021306F" w:rsidRDefault="0021306F">
      <w:r>
        <w:separator/>
      </w:r>
    </w:p>
  </w:footnote>
  <w:footnote w:type="continuationSeparator" w:id="0">
    <w:p w14:paraId="2C893A87" w14:textId="77777777" w:rsidR="0021306F" w:rsidRDefault="002130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C437C" w14:textId="77777777" w:rsidR="004B08A1" w:rsidRDefault="004B08A1" w:rsidP="00BD3B33">
    <w:pPr>
      <w:pStyle w:val="Header"/>
      <w:tabs>
        <w:tab w:val="clear" w:pos="4320"/>
        <w:tab w:val="clear" w:pos="8640"/>
        <w:tab w:val="left" w:pos="3240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425CF" w14:textId="77777777" w:rsidR="004B08A1" w:rsidRPr="00204015" w:rsidRDefault="0047752E" w:rsidP="00D7371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2BD7E7" wp14:editId="7606AE41">
          <wp:simplePos x="0" y="0"/>
          <wp:positionH relativeFrom="margin">
            <wp:align>left</wp:align>
          </wp:positionH>
          <wp:positionV relativeFrom="paragraph">
            <wp:posOffset>5288</wp:posOffset>
          </wp:positionV>
          <wp:extent cx="1045029" cy="457200"/>
          <wp:effectExtent l="0" t="0" r="3175" b="0"/>
          <wp:wrapTight wrapText="bothSides">
            <wp:wrapPolygon edited="0">
              <wp:start x="0" y="0"/>
              <wp:lineTo x="0" y="20700"/>
              <wp:lineTo x="21272" y="20700"/>
              <wp:lineTo x="21272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ience-AAAS-stacked-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5029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204015">
      <w:t>Submitted Manuscript: Confidential</w:t>
    </w:r>
    <w:r>
      <w:tab/>
    </w:r>
  </w:p>
  <w:p w14:paraId="4EAB4AB8" w14:textId="77777777" w:rsidR="004B08A1" w:rsidRDefault="004B08A1" w:rsidP="00D737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CE43EC"/>
    <w:multiLevelType w:val="hybridMultilevel"/>
    <w:tmpl w:val="8E56FF36"/>
    <w:lvl w:ilvl="0" w:tplc="655621C0">
      <w:start w:val="1"/>
      <w:numFmt w:val="decimal"/>
      <w:lvlText w:val="(%1)"/>
      <w:lvlJc w:val="left"/>
      <w:pPr>
        <w:ind w:left="354"/>
      </w:pPr>
      <w:rPr>
        <w:rFonts w:asciiTheme="majorBidi" w:eastAsia="Cambria" w:hAnsiTheme="majorBidi" w:cstheme="majorBid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64CC78">
      <w:start w:val="1"/>
      <w:numFmt w:val="bullet"/>
      <w:lvlText w:val="•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86CA2D6">
      <w:start w:val="1"/>
      <w:numFmt w:val="bullet"/>
      <w:lvlText w:val="▪"/>
      <w:lvlJc w:val="left"/>
      <w:pPr>
        <w:ind w:left="1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F3699D4">
      <w:start w:val="1"/>
      <w:numFmt w:val="bullet"/>
      <w:lvlText w:val="•"/>
      <w:lvlJc w:val="left"/>
      <w:pPr>
        <w:ind w:left="2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8522BB4">
      <w:start w:val="1"/>
      <w:numFmt w:val="bullet"/>
      <w:lvlText w:val="o"/>
      <w:lvlJc w:val="left"/>
      <w:pPr>
        <w:ind w:left="3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BAA9656">
      <w:start w:val="1"/>
      <w:numFmt w:val="bullet"/>
      <w:lvlText w:val="▪"/>
      <w:lvlJc w:val="left"/>
      <w:pPr>
        <w:ind w:left="3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F0C00A">
      <w:start w:val="1"/>
      <w:numFmt w:val="bullet"/>
      <w:lvlText w:val="•"/>
      <w:lvlJc w:val="left"/>
      <w:pPr>
        <w:ind w:left="4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B287514">
      <w:start w:val="1"/>
      <w:numFmt w:val="bullet"/>
      <w:lvlText w:val="o"/>
      <w:lvlJc w:val="left"/>
      <w:pPr>
        <w:ind w:left="5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CCA9842">
      <w:start w:val="1"/>
      <w:numFmt w:val="bullet"/>
      <w:lvlText w:val="▪"/>
      <w:lvlJc w:val="left"/>
      <w:pPr>
        <w:ind w:left="5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4232788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hmed Khaled Eleslambouly">
    <w15:presenceInfo w15:providerId="AD" w15:userId="S::100059651@ku.ac.ae::6b92f3c6-01e1-4a18-9c94-64da5a09ced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B0D"/>
    <w:rsid w:val="00007F88"/>
    <w:rsid w:val="000106E3"/>
    <w:rsid w:val="00021279"/>
    <w:rsid w:val="0002346F"/>
    <w:rsid w:val="000404EF"/>
    <w:rsid w:val="00043E0F"/>
    <w:rsid w:val="00050B53"/>
    <w:rsid w:val="000713A4"/>
    <w:rsid w:val="000744CC"/>
    <w:rsid w:val="000A56C5"/>
    <w:rsid w:val="0013102B"/>
    <w:rsid w:val="001A15E8"/>
    <w:rsid w:val="001A79C2"/>
    <w:rsid w:val="001B432C"/>
    <w:rsid w:val="001C5B8A"/>
    <w:rsid w:val="001D5628"/>
    <w:rsid w:val="001F6402"/>
    <w:rsid w:val="00212BF6"/>
    <w:rsid w:val="0021306F"/>
    <w:rsid w:val="002278F5"/>
    <w:rsid w:val="002664D0"/>
    <w:rsid w:val="00281F18"/>
    <w:rsid w:val="002D6DC9"/>
    <w:rsid w:val="002E6813"/>
    <w:rsid w:val="003155F0"/>
    <w:rsid w:val="003503E8"/>
    <w:rsid w:val="00366029"/>
    <w:rsid w:val="003915EA"/>
    <w:rsid w:val="003A1661"/>
    <w:rsid w:val="003A266D"/>
    <w:rsid w:val="003A4553"/>
    <w:rsid w:val="003B77A5"/>
    <w:rsid w:val="003C5489"/>
    <w:rsid w:val="003D5C54"/>
    <w:rsid w:val="003E6135"/>
    <w:rsid w:val="003E7992"/>
    <w:rsid w:val="00435429"/>
    <w:rsid w:val="004701A9"/>
    <w:rsid w:val="0047752E"/>
    <w:rsid w:val="00496499"/>
    <w:rsid w:val="004A7F99"/>
    <w:rsid w:val="004B08A1"/>
    <w:rsid w:val="004B7245"/>
    <w:rsid w:val="004F729A"/>
    <w:rsid w:val="00526C52"/>
    <w:rsid w:val="00536F8F"/>
    <w:rsid w:val="00541D17"/>
    <w:rsid w:val="00557AC1"/>
    <w:rsid w:val="005740D9"/>
    <w:rsid w:val="005763AB"/>
    <w:rsid w:val="0057682F"/>
    <w:rsid w:val="00581A17"/>
    <w:rsid w:val="005B2F9E"/>
    <w:rsid w:val="00600AA8"/>
    <w:rsid w:val="00666394"/>
    <w:rsid w:val="006809F3"/>
    <w:rsid w:val="006A3268"/>
    <w:rsid w:val="006A4766"/>
    <w:rsid w:val="006B6AD6"/>
    <w:rsid w:val="006D1641"/>
    <w:rsid w:val="006E7B6C"/>
    <w:rsid w:val="00747D69"/>
    <w:rsid w:val="00750F9B"/>
    <w:rsid w:val="007A7952"/>
    <w:rsid w:val="007B3046"/>
    <w:rsid w:val="007C466D"/>
    <w:rsid w:val="007D13C9"/>
    <w:rsid w:val="007E7040"/>
    <w:rsid w:val="00840700"/>
    <w:rsid w:val="00852E66"/>
    <w:rsid w:val="00853519"/>
    <w:rsid w:val="00865E8F"/>
    <w:rsid w:val="00885259"/>
    <w:rsid w:val="008C2EA9"/>
    <w:rsid w:val="008D0D05"/>
    <w:rsid w:val="008E03F6"/>
    <w:rsid w:val="00920B50"/>
    <w:rsid w:val="009301B9"/>
    <w:rsid w:val="00932297"/>
    <w:rsid w:val="00972312"/>
    <w:rsid w:val="00981511"/>
    <w:rsid w:val="00987EFA"/>
    <w:rsid w:val="009E002D"/>
    <w:rsid w:val="00A0313C"/>
    <w:rsid w:val="00A10680"/>
    <w:rsid w:val="00A20EBF"/>
    <w:rsid w:val="00A34E95"/>
    <w:rsid w:val="00A40B4E"/>
    <w:rsid w:val="00A479EC"/>
    <w:rsid w:val="00A8481B"/>
    <w:rsid w:val="00A8544B"/>
    <w:rsid w:val="00AF2828"/>
    <w:rsid w:val="00B451F4"/>
    <w:rsid w:val="00B549B2"/>
    <w:rsid w:val="00B846CB"/>
    <w:rsid w:val="00B91346"/>
    <w:rsid w:val="00B95E8F"/>
    <w:rsid w:val="00BA14D6"/>
    <w:rsid w:val="00BA6B4F"/>
    <w:rsid w:val="00BB4655"/>
    <w:rsid w:val="00BC3B94"/>
    <w:rsid w:val="00BC65AB"/>
    <w:rsid w:val="00BE32A4"/>
    <w:rsid w:val="00BE3B6F"/>
    <w:rsid w:val="00BF10AD"/>
    <w:rsid w:val="00C023C0"/>
    <w:rsid w:val="00C16670"/>
    <w:rsid w:val="00C4028A"/>
    <w:rsid w:val="00C45B5A"/>
    <w:rsid w:val="00C461A2"/>
    <w:rsid w:val="00C82949"/>
    <w:rsid w:val="00CC3B42"/>
    <w:rsid w:val="00CF4CC0"/>
    <w:rsid w:val="00D4789E"/>
    <w:rsid w:val="00D5695B"/>
    <w:rsid w:val="00D65AFF"/>
    <w:rsid w:val="00D9172F"/>
    <w:rsid w:val="00DA6D88"/>
    <w:rsid w:val="00DB1A43"/>
    <w:rsid w:val="00E24294"/>
    <w:rsid w:val="00E32707"/>
    <w:rsid w:val="00E57536"/>
    <w:rsid w:val="00E71129"/>
    <w:rsid w:val="00E82187"/>
    <w:rsid w:val="00EA7738"/>
    <w:rsid w:val="00EC6BF8"/>
    <w:rsid w:val="00EE7A8D"/>
    <w:rsid w:val="00F00B60"/>
    <w:rsid w:val="00F658D1"/>
    <w:rsid w:val="00F65B09"/>
    <w:rsid w:val="00F867F0"/>
    <w:rsid w:val="00FB27AE"/>
    <w:rsid w:val="00FB2F19"/>
    <w:rsid w:val="00FC66CD"/>
    <w:rsid w:val="00FD7B0D"/>
    <w:rsid w:val="00FE3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62EFEE"/>
  <w15:chartTrackingRefBased/>
  <w15:docId w15:val="{DFB1E399-9FC6-4DD1-96E0-71D2B855B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B0D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7B0D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7B0D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7B0D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E74B5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7B0D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7B0D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E74B5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7B0D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7B0D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7B0D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7B0D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7B0D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7B0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7B0D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7B0D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7B0D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7B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7B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7B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7B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7B0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D7B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7B0D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D7B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7B0D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D7B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7B0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D7B0D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7B0D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E74B5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7B0D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7B0D"/>
    <w:rPr>
      <w:b/>
      <w:bCs/>
      <w:smallCaps/>
      <w:color w:val="2E74B5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rsid w:val="00FD7B0D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FD7B0D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Header">
    <w:name w:val="header"/>
    <w:basedOn w:val="Normal"/>
    <w:link w:val="HeaderChar"/>
    <w:rsid w:val="00FD7B0D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rsid w:val="00FD7B0D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SOMContent">
    <w:name w:val="SOMContent"/>
    <w:basedOn w:val="Normal"/>
    <w:rsid w:val="00FD7B0D"/>
    <w:pPr>
      <w:spacing w:before="120"/>
    </w:pPr>
    <w:rPr>
      <w:rFonts w:eastAsia="Times New Roman"/>
      <w:sz w:val="24"/>
      <w:szCs w:val="24"/>
    </w:rPr>
  </w:style>
  <w:style w:type="paragraph" w:customStyle="1" w:styleId="SMHeading">
    <w:name w:val="SM Heading"/>
    <w:basedOn w:val="Heading1"/>
    <w:qFormat/>
    <w:rsid w:val="00FD7B0D"/>
    <w:pPr>
      <w:keepLines w:val="0"/>
      <w:spacing w:before="240" w:after="60" w:line="240" w:lineRule="auto"/>
    </w:pPr>
    <w:rPr>
      <w:rFonts w:ascii="Times New Roman" w:eastAsia="Times New Roman" w:hAnsi="Times New Roman" w:cs="Times New Roman"/>
      <w:b/>
      <w:bCs/>
      <w:color w:val="auto"/>
      <w:kern w:val="32"/>
      <w:sz w:val="24"/>
      <w:szCs w:val="24"/>
      <w14:ligatures w14:val="none"/>
    </w:rPr>
  </w:style>
  <w:style w:type="paragraph" w:customStyle="1" w:styleId="SMcaption">
    <w:name w:val="SM caption"/>
    <w:basedOn w:val="Normal"/>
    <w:qFormat/>
    <w:rsid w:val="00FD7B0D"/>
    <w:rPr>
      <w:rFonts w:eastAsia="Times New Roman"/>
      <w:sz w:val="24"/>
    </w:rPr>
  </w:style>
  <w:style w:type="character" w:styleId="LineNumber">
    <w:name w:val="line number"/>
    <w:basedOn w:val="DefaultParagraphFont"/>
    <w:uiPriority w:val="99"/>
    <w:semiHidden/>
    <w:unhideWhenUsed/>
    <w:rsid w:val="00FD7B0D"/>
  </w:style>
  <w:style w:type="paragraph" w:customStyle="1" w:styleId="Authors">
    <w:name w:val="Authors"/>
    <w:basedOn w:val="Normal"/>
    <w:rsid w:val="00FD7B0D"/>
    <w:pPr>
      <w:spacing w:before="120" w:after="360"/>
      <w:jc w:val="center"/>
    </w:pPr>
    <w:rPr>
      <w:rFonts w:eastAsia="Times New Roman"/>
      <w:sz w:val="24"/>
      <w:szCs w:val="24"/>
    </w:rPr>
  </w:style>
  <w:style w:type="paragraph" w:customStyle="1" w:styleId="Paragraph">
    <w:name w:val="Paragraph"/>
    <w:basedOn w:val="Normal"/>
    <w:rsid w:val="00FD7B0D"/>
    <w:pPr>
      <w:spacing w:before="120"/>
      <w:ind w:firstLine="720"/>
    </w:pPr>
    <w:rPr>
      <w:rFonts w:eastAsia="Times New Roman"/>
      <w:sz w:val="24"/>
      <w:szCs w:val="24"/>
    </w:rPr>
  </w:style>
  <w:style w:type="paragraph" w:customStyle="1" w:styleId="Head">
    <w:name w:val="Head"/>
    <w:basedOn w:val="Normal"/>
    <w:rsid w:val="00FD7B0D"/>
    <w:pPr>
      <w:keepNext/>
      <w:spacing w:before="120" w:after="120"/>
      <w:jc w:val="center"/>
      <w:outlineLvl w:val="0"/>
    </w:pPr>
    <w:rPr>
      <w:rFonts w:eastAsia="Times New Roman"/>
      <w:b/>
      <w:bCs/>
      <w:kern w:val="28"/>
      <w:sz w:val="28"/>
      <w:szCs w:val="28"/>
    </w:rPr>
  </w:style>
  <w:style w:type="character" w:styleId="Hyperlink">
    <w:name w:val="Hyperlink"/>
    <w:basedOn w:val="DefaultParagraphFont"/>
    <w:uiPriority w:val="99"/>
    <w:rsid w:val="00FD7B0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5B09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qFormat/>
    <w:rsid w:val="00BF10AD"/>
    <w:pPr>
      <w:spacing w:before="120" w:line="360" w:lineRule="auto"/>
      <w:jc w:val="both"/>
    </w:pPr>
    <w:rPr>
      <w:rFonts w:ascii="Calibri" w:eastAsia="Times New Roman" w:hAnsi="Calibri" w:cs="Calibri"/>
      <w:sz w:val="24"/>
      <w:szCs w:val="24"/>
    </w:rPr>
  </w:style>
  <w:style w:type="paragraph" w:styleId="NoSpacing">
    <w:name w:val="No Spacing"/>
    <w:uiPriority w:val="1"/>
    <w:qFormat/>
    <w:rsid w:val="00BF10AD"/>
    <w:pPr>
      <w:spacing w:after="0" w:line="240" w:lineRule="auto"/>
    </w:pPr>
    <w:rPr>
      <w:kern w:val="0"/>
      <w14:ligatures w14:val="none"/>
    </w:rPr>
  </w:style>
  <w:style w:type="table" w:customStyle="1" w:styleId="TableGrid">
    <w:name w:val="TableGrid"/>
    <w:rsid w:val="00536F8F"/>
    <w:pPr>
      <w:spacing w:after="0" w:line="240" w:lineRule="auto"/>
    </w:pPr>
    <w:rPr>
      <w:rFonts w:eastAsiaTheme="minorEastAsia"/>
      <w:sz w:val="24"/>
      <w:szCs w:val="24"/>
      <w:lang w:eastAsia="ja-JP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821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2187"/>
  </w:style>
  <w:style w:type="character" w:customStyle="1" w:styleId="CommentTextChar">
    <w:name w:val="Comment Text Char"/>
    <w:basedOn w:val="DefaultParagraphFont"/>
    <w:link w:val="CommentText"/>
    <w:uiPriority w:val="99"/>
    <w:rsid w:val="00E82187"/>
    <w:rPr>
      <w:rFonts w:ascii="Times New Roman" w:eastAsia="Calibri" w:hAnsi="Times New Roman" w:cs="Times New Roma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21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2187"/>
    <w:rPr>
      <w:rFonts w:ascii="Times New Roman" w:eastAsia="Calibri" w:hAnsi="Times New Roman" w:cs="Times New Roman"/>
      <w:b/>
      <w:bCs/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D4789E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microsoft.com/office/2016/09/relationships/commentsIds" Target="commentsIds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56BBB7-118E-4AE9-A5C5-A83415DEC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985</Words>
  <Characters>5706</Characters>
  <Application>Microsoft Office Word</Application>
  <DocSecurity>0</DocSecurity>
  <Lines>98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Khalifa Univeristy</Company>
  <LinksUpToDate>false</LinksUpToDate>
  <CharactersWithSpaces>6648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Abdelmaksoud Ahmed Osman</dc:creator>
  <cp:keywords/>
  <dc:description/>
  <cp:lastModifiedBy>BASIRI HAMID</cp:lastModifiedBy>
  <cp:revision>2</cp:revision>
  <dcterms:created xsi:type="dcterms:W3CDTF">2025-10-22T06:48:00Z</dcterms:created>
  <dcterms:modified xsi:type="dcterms:W3CDTF">2025-10-22T06:48:00Z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a4fe96ce-fecb-448d-b8a8-1aacc49f14d1</vt:lpwstr>
  </property>
</Properties>
</file>