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Table 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: Contents of the Findings of Included Studies</w:t>
      </w:r>
    </w:p>
    <w:p>
      <w:pPr>
        <w:pStyle w:val="Body"/>
        <w:bidi w:val="0"/>
      </w:pPr>
    </w:p>
    <w:tbl>
      <w:tblPr>
        <w:tblW w:w="90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2372"/>
        <w:gridCol w:w="6679"/>
      </w:tblGrid>
      <w:tr>
        <w:tblPrEx>
          <w:shd w:val="clear" w:color="auto" w:fill="85b9c9"/>
        </w:tblPrEx>
        <w:trPr>
          <w:trHeight w:val="623" w:hRule="atLeast"/>
          <w:tblHeader/>
        </w:trPr>
        <w:tc>
          <w:tcPr>
            <w:tcW w:type="dxa" w:w="9051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Perceived Barriers to Accessing Fertility Treatment Themes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restart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Religious and Cultural Proscriptions</w:t>
            </w:r>
          </w:p>
        </w:tc>
        <w:tc>
          <w:tcPr>
            <w:tcW w:type="dxa" w:w="6678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3.5.1 Spirituality: Supernatural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continue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6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3.5.2 Spirituality: Natural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continue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6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3.5.3 Medical Pluralism: Home, traditional/ indigenous and biomedical treatment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continue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6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3.5.4 Adoption and Fostering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Social Strain</w:t>
            </w:r>
          </w:p>
        </w:tc>
        <w:tc>
          <w:tcPr>
            <w:tcW w:type="dxa" w:w="66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3.5.5 Marital Strain</w:t>
            </w:r>
          </w:p>
        </w:tc>
      </w:tr>
      <w:tr>
        <w:tblPrEx>
          <w:shd w:val="clear" w:color="auto" w:fill="d8e6eb"/>
        </w:tblPrEx>
        <w:trPr>
          <w:trHeight w:val="480" w:hRule="atLeast"/>
        </w:trPr>
        <w:tc>
          <w:tcPr>
            <w:tcW w:type="dxa" w:w="237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66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Helvetica Neue" w:hAnsi="Helvetica Neue"/>
                <w:sz w:val="18"/>
                <w:szCs w:val="18"/>
                <w:rtl w:val="0"/>
                <w14:textOutline w14:w="12700" w14:cap="flat">
                  <w14:noFill/>
                  <w14:miter w14:lim="400000"/>
                </w14:textOutline>
              </w:rPr>
              <w:t>3.5.6 Social Support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