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bidi w:val="0"/>
        <w:spacing w:before="200" w:after="140"/>
        <w:ind w:left="0" w:right="0" w:firstLine="0"/>
        <w:jc w:val="left"/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Additional File 6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 xml:space="preserve">: 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Legal Coverage of IVF Coverage in Europe in 2009</w:t>
      </w:r>
    </w:p>
    <w:tbl>
      <w:tblPr>
        <w:tblW w:w="92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8e6eb"/>
        <w:tblLayout w:type="fixed"/>
      </w:tblPr>
      <w:tblGrid>
        <w:gridCol w:w="1848"/>
        <w:gridCol w:w="1848"/>
        <w:gridCol w:w="1848"/>
        <w:gridCol w:w="1848"/>
        <w:gridCol w:w="1848"/>
      </w:tblGrid>
      <w:tr>
        <w:tblPrEx>
          <w:shd w:val="clear" w:color="auto" w:fill="85b9c9"/>
        </w:tblPrEx>
        <w:trPr>
          <w:trHeight w:val="500" w:hRule="atLeast"/>
          <w:tblHeader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14:textOutline w14:w="12700" w14:cap="flat">
                  <w14:noFill/>
                  <w14:miter w14:lim="400000"/>
                </w14:textOutline>
              </w:rPr>
              <w:t>Country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14:textOutline w14:w="12700" w14:cap="flat">
                  <w14:noFill/>
                  <w14:miter w14:lim="400000"/>
                </w14:textOutline>
              </w:rPr>
              <w:t>Coverage Level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14:textOutline w14:w="12700" w14:cap="flat">
                  <w14:noFill/>
                  <w14:miter w14:lim="400000"/>
                </w14:textOutline>
              </w:rPr>
              <w:t>Maximum Cycles Covered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Age Limit </w:t>
            </w:r>
          </w:p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14:textOutline w14:w="12700" w14:cap="flat">
                  <w14:noFill/>
                  <w14:miter w14:lim="400000"/>
                </w14:textOutline>
              </w:rPr>
              <w:t>(Years)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14:textOutline w14:w="12700" w14:cap="flat">
                  <w14:noFill/>
                  <w14:miter w14:lim="400000"/>
                </w14:textOutline>
              </w:rPr>
              <w:t>Only Medication Indications</w:t>
            </w:r>
          </w:p>
        </w:tc>
      </w:tr>
      <w:tr>
        <w:tblPrEx>
          <w:shd w:val="clear" w:color="auto" w:fill="d8e6eb"/>
        </w:tblPrEx>
        <w:trPr>
          <w:trHeight w:val="50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Austria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4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Strict female &lt;40</w:t>
            </w:r>
          </w:p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Male &lt;50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Yes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Belgium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Full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6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Strict &lt;40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Yes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Denmark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Strict &lt;40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No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Finland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Varies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None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No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France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Full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4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Strict &lt;43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Yes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Germany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Strict female &lt;40</w:t>
            </w:r>
          </w:p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Male &lt;50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Yes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Greece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Varies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Strict &lt;50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Yes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Italy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Varies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Soft </w:t>
            </w:r>
          </w:p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(child-bearing age)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Yes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Netherlands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Full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Strict &lt;45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Yes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Portugal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Varies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None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Yes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Spain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Soft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Yes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Sweden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Full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Varies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Soft </w:t>
            </w:r>
          </w:p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(child-bearing age)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Yes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UK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Varies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Strict &lt;40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Yes</w:t>
            </w:r>
          </w:p>
        </w:tc>
      </w:tr>
    </w:tbl>
    <w:p>
      <w:pPr>
        <w:pStyle w:val="Default"/>
        <w:suppressAutoHyphens w:val="1"/>
        <w:bidi w:val="0"/>
        <w:spacing w:before="0" w:after="180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Additional File 6: Legal Coverage of IVF Coverage in Europe in 2009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