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180" w:line="240" w:lineRule="auto"/>
        <w:jc w:val="both"/>
        <w:rPr>
          <w:rFonts w:ascii="Times New Roman" w:cs="Times New Roman" w:hAnsi="Times New Roman" w:eastAsia="Times New Roman"/>
          <w:b w:val="1"/>
          <w:bCs w:val="1"/>
          <w:sz w:val="20"/>
          <w:szCs w:val="20"/>
          <w:u w:color="000000"/>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Table I: Study Characteristics of included studies I</w:t>
      </w:r>
    </w:p>
    <w:tbl>
      <w:tblPr>
        <w:tblW w:w="91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522"/>
        <w:gridCol w:w="1522"/>
        <w:gridCol w:w="1522"/>
        <w:gridCol w:w="1522"/>
        <w:gridCol w:w="1522"/>
        <w:gridCol w:w="1522"/>
      </w:tblGrid>
      <w:tr>
        <w:tblPrEx>
          <w:shd w:val="clear" w:color="auto" w:fill="00a2ff"/>
        </w:tblPrEx>
        <w:trPr>
          <w:trHeight w:val="855" w:hRule="atLeast"/>
          <w:tblHeader/>
        </w:trPr>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First Author and Year</w:t>
            </w:r>
          </w:p>
        </w:tc>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Study Design and Setting</w:t>
            </w:r>
          </w:p>
        </w:tc>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Study dates</w:t>
            </w:r>
          </w:p>
        </w:tc>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Study Objective</w:t>
            </w:r>
          </w:p>
        </w:tc>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Ethnic origin of participants and sample size</w:t>
            </w:r>
          </w:p>
        </w:tc>
        <w:tc>
          <w:tcPr>
            <w:tcW w:type="dxa" w:w="1522"/>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tabs>
                <w:tab w:val="left" w:pos="1440"/>
              </w:tabs>
              <w:suppressAutoHyphens w:val="1"/>
              <w:jc w:val="center"/>
              <w:outlineLvl w:val="0"/>
            </w:pPr>
            <w:r>
              <w:rPr>
                <w:b w:val="1"/>
                <w:bCs w:val="1"/>
                <w:sz w:val="16"/>
                <w:szCs w:val="16"/>
                <w:u w:color="ffffff"/>
                <w:shd w:val="nil" w:color="auto" w:fill="auto"/>
                <w:rtl w:val="0"/>
                <w:lang w:val="en-US"/>
              </w:rPr>
              <w:t>Ethnic origin of comparison group and sample size</w:t>
            </w:r>
          </w:p>
        </w:tc>
      </w:tr>
      <w:tr>
        <w:tblPrEx>
          <w:shd w:val="clear" w:color="auto" w:fill="cadfff"/>
        </w:tblPrEx>
        <w:trPr>
          <w:trHeight w:val="3095" w:hRule="atLeast"/>
        </w:trPr>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outlineLvl w:val="0"/>
            </w:pPr>
            <w:r>
              <w:rPr>
                <w:rFonts w:ascii="Helvetica Neue Light" w:hAnsi="Helvetica Neue Light"/>
                <w:sz w:val="16"/>
                <w:szCs w:val="16"/>
                <w:shd w:val="nil" w:color="auto" w:fill="auto"/>
                <w:rtl w:val="0"/>
                <w:lang w:val="en-US"/>
              </w:rPr>
              <w:t>Gerrits (1997)</w:t>
            </w:r>
          </w:p>
        </w:tc>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Semi-structured interview and participatory observations</w:t>
            </w:r>
          </w:p>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lang w:val="en-US"/>
              </w:rPr>
            </w:pP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Interpretative phenomenological analysis?</w:t>
            </w:r>
          </w:p>
          <w:p>
            <w:pPr>
              <w:pStyle w:val="Default"/>
              <w:suppressAutoHyphens w:val="1"/>
              <w:spacing w:before="0" w:line="240" w:lineRule="auto"/>
              <w:outlineLvl w:val="0"/>
              <w:rPr>
                <w:rFonts w:ascii="Helvetica Neue Light" w:cs="Helvetica Neue Light" w:hAnsi="Helvetica Neue Light" w:eastAsia="Helvetica Neue Light"/>
                <w:sz w:val="16"/>
                <w:szCs w:val="16"/>
                <w:shd w:val="nil" w:color="auto" w:fill="auto"/>
                <w:lang w:val="en-US"/>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shd w:val="nil" w:color="auto" w:fill="auto"/>
                <w:rtl w:val="0"/>
                <w:lang w:val="en-US"/>
              </w:rPr>
              <w:t>Setting: Community (home, Mozambique)</w:t>
            </w:r>
          </w:p>
        </w:tc>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1993</w:t>
            </w:r>
          </w:p>
        </w:tc>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Exploring the social and cultural aspects of infertility in Mozambique</w:t>
            </w:r>
          </w:p>
        </w:tc>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Macua (Mozambique)</w:t>
            </w:r>
          </w:p>
          <w:p>
            <w:pPr>
              <w:pStyle w:val="Default"/>
              <w:suppressAutoHyphens w:val="1"/>
              <w:spacing w:before="0" w:line="240" w:lineRule="auto"/>
              <w:jc w:val="center"/>
              <w:outlineLvl w:val="0"/>
              <w:rPr>
                <w:rFonts w:ascii="Helvetica Neue Light" w:cs="Helvetica Neue Light" w:hAnsi="Helvetica Neue Light" w:eastAsia="Helvetica Neue Light"/>
                <w:sz w:val="16"/>
                <w:szCs w:val="16"/>
                <w:shd w:val="nil" w:color="auto" w:fill="auto"/>
                <w:lang w:val="en-US"/>
              </w:rPr>
            </w:pPr>
          </w:p>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shd w:val="nil" w:color="auto" w:fill="auto"/>
                <w:rtl w:val="0"/>
                <w:lang w:val="en-US"/>
              </w:rPr>
              <w:t>Size: 34</w:t>
            </w:r>
          </w:p>
        </w:tc>
        <w:tc>
          <w:tcPr>
            <w:tcW w:type="dxa" w:w="1522"/>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line="240" w:lineRule="auto"/>
              <w:jc w:val="center"/>
              <w:outlineLvl w:val="0"/>
            </w:pPr>
            <w:r>
              <w:rPr>
                <w:rFonts w:ascii="Helvetica Neue Light" w:hAnsi="Helvetica Neue Light"/>
                <w:sz w:val="16"/>
                <w:szCs w:val="16"/>
                <w:shd w:val="nil" w:color="auto" w:fill="auto"/>
                <w:rtl w:val="0"/>
                <w:lang w:val="en-US"/>
              </w:rPr>
              <w:t>-</w:t>
            </w:r>
          </w:p>
        </w:tc>
      </w:tr>
      <w:tr>
        <w:tblPrEx>
          <w:shd w:val="clear" w:color="auto" w:fill="cadfff"/>
        </w:tblPrEx>
        <w:trPr>
          <w:trHeight w:val="2508"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Bailey et al. (2017)</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Semi-structured interview)</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 xml:space="preserve">Method of analysis: Grounded theory </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Unstated (UK)</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Unstated</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To provide a model of resilience among women undergoing fertility treatments, who experience repeated unsuccessful conception attempts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suppressAutoHyphens w:val="1"/>
              <w:spacing w:after="180" w:line="288" w:lineRule="auto"/>
              <w:jc w:val="center"/>
            </w:pPr>
            <w:r>
              <w:rPr>
                <w:rFonts w:ascii="Times New Roman" w:hAnsi="Times New Roman"/>
                <w:sz w:val="20"/>
                <w:szCs w:val="20"/>
                <w:shd w:val="nil" w:color="auto" w:fill="auto"/>
                <w:rtl w:val="0"/>
                <w:lang w:val="en-US"/>
              </w:rPr>
              <w:t>-</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British, Latvian and mixed British and Asian</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11</w:t>
            </w:r>
          </w:p>
        </w:tc>
      </w:tr>
      <w:tr>
        <w:tblPrEx>
          <w:shd w:val="clear" w:color="auto" w:fill="cadfff"/>
        </w:tblPrEx>
        <w:trPr>
          <w:trHeight w:val="3104"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Hollos (2003)</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Semi-structured interview</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Ethnography</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(home, Ijaw community, Nigeria)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2002</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To illustrate how local meanings of infertility of are shaped by the social and cultural context and how they influence the life experiences and coping behaviours of infertile women in an Ijo community in the Niger Delta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Ijo (Nigeria)</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6</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w:t>
            </w:r>
          </w:p>
        </w:tc>
      </w:tr>
      <w:tr>
        <w:tblPrEx>
          <w:shd w:val="clear" w:color="auto" w:fill="cadfff"/>
        </w:tblPrEx>
        <w:trPr>
          <w:trHeight w:val="2865"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Mariano (2004)</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Interview</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Ethnography</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(rural communities in Mozambique)</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2001 - 2002</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To understand the experiences of infertility in Shangana society, describe the ways in which people seek solutions and explore the individual and social implications of reproductive failure</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Shangana (Mozambique)</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18</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w:t>
            </w:r>
          </w:p>
        </w:tc>
      </w:tr>
      <w:tr>
        <w:tblPrEx>
          <w:shd w:val="clear" w:color="auto" w:fill="cadfff"/>
        </w:tblPrEx>
        <w:trPr>
          <w:trHeight w:val="3703"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Magobe (2005)</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Unstructured interview (open ended questions)</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Interpretative phenomenological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(rural communities, Gaborone, Botswana)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Apr - Sep 1997</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Explore the meaning of infertility and describe how women felt that their spouses, friends and relatives influence this; delineate the processes and strategies used by women in dealing with infertility</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Botswana</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40</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w:t>
            </w:r>
          </w:p>
        </w:tc>
      </w:tr>
      <w:tr>
        <w:tblPrEx>
          <w:shd w:val="clear" w:color="auto" w:fill="cadfff"/>
        </w:tblPrEx>
        <w:trPr>
          <w:trHeight w:val="3225"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Yebei (2000)</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Exploratory in-depth interviews, informal discussions</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Thematic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(home and workplace, Netherlands)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1999</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To determine the attitudes and needs of infertile Ghanaian women living in Amsterdam and examine barriers to ART access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Ghanaian</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12</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w:t>
            </w:r>
          </w:p>
        </w:tc>
      </w:tr>
      <w:tr>
        <w:tblPrEx>
          <w:shd w:val="clear" w:color="auto" w:fill="cadfff"/>
        </w:tblPrEx>
        <w:trPr>
          <w:trHeight w:val="3245"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Dierickx et al. (2019)</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Interview, informal conversations and group discussions</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Thematic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(rural and urban communities in The Gambia)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2017 - 2018</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Understand the health seeking behaviour of women with infertility and the influence of etiological beliefs on health seeking paths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Times New Roman" w:cs="Times New Roman" w:hAnsi="Times New Roman" w:eastAsia="Times New Roman"/>
                <w:sz w:val="20"/>
                <w:szCs w:val="20"/>
                <w:shd w:val="nil" w:color="auto" w:fill="auto"/>
                <w:lang w:val="en-US"/>
              </w:rPr>
            </w:pPr>
          </w:p>
          <w:p>
            <w:pPr>
              <w:pStyle w:val="Default"/>
              <w:suppressAutoHyphens w:val="1"/>
              <w:bidi w:val="0"/>
              <w:spacing w:before="0" w:after="180"/>
              <w:ind w:left="0" w:right="0" w:firstLine="0"/>
              <w:jc w:val="center"/>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Mandinka, Jola and Karonika (participants were from The Gambia and Senegal)</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36</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Times New Roman" w:cs="Times New Roman" w:hAnsi="Times New Roman" w:eastAsia="Times New Roman"/>
                <w:sz w:val="20"/>
                <w:szCs w:val="20"/>
                <w:shd w:val="nil" w:color="auto" w:fill="auto"/>
                <w:lang w:val="en-US"/>
              </w:rPr>
            </w:pP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w:t>
            </w:r>
          </w:p>
        </w:tc>
      </w:tr>
      <w:tr>
        <w:tblPrEx>
          <w:shd w:val="clear" w:color="auto" w:fill="cadfff"/>
        </w:tblPrEx>
        <w:trPr>
          <w:trHeight w:val="3484"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Dierickx et al. (2018)</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Interviews, group discussions and participant observation with informal conversation</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Thematic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Urbanised region of The Gambia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2017 - 2018</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Understand the implications of infertility in urban Gambian communities; examine how this relates to cultural practices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Mandinka, Fula, Masiwanka, Wolof, Serer, Aku and Karonika (The Gambia)</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33</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Times New Roman" w:cs="Times New Roman" w:hAnsi="Times New Roman" w:eastAsia="Times New Roman"/>
                <w:sz w:val="20"/>
                <w:szCs w:val="20"/>
                <w:shd w:val="nil" w:color="auto" w:fill="auto"/>
                <w:lang w:val="en-US"/>
              </w:rPr>
            </w:pP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w:t>
            </w:r>
          </w:p>
        </w:tc>
      </w:tr>
      <w:tr>
        <w:tblPrEx>
          <w:shd w:val="clear" w:color="auto" w:fill="cadfff"/>
        </w:tblPrEx>
        <w:trPr>
          <w:trHeight w:val="3045"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Fledderjohann (2012)</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Descriptive qualitative study: Semi-structured interviews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Secondary care (four health clinics (with an emphasis on gynaecology and obstetrics outpatients, Ghana)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2008</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Explore the implications of infertility in Ghana</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Ghanaian</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107</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Times New Roman" w:cs="Times New Roman" w:hAnsi="Times New Roman" w:eastAsia="Times New Roman"/>
                <w:sz w:val="20"/>
                <w:szCs w:val="20"/>
                <w:shd w:val="nil" w:color="auto" w:fill="auto"/>
                <w:lang w:val="en-US"/>
              </w:rPr>
            </w:pP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w:t>
            </w:r>
          </w:p>
        </w:tc>
      </w:tr>
      <w:tr>
        <w:tblPrEx>
          <w:shd w:val="clear" w:color="auto" w:fill="cadfff"/>
        </w:tblPrEx>
        <w:trPr>
          <w:trHeight w:val="3484"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Weinger (2009)</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Descriptive qualitative study,  Structured in-depth interviews</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Thematic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Community (Interviewer apartment, Cameroon)</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Unstated</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Examine Cameroonian coping measures for childlessness and the subsequent social marginalisation experienced</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Cameroonian</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5 interviewed (out of 10 approached)</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Times New Roman" w:cs="Times New Roman" w:hAnsi="Times New Roman" w:eastAsia="Times New Roman"/>
                <w:sz w:val="20"/>
                <w:szCs w:val="20"/>
                <w:shd w:val="nil" w:color="auto" w:fill="auto"/>
                <w:lang w:val="en-US"/>
              </w:rPr>
            </w:pP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w:t>
            </w:r>
          </w:p>
        </w:tc>
      </w:tr>
      <w:tr>
        <w:tblPrEx>
          <w:shd w:val="clear" w:color="auto" w:fill="cadfff"/>
        </w:tblPrEx>
        <w:trPr>
          <w:trHeight w:val="3484" w:hRule="atLeast"/>
        </w:trPr>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Roberts &amp; Franklin (2004)</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Method of data collection: Semi-structured, formal and informal interviews and participant observations</w:t>
            </w:r>
          </w:p>
          <w:p>
            <w:pPr>
              <w:pStyle w:val="Default"/>
              <w:suppressAutoHyphens w:val="1"/>
              <w:bidi w:val="0"/>
              <w:spacing w:before="0" w:after="180"/>
              <w:ind w:left="0" w:right="0" w:firstLine="0"/>
              <w:jc w:val="left"/>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Method of analysis: Thematic analysis</w:t>
            </w:r>
          </w:p>
          <w:p>
            <w:pPr>
              <w:pStyle w:val="Default"/>
              <w:suppressAutoHyphens w:val="1"/>
              <w:bidi w:val="0"/>
              <w:spacing w:before="0" w:after="180"/>
              <w:ind w:left="0" w:right="0" w:firstLine="0"/>
              <w:jc w:val="left"/>
              <w:rPr>
                <w:rtl w:val="0"/>
              </w:rPr>
            </w:pPr>
            <w:r>
              <w:rPr>
                <w:rFonts w:ascii="Helvetica Neue Light" w:hAnsi="Helvetica Neue Light"/>
                <w:sz w:val="16"/>
                <w:szCs w:val="16"/>
                <w:shd w:val="nil" w:color="auto" w:fill="auto"/>
                <w:rtl w:val="0"/>
                <w:lang w:val="en-US"/>
              </w:rPr>
              <w:t>Setting: Respondent</w:t>
            </w:r>
            <w:r>
              <w:rPr>
                <w:rFonts w:ascii="Helvetica Neue Light" w:hAnsi="Helvetica Neue Light" w:hint="default"/>
                <w:sz w:val="16"/>
                <w:szCs w:val="16"/>
                <w:shd w:val="nil" w:color="auto" w:fill="auto"/>
                <w:rtl w:val="0"/>
                <w:lang w:val="en-US"/>
              </w:rPr>
              <w:t>’</w:t>
            </w:r>
            <w:r>
              <w:rPr>
                <w:rFonts w:ascii="Helvetica Neue Light" w:hAnsi="Helvetica Neue Light"/>
                <w:sz w:val="16"/>
                <w:szCs w:val="16"/>
                <w:shd w:val="nil" w:color="auto" w:fill="auto"/>
                <w:rtl w:val="0"/>
                <w:lang w:val="en-US"/>
              </w:rPr>
              <w:t>s home</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Feb 2001 - Aug 2003</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pPr>
            <w:r>
              <w:rPr>
                <w:rFonts w:ascii="Helvetica Neue Light" w:hAnsi="Helvetica Neue Light"/>
                <w:sz w:val="16"/>
                <w:szCs w:val="16"/>
                <w:shd w:val="nil" w:color="auto" w:fill="auto"/>
                <w:rtl w:val="0"/>
                <w:lang w:val="en-US"/>
              </w:rPr>
              <w:t>Investigate how patients experience PGD and how it fits into their lives, reproductive histories and futures?</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rPr>
                <w:rFonts w:ascii="Helvetica Neue Light" w:cs="Helvetica Neue Light" w:hAnsi="Helvetica Neue Light" w:eastAsia="Helvetica Neue Light"/>
                <w:sz w:val="16"/>
                <w:szCs w:val="16"/>
                <w:shd w:val="nil" w:color="auto" w:fill="auto"/>
              </w:rPr>
            </w:pPr>
            <w:r>
              <w:rPr>
                <w:rFonts w:ascii="Helvetica Neue Light" w:hAnsi="Helvetica Neue Light"/>
                <w:sz w:val="16"/>
                <w:szCs w:val="16"/>
                <w:shd w:val="nil" w:color="auto" w:fill="auto"/>
                <w:rtl w:val="0"/>
                <w:lang w:val="en-US"/>
              </w:rPr>
              <w:t>British</w:t>
            </w:r>
          </w:p>
          <w:p>
            <w:pPr>
              <w:pStyle w:val="Default"/>
              <w:suppressAutoHyphens w:val="1"/>
              <w:bidi w:val="0"/>
              <w:spacing w:before="0" w:after="180"/>
              <w:ind w:left="0" w:right="0" w:firstLine="0"/>
              <w:jc w:val="center"/>
              <w:rPr>
                <w:rtl w:val="0"/>
              </w:rPr>
            </w:pPr>
            <w:r>
              <w:rPr>
                <w:rFonts w:ascii="Helvetica Neue Light" w:hAnsi="Helvetica Neue Light"/>
                <w:sz w:val="16"/>
                <w:szCs w:val="16"/>
                <w:shd w:val="nil" w:color="auto" w:fill="auto"/>
                <w:rtl w:val="0"/>
                <w:lang w:val="en-US"/>
              </w:rPr>
              <w:t>Size: 21</w:t>
            </w:r>
          </w:p>
        </w:tc>
        <w:tc>
          <w:tcPr>
            <w:tcW w:type="dxa" w:w="15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center"/>
            </w:pPr>
            <w:r>
              <w:rPr>
                <w:rFonts w:ascii="Helvetica Neue Light" w:hAnsi="Helvetica Neue Light"/>
                <w:sz w:val="16"/>
                <w:szCs w:val="16"/>
                <w:shd w:val="nil" w:color="auto" w:fill="auto"/>
                <w:rtl w:val="0"/>
                <w:lang w:val="en-US"/>
              </w:rPr>
              <w:t>-</w:t>
            </w:r>
          </w:p>
        </w:tc>
      </w:tr>
    </w:tbl>
    <w:p>
      <w:pPr>
        <w:pStyle w:val="Default"/>
        <w:widowControl w:val="0"/>
        <w:suppressAutoHyphens w:val="1"/>
        <w:spacing w:before="0" w:after="180" w:line="240" w:lineRule="auto"/>
        <w:ind w:left="108" w:hanging="108"/>
      </w:pPr>
      <w:r>
        <w:rPr>
          <w:rFonts w:ascii="Times New Roman" w:cs="Times New Roman" w:hAnsi="Times New Roman" w:eastAsia="Times New Roman"/>
          <w:b w:val="1"/>
          <w:bCs w:val="1"/>
          <w:sz w:val="20"/>
          <w:szCs w:val="20"/>
          <w:u w:color="000000"/>
          <w14:textOutline w14:w="12700" w14:cap="flat">
            <w14:noFill/>
            <w14:miter w14:lim="400000"/>
          </w14:textOutline>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